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F5909" w14:textId="3D2058EB" w:rsidR="00D22CC8" w:rsidRPr="00B85B74" w:rsidRDefault="007F7B26" w:rsidP="006A6B07">
      <w:pPr>
        <w:pStyle w:val="CDIPublicationstring"/>
      </w:pPr>
      <w:r w:rsidRPr="00B85B74">
        <w:rPr>
          <w:noProof/>
        </w:rPr>
        <w:drawing>
          <wp:anchor distT="0" distB="0" distL="114300" distR="114300" simplePos="0" relativeHeight="251658240" behindDoc="1" locked="1" layoutInCell="1" allowOverlap="1" wp14:anchorId="4CEAD092" wp14:editId="67505BF6">
            <wp:simplePos x="0" y="0"/>
            <wp:positionH relativeFrom="page">
              <wp:align>left</wp:align>
            </wp:positionH>
            <wp:positionV relativeFrom="page">
              <wp:align>top</wp:align>
            </wp:positionV>
            <wp:extent cx="7560000" cy="10692000"/>
            <wp:effectExtent l="0" t="0" r="3175" b="0"/>
            <wp:wrapNone/>
            <wp:docPr id="632511823" name="Picture 1" descr="Dark blue shape displaying the logo of Communicable Diseases Intelligence. White and light blue shapes feature a lockup displaying the logos of the interim Australian Centre for Disease Control and the Department of Health, Disability and Age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2511823" name="Picture 1" descr="Dark blue shape displaying the logo of Communicable Diseases Intelligence. White and light blue shapes feature a lockup displaying the logos of the interim Australian Centre for Disease Control and the Department of Health, Disability and Ageing."/>
                    <pic:cNvPicPr/>
                  </pic:nvPicPr>
                  <pic:blipFill>
                    <a:blip r:embed="rId9"/>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fldSimple w:instr=" DOCPROPERTY  Year  \* MERGEFORMAT ">
        <w:r w:rsidR="00C67DA9">
          <w:t>2025</w:t>
        </w:r>
      </w:fldSimple>
      <w:r w:rsidR="00D22CC8" w:rsidRPr="00B85B74">
        <w:t xml:space="preserve"> • Volume </w:t>
      </w:r>
      <w:fldSimple w:instr=" DOCPROPERTY  Vol  \* MERGEFORMAT ">
        <w:r w:rsidR="00C67DA9">
          <w:t>49</w:t>
        </w:r>
      </w:fldSimple>
      <w:r w:rsidR="00700338">
        <w:t xml:space="preserve"> </w:t>
      </w:r>
      <w:r w:rsidR="00700338" w:rsidRPr="00E15CF6">
        <w:t xml:space="preserve">• </w:t>
      </w:r>
      <w:hyperlink r:id="rId10" w:history="1">
        <w:r w:rsidR="00700338" w:rsidRPr="00E15CF6">
          <w:t>cdc.gov.au/cdi</w:t>
        </w:r>
      </w:hyperlink>
      <w:r w:rsidR="00D22CC8" w:rsidRPr="00B85B74">
        <w:t xml:space="preserve"> •</w:t>
      </w:r>
      <w:r w:rsidR="00700338">
        <w:t xml:space="preserve"> </w:t>
      </w:r>
      <w:r w:rsidR="00700338" w:rsidRPr="006A6B07">
        <w:t>Epub</w:t>
      </w:r>
      <w:r w:rsidR="00700338" w:rsidRPr="00B85B74">
        <w:t xml:space="preserve"> </w:t>
      </w:r>
      <w:r w:rsidR="00700338" w:rsidRPr="00D32A59">
        <w:t>date</w:t>
      </w:r>
      <w:r w:rsidR="00700338" w:rsidRPr="00B85B74">
        <w:t xml:space="preserve">: </w:t>
      </w:r>
      <w:fldSimple w:instr=" DOCPROPERTY  ePubDate  \* MERGEFORMAT ">
        <w:r w:rsidR="001A3297">
          <w:t>18.11.2025</w:t>
        </w:r>
      </w:fldSimple>
      <w:r w:rsidR="00700338">
        <w:t xml:space="preserve"> </w:t>
      </w:r>
      <w:r w:rsidR="00700338" w:rsidRPr="00B85B74">
        <w:t xml:space="preserve">• </w:t>
      </w:r>
      <w:fldSimple w:instr=" DOCPROPERTY  DOI  \* MERGEFORMAT ">
        <w:r w:rsidR="001A3297">
          <w:t>doi.org/10.33321/cdi.2025.49.052</w:t>
        </w:r>
      </w:fldSimple>
    </w:p>
    <w:p w14:paraId="05E759F5" w14:textId="0902F311" w:rsidR="006B16A5" w:rsidRPr="00ED6855" w:rsidRDefault="00ED6855" w:rsidP="00ED6855">
      <w:pPr>
        <w:pStyle w:val="Title"/>
      </w:pPr>
      <w:r w:rsidRPr="00ED6855">
        <w:t>Australian Group on Antimicrobial Resistance (AGAR) surveillance outcome programs – bloodstream infections and antimicrobial resistance patterns in Australian children and adolescents, January 2022 – December 2023</w:t>
      </w:r>
    </w:p>
    <w:p w14:paraId="1772BB83" w14:textId="199B39C4" w:rsidR="00013B65" w:rsidRDefault="00ED6855" w:rsidP="00ED6855">
      <w:pPr>
        <w:pStyle w:val="Subtitle"/>
      </w:pPr>
      <w:r w:rsidRPr="00ED6855">
        <w:t>Anita Williams, Geoffrey W Coombs, Jan M Bell, Denise A Daley, Shakeel</w:t>
      </w:r>
      <w:r>
        <w:t> </w:t>
      </w:r>
      <w:r w:rsidRPr="00ED6855">
        <w:t>Mowlaboccus, Penelope A Bryant, Anita J Campbell, Louise Cooley, Annaleise R Howard-Jones, Jon Iredell, Adam D Irwin, Brendan McMullan, Morgyn S Warner, Phoebe CM Williams, Christopher C Blyth</w:t>
      </w:r>
      <w:r w:rsidR="00013B65">
        <w:br w:type="page"/>
      </w:r>
    </w:p>
    <w:p w14:paraId="27904A36" w14:textId="77777777" w:rsidR="00B52457" w:rsidRPr="0089025E" w:rsidRDefault="00B52457" w:rsidP="00087CC4">
      <w:pPr>
        <w:pStyle w:val="CDICopyright"/>
      </w:pPr>
      <w:bookmarkStart w:id="0" w:name="_Hlk185172676"/>
      <w:r w:rsidRPr="0089025E">
        <w:lastRenderedPageBreak/>
        <w:t xml:space="preserve">© </w:t>
      </w:r>
      <w:fldSimple w:instr=" DOCPROPERTY  Year  \* MERGEFORMAT ">
        <w:r w:rsidR="00C67DA9">
          <w:t>2025</w:t>
        </w:r>
      </w:fldSimple>
      <w:r w:rsidRPr="0089025E">
        <w:t xml:space="preserve"> Commonwealth of Australia as represented by the </w:t>
      </w:r>
      <w:r w:rsidR="007B537E">
        <w:t>Department of Health</w:t>
      </w:r>
      <w:r w:rsidR="0022524E">
        <w:t>, Disability</w:t>
      </w:r>
      <w:r w:rsidR="007B537E">
        <w:t xml:space="preserve"> and </w:t>
      </w:r>
      <w:r w:rsidR="0022524E">
        <w:t>Ageing</w:t>
      </w:r>
    </w:p>
    <w:p w14:paraId="657BC73E" w14:textId="77777777" w:rsidR="00B52457" w:rsidRPr="0089025E" w:rsidRDefault="00B52457" w:rsidP="00087CC4">
      <w:pPr>
        <w:pStyle w:val="CDICopyright"/>
      </w:pPr>
      <w:r w:rsidRPr="0089025E">
        <w:t>ISSN: 2209-6051 Online</w:t>
      </w:r>
    </w:p>
    <w:p w14:paraId="58977641" w14:textId="77777777" w:rsidR="00B52457" w:rsidRDefault="00B52457" w:rsidP="00087CC4">
      <w:pPr>
        <w:pStyle w:val="CDICopyright"/>
      </w:pPr>
      <w:r w:rsidRPr="0089025E">
        <w:t>This journal is indexed by Index Medicus and Medline.</w:t>
      </w:r>
    </w:p>
    <w:p w14:paraId="45A0888F" w14:textId="77777777" w:rsidR="00B52457" w:rsidRPr="007F2B27" w:rsidRDefault="00B52457" w:rsidP="00CC3648">
      <w:pPr>
        <w:pStyle w:val="CDICopyrightHeading"/>
      </w:pPr>
      <w:r w:rsidRPr="007F2B27">
        <w:t>Creative Commons Licence</w:t>
      </w:r>
    </w:p>
    <w:p w14:paraId="3AA3B3D6" w14:textId="77777777" w:rsidR="00B52457" w:rsidRPr="0089025E" w:rsidRDefault="00B52457" w:rsidP="007F2B27">
      <w:pPr>
        <w:pStyle w:val="CDICopyright"/>
      </w:pPr>
      <w:r w:rsidRPr="0089025E">
        <w:t xml:space="preserve">This publication is licensed under a Creative Commons </w:t>
      </w:r>
      <w:hyperlink r:id="rId11" w:history="1">
        <w:r w:rsidRPr="0022524E">
          <w:rPr>
            <w:rStyle w:val="Hyperlink"/>
          </w:rPr>
          <w:t>Attribution-NonCommercial-NoDerivatives 4.0 International Licence</w:t>
        </w:r>
      </w:hyperlink>
      <w:r w:rsidRPr="0089025E">
        <w:t xml:space="preserve"> (Licence). You</w:t>
      </w:r>
      <w:r w:rsidR="0022524E">
        <w:t xml:space="preserve"> </w:t>
      </w:r>
      <w:r w:rsidRPr="0089025E">
        <w:t>must read and understand the Licence before using any material from this publication.</w:t>
      </w:r>
    </w:p>
    <w:bookmarkEnd w:id="0"/>
    <w:p w14:paraId="3536E312" w14:textId="77777777" w:rsidR="00B52457" w:rsidRPr="007F2B27" w:rsidRDefault="00B52457" w:rsidP="00CC3648">
      <w:pPr>
        <w:pStyle w:val="CDICopyrightHeading"/>
      </w:pPr>
      <w:r w:rsidRPr="007F2B27">
        <w:t>Restrictions</w:t>
      </w:r>
    </w:p>
    <w:p w14:paraId="15B20A93" w14:textId="77777777" w:rsidR="00B52457" w:rsidRPr="0089025E" w:rsidRDefault="00B52457" w:rsidP="007F2B27">
      <w:pPr>
        <w:pStyle w:val="CDICopyright"/>
      </w:pPr>
      <w:r w:rsidRPr="0089025E">
        <w:t xml:space="preserve">The Licence does not cover, and there is no permission given for, use of any of the following material found in this publication (if </w:t>
      </w:r>
      <w:r w:rsidRPr="00B52457">
        <w:t>any</w:t>
      </w:r>
      <w:r w:rsidRPr="0089025E">
        <w:t xml:space="preserve">): </w:t>
      </w:r>
    </w:p>
    <w:p w14:paraId="6A4C657E" w14:textId="77777777" w:rsidR="00B52457" w:rsidRPr="00E9313B" w:rsidRDefault="00B52457" w:rsidP="00E9313B">
      <w:pPr>
        <w:pStyle w:val="CDICopyrightBullets"/>
      </w:pPr>
      <w:r w:rsidRPr="006C7D54">
        <w:t xml:space="preserve">the </w:t>
      </w:r>
      <w:r w:rsidRPr="00E9313B">
        <w:t xml:space="preserve">Commonwealth Coat of Arms (by way of information, the terms under which the Coat of Arms may be used can be found on the Department of Prime Minister and Cabinet </w:t>
      </w:r>
      <w:proofErr w:type="gramStart"/>
      <w:r w:rsidRPr="00E9313B">
        <w:t>website;</w:t>
      </w:r>
      <w:proofErr w:type="gramEnd"/>
    </w:p>
    <w:p w14:paraId="0FDE868A" w14:textId="77777777" w:rsidR="00B52457" w:rsidRPr="003C23C9" w:rsidRDefault="0022524E" w:rsidP="00E9313B">
      <w:pPr>
        <w:pStyle w:val="CDICopyrightBullets"/>
      </w:pPr>
      <w:r w:rsidRPr="0022524E">
        <w:t xml:space="preserve">any logos (including the interim Australian Centre for Disease Control and the Department of Health, Disability and Ageing’s logos) and </w:t>
      </w:r>
      <w:proofErr w:type="gramStart"/>
      <w:r w:rsidRPr="0022524E">
        <w:t>trademarks</w:t>
      </w:r>
      <w:r w:rsidR="00B52457" w:rsidRPr="003C23C9">
        <w:t>;</w:t>
      </w:r>
      <w:proofErr w:type="gramEnd"/>
    </w:p>
    <w:p w14:paraId="66DC27F5" w14:textId="77777777" w:rsidR="00B52457" w:rsidRPr="00E9313B" w:rsidRDefault="00B52457" w:rsidP="00E9313B">
      <w:pPr>
        <w:pStyle w:val="CDICopyrightBullets"/>
      </w:pPr>
      <w:r w:rsidRPr="00E9313B">
        <w:t xml:space="preserve">any photographs and </w:t>
      </w:r>
      <w:proofErr w:type="gramStart"/>
      <w:r w:rsidRPr="00E9313B">
        <w:t>images;</w:t>
      </w:r>
      <w:proofErr w:type="gramEnd"/>
      <w:r w:rsidRPr="00E9313B">
        <w:t xml:space="preserve"> </w:t>
      </w:r>
    </w:p>
    <w:p w14:paraId="26F5DB51" w14:textId="77777777" w:rsidR="00B52457" w:rsidRPr="00E9313B" w:rsidRDefault="00B52457" w:rsidP="00E9313B">
      <w:pPr>
        <w:pStyle w:val="CDICopyrightBullets"/>
      </w:pPr>
      <w:r w:rsidRPr="00E9313B">
        <w:t>any signatures; and</w:t>
      </w:r>
    </w:p>
    <w:p w14:paraId="40EB68D3" w14:textId="77777777" w:rsidR="00B52457" w:rsidRPr="003C23C9" w:rsidRDefault="00B52457" w:rsidP="00E9313B">
      <w:pPr>
        <w:pStyle w:val="CDICopyrightBullets"/>
      </w:pPr>
      <w:r w:rsidRPr="00E9313B">
        <w:t>any</w:t>
      </w:r>
      <w:r w:rsidRPr="003C23C9">
        <w:t xml:space="preserve"> material belonging to third parties.</w:t>
      </w:r>
    </w:p>
    <w:p w14:paraId="22213B8C" w14:textId="77777777" w:rsidR="00B52457" w:rsidRPr="00CC3648" w:rsidRDefault="00B52457" w:rsidP="00CC3648">
      <w:pPr>
        <w:pStyle w:val="CDICopyrightHeading"/>
      </w:pPr>
      <w:r w:rsidRPr="00CC3648">
        <w:t>Disclaimer</w:t>
      </w:r>
    </w:p>
    <w:p w14:paraId="6FF63BFA" w14:textId="77777777" w:rsidR="00B52457" w:rsidRPr="0089025E" w:rsidRDefault="00B52457" w:rsidP="007F2B27">
      <w:pPr>
        <w:pStyle w:val="CDICopyright"/>
      </w:pPr>
      <w:r w:rsidRPr="0089025E">
        <w:t xml:space="preserve">Opinions expressed in </w:t>
      </w:r>
      <w:r w:rsidRPr="00682E53">
        <w:rPr>
          <w:i/>
          <w:iCs/>
        </w:rPr>
        <w:t>Communicable Diseases Intelligence</w:t>
      </w:r>
      <w:r>
        <w:t xml:space="preserve"> </w:t>
      </w:r>
      <w:r w:rsidRPr="0089025E">
        <w:t xml:space="preserve">are those of the authors and not necessarily those of </w:t>
      </w:r>
      <w:r w:rsidR="0022524E" w:rsidRPr="0022524E">
        <w:t>the Australian Government, the interim Australian Centre for Disease Control or the Department of Health, Disability and Ageing</w:t>
      </w:r>
      <w:r w:rsidRPr="0089025E">
        <w:t>. Data may be subject to revision.</w:t>
      </w:r>
    </w:p>
    <w:p w14:paraId="5467E905" w14:textId="77777777" w:rsidR="00B52457" w:rsidRPr="007F2B27" w:rsidRDefault="00B52457" w:rsidP="00CC3648">
      <w:pPr>
        <w:pStyle w:val="CDICopyrightHeading"/>
      </w:pPr>
      <w:r w:rsidRPr="007F2B27">
        <w:t>Enquiries</w:t>
      </w:r>
    </w:p>
    <w:p w14:paraId="316340C1" w14:textId="77777777" w:rsidR="00B52457" w:rsidRPr="00863F8D" w:rsidRDefault="00B52457" w:rsidP="007F2B27">
      <w:pPr>
        <w:pStyle w:val="CDICopyright"/>
      </w:pPr>
      <w:r w:rsidRPr="00863F8D">
        <w:t xml:space="preserve">Enquiries </w:t>
      </w:r>
      <w:r w:rsidRPr="00B52457">
        <w:t>regarding</w:t>
      </w:r>
      <w:r w:rsidRPr="00863F8D">
        <w:t xml:space="preserve"> any other use of this publication should be addressed to the </w:t>
      </w:r>
      <w:hyperlink r:id="rId12" w:history="1">
        <w:r w:rsidR="007B537E" w:rsidRPr="00E9313B">
          <w:rPr>
            <w:rStyle w:val="Hyperlink"/>
          </w:rPr>
          <w:t>CDI Editor</w:t>
        </w:r>
      </w:hyperlink>
      <w:r w:rsidR="00E9313B">
        <w:t>.</w:t>
      </w:r>
    </w:p>
    <w:p w14:paraId="47B80115" w14:textId="77777777" w:rsidR="00B52457" w:rsidRPr="00A65DFA" w:rsidRDefault="00B52457" w:rsidP="00B52457">
      <w:pPr>
        <w:pStyle w:val="CDIAbout"/>
      </w:pPr>
      <w:bookmarkStart w:id="1" w:name="_Toc190257376"/>
      <w:r>
        <w:t xml:space="preserve">About </w:t>
      </w:r>
      <w:bookmarkEnd w:id="1"/>
      <w:r w:rsidR="0022524E">
        <w:t>CDI</w:t>
      </w:r>
    </w:p>
    <w:p w14:paraId="790E5BB7" w14:textId="77777777" w:rsidR="00B52457" w:rsidRDefault="009572C6" w:rsidP="0022524E">
      <w:pPr>
        <w:pStyle w:val="CDIAbouttextLess"/>
      </w:pPr>
      <w:r w:rsidRPr="009572C6">
        <w:rPr>
          <w:i/>
          <w:iCs/>
        </w:rPr>
        <w:t xml:space="preserve">Communicable Diseases Intelligence </w:t>
      </w:r>
      <w:r w:rsidRPr="009572C6">
        <w:t>(CDI) is a peer-reviewed scientific journal published by the interim Australian Centre for Disease Control within the Department of Health, Disability and Ageing.</w:t>
      </w:r>
    </w:p>
    <w:p w14:paraId="36E17A8F" w14:textId="77777777" w:rsidR="009572C6" w:rsidRDefault="009572C6" w:rsidP="009572C6">
      <w:pPr>
        <w:pStyle w:val="CDIAbouttextLess"/>
      </w:pPr>
      <w:r w:rsidRPr="009572C6">
        <w:t>The journal aims to disseminate information on the epidemiology, surveillance, prevention and control of communicable diseases of relevance to Australia and the near region.</w:t>
      </w:r>
    </w:p>
    <w:p w14:paraId="03279C31" w14:textId="77777777" w:rsidR="00B52457" w:rsidRPr="00D8087F" w:rsidRDefault="00B52457" w:rsidP="00D8087F">
      <w:pPr>
        <w:pStyle w:val="CDIAbouttext"/>
      </w:pPr>
      <w:r w:rsidRPr="00D8087F">
        <w:rPr>
          <w:b/>
          <w:bCs/>
        </w:rPr>
        <w:t>Editor</w:t>
      </w:r>
      <w:r w:rsidRPr="00D8087F">
        <w:t xml:space="preserve">: Christina Bareja </w:t>
      </w:r>
      <w:r w:rsidRPr="00B87589">
        <w:t>•</w:t>
      </w:r>
      <w:r w:rsidRPr="00D8087F">
        <w:t xml:space="preserve"> </w:t>
      </w:r>
      <w:r w:rsidRPr="00D8087F">
        <w:rPr>
          <w:b/>
          <w:bCs/>
        </w:rPr>
        <w:t>Deputy Editor</w:t>
      </w:r>
      <w:r w:rsidRPr="00D8087F">
        <w:t xml:space="preserve">: Simon Petrie </w:t>
      </w:r>
      <w:r w:rsidRPr="00B87589">
        <w:t>•</w:t>
      </w:r>
      <w:r w:rsidRPr="00D8087F">
        <w:t xml:space="preserve"> </w:t>
      </w:r>
      <w:r w:rsidRPr="00D8087F">
        <w:rPr>
          <w:b/>
          <w:bCs/>
        </w:rPr>
        <w:t>Design and Production</w:t>
      </w:r>
      <w:r w:rsidRPr="00D8087F">
        <w:t>: Lisa Thompson</w:t>
      </w:r>
    </w:p>
    <w:p w14:paraId="219FA7EB" w14:textId="77777777" w:rsidR="00B52457" w:rsidRPr="00D8087F" w:rsidRDefault="00B52457" w:rsidP="00D8087F">
      <w:pPr>
        <w:pStyle w:val="CDIAbouttext"/>
      </w:pPr>
      <w:hyperlink r:id="rId13" w:history="1">
        <w:r w:rsidRPr="00C97898">
          <w:rPr>
            <w:rStyle w:val="Hyperlink"/>
            <w:b/>
            <w:bCs/>
          </w:rPr>
          <w:t>Editorial Advisory Board</w:t>
        </w:r>
      </w:hyperlink>
      <w:r w:rsidRPr="00D8087F">
        <w:t>: David Durrheim, Mark Ferson, Clare Huppatz, John Kaldor, Martyn Kirk and Meru Sheel</w:t>
      </w:r>
    </w:p>
    <w:p w14:paraId="04F9AAFC" w14:textId="77777777" w:rsidR="00B52457" w:rsidRPr="00B87589" w:rsidRDefault="00B52457" w:rsidP="00B87589">
      <w:pPr>
        <w:pStyle w:val="CDIAbouttext"/>
        <w:rPr>
          <w:b/>
          <w:bCs/>
        </w:rPr>
      </w:pPr>
      <w:r w:rsidRPr="00B87589">
        <w:rPr>
          <w:b/>
          <w:bCs/>
        </w:rPr>
        <w:t xml:space="preserve">Submit an </w:t>
      </w:r>
      <w:proofErr w:type="gramStart"/>
      <w:r w:rsidRPr="00B87589">
        <w:rPr>
          <w:b/>
          <w:bCs/>
        </w:rPr>
        <w:t>Article</w:t>
      </w:r>
      <w:proofErr w:type="gramEnd"/>
    </w:p>
    <w:p w14:paraId="79212A09" w14:textId="77777777" w:rsidR="00B52457" w:rsidRPr="0089025E" w:rsidRDefault="009572C6" w:rsidP="00CC3648">
      <w:pPr>
        <w:pStyle w:val="CDIAbouttextLess"/>
      </w:pPr>
      <w:hyperlink r:id="rId14" w:history="1">
        <w:r w:rsidRPr="009572C6">
          <w:rPr>
            <w:rStyle w:val="Hyperlink"/>
          </w:rPr>
          <w:t>Guidelines for authors</w:t>
        </w:r>
      </w:hyperlink>
      <w:r w:rsidRPr="009572C6">
        <w:t xml:space="preserve"> and details on how to submit your publication is available on our website, or by email to the</w:t>
      </w:r>
      <w:r>
        <w:br/>
      </w:r>
      <w:hyperlink r:id="rId15" w:history="1">
        <w:r w:rsidR="00FD7AA0" w:rsidRPr="00E9313B">
          <w:rPr>
            <w:rStyle w:val="Hyperlink"/>
          </w:rPr>
          <w:t>CDI Editor</w:t>
        </w:r>
      </w:hyperlink>
      <w:r w:rsidR="00FD7AA0">
        <w:t>.</w:t>
      </w:r>
    </w:p>
    <w:p w14:paraId="085686B8" w14:textId="77777777" w:rsidR="00B52457" w:rsidRPr="00B87589" w:rsidRDefault="00B52457" w:rsidP="00B87589">
      <w:pPr>
        <w:pStyle w:val="CDIAbouttext"/>
        <w:rPr>
          <w:b/>
          <w:bCs/>
        </w:rPr>
      </w:pPr>
      <w:r w:rsidRPr="00B87589">
        <w:rPr>
          <w:b/>
          <w:bCs/>
        </w:rPr>
        <w:t>Contact us</w:t>
      </w:r>
    </w:p>
    <w:p w14:paraId="7A7B0699" w14:textId="77777777" w:rsidR="00B52457" w:rsidRPr="00087CC4" w:rsidRDefault="00B52457" w:rsidP="00360B3A">
      <w:pPr>
        <w:pStyle w:val="CDIAbouttextLess"/>
      </w:pPr>
      <w:r w:rsidRPr="009572C6">
        <w:t>Communicable Diseases Intelligence</w:t>
      </w:r>
      <w:r w:rsidRPr="00087CC4">
        <w:t xml:space="preserve"> (CDI)</w:t>
      </w:r>
    </w:p>
    <w:p w14:paraId="5CB91FE7" w14:textId="77777777" w:rsidR="00B52457" w:rsidRPr="00087CC4" w:rsidRDefault="009572C6" w:rsidP="00360B3A">
      <w:pPr>
        <w:pStyle w:val="CDIAbouttextLess"/>
      </w:pPr>
      <w:r>
        <w:t>interim Australian Centre for Disease Control, Department of Health, Disability and Ageing</w:t>
      </w:r>
    </w:p>
    <w:p w14:paraId="4509D8BA" w14:textId="77777777" w:rsidR="00B52457" w:rsidRPr="0089025E" w:rsidRDefault="00B52457" w:rsidP="00360B3A">
      <w:pPr>
        <w:pStyle w:val="CDIAbouttextLess"/>
      </w:pPr>
      <w:r w:rsidRPr="00087CC4">
        <w:t>GPO Box 9848, CANBERRA</w:t>
      </w:r>
      <w:r w:rsidRPr="0089025E">
        <w:t xml:space="preserve"> ACT 2601</w:t>
      </w:r>
    </w:p>
    <w:p w14:paraId="25CC426C" w14:textId="77777777" w:rsidR="00B52457" w:rsidRDefault="00B52457" w:rsidP="00360B3A">
      <w:pPr>
        <w:pStyle w:val="CDIAbouttextLess"/>
      </w:pPr>
      <w:r w:rsidRPr="0089025E">
        <w:t xml:space="preserve">Website: </w:t>
      </w:r>
      <w:hyperlink r:id="rId16" w:history="1">
        <w:r w:rsidR="00C735E0">
          <w:rPr>
            <w:rStyle w:val="Hyperlink"/>
          </w:rPr>
          <w:t>cdc.gov.au/cdi</w:t>
        </w:r>
      </w:hyperlink>
    </w:p>
    <w:p w14:paraId="281CDD76" w14:textId="77777777" w:rsidR="00B52457" w:rsidRPr="0089025E" w:rsidRDefault="00B52457" w:rsidP="00360B3A">
      <w:pPr>
        <w:pStyle w:val="CDIAbouttextLess"/>
      </w:pPr>
      <w:r w:rsidRPr="0089025E">
        <w:t xml:space="preserve">Email: </w:t>
      </w:r>
      <w:hyperlink r:id="rId17" w:history="1">
        <w:r w:rsidRPr="000C6EB5">
          <w:rPr>
            <w:rStyle w:val="Hyperlink"/>
          </w:rPr>
          <w:t>cdi.editor@health.gov.au</w:t>
        </w:r>
      </w:hyperlink>
    </w:p>
    <w:p w14:paraId="7668C27E" w14:textId="77777777" w:rsidR="00536DD8" w:rsidRDefault="00536DD8" w:rsidP="00A24E95">
      <w:pPr>
        <w:pStyle w:val="Heading1"/>
      </w:pPr>
      <w:bookmarkStart w:id="2" w:name="_Toc195609225"/>
      <w:bookmarkStart w:id="3" w:name="_Toc196293548"/>
      <w:bookmarkStart w:id="4" w:name="_Toc196818669"/>
      <w:bookmarkStart w:id="5" w:name="_Toc200548890"/>
      <w:bookmarkStart w:id="6" w:name="_Toc213076632"/>
      <w:bookmarkStart w:id="7" w:name="_Toc213227991"/>
      <w:bookmarkStart w:id="8" w:name="_Toc195530496"/>
      <w:r>
        <w:lastRenderedPageBreak/>
        <w:t>Contents</w:t>
      </w:r>
      <w:bookmarkEnd w:id="2"/>
      <w:bookmarkEnd w:id="3"/>
      <w:bookmarkEnd w:id="4"/>
      <w:bookmarkEnd w:id="5"/>
      <w:bookmarkEnd w:id="6"/>
      <w:bookmarkEnd w:id="7"/>
    </w:p>
    <w:p w14:paraId="6F83730C" w14:textId="562C3E08" w:rsidR="00543F95" w:rsidRDefault="005A4E9D" w:rsidP="00543F95">
      <w:pPr>
        <w:pStyle w:val="TOC1"/>
        <w:rPr>
          <w:rFonts w:eastAsiaTheme="minorEastAsia" w:cstheme="minorBidi"/>
          <w:bCs w:val="0"/>
          <w:noProof/>
          <w:kern w:val="2"/>
          <w:sz w:val="24"/>
          <w:lang w:eastAsia="en-AU"/>
        </w:rPr>
      </w:pPr>
      <w:r>
        <w:fldChar w:fldCharType="begin"/>
      </w:r>
      <w:r>
        <w:instrText xml:space="preserve"> TOC \o "1-1" \h \z \t "Heading 2,2,Heading 2 - no space before,2,Heading 2 - less space before,2,Heading 2 - new page,2" </w:instrText>
      </w:r>
      <w:r>
        <w:fldChar w:fldCharType="separate"/>
      </w:r>
      <w:hyperlink w:anchor="_Toc213227992" w:history="1">
        <w:r w:rsidR="00543F95" w:rsidRPr="002124BA">
          <w:rPr>
            <w:rStyle w:val="Hyperlink"/>
            <w:noProof/>
          </w:rPr>
          <w:t>List of tables</w:t>
        </w:r>
        <w:r w:rsidR="00543F95">
          <w:rPr>
            <w:noProof/>
            <w:webHidden/>
          </w:rPr>
          <w:tab/>
        </w:r>
        <w:r w:rsidR="00543F95">
          <w:rPr>
            <w:noProof/>
            <w:webHidden/>
          </w:rPr>
          <w:fldChar w:fldCharType="begin"/>
        </w:r>
        <w:r w:rsidR="00543F95">
          <w:rPr>
            <w:noProof/>
            <w:webHidden/>
          </w:rPr>
          <w:instrText xml:space="preserve"> PAGEREF _Toc213227992 \h </w:instrText>
        </w:r>
        <w:r w:rsidR="00543F95">
          <w:rPr>
            <w:noProof/>
            <w:webHidden/>
          </w:rPr>
        </w:r>
        <w:r w:rsidR="00543F95">
          <w:rPr>
            <w:noProof/>
            <w:webHidden/>
          </w:rPr>
          <w:fldChar w:fldCharType="separate"/>
        </w:r>
        <w:r w:rsidR="00543F95">
          <w:rPr>
            <w:noProof/>
            <w:webHidden/>
          </w:rPr>
          <w:t>4</w:t>
        </w:r>
        <w:r w:rsidR="00543F95">
          <w:rPr>
            <w:noProof/>
            <w:webHidden/>
          </w:rPr>
          <w:fldChar w:fldCharType="end"/>
        </w:r>
      </w:hyperlink>
    </w:p>
    <w:p w14:paraId="20E17A2A" w14:textId="758480CB" w:rsidR="00543F95" w:rsidRDefault="00543F95">
      <w:pPr>
        <w:pStyle w:val="TOC1"/>
        <w:rPr>
          <w:rFonts w:eastAsiaTheme="minorEastAsia" w:cstheme="minorBidi"/>
          <w:b w:val="0"/>
          <w:bCs w:val="0"/>
          <w:iCs w:val="0"/>
          <w:noProof/>
          <w:kern w:val="2"/>
          <w:sz w:val="24"/>
          <w:lang w:eastAsia="en-AU"/>
        </w:rPr>
      </w:pPr>
      <w:hyperlink w:anchor="_Toc213227993" w:history="1">
        <w:r w:rsidRPr="002124BA">
          <w:rPr>
            <w:rStyle w:val="Hyperlink"/>
            <w:noProof/>
          </w:rPr>
          <w:t>Abstract</w:t>
        </w:r>
        <w:r>
          <w:rPr>
            <w:noProof/>
            <w:webHidden/>
          </w:rPr>
          <w:tab/>
        </w:r>
        <w:r>
          <w:rPr>
            <w:noProof/>
            <w:webHidden/>
          </w:rPr>
          <w:fldChar w:fldCharType="begin"/>
        </w:r>
        <w:r>
          <w:rPr>
            <w:noProof/>
            <w:webHidden/>
          </w:rPr>
          <w:instrText xml:space="preserve"> PAGEREF _Toc213227993 \h </w:instrText>
        </w:r>
        <w:r>
          <w:rPr>
            <w:noProof/>
            <w:webHidden/>
          </w:rPr>
        </w:r>
        <w:r>
          <w:rPr>
            <w:noProof/>
            <w:webHidden/>
          </w:rPr>
          <w:fldChar w:fldCharType="separate"/>
        </w:r>
        <w:r>
          <w:rPr>
            <w:noProof/>
            <w:webHidden/>
          </w:rPr>
          <w:t>5</w:t>
        </w:r>
        <w:r>
          <w:rPr>
            <w:noProof/>
            <w:webHidden/>
          </w:rPr>
          <w:fldChar w:fldCharType="end"/>
        </w:r>
      </w:hyperlink>
    </w:p>
    <w:p w14:paraId="051858D4" w14:textId="7F4E29E4" w:rsidR="00543F95" w:rsidRDefault="00543F95">
      <w:pPr>
        <w:pStyle w:val="TOC1"/>
        <w:rPr>
          <w:rFonts w:eastAsiaTheme="minorEastAsia" w:cstheme="minorBidi"/>
          <w:b w:val="0"/>
          <w:bCs w:val="0"/>
          <w:iCs w:val="0"/>
          <w:noProof/>
          <w:kern w:val="2"/>
          <w:sz w:val="24"/>
          <w:lang w:eastAsia="en-AU"/>
        </w:rPr>
      </w:pPr>
      <w:hyperlink w:anchor="_Toc213227994" w:history="1">
        <w:r w:rsidRPr="002124BA">
          <w:rPr>
            <w:rStyle w:val="Hyperlink"/>
            <w:noProof/>
          </w:rPr>
          <w:t>Introduction</w:t>
        </w:r>
        <w:r>
          <w:rPr>
            <w:noProof/>
            <w:webHidden/>
          </w:rPr>
          <w:tab/>
        </w:r>
        <w:r>
          <w:rPr>
            <w:noProof/>
            <w:webHidden/>
          </w:rPr>
          <w:fldChar w:fldCharType="begin"/>
        </w:r>
        <w:r>
          <w:rPr>
            <w:noProof/>
            <w:webHidden/>
          </w:rPr>
          <w:instrText xml:space="preserve"> PAGEREF _Toc213227994 \h </w:instrText>
        </w:r>
        <w:r>
          <w:rPr>
            <w:noProof/>
            <w:webHidden/>
          </w:rPr>
        </w:r>
        <w:r>
          <w:rPr>
            <w:noProof/>
            <w:webHidden/>
          </w:rPr>
          <w:fldChar w:fldCharType="separate"/>
        </w:r>
        <w:r>
          <w:rPr>
            <w:noProof/>
            <w:webHidden/>
          </w:rPr>
          <w:t>6</w:t>
        </w:r>
        <w:r>
          <w:rPr>
            <w:noProof/>
            <w:webHidden/>
          </w:rPr>
          <w:fldChar w:fldCharType="end"/>
        </w:r>
      </w:hyperlink>
    </w:p>
    <w:p w14:paraId="12148001" w14:textId="3B1ED5B0" w:rsidR="00543F95" w:rsidRDefault="00543F95">
      <w:pPr>
        <w:pStyle w:val="TOC1"/>
        <w:rPr>
          <w:rFonts w:eastAsiaTheme="minorEastAsia" w:cstheme="minorBidi"/>
          <w:b w:val="0"/>
          <w:bCs w:val="0"/>
          <w:iCs w:val="0"/>
          <w:noProof/>
          <w:kern w:val="2"/>
          <w:sz w:val="24"/>
          <w:lang w:eastAsia="en-AU"/>
        </w:rPr>
      </w:pPr>
      <w:hyperlink w:anchor="_Toc213227995" w:history="1">
        <w:r w:rsidRPr="002124BA">
          <w:rPr>
            <w:rStyle w:val="Hyperlink"/>
            <w:noProof/>
            <w:lang w:val="en-GB"/>
          </w:rPr>
          <w:t>Methods</w:t>
        </w:r>
        <w:r>
          <w:rPr>
            <w:noProof/>
            <w:webHidden/>
          </w:rPr>
          <w:tab/>
        </w:r>
        <w:r>
          <w:rPr>
            <w:noProof/>
            <w:webHidden/>
          </w:rPr>
          <w:fldChar w:fldCharType="begin"/>
        </w:r>
        <w:r>
          <w:rPr>
            <w:noProof/>
            <w:webHidden/>
          </w:rPr>
          <w:instrText xml:space="preserve"> PAGEREF _Toc213227995 \h </w:instrText>
        </w:r>
        <w:r>
          <w:rPr>
            <w:noProof/>
            <w:webHidden/>
          </w:rPr>
        </w:r>
        <w:r>
          <w:rPr>
            <w:noProof/>
            <w:webHidden/>
          </w:rPr>
          <w:fldChar w:fldCharType="separate"/>
        </w:r>
        <w:r>
          <w:rPr>
            <w:noProof/>
            <w:webHidden/>
          </w:rPr>
          <w:t>7</w:t>
        </w:r>
        <w:r>
          <w:rPr>
            <w:noProof/>
            <w:webHidden/>
          </w:rPr>
          <w:fldChar w:fldCharType="end"/>
        </w:r>
      </w:hyperlink>
    </w:p>
    <w:p w14:paraId="377F68AD" w14:textId="648493E5" w:rsidR="00543F95" w:rsidRDefault="00543F95">
      <w:pPr>
        <w:pStyle w:val="TOC2"/>
        <w:tabs>
          <w:tab w:val="right" w:leader="dot" w:pos="9629"/>
        </w:tabs>
        <w:rPr>
          <w:rFonts w:eastAsiaTheme="minorEastAsia" w:cstheme="minorBidi"/>
          <w:bCs w:val="0"/>
          <w:noProof/>
          <w:kern w:val="2"/>
          <w:sz w:val="24"/>
          <w:szCs w:val="24"/>
          <w:lang w:eastAsia="en-AU"/>
        </w:rPr>
      </w:pPr>
      <w:hyperlink w:anchor="_Toc213227996" w:history="1">
        <w:r w:rsidRPr="002124BA">
          <w:rPr>
            <w:rStyle w:val="Hyperlink"/>
            <w:noProof/>
            <w:lang w:val="en-GB"/>
          </w:rPr>
          <w:t>Participants</w:t>
        </w:r>
        <w:r>
          <w:rPr>
            <w:noProof/>
            <w:webHidden/>
          </w:rPr>
          <w:tab/>
        </w:r>
        <w:r>
          <w:rPr>
            <w:noProof/>
            <w:webHidden/>
          </w:rPr>
          <w:fldChar w:fldCharType="begin"/>
        </w:r>
        <w:r>
          <w:rPr>
            <w:noProof/>
            <w:webHidden/>
          </w:rPr>
          <w:instrText xml:space="preserve"> PAGEREF _Toc213227996 \h </w:instrText>
        </w:r>
        <w:r>
          <w:rPr>
            <w:noProof/>
            <w:webHidden/>
          </w:rPr>
        </w:r>
        <w:r>
          <w:rPr>
            <w:noProof/>
            <w:webHidden/>
          </w:rPr>
          <w:fldChar w:fldCharType="separate"/>
        </w:r>
        <w:r>
          <w:rPr>
            <w:noProof/>
            <w:webHidden/>
          </w:rPr>
          <w:t>7</w:t>
        </w:r>
        <w:r>
          <w:rPr>
            <w:noProof/>
            <w:webHidden/>
          </w:rPr>
          <w:fldChar w:fldCharType="end"/>
        </w:r>
      </w:hyperlink>
    </w:p>
    <w:p w14:paraId="2DDF852C" w14:textId="76BDBCBA" w:rsidR="00543F95" w:rsidRDefault="00543F95">
      <w:pPr>
        <w:pStyle w:val="TOC2"/>
        <w:tabs>
          <w:tab w:val="right" w:leader="dot" w:pos="9629"/>
        </w:tabs>
        <w:rPr>
          <w:rFonts w:eastAsiaTheme="minorEastAsia" w:cstheme="minorBidi"/>
          <w:bCs w:val="0"/>
          <w:noProof/>
          <w:kern w:val="2"/>
          <w:sz w:val="24"/>
          <w:szCs w:val="24"/>
          <w:lang w:eastAsia="en-AU"/>
        </w:rPr>
      </w:pPr>
      <w:hyperlink w:anchor="_Toc213227997" w:history="1">
        <w:r w:rsidRPr="002124BA">
          <w:rPr>
            <w:rStyle w:val="Hyperlink"/>
            <w:noProof/>
            <w:lang w:val="en-GB"/>
          </w:rPr>
          <w:t>Data collection</w:t>
        </w:r>
        <w:r>
          <w:rPr>
            <w:noProof/>
            <w:webHidden/>
          </w:rPr>
          <w:tab/>
        </w:r>
        <w:r>
          <w:rPr>
            <w:noProof/>
            <w:webHidden/>
          </w:rPr>
          <w:fldChar w:fldCharType="begin"/>
        </w:r>
        <w:r>
          <w:rPr>
            <w:noProof/>
            <w:webHidden/>
          </w:rPr>
          <w:instrText xml:space="preserve"> PAGEREF _Toc213227997 \h </w:instrText>
        </w:r>
        <w:r>
          <w:rPr>
            <w:noProof/>
            <w:webHidden/>
          </w:rPr>
        </w:r>
        <w:r>
          <w:rPr>
            <w:noProof/>
            <w:webHidden/>
          </w:rPr>
          <w:fldChar w:fldCharType="separate"/>
        </w:r>
        <w:r>
          <w:rPr>
            <w:noProof/>
            <w:webHidden/>
          </w:rPr>
          <w:t>7</w:t>
        </w:r>
        <w:r>
          <w:rPr>
            <w:noProof/>
            <w:webHidden/>
          </w:rPr>
          <w:fldChar w:fldCharType="end"/>
        </w:r>
      </w:hyperlink>
    </w:p>
    <w:p w14:paraId="7304B808" w14:textId="1DD391D1" w:rsidR="00543F95" w:rsidRDefault="00543F95">
      <w:pPr>
        <w:pStyle w:val="TOC2"/>
        <w:tabs>
          <w:tab w:val="right" w:leader="dot" w:pos="9629"/>
        </w:tabs>
        <w:rPr>
          <w:rFonts w:eastAsiaTheme="minorEastAsia" w:cstheme="minorBidi"/>
          <w:bCs w:val="0"/>
          <w:noProof/>
          <w:kern w:val="2"/>
          <w:sz w:val="24"/>
          <w:szCs w:val="24"/>
          <w:lang w:eastAsia="en-AU"/>
        </w:rPr>
      </w:pPr>
      <w:hyperlink w:anchor="_Toc213227998" w:history="1">
        <w:r w:rsidRPr="002124BA">
          <w:rPr>
            <w:rStyle w:val="Hyperlink"/>
            <w:noProof/>
            <w:lang w:val="en-GB"/>
          </w:rPr>
          <w:t>Laboratory methods</w:t>
        </w:r>
        <w:r>
          <w:rPr>
            <w:noProof/>
            <w:webHidden/>
          </w:rPr>
          <w:tab/>
        </w:r>
        <w:r>
          <w:rPr>
            <w:noProof/>
            <w:webHidden/>
          </w:rPr>
          <w:fldChar w:fldCharType="begin"/>
        </w:r>
        <w:r>
          <w:rPr>
            <w:noProof/>
            <w:webHidden/>
          </w:rPr>
          <w:instrText xml:space="preserve"> PAGEREF _Toc213227998 \h </w:instrText>
        </w:r>
        <w:r>
          <w:rPr>
            <w:noProof/>
            <w:webHidden/>
          </w:rPr>
        </w:r>
        <w:r>
          <w:rPr>
            <w:noProof/>
            <w:webHidden/>
          </w:rPr>
          <w:fldChar w:fldCharType="separate"/>
        </w:r>
        <w:r>
          <w:rPr>
            <w:noProof/>
            <w:webHidden/>
          </w:rPr>
          <w:t>7</w:t>
        </w:r>
        <w:r>
          <w:rPr>
            <w:noProof/>
            <w:webHidden/>
          </w:rPr>
          <w:fldChar w:fldCharType="end"/>
        </w:r>
      </w:hyperlink>
    </w:p>
    <w:p w14:paraId="1714FCF3" w14:textId="4FD98164" w:rsidR="00543F95" w:rsidRDefault="00543F95">
      <w:pPr>
        <w:pStyle w:val="TOC2"/>
        <w:tabs>
          <w:tab w:val="right" w:leader="dot" w:pos="9629"/>
        </w:tabs>
        <w:rPr>
          <w:rFonts w:eastAsiaTheme="minorEastAsia" w:cstheme="minorBidi"/>
          <w:bCs w:val="0"/>
          <w:noProof/>
          <w:kern w:val="2"/>
          <w:sz w:val="24"/>
          <w:szCs w:val="24"/>
          <w:lang w:eastAsia="en-AU"/>
        </w:rPr>
      </w:pPr>
      <w:hyperlink w:anchor="_Toc213227999" w:history="1">
        <w:r w:rsidRPr="002124BA">
          <w:rPr>
            <w:rStyle w:val="Hyperlink"/>
            <w:noProof/>
            <w:lang w:val="en-GB"/>
          </w:rPr>
          <w:t>Data analysis</w:t>
        </w:r>
        <w:r>
          <w:rPr>
            <w:noProof/>
            <w:webHidden/>
          </w:rPr>
          <w:tab/>
        </w:r>
        <w:r>
          <w:rPr>
            <w:noProof/>
            <w:webHidden/>
          </w:rPr>
          <w:fldChar w:fldCharType="begin"/>
        </w:r>
        <w:r>
          <w:rPr>
            <w:noProof/>
            <w:webHidden/>
          </w:rPr>
          <w:instrText xml:space="preserve"> PAGEREF _Toc213227999 \h </w:instrText>
        </w:r>
        <w:r>
          <w:rPr>
            <w:noProof/>
            <w:webHidden/>
          </w:rPr>
        </w:r>
        <w:r>
          <w:rPr>
            <w:noProof/>
            <w:webHidden/>
          </w:rPr>
          <w:fldChar w:fldCharType="separate"/>
        </w:r>
        <w:r>
          <w:rPr>
            <w:noProof/>
            <w:webHidden/>
          </w:rPr>
          <w:t>8</w:t>
        </w:r>
        <w:r>
          <w:rPr>
            <w:noProof/>
            <w:webHidden/>
          </w:rPr>
          <w:fldChar w:fldCharType="end"/>
        </w:r>
      </w:hyperlink>
    </w:p>
    <w:p w14:paraId="1B38BB70" w14:textId="1A92AED2" w:rsidR="00543F95" w:rsidRDefault="00543F95">
      <w:pPr>
        <w:pStyle w:val="TOC2"/>
        <w:tabs>
          <w:tab w:val="right" w:leader="dot" w:pos="9629"/>
        </w:tabs>
        <w:rPr>
          <w:rFonts w:eastAsiaTheme="minorEastAsia" w:cstheme="minorBidi"/>
          <w:bCs w:val="0"/>
          <w:noProof/>
          <w:kern w:val="2"/>
          <w:sz w:val="24"/>
          <w:szCs w:val="24"/>
          <w:lang w:eastAsia="en-AU"/>
        </w:rPr>
      </w:pPr>
      <w:hyperlink w:anchor="_Toc213228000" w:history="1">
        <w:r w:rsidRPr="002124BA">
          <w:rPr>
            <w:rStyle w:val="Hyperlink"/>
            <w:noProof/>
            <w:lang w:val="en-GB"/>
          </w:rPr>
          <w:t>Ethics</w:t>
        </w:r>
        <w:r>
          <w:rPr>
            <w:noProof/>
            <w:webHidden/>
          </w:rPr>
          <w:tab/>
        </w:r>
        <w:r>
          <w:rPr>
            <w:noProof/>
            <w:webHidden/>
          </w:rPr>
          <w:fldChar w:fldCharType="begin"/>
        </w:r>
        <w:r>
          <w:rPr>
            <w:noProof/>
            <w:webHidden/>
          </w:rPr>
          <w:instrText xml:space="preserve"> PAGEREF _Toc213228000 \h </w:instrText>
        </w:r>
        <w:r>
          <w:rPr>
            <w:noProof/>
            <w:webHidden/>
          </w:rPr>
        </w:r>
        <w:r>
          <w:rPr>
            <w:noProof/>
            <w:webHidden/>
          </w:rPr>
          <w:fldChar w:fldCharType="separate"/>
        </w:r>
        <w:r>
          <w:rPr>
            <w:noProof/>
            <w:webHidden/>
          </w:rPr>
          <w:t>8</w:t>
        </w:r>
        <w:r>
          <w:rPr>
            <w:noProof/>
            <w:webHidden/>
          </w:rPr>
          <w:fldChar w:fldCharType="end"/>
        </w:r>
      </w:hyperlink>
    </w:p>
    <w:p w14:paraId="6A7B8443" w14:textId="06855C59" w:rsidR="00543F95" w:rsidRDefault="00543F95">
      <w:pPr>
        <w:pStyle w:val="TOC1"/>
        <w:rPr>
          <w:rFonts w:eastAsiaTheme="minorEastAsia" w:cstheme="minorBidi"/>
          <w:b w:val="0"/>
          <w:bCs w:val="0"/>
          <w:iCs w:val="0"/>
          <w:noProof/>
          <w:kern w:val="2"/>
          <w:sz w:val="24"/>
          <w:lang w:eastAsia="en-AU"/>
        </w:rPr>
      </w:pPr>
      <w:hyperlink w:anchor="_Toc213228001" w:history="1">
        <w:r w:rsidRPr="002124BA">
          <w:rPr>
            <w:rStyle w:val="Hyperlink"/>
            <w:noProof/>
          </w:rPr>
          <w:t>Results</w:t>
        </w:r>
        <w:r>
          <w:rPr>
            <w:noProof/>
            <w:webHidden/>
          </w:rPr>
          <w:tab/>
        </w:r>
        <w:r>
          <w:rPr>
            <w:noProof/>
            <w:webHidden/>
          </w:rPr>
          <w:fldChar w:fldCharType="begin"/>
        </w:r>
        <w:r>
          <w:rPr>
            <w:noProof/>
            <w:webHidden/>
          </w:rPr>
          <w:instrText xml:space="preserve"> PAGEREF _Toc213228001 \h </w:instrText>
        </w:r>
        <w:r>
          <w:rPr>
            <w:noProof/>
            <w:webHidden/>
          </w:rPr>
        </w:r>
        <w:r>
          <w:rPr>
            <w:noProof/>
            <w:webHidden/>
          </w:rPr>
          <w:fldChar w:fldCharType="separate"/>
        </w:r>
        <w:r>
          <w:rPr>
            <w:noProof/>
            <w:webHidden/>
          </w:rPr>
          <w:t>9</w:t>
        </w:r>
        <w:r>
          <w:rPr>
            <w:noProof/>
            <w:webHidden/>
          </w:rPr>
          <w:fldChar w:fldCharType="end"/>
        </w:r>
      </w:hyperlink>
    </w:p>
    <w:p w14:paraId="1F8DF09C" w14:textId="07B54217" w:rsidR="00543F95" w:rsidRDefault="00543F95">
      <w:pPr>
        <w:pStyle w:val="TOC2"/>
        <w:tabs>
          <w:tab w:val="right" w:leader="dot" w:pos="9629"/>
        </w:tabs>
        <w:rPr>
          <w:rFonts w:eastAsiaTheme="minorEastAsia" w:cstheme="minorBidi"/>
          <w:bCs w:val="0"/>
          <w:noProof/>
          <w:kern w:val="2"/>
          <w:sz w:val="24"/>
          <w:szCs w:val="24"/>
          <w:lang w:eastAsia="en-AU"/>
        </w:rPr>
      </w:pPr>
      <w:hyperlink w:anchor="_Toc213228002" w:history="1">
        <w:r w:rsidRPr="002124BA">
          <w:rPr>
            <w:rStyle w:val="Hyperlink"/>
            <w:noProof/>
          </w:rPr>
          <w:t>Patient characteristics</w:t>
        </w:r>
        <w:r>
          <w:rPr>
            <w:noProof/>
            <w:webHidden/>
          </w:rPr>
          <w:tab/>
        </w:r>
        <w:r>
          <w:rPr>
            <w:noProof/>
            <w:webHidden/>
          </w:rPr>
          <w:fldChar w:fldCharType="begin"/>
        </w:r>
        <w:r>
          <w:rPr>
            <w:noProof/>
            <w:webHidden/>
          </w:rPr>
          <w:instrText xml:space="preserve"> PAGEREF _Toc213228002 \h </w:instrText>
        </w:r>
        <w:r>
          <w:rPr>
            <w:noProof/>
            <w:webHidden/>
          </w:rPr>
        </w:r>
        <w:r>
          <w:rPr>
            <w:noProof/>
            <w:webHidden/>
          </w:rPr>
          <w:fldChar w:fldCharType="separate"/>
        </w:r>
        <w:r>
          <w:rPr>
            <w:noProof/>
            <w:webHidden/>
          </w:rPr>
          <w:t>9</w:t>
        </w:r>
        <w:r>
          <w:rPr>
            <w:noProof/>
            <w:webHidden/>
          </w:rPr>
          <w:fldChar w:fldCharType="end"/>
        </w:r>
      </w:hyperlink>
    </w:p>
    <w:p w14:paraId="2354443A" w14:textId="754D809F" w:rsidR="00543F95" w:rsidRDefault="00543F95">
      <w:pPr>
        <w:pStyle w:val="TOC2"/>
        <w:tabs>
          <w:tab w:val="right" w:leader="dot" w:pos="9629"/>
        </w:tabs>
        <w:rPr>
          <w:rFonts w:eastAsiaTheme="minorEastAsia" w:cstheme="minorBidi"/>
          <w:bCs w:val="0"/>
          <w:noProof/>
          <w:kern w:val="2"/>
          <w:sz w:val="24"/>
          <w:szCs w:val="24"/>
          <w:lang w:eastAsia="en-AU"/>
        </w:rPr>
      </w:pPr>
      <w:hyperlink w:anchor="_Toc213228003" w:history="1">
        <w:r w:rsidRPr="002124BA">
          <w:rPr>
            <w:rStyle w:val="Hyperlink"/>
            <w:noProof/>
          </w:rPr>
          <w:t>Gram negatives</w:t>
        </w:r>
        <w:r>
          <w:rPr>
            <w:noProof/>
            <w:webHidden/>
          </w:rPr>
          <w:tab/>
        </w:r>
        <w:r>
          <w:rPr>
            <w:noProof/>
            <w:webHidden/>
          </w:rPr>
          <w:fldChar w:fldCharType="begin"/>
        </w:r>
        <w:r>
          <w:rPr>
            <w:noProof/>
            <w:webHidden/>
          </w:rPr>
          <w:instrText xml:space="preserve"> PAGEREF _Toc213228003 \h </w:instrText>
        </w:r>
        <w:r>
          <w:rPr>
            <w:noProof/>
            <w:webHidden/>
          </w:rPr>
        </w:r>
        <w:r>
          <w:rPr>
            <w:noProof/>
            <w:webHidden/>
          </w:rPr>
          <w:fldChar w:fldCharType="separate"/>
        </w:r>
        <w:r>
          <w:rPr>
            <w:noProof/>
            <w:webHidden/>
          </w:rPr>
          <w:t>14</w:t>
        </w:r>
        <w:r>
          <w:rPr>
            <w:noProof/>
            <w:webHidden/>
          </w:rPr>
          <w:fldChar w:fldCharType="end"/>
        </w:r>
      </w:hyperlink>
    </w:p>
    <w:p w14:paraId="72CA1758" w14:textId="3F946408" w:rsidR="00543F95" w:rsidRDefault="00543F95">
      <w:pPr>
        <w:pStyle w:val="TOC2"/>
        <w:tabs>
          <w:tab w:val="right" w:leader="dot" w:pos="9629"/>
        </w:tabs>
        <w:rPr>
          <w:rFonts w:eastAsiaTheme="minorEastAsia" w:cstheme="minorBidi"/>
          <w:bCs w:val="0"/>
          <w:noProof/>
          <w:kern w:val="2"/>
          <w:sz w:val="24"/>
          <w:szCs w:val="24"/>
          <w:lang w:eastAsia="en-AU"/>
        </w:rPr>
      </w:pPr>
      <w:hyperlink w:anchor="_Toc213228004" w:history="1">
        <w:r w:rsidRPr="002124BA">
          <w:rPr>
            <w:rStyle w:val="Hyperlink"/>
            <w:noProof/>
            <w:lang w:val="en-GB"/>
          </w:rPr>
          <w:t>Gram positives</w:t>
        </w:r>
        <w:r>
          <w:rPr>
            <w:noProof/>
            <w:webHidden/>
          </w:rPr>
          <w:tab/>
        </w:r>
        <w:r>
          <w:rPr>
            <w:noProof/>
            <w:webHidden/>
          </w:rPr>
          <w:fldChar w:fldCharType="begin"/>
        </w:r>
        <w:r>
          <w:rPr>
            <w:noProof/>
            <w:webHidden/>
          </w:rPr>
          <w:instrText xml:space="preserve"> PAGEREF _Toc213228004 \h </w:instrText>
        </w:r>
        <w:r>
          <w:rPr>
            <w:noProof/>
            <w:webHidden/>
          </w:rPr>
        </w:r>
        <w:r>
          <w:rPr>
            <w:noProof/>
            <w:webHidden/>
          </w:rPr>
          <w:fldChar w:fldCharType="separate"/>
        </w:r>
        <w:r>
          <w:rPr>
            <w:noProof/>
            <w:webHidden/>
          </w:rPr>
          <w:t>17</w:t>
        </w:r>
        <w:r>
          <w:rPr>
            <w:noProof/>
            <w:webHidden/>
          </w:rPr>
          <w:fldChar w:fldCharType="end"/>
        </w:r>
      </w:hyperlink>
    </w:p>
    <w:p w14:paraId="4DEE869A" w14:textId="1C425B77" w:rsidR="00543F95" w:rsidRDefault="00543F95">
      <w:pPr>
        <w:pStyle w:val="TOC2"/>
        <w:tabs>
          <w:tab w:val="right" w:leader="dot" w:pos="9629"/>
        </w:tabs>
        <w:rPr>
          <w:rFonts w:eastAsiaTheme="minorEastAsia" w:cstheme="minorBidi"/>
          <w:bCs w:val="0"/>
          <w:noProof/>
          <w:kern w:val="2"/>
          <w:sz w:val="24"/>
          <w:szCs w:val="24"/>
          <w:lang w:eastAsia="en-AU"/>
        </w:rPr>
      </w:pPr>
      <w:hyperlink w:anchor="_Toc213228005" w:history="1">
        <w:r w:rsidRPr="002124BA">
          <w:rPr>
            <w:rStyle w:val="Hyperlink"/>
            <w:noProof/>
          </w:rPr>
          <w:t>WHO Priority Pathogens</w:t>
        </w:r>
        <w:r>
          <w:rPr>
            <w:noProof/>
            <w:webHidden/>
          </w:rPr>
          <w:tab/>
        </w:r>
        <w:r>
          <w:rPr>
            <w:noProof/>
            <w:webHidden/>
          </w:rPr>
          <w:fldChar w:fldCharType="begin"/>
        </w:r>
        <w:r>
          <w:rPr>
            <w:noProof/>
            <w:webHidden/>
          </w:rPr>
          <w:instrText xml:space="preserve"> PAGEREF _Toc213228005 \h </w:instrText>
        </w:r>
        <w:r>
          <w:rPr>
            <w:noProof/>
            <w:webHidden/>
          </w:rPr>
        </w:r>
        <w:r>
          <w:rPr>
            <w:noProof/>
            <w:webHidden/>
          </w:rPr>
          <w:fldChar w:fldCharType="separate"/>
        </w:r>
        <w:r>
          <w:rPr>
            <w:noProof/>
            <w:webHidden/>
          </w:rPr>
          <w:t>21</w:t>
        </w:r>
        <w:r>
          <w:rPr>
            <w:noProof/>
            <w:webHidden/>
          </w:rPr>
          <w:fldChar w:fldCharType="end"/>
        </w:r>
      </w:hyperlink>
    </w:p>
    <w:p w14:paraId="52AE90B2" w14:textId="0FFFA932" w:rsidR="00543F95" w:rsidRDefault="00543F95">
      <w:pPr>
        <w:pStyle w:val="TOC1"/>
        <w:rPr>
          <w:rFonts w:eastAsiaTheme="minorEastAsia" w:cstheme="minorBidi"/>
          <w:b w:val="0"/>
          <w:bCs w:val="0"/>
          <w:iCs w:val="0"/>
          <w:noProof/>
          <w:kern w:val="2"/>
          <w:sz w:val="24"/>
          <w:lang w:eastAsia="en-AU"/>
        </w:rPr>
      </w:pPr>
      <w:hyperlink w:anchor="_Toc213228006" w:history="1">
        <w:r w:rsidRPr="002124BA">
          <w:rPr>
            <w:rStyle w:val="Hyperlink"/>
            <w:noProof/>
          </w:rPr>
          <w:t>Discussion</w:t>
        </w:r>
        <w:r>
          <w:rPr>
            <w:noProof/>
            <w:webHidden/>
          </w:rPr>
          <w:tab/>
        </w:r>
        <w:r>
          <w:rPr>
            <w:noProof/>
            <w:webHidden/>
          </w:rPr>
          <w:fldChar w:fldCharType="begin"/>
        </w:r>
        <w:r>
          <w:rPr>
            <w:noProof/>
            <w:webHidden/>
          </w:rPr>
          <w:instrText xml:space="preserve"> PAGEREF _Toc213228006 \h </w:instrText>
        </w:r>
        <w:r>
          <w:rPr>
            <w:noProof/>
            <w:webHidden/>
          </w:rPr>
        </w:r>
        <w:r>
          <w:rPr>
            <w:noProof/>
            <w:webHidden/>
          </w:rPr>
          <w:fldChar w:fldCharType="separate"/>
        </w:r>
        <w:r>
          <w:rPr>
            <w:noProof/>
            <w:webHidden/>
          </w:rPr>
          <w:t>23</w:t>
        </w:r>
        <w:r>
          <w:rPr>
            <w:noProof/>
            <w:webHidden/>
          </w:rPr>
          <w:fldChar w:fldCharType="end"/>
        </w:r>
      </w:hyperlink>
    </w:p>
    <w:p w14:paraId="0DF1D2D6" w14:textId="58FF6F34" w:rsidR="00543F95" w:rsidRDefault="00543F95">
      <w:pPr>
        <w:pStyle w:val="TOC1"/>
        <w:rPr>
          <w:rFonts w:eastAsiaTheme="minorEastAsia" w:cstheme="minorBidi"/>
          <w:b w:val="0"/>
          <w:bCs w:val="0"/>
          <w:iCs w:val="0"/>
          <w:noProof/>
          <w:kern w:val="2"/>
          <w:sz w:val="24"/>
          <w:lang w:eastAsia="en-AU"/>
        </w:rPr>
      </w:pPr>
      <w:hyperlink w:anchor="_Toc213228007" w:history="1">
        <w:r w:rsidRPr="002124BA">
          <w:rPr>
            <w:rStyle w:val="Hyperlink"/>
            <w:noProof/>
          </w:rPr>
          <w:t>Conclusions</w:t>
        </w:r>
        <w:r>
          <w:rPr>
            <w:noProof/>
            <w:webHidden/>
          </w:rPr>
          <w:tab/>
        </w:r>
        <w:r>
          <w:rPr>
            <w:noProof/>
            <w:webHidden/>
          </w:rPr>
          <w:fldChar w:fldCharType="begin"/>
        </w:r>
        <w:r>
          <w:rPr>
            <w:noProof/>
            <w:webHidden/>
          </w:rPr>
          <w:instrText xml:space="preserve"> PAGEREF _Toc213228007 \h </w:instrText>
        </w:r>
        <w:r>
          <w:rPr>
            <w:noProof/>
            <w:webHidden/>
          </w:rPr>
        </w:r>
        <w:r>
          <w:rPr>
            <w:noProof/>
            <w:webHidden/>
          </w:rPr>
          <w:fldChar w:fldCharType="separate"/>
        </w:r>
        <w:r>
          <w:rPr>
            <w:noProof/>
            <w:webHidden/>
          </w:rPr>
          <w:t>25</w:t>
        </w:r>
        <w:r>
          <w:rPr>
            <w:noProof/>
            <w:webHidden/>
          </w:rPr>
          <w:fldChar w:fldCharType="end"/>
        </w:r>
      </w:hyperlink>
    </w:p>
    <w:p w14:paraId="11320AE0" w14:textId="4A72DC3B" w:rsidR="00543F95" w:rsidRDefault="00543F95">
      <w:pPr>
        <w:pStyle w:val="TOC1"/>
        <w:rPr>
          <w:rFonts w:eastAsiaTheme="minorEastAsia" w:cstheme="minorBidi"/>
          <w:b w:val="0"/>
          <w:bCs w:val="0"/>
          <w:iCs w:val="0"/>
          <w:noProof/>
          <w:kern w:val="2"/>
          <w:sz w:val="24"/>
          <w:lang w:eastAsia="en-AU"/>
        </w:rPr>
      </w:pPr>
      <w:hyperlink w:anchor="_Toc213228008" w:history="1">
        <w:r w:rsidRPr="002124BA">
          <w:rPr>
            <w:rStyle w:val="Hyperlink"/>
            <w:noProof/>
          </w:rPr>
          <w:t>Acknowledgments</w:t>
        </w:r>
        <w:r>
          <w:rPr>
            <w:noProof/>
            <w:webHidden/>
          </w:rPr>
          <w:tab/>
        </w:r>
        <w:r>
          <w:rPr>
            <w:noProof/>
            <w:webHidden/>
          </w:rPr>
          <w:fldChar w:fldCharType="begin"/>
        </w:r>
        <w:r>
          <w:rPr>
            <w:noProof/>
            <w:webHidden/>
          </w:rPr>
          <w:instrText xml:space="preserve"> PAGEREF _Toc213228008 \h </w:instrText>
        </w:r>
        <w:r>
          <w:rPr>
            <w:noProof/>
            <w:webHidden/>
          </w:rPr>
        </w:r>
        <w:r>
          <w:rPr>
            <w:noProof/>
            <w:webHidden/>
          </w:rPr>
          <w:fldChar w:fldCharType="separate"/>
        </w:r>
        <w:r>
          <w:rPr>
            <w:noProof/>
            <w:webHidden/>
          </w:rPr>
          <w:t>26</w:t>
        </w:r>
        <w:r>
          <w:rPr>
            <w:noProof/>
            <w:webHidden/>
          </w:rPr>
          <w:fldChar w:fldCharType="end"/>
        </w:r>
      </w:hyperlink>
    </w:p>
    <w:p w14:paraId="47D7F084" w14:textId="112C5D56" w:rsidR="00543F95" w:rsidRDefault="00543F95">
      <w:pPr>
        <w:pStyle w:val="TOC1"/>
        <w:rPr>
          <w:rFonts w:eastAsiaTheme="minorEastAsia" w:cstheme="minorBidi"/>
          <w:b w:val="0"/>
          <w:bCs w:val="0"/>
          <w:iCs w:val="0"/>
          <w:noProof/>
          <w:kern w:val="2"/>
          <w:sz w:val="24"/>
          <w:lang w:eastAsia="en-AU"/>
        </w:rPr>
      </w:pPr>
      <w:hyperlink w:anchor="_Toc213228009" w:history="1">
        <w:r w:rsidRPr="002124BA">
          <w:rPr>
            <w:rStyle w:val="Hyperlink"/>
            <w:noProof/>
          </w:rPr>
          <w:t>Author details</w:t>
        </w:r>
        <w:r>
          <w:rPr>
            <w:noProof/>
            <w:webHidden/>
          </w:rPr>
          <w:tab/>
        </w:r>
        <w:r>
          <w:rPr>
            <w:noProof/>
            <w:webHidden/>
          </w:rPr>
          <w:fldChar w:fldCharType="begin"/>
        </w:r>
        <w:r>
          <w:rPr>
            <w:noProof/>
            <w:webHidden/>
          </w:rPr>
          <w:instrText xml:space="preserve"> PAGEREF _Toc213228009 \h </w:instrText>
        </w:r>
        <w:r>
          <w:rPr>
            <w:noProof/>
            <w:webHidden/>
          </w:rPr>
        </w:r>
        <w:r>
          <w:rPr>
            <w:noProof/>
            <w:webHidden/>
          </w:rPr>
          <w:fldChar w:fldCharType="separate"/>
        </w:r>
        <w:r>
          <w:rPr>
            <w:noProof/>
            <w:webHidden/>
          </w:rPr>
          <w:t>28</w:t>
        </w:r>
        <w:r>
          <w:rPr>
            <w:noProof/>
            <w:webHidden/>
          </w:rPr>
          <w:fldChar w:fldCharType="end"/>
        </w:r>
      </w:hyperlink>
    </w:p>
    <w:p w14:paraId="4232DA2F" w14:textId="5DC8D7F0" w:rsidR="00543F95" w:rsidRDefault="00543F95">
      <w:pPr>
        <w:pStyle w:val="TOC1"/>
        <w:rPr>
          <w:rFonts w:eastAsiaTheme="minorEastAsia" w:cstheme="minorBidi"/>
          <w:b w:val="0"/>
          <w:bCs w:val="0"/>
          <w:iCs w:val="0"/>
          <w:noProof/>
          <w:kern w:val="2"/>
          <w:sz w:val="24"/>
          <w:lang w:eastAsia="en-AU"/>
        </w:rPr>
      </w:pPr>
      <w:hyperlink w:anchor="_Toc213228010" w:history="1">
        <w:r w:rsidRPr="002124BA">
          <w:rPr>
            <w:rStyle w:val="Hyperlink"/>
            <w:noProof/>
          </w:rPr>
          <w:t>References</w:t>
        </w:r>
        <w:r>
          <w:rPr>
            <w:noProof/>
            <w:webHidden/>
          </w:rPr>
          <w:tab/>
        </w:r>
        <w:r>
          <w:rPr>
            <w:noProof/>
            <w:webHidden/>
          </w:rPr>
          <w:fldChar w:fldCharType="begin"/>
        </w:r>
        <w:r>
          <w:rPr>
            <w:noProof/>
            <w:webHidden/>
          </w:rPr>
          <w:instrText xml:space="preserve"> PAGEREF _Toc213228010 \h </w:instrText>
        </w:r>
        <w:r>
          <w:rPr>
            <w:noProof/>
            <w:webHidden/>
          </w:rPr>
        </w:r>
        <w:r>
          <w:rPr>
            <w:noProof/>
            <w:webHidden/>
          </w:rPr>
          <w:fldChar w:fldCharType="separate"/>
        </w:r>
        <w:r>
          <w:rPr>
            <w:noProof/>
            <w:webHidden/>
          </w:rPr>
          <w:t>30</w:t>
        </w:r>
        <w:r>
          <w:rPr>
            <w:noProof/>
            <w:webHidden/>
          </w:rPr>
          <w:fldChar w:fldCharType="end"/>
        </w:r>
      </w:hyperlink>
    </w:p>
    <w:p w14:paraId="33E91BEF" w14:textId="10DEF051" w:rsidR="00543F95" w:rsidRDefault="00543F95">
      <w:pPr>
        <w:pStyle w:val="TOC1"/>
        <w:rPr>
          <w:rFonts w:eastAsiaTheme="minorEastAsia" w:cstheme="minorBidi"/>
          <w:b w:val="0"/>
          <w:bCs w:val="0"/>
          <w:iCs w:val="0"/>
          <w:noProof/>
          <w:kern w:val="2"/>
          <w:sz w:val="24"/>
          <w:lang w:eastAsia="en-AU"/>
        </w:rPr>
      </w:pPr>
      <w:hyperlink w:anchor="_Toc213228011" w:history="1">
        <w:r w:rsidRPr="002124BA">
          <w:rPr>
            <w:rStyle w:val="Hyperlink"/>
            <w:noProof/>
          </w:rPr>
          <w:t>Appendix A</w:t>
        </w:r>
        <w:r>
          <w:rPr>
            <w:noProof/>
            <w:webHidden/>
          </w:rPr>
          <w:tab/>
        </w:r>
        <w:r>
          <w:rPr>
            <w:noProof/>
            <w:webHidden/>
          </w:rPr>
          <w:fldChar w:fldCharType="begin"/>
        </w:r>
        <w:r>
          <w:rPr>
            <w:noProof/>
            <w:webHidden/>
          </w:rPr>
          <w:instrText xml:space="preserve"> PAGEREF _Toc213228011 \h </w:instrText>
        </w:r>
        <w:r>
          <w:rPr>
            <w:noProof/>
            <w:webHidden/>
          </w:rPr>
        </w:r>
        <w:r>
          <w:rPr>
            <w:noProof/>
            <w:webHidden/>
          </w:rPr>
          <w:fldChar w:fldCharType="separate"/>
        </w:r>
        <w:r>
          <w:rPr>
            <w:noProof/>
            <w:webHidden/>
          </w:rPr>
          <w:t>33</w:t>
        </w:r>
        <w:r>
          <w:rPr>
            <w:noProof/>
            <w:webHidden/>
          </w:rPr>
          <w:fldChar w:fldCharType="end"/>
        </w:r>
      </w:hyperlink>
    </w:p>
    <w:p w14:paraId="65A202A1" w14:textId="10E17805" w:rsidR="00F216F0" w:rsidRPr="00F216F0" w:rsidRDefault="005A4E9D" w:rsidP="00F216F0">
      <w:r>
        <w:rPr>
          <w:rFonts w:eastAsiaTheme="minorHAnsi" w:cstheme="minorHAnsi"/>
          <w:szCs w:val="24"/>
          <w:lang w:eastAsia="en-US"/>
        </w:rPr>
        <w:fldChar w:fldCharType="end"/>
      </w:r>
    </w:p>
    <w:p w14:paraId="7E19385D" w14:textId="77777777" w:rsidR="00144F10" w:rsidRDefault="00FE3ED6" w:rsidP="00543F95">
      <w:pPr>
        <w:pStyle w:val="Heading2-newpage"/>
      </w:pPr>
      <w:bookmarkStart w:id="9" w:name="_Toc195609226"/>
      <w:bookmarkStart w:id="10" w:name="_Toc213227992"/>
      <w:r>
        <w:lastRenderedPageBreak/>
        <w:t xml:space="preserve">List of </w:t>
      </w:r>
      <w:r w:rsidR="00F216F0">
        <w:t>t</w:t>
      </w:r>
      <w:r w:rsidR="00144F10">
        <w:t>ables</w:t>
      </w:r>
      <w:bookmarkEnd w:id="8"/>
      <w:bookmarkEnd w:id="9"/>
      <w:bookmarkEnd w:id="10"/>
    </w:p>
    <w:p w14:paraId="47D6DE5A" w14:textId="47B8A245" w:rsidR="008B6060" w:rsidRPr="00E04F46" w:rsidRDefault="00A709F0">
      <w:pPr>
        <w:pStyle w:val="TableofFigures"/>
        <w:tabs>
          <w:tab w:val="right" w:leader="dot" w:pos="9629"/>
        </w:tabs>
        <w:rPr>
          <w:noProof/>
        </w:rPr>
      </w:pPr>
      <w:r>
        <w:fldChar w:fldCharType="begin"/>
      </w:r>
      <w:r>
        <w:instrText xml:space="preserve"> TOC \h \z \t "CDI Table - Title" \c </w:instrText>
      </w:r>
      <w:r>
        <w:fldChar w:fldCharType="separate"/>
      </w:r>
      <w:hyperlink w:anchor="_Toc213076653" w:history="1">
        <w:r w:rsidR="008B6060" w:rsidRPr="00700EDE">
          <w:rPr>
            <w:rStyle w:val="Hyperlink"/>
            <w:noProof/>
            <w:lang w:val="en-GB"/>
          </w:rPr>
          <w:t>Table 1: Characteristics of patients aged &lt; 18 years with a bacteraemic event reported to the Australian Group on Antimicrobial Resistance, per survey, January 2022 – December 2023</w:t>
        </w:r>
        <w:r w:rsidR="008B6060">
          <w:rPr>
            <w:noProof/>
            <w:webHidden/>
          </w:rPr>
          <w:tab/>
        </w:r>
        <w:r w:rsidR="008B6060">
          <w:rPr>
            <w:noProof/>
            <w:webHidden/>
          </w:rPr>
          <w:fldChar w:fldCharType="begin"/>
        </w:r>
        <w:r w:rsidR="008B6060">
          <w:rPr>
            <w:noProof/>
            <w:webHidden/>
          </w:rPr>
          <w:instrText xml:space="preserve"> PAGEREF _Toc213076653 \h </w:instrText>
        </w:r>
        <w:r w:rsidR="008B6060">
          <w:rPr>
            <w:noProof/>
            <w:webHidden/>
          </w:rPr>
        </w:r>
        <w:r w:rsidR="008B6060">
          <w:rPr>
            <w:noProof/>
            <w:webHidden/>
          </w:rPr>
          <w:fldChar w:fldCharType="separate"/>
        </w:r>
        <w:r w:rsidR="004E0FDE">
          <w:rPr>
            <w:noProof/>
            <w:webHidden/>
          </w:rPr>
          <w:t>10</w:t>
        </w:r>
        <w:r w:rsidR="008B6060">
          <w:rPr>
            <w:noProof/>
            <w:webHidden/>
          </w:rPr>
          <w:fldChar w:fldCharType="end"/>
        </w:r>
      </w:hyperlink>
    </w:p>
    <w:p w14:paraId="191D005B" w14:textId="60AC3F32" w:rsidR="008B6060" w:rsidRPr="00E04F46" w:rsidRDefault="008B6060">
      <w:pPr>
        <w:pStyle w:val="TableofFigures"/>
        <w:tabs>
          <w:tab w:val="right" w:leader="dot" w:pos="9629"/>
        </w:tabs>
        <w:rPr>
          <w:noProof/>
        </w:rPr>
      </w:pPr>
      <w:hyperlink w:anchor="_Toc213076654" w:history="1">
        <w:r w:rsidRPr="00700EDE">
          <w:rPr>
            <w:rStyle w:val="Hyperlink"/>
            <w:noProof/>
            <w:lang w:val="en-GB"/>
          </w:rPr>
          <w:t xml:space="preserve">Table 2: Characteristics of patients aged &lt; 18 years with a bacteraemic event reported to the Australian Group on Antimicrobial Resistance for which one or more isolate was multidrug resistant, </w:t>
        </w:r>
        <w:r w:rsidRPr="00700EDE">
          <w:rPr>
            <w:rStyle w:val="Hyperlink"/>
            <w:i/>
            <w:iCs/>
            <w:noProof/>
            <w:lang w:val="en-GB"/>
          </w:rPr>
          <w:t>Enterobacterales</w:t>
        </w:r>
        <w:r w:rsidRPr="00700EDE">
          <w:rPr>
            <w:rStyle w:val="Hyperlink"/>
            <w:noProof/>
            <w:lang w:val="en-GB"/>
          </w:rPr>
          <w:t xml:space="preserve"> isolates that produced extended-spectrum β-lactamases, or </w:t>
        </w:r>
        <w:r w:rsidRPr="00700EDE">
          <w:rPr>
            <w:rStyle w:val="Hyperlink"/>
            <w:i/>
            <w:iCs/>
            <w:noProof/>
            <w:lang w:val="en-GB"/>
          </w:rPr>
          <w:t>Staphylococcus aureus</w:t>
        </w:r>
        <w:r w:rsidRPr="00700EDE">
          <w:rPr>
            <w:rStyle w:val="Hyperlink"/>
            <w:noProof/>
            <w:lang w:val="en-GB"/>
          </w:rPr>
          <w:t xml:space="preserve"> isolates that were methicillin-resistant, January 2022 – </w:t>
        </w:r>
        <w:r>
          <w:rPr>
            <w:rStyle w:val="Hyperlink"/>
            <w:noProof/>
            <w:lang w:val="en-GB"/>
          </w:rPr>
          <w:br/>
        </w:r>
        <w:r w:rsidRPr="00700EDE">
          <w:rPr>
            <w:rStyle w:val="Hyperlink"/>
            <w:noProof/>
            <w:lang w:val="en-GB"/>
          </w:rPr>
          <w:t>December 2023</w:t>
        </w:r>
        <w:r>
          <w:rPr>
            <w:noProof/>
            <w:webHidden/>
          </w:rPr>
          <w:tab/>
        </w:r>
        <w:r>
          <w:rPr>
            <w:noProof/>
            <w:webHidden/>
          </w:rPr>
          <w:fldChar w:fldCharType="begin"/>
        </w:r>
        <w:r>
          <w:rPr>
            <w:noProof/>
            <w:webHidden/>
          </w:rPr>
          <w:instrText xml:space="preserve"> PAGEREF _Toc213076654 \h </w:instrText>
        </w:r>
        <w:r>
          <w:rPr>
            <w:noProof/>
            <w:webHidden/>
          </w:rPr>
        </w:r>
        <w:r>
          <w:rPr>
            <w:noProof/>
            <w:webHidden/>
          </w:rPr>
          <w:fldChar w:fldCharType="separate"/>
        </w:r>
        <w:r w:rsidR="004E0FDE">
          <w:rPr>
            <w:noProof/>
            <w:webHidden/>
          </w:rPr>
          <w:t>12</w:t>
        </w:r>
        <w:r>
          <w:rPr>
            <w:noProof/>
            <w:webHidden/>
          </w:rPr>
          <w:fldChar w:fldCharType="end"/>
        </w:r>
      </w:hyperlink>
    </w:p>
    <w:p w14:paraId="08A350D8" w14:textId="094726C8" w:rsidR="008B6060" w:rsidRPr="00E04F46" w:rsidRDefault="008B6060">
      <w:pPr>
        <w:pStyle w:val="TableofFigures"/>
        <w:tabs>
          <w:tab w:val="right" w:leader="dot" w:pos="9629"/>
        </w:tabs>
        <w:rPr>
          <w:noProof/>
        </w:rPr>
      </w:pPr>
      <w:hyperlink w:anchor="_Toc213076655" w:history="1">
        <w:r w:rsidRPr="00700EDE">
          <w:rPr>
            <w:rStyle w:val="Hyperlink"/>
            <w:noProof/>
            <w:lang w:val="en-GB"/>
          </w:rPr>
          <w:t xml:space="preserve">Table 3: Number of </w:t>
        </w:r>
        <w:r w:rsidRPr="00700EDE">
          <w:rPr>
            <w:rStyle w:val="Hyperlink"/>
            <w:i/>
            <w:iCs/>
            <w:noProof/>
            <w:lang w:val="en-GB"/>
          </w:rPr>
          <w:t>Enterobacterales</w:t>
        </w:r>
        <w:r w:rsidRPr="00700EDE">
          <w:rPr>
            <w:rStyle w:val="Hyperlink"/>
            <w:noProof/>
            <w:lang w:val="en-GB"/>
          </w:rPr>
          <w:t xml:space="preserve"> isolates tested and proportion of isolates resistant to gentamicin/tobramycin, ceftriaxone/ceftazidime, piperacillin–tazobactam, and ciprofloxacin from</w:t>
        </w:r>
        <w:r>
          <w:rPr>
            <w:rStyle w:val="Hyperlink"/>
            <w:noProof/>
            <w:lang w:val="en-GB"/>
          </w:rPr>
          <w:t> </w:t>
        </w:r>
        <w:r w:rsidRPr="00700EDE">
          <w:rPr>
            <w:rStyle w:val="Hyperlink"/>
            <w:noProof/>
            <w:lang w:val="en-GB"/>
          </w:rPr>
          <w:t>patients aged &lt; 18 years as reported to the Australian Group on Antimicrobial Resistance, January 2022 – December 2023</w:t>
        </w:r>
        <w:r>
          <w:rPr>
            <w:noProof/>
            <w:webHidden/>
          </w:rPr>
          <w:tab/>
        </w:r>
        <w:r>
          <w:rPr>
            <w:noProof/>
            <w:webHidden/>
          </w:rPr>
          <w:fldChar w:fldCharType="begin"/>
        </w:r>
        <w:r>
          <w:rPr>
            <w:noProof/>
            <w:webHidden/>
          </w:rPr>
          <w:instrText xml:space="preserve"> PAGEREF _Toc213076655 \h </w:instrText>
        </w:r>
        <w:r>
          <w:rPr>
            <w:noProof/>
            <w:webHidden/>
          </w:rPr>
        </w:r>
        <w:r>
          <w:rPr>
            <w:noProof/>
            <w:webHidden/>
          </w:rPr>
          <w:fldChar w:fldCharType="separate"/>
        </w:r>
        <w:r w:rsidR="004E0FDE">
          <w:rPr>
            <w:noProof/>
            <w:webHidden/>
          </w:rPr>
          <w:t>15</w:t>
        </w:r>
        <w:r>
          <w:rPr>
            <w:noProof/>
            <w:webHidden/>
          </w:rPr>
          <w:fldChar w:fldCharType="end"/>
        </w:r>
      </w:hyperlink>
    </w:p>
    <w:p w14:paraId="7C612144" w14:textId="60A2B7E4" w:rsidR="008B6060" w:rsidRPr="00E04F46" w:rsidRDefault="008B6060">
      <w:pPr>
        <w:pStyle w:val="TableofFigures"/>
        <w:tabs>
          <w:tab w:val="right" w:leader="dot" w:pos="9629"/>
        </w:tabs>
        <w:rPr>
          <w:noProof/>
        </w:rPr>
      </w:pPr>
      <w:hyperlink w:anchor="_Toc213076656" w:history="1">
        <w:r w:rsidRPr="00700EDE">
          <w:rPr>
            <w:rStyle w:val="Hyperlink"/>
            <w:noProof/>
            <w:lang w:val="en-GB"/>
          </w:rPr>
          <w:t xml:space="preserve">Table 4: Number of </w:t>
        </w:r>
        <w:r w:rsidRPr="00700EDE">
          <w:rPr>
            <w:rStyle w:val="Hyperlink"/>
            <w:i/>
            <w:iCs/>
            <w:noProof/>
            <w:lang w:val="en-GB"/>
          </w:rPr>
          <w:t>Staphylococcus aureus</w:t>
        </w:r>
        <w:r w:rsidRPr="00700EDE">
          <w:rPr>
            <w:rStyle w:val="Hyperlink"/>
            <w:noProof/>
            <w:lang w:val="en-GB"/>
          </w:rPr>
          <w:t xml:space="preserve"> isolates tested and proportion of isolates resistant to</w:t>
        </w:r>
        <w:r w:rsidR="007A0B73">
          <w:rPr>
            <w:rStyle w:val="Hyperlink"/>
            <w:noProof/>
            <w:lang w:val="en-GB"/>
          </w:rPr>
          <w:t> </w:t>
        </w:r>
        <w:r w:rsidRPr="00700EDE">
          <w:rPr>
            <w:rStyle w:val="Hyperlink"/>
            <w:noProof/>
            <w:lang w:val="en-GB"/>
          </w:rPr>
          <w:t>clindamycin, ciprofloxacin, and erythromycin from patients aged &lt; 18 years as reported to the</w:t>
        </w:r>
        <w:r w:rsidR="007A0B73">
          <w:rPr>
            <w:rStyle w:val="Hyperlink"/>
            <w:noProof/>
            <w:lang w:val="en-GB"/>
          </w:rPr>
          <w:t> </w:t>
        </w:r>
        <w:r w:rsidRPr="00700EDE">
          <w:rPr>
            <w:rStyle w:val="Hyperlink"/>
            <w:noProof/>
            <w:lang w:val="en-GB"/>
          </w:rPr>
          <w:t>Australian Group on Antimicrobial Resistance, January 2022 – December 2023</w:t>
        </w:r>
        <w:r>
          <w:rPr>
            <w:noProof/>
            <w:webHidden/>
          </w:rPr>
          <w:tab/>
        </w:r>
        <w:r>
          <w:rPr>
            <w:noProof/>
            <w:webHidden/>
          </w:rPr>
          <w:fldChar w:fldCharType="begin"/>
        </w:r>
        <w:r>
          <w:rPr>
            <w:noProof/>
            <w:webHidden/>
          </w:rPr>
          <w:instrText xml:space="preserve"> PAGEREF _Toc213076656 \h </w:instrText>
        </w:r>
        <w:r>
          <w:rPr>
            <w:noProof/>
            <w:webHidden/>
          </w:rPr>
        </w:r>
        <w:r>
          <w:rPr>
            <w:noProof/>
            <w:webHidden/>
          </w:rPr>
          <w:fldChar w:fldCharType="separate"/>
        </w:r>
        <w:r w:rsidR="004E0FDE">
          <w:rPr>
            <w:noProof/>
            <w:webHidden/>
          </w:rPr>
          <w:t>18</w:t>
        </w:r>
        <w:r>
          <w:rPr>
            <w:noProof/>
            <w:webHidden/>
          </w:rPr>
          <w:fldChar w:fldCharType="end"/>
        </w:r>
      </w:hyperlink>
    </w:p>
    <w:p w14:paraId="354633C0" w14:textId="214ED6D2" w:rsidR="008B6060" w:rsidRPr="00E04F46" w:rsidRDefault="008B6060">
      <w:pPr>
        <w:pStyle w:val="TableofFigures"/>
        <w:tabs>
          <w:tab w:val="right" w:leader="dot" w:pos="9629"/>
        </w:tabs>
        <w:rPr>
          <w:noProof/>
        </w:rPr>
      </w:pPr>
      <w:hyperlink w:anchor="_Toc213076657" w:history="1">
        <w:r w:rsidRPr="00700EDE">
          <w:rPr>
            <w:rStyle w:val="Hyperlink"/>
            <w:noProof/>
            <w:lang w:val="en-GB"/>
          </w:rPr>
          <w:t xml:space="preserve">Table 5: Number of </w:t>
        </w:r>
        <w:r w:rsidRPr="00700EDE">
          <w:rPr>
            <w:rStyle w:val="Hyperlink"/>
            <w:i/>
            <w:iCs/>
            <w:noProof/>
            <w:lang w:val="en-GB"/>
          </w:rPr>
          <w:t>Enterococcus</w:t>
        </w:r>
        <w:r w:rsidRPr="00700EDE">
          <w:rPr>
            <w:rStyle w:val="Hyperlink"/>
            <w:noProof/>
            <w:lang w:val="en-GB"/>
          </w:rPr>
          <w:t xml:space="preserve"> spp. isolates tested and proportion of isolates resistant to ampicillin and vancomycin from patients aged &lt; 18 years as reported to the Australian Group on</w:t>
        </w:r>
        <w:r>
          <w:rPr>
            <w:rStyle w:val="Hyperlink"/>
            <w:noProof/>
            <w:lang w:val="en-GB"/>
          </w:rPr>
          <w:t> </w:t>
        </w:r>
        <w:r w:rsidRPr="00700EDE">
          <w:rPr>
            <w:rStyle w:val="Hyperlink"/>
            <w:noProof/>
            <w:lang w:val="en-GB"/>
          </w:rPr>
          <w:t>Antimicrobial Resistance, January 2022 – December 2023</w:t>
        </w:r>
        <w:r>
          <w:rPr>
            <w:noProof/>
            <w:webHidden/>
          </w:rPr>
          <w:tab/>
        </w:r>
        <w:r>
          <w:rPr>
            <w:noProof/>
            <w:webHidden/>
          </w:rPr>
          <w:fldChar w:fldCharType="begin"/>
        </w:r>
        <w:r>
          <w:rPr>
            <w:noProof/>
            <w:webHidden/>
          </w:rPr>
          <w:instrText xml:space="preserve"> PAGEREF _Toc213076657 \h </w:instrText>
        </w:r>
        <w:r>
          <w:rPr>
            <w:noProof/>
            <w:webHidden/>
          </w:rPr>
        </w:r>
        <w:r>
          <w:rPr>
            <w:noProof/>
            <w:webHidden/>
          </w:rPr>
          <w:fldChar w:fldCharType="separate"/>
        </w:r>
        <w:r w:rsidR="004E0FDE">
          <w:rPr>
            <w:noProof/>
            <w:webHidden/>
          </w:rPr>
          <w:t>19</w:t>
        </w:r>
        <w:r>
          <w:rPr>
            <w:noProof/>
            <w:webHidden/>
          </w:rPr>
          <w:fldChar w:fldCharType="end"/>
        </w:r>
      </w:hyperlink>
    </w:p>
    <w:p w14:paraId="613C24F0" w14:textId="1025173A" w:rsidR="008B6060" w:rsidRPr="00E04F46" w:rsidRDefault="008B6060">
      <w:pPr>
        <w:pStyle w:val="TableofFigures"/>
        <w:tabs>
          <w:tab w:val="right" w:leader="dot" w:pos="9629"/>
        </w:tabs>
        <w:rPr>
          <w:noProof/>
        </w:rPr>
      </w:pPr>
      <w:hyperlink w:anchor="_Toc213076658" w:history="1">
        <w:r w:rsidRPr="00700EDE">
          <w:rPr>
            <w:rStyle w:val="Hyperlink"/>
            <w:noProof/>
            <w:lang w:val="en-GB"/>
          </w:rPr>
          <w:t>Table 6: Number and proportion of World Health Organization (WHO) priority pathogens and resistance profiles detected in patients aged &lt; 18 years within the Australian Group on Antimicrobial Resistance (AGAR) surveillance outcomes programs, January 2022 – December 2023</w:t>
        </w:r>
        <w:r>
          <w:rPr>
            <w:noProof/>
            <w:webHidden/>
          </w:rPr>
          <w:tab/>
        </w:r>
        <w:r>
          <w:rPr>
            <w:noProof/>
            <w:webHidden/>
          </w:rPr>
          <w:fldChar w:fldCharType="begin"/>
        </w:r>
        <w:r>
          <w:rPr>
            <w:noProof/>
            <w:webHidden/>
          </w:rPr>
          <w:instrText xml:space="preserve"> PAGEREF _Toc213076658 \h </w:instrText>
        </w:r>
        <w:r>
          <w:rPr>
            <w:noProof/>
            <w:webHidden/>
          </w:rPr>
        </w:r>
        <w:r>
          <w:rPr>
            <w:noProof/>
            <w:webHidden/>
          </w:rPr>
          <w:fldChar w:fldCharType="separate"/>
        </w:r>
        <w:r w:rsidR="004E0FDE">
          <w:rPr>
            <w:noProof/>
            <w:webHidden/>
          </w:rPr>
          <w:t>22</w:t>
        </w:r>
        <w:r>
          <w:rPr>
            <w:noProof/>
            <w:webHidden/>
          </w:rPr>
          <w:fldChar w:fldCharType="end"/>
        </w:r>
      </w:hyperlink>
    </w:p>
    <w:p w14:paraId="5B62035F" w14:textId="04024302" w:rsidR="008B6060" w:rsidRPr="00E04F46" w:rsidRDefault="008B6060">
      <w:pPr>
        <w:pStyle w:val="TableofFigures"/>
        <w:tabs>
          <w:tab w:val="right" w:leader="dot" w:pos="9629"/>
        </w:tabs>
        <w:rPr>
          <w:noProof/>
        </w:rPr>
      </w:pPr>
      <w:hyperlink w:anchor="_Toc213076659" w:history="1">
        <w:r w:rsidRPr="00700EDE">
          <w:rPr>
            <w:rStyle w:val="Hyperlink"/>
            <w:noProof/>
          </w:rPr>
          <w:t>Table A.1.1: Number and proportion of the ten most frequently reported isolates to the Australian</w:t>
        </w:r>
        <w:r w:rsidR="007A0B73">
          <w:rPr>
            <w:rStyle w:val="Hyperlink"/>
            <w:noProof/>
          </w:rPr>
          <w:t> </w:t>
        </w:r>
        <w:r w:rsidRPr="00700EDE">
          <w:rPr>
            <w:rStyle w:val="Hyperlink"/>
            <w:noProof/>
          </w:rPr>
          <w:t xml:space="preserve">Group on Antimicrobial Resistance in patients aged &lt; 18 years, January 2020 – </w:t>
        </w:r>
        <w:r>
          <w:rPr>
            <w:rStyle w:val="Hyperlink"/>
            <w:noProof/>
          </w:rPr>
          <w:br/>
        </w:r>
        <w:r w:rsidRPr="00700EDE">
          <w:rPr>
            <w:rStyle w:val="Hyperlink"/>
            <w:noProof/>
          </w:rPr>
          <w:t>December 2021</w:t>
        </w:r>
        <w:r>
          <w:rPr>
            <w:noProof/>
            <w:webHidden/>
          </w:rPr>
          <w:tab/>
        </w:r>
        <w:r>
          <w:rPr>
            <w:noProof/>
            <w:webHidden/>
          </w:rPr>
          <w:fldChar w:fldCharType="begin"/>
        </w:r>
        <w:r>
          <w:rPr>
            <w:noProof/>
            <w:webHidden/>
          </w:rPr>
          <w:instrText xml:space="preserve"> PAGEREF _Toc213076659 \h </w:instrText>
        </w:r>
        <w:r>
          <w:rPr>
            <w:noProof/>
            <w:webHidden/>
          </w:rPr>
        </w:r>
        <w:r>
          <w:rPr>
            <w:noProof/>
            <w:webHidden/>
          </w:rPr>
          <w:fldChar w:fldCharType="separate"/>
        </w:r>
        <w:r w:rsidR="004E0FDE">
          <w:rPr>
            <w:noProof/>
            <w:webHidden/>
          </w:rPr>
          <w:t>33</w:t>
        </w:r>
        <w:r>
          <w:rPr>
            <w:noProof/>
            <w:webHidden/>
          </w:rPr>
          <w:fldChar w:fldCharType="end"/>
        </w:r>
      </w:hyperlink>
    </w:p>
    <w:p w14:paraId="5A283AD6" w14:textId="28EBF002" w:rsidR="008B6060" w:rsidRPr="00E04F46" w:rsidRDefault="008B6060">
      <w:pPr>
        <w:pStyle w:val="TableofFigures"/>
        <w:tabs>
          <w:tab w:val="right" w:leader="dot" w:pos="9629"/>
        </w:tabs>
        <w:rPr>
          <w:noProof/>
        </w:rPr>
      </w:pPr>
      <w:hyperlink w:anchor="_Toc213076660" w:history="1">
        <w:r w:rsidRPr="00700EDE">
          <w:rPr>
            <w:rStyle w:val="Hyperlink"/>
            <w:noProof/>
          </w:rPr>
          <w:t>Table A.1.2: Number and proportion of the ten most frequently reported isolates to the Australian</w:t>
        </w:r>
        <w:r w:rsidR="007A0B73">
          <w:rPr>
            <w:rStyle w:val="Hyperlink"/>
            <w:noProof/>
          </w:rPr>
          <w:t> </w:t>
        </w:r>
        <w:r w:rsidRPr="00700EDE">
          <w:rPr>
            <w:rStyle w:val="Hyperlink"/>
            <w:noProof/>
          </w:rPr>
          <w:t xml:space="preserve">Group on Antimicrobial Resistance in patients aged &lt; 18 years, January 2022 – </w:t>
        </w:r>
        <w:r>
          <w:rPr>
            <w:rStyle w:val="Hyperlink"/>
            <w:noProof/>
          </w:rPr>
          <w:br/>
        </w:r>
        <w:r w:rsidRPr="00700EDE">
          <w:rPr>
            <w:rStyle w:val="Hyperlink"/>
            <w:noProof/>
          </w:rPr>
          <w:t>December 2023</w:t>
        </w:r>
        <w:r>
          <w:rPr>
            <w:noProof/>
            <w:webHidden/>
          </w:rPr>
          <w:tab/>
        </w:r>
        <w:r>
          <w:rPr>
            <w:noProof/>
            <w:webHidden/>
          </w:rPr>
          <w:fldChar w:fldCharType="begin"/>
        </w:r>
        <w:r>
          <w:rPr>
            <w:noProof/>
            <w:webHidden/>
          </w:rPr>
          <w:instrText xml:space="preserve"> PAGEREF _Toc213076660 \h </w:instrText>
        </w:r>
        <w:r>
          <w:rPr>
            <w:noProof/>
            <w:webHidden/>
          </w:rPr>
        </w:r>
        <w:r>
          <w:rPr>
            <w:noProof/>
            <w:webHidden/>
          </w:rPr>
          <w:fldChar w:fldCharType="separate"/>
        </w:r>
        <w:r w:rsidR="004E0FDE">
          <w:rPr>
            <w:noProof/>
            <w:webHidden/>
          </w:rPr>
          <w:t>33</w:t>
        </w:r>
        <w:r>
          <w:rPr>
            <w:noProof/>
            <w:webHidden/>
          </w:rPr>
          <w:fldChar w:fldCharType="end"/>
        </w:r>
      </w:hyperlink>
    </w:p>
    <w:p w14:paraId="020228DA" w14:textId="54661016" w:rsidR="00425757" w:rsidRDefault="00A709F0" w:rsidP="00144F10">
      <w:r>
        <w:fldChar w:fldCharType="end"/>
      </w:r>
    </w:p>
    <w:p w14:paraId="3784C08B" w14:textId="77777777" w:rsidR="00F25C00" w:rsidRDefault="0098426C" w:rsidP="00A24E95">
      <w:pPr>
        <w:pStyle w:val="Heading1"/>
      </w:pPr>
      <w:bookmarkStart w:id="11" w:name="_Toc195530498"/>
      <w:bookmarkStart w:id="12" w:name="_Toc213227993"/>
      <w:r>
        <w:lastRenderedPageBreak/>
        <w:t>Abstract</w:t>
      </w:r>
      <w:bookmarkEnd w:id="11"/>
      <w:bookmarkEnd w:id="12"/>
    </w:p>
    <w:p w14:paraId="29C78264" w14:textId="77777777" w:rsidR="00ED6855" w:rsidRPr="00ED6855" w:rsidRDefault="00ED6855" w:rsidP="00ED6855">
      <w:pPr>
        <w:rPr>
          <w:lang w:val="en-GB"/>
        </w:rPr>
      </w:pPr>
      <w:r w:rsidRPr="00ED6855">
        <w:rPr>
          <w:lang w:val="en-GB"/>
        </w:rPr>
        <w:t xml:space="preserve">Between January 2022 and December 2023, there were 1,827 bloodstream infection (BSI) isolates in 1,745 children and adolescents reported to the Australian Group on Antimicrobial Resistance (AGAR) surveillance outcome programs, with 40% of episodes in children aged &lt; 12 months. Two-thirds of BSIs were community-onset. </w:t>
      </w:r>
    </w:p>
    <w:p w14:paraId="65E207FF" w14:textId="77777777" w:rsidR="00ED6855" w:rsidRPr="00ED6855" w:rsidRDefault="00ED6855" w:rsidP="00ED6855">
      <w:pPr>
        <w:rPr>
          <w:lang w:val="en-GB"/>
        </w:rPr>
      </w:pPr>
      <w:r w:rsidRPr="00ED6855">
        <w:rPr>
          <w:lang w:val="en-GB"/>
        </w:rPr>
        <w:t xml:space="preserve">Of 1,034 gram-negative isolates, 932 (90%) were Enterobacterales. Gram-negative BSI episodes were more commonly community-onset and in children &lt; 12 months of age. Of Enterobacterales isolates, 17.9% were ciprofloxacin resistant; 14.0% were ceftriaxone and/or ceftazidime resistant; 9.5% were gentamicin and/or tobramycin resistant; and 8.9% were piperacillin-tazobactam resistant. Increasing ciprofloxacin resistance was noted, primarily due to the increase in </w:t>
      </w:r>
      <w:r w:rsidRPr="00ED6855">
        <w:rPr>
          <w:i/>
          <w:iCs/>
          <w:lang w:val="en-GB"/>
        </w:rPr>
        <w:t>Salmonella</w:t>
      </w:r>
      <w:r w:rsidRPr="00ED6855">
        <w:rPr>
          <w:lang w:val="en-GB"/>
        </w:rPr>
        <w:t xml:space="preserve"> Typhi BSI. Overall, 13% of Enterobacterales were extended spectrum β-lactamase producers, and 18.5% were multi-drug resistant (MDR). </w:t>
      </w:r>
    </w:p>
    <w:p w14:paraId="2B59C164" w14:textId="77777777" w:rsidR="00ED6855" w:rsidRPr="00ED6855" w:rsidRDefault="00ED6855" w:rsidP="00ED6855">
      <w:pPr>
        <w:rPr>
          <w:lang w:val="en-GB"/>
        </w:rPr>
      </w:pPr>
      <w:r w:rsidRPr="00ED6855">
        <w:rPr>
          <w:lang w:val="en-GB"/>
        </w:rPr>
        <w:t xml:space="preserve">Of 601 </w:t>
      </w:r>
      <w:r w:rsidRPr="00ED6855">
        <w:rPr>
          <w:i/>
          <w:iCs/>
          <w:lang w:val="en-GB"/>
        </w:rPr>
        <w:t>Staphylococcus aureus</w:t>
      </w:r>
      <w:r w:rsidRPr="00ED6855">
        <w:rPr>
          <w:lang w:val="en-GB"/>
        </w:rPr>
        <w:t xml:space="preserve"> isolates, 13.6% were methicillin-resistant (MRSA), and 5.5% were MDR. Overall, 14.4% of </w:t>
      </w:r>
      <w:r w:rsidRPr="00ED6855">
        <w:rPr>
          <w:i/>
          <w:iCs/>
          <w:lang w:val="en-GB"/>
        </w:rPr>
        <w:t>S. aureus</w:t>
      </w:r>
      <w:r w:rsidRPr="00ED6855">
        <w:rPr>
          <w:lang w:val="en-GB"/>
        </w:rPr>
        <w:t xml:space="preserve"> isolates were erythromycin resistant; 10.3% were clindamycin resistant; and 5.0% were ciprofloxacin resistant. Erythromycin, clindamycin, and ciprofloxacin resistance in MRSA were significantly higher than in methicillin-sensitive isolates. No co-trimoxazole resistant </w:t>
      </w:r>
      <w:r w:rsidRPr="00ED6855">
        <w:rPr>
          <w:i/>
          <w:iCs/>
          <w:lang w:val="en-GB"/>
        </w:rPr>
        <w:t>S. aureus</w:t>
      </w:r>
      <w:r w:rsidRPr="00ED6855">
        <w:rPr>
          <w:lang w:val="en-GB"/>
        </w:rPr>
        <w:t xml:space="preserve"> was isolated.</w:t>
      </w:r>
    </w:p>
    <w:p w14:paraId="2D5CE78E" w14:textId="5EBA2B1A" w:rsidR="00ED6855" w:rsidRPr="00ED6855" w:rsidRDefault="00ED6855" w:rsidP="00ED6855">
      <w:pPr>
        <w:rPr>
          <w:lang w:val="en-GB"/>
        </w:rPr>
      </w:pPr>
      <w:r w:rsidRPr="00ED6855">
        <w:rPr>
          <w:lang w:val="en-GB"/>
        </w:rPr>
        <w:t xml:space="preserve">There were 192 enterococcal isolates reported; 70.8% were </w:t>
      </w:r>
      <w:r w:rsidRPr="00ED6855">
        <w:rPr>
          <w:i/>
          <w:iCs/>
          <w:lang w:val="en-GB"/>
        </w:rPr>
        <w:t>E. faecalis</w:t>
      </w:r>
      <w:r w:rsidRPr="00ED6855">
        <w:rPr>
          <w:lang w:val="en-GB"/>
        </w:rPr>
        <w:t xml:space="preserve"> and 17.2% were </w:t>
      </w:r>
      <w:r w:rsidRPr="00ED6855">
        <w:rPr>
          <w:i/>
          <w:iCs/>
          <w:lang w:val="en-GB"/>
        </w:rPr>
        <w:t>E</w:t>
      </w:r>
      <w:r>
        <w:rPr>
          <w:i/>
          <w:iCs/>
          <w:lang w:val="en-GB"/>
        </w:rPr>
        <w:t> </w:t>
      </w:r>
      <w:r w:rsidRPr="00ED6855">
        <w:rPr>
          <w:i/>
          <w:iCs/>
          <w:lang w:val="en-GB"/>
        </w:rPr>
        <w:t>faecium</w:t>
      </w:r>
      <w:r w:rsidRPr="00ED6855">
        <w:rPr>
          <w:lang w:val="en-GB"/>
        </w:rPr>
        <w:t xml:space="preserve">. All ampicillin-resistant, vancomycin-resistant, and MDR enterococci were </w:t>
      </w:r>
      <w:r w:rsidRPr="00ED6855">
        <w:rPr>
          <w:i/>
          <w:iCs/>
          <w:lang w:val="en-GB"/>
        </w:rPr>
        <w:t>E. faecium</w:t>
      </w:r>
      <w:r w:rsidRPr="00ED6855">
        <w:rPr>
          <w:lang w:val="en-GB"/>
        </w:rPr>
        <w:t xml:space="preserve">. </w:t>
      </w:r>
    </w:p>
    <w:p w14:paraId="602BFE56" w14:textId="77777777" w:rsidR="00ED6855" w:rsidRPr="00ED6855" w:rsidRDefault="00ED6855" w:rsidP="00F2721A">
      <w:pPr>
        <w:pStyle w:val="Normal-morespaceafter"/>
        <w:rPr>
          <w:lang w:val="en-GB"/>
        </w:rPr>
      </w:pPr>
      <w:r w:rsidRPr="00ED6855">
        <w:rPr>
          <w:lang w:val="en-GB"/>
        </w:rPr>
        <w:t xml:space="preserve">The 2022–2023 AGAR Kids Biennial Report shows relative stability in the antimicrobial resistance landscape within the Australian paediatric population, with few significant differences detected when compared to the 2020–2021 report. Small increases in the proportion of resistant Enterobacterales and </w:t>
      </w:r>
      <w:r w:rsidRPr="00ED6855">
        <w:rPr>
          <w:i/>
          <w:iCs/>
          <w:lang w:val="en-GB"/>
        </w:rPr>
        <w:t>Enterococcus</w:t>
      </w:r>
      <w:r w:rsidRPr="00ED6855">
        <w:rPr>
          <w:lang w:val="en-GB"/>
        </w:rPr>
        <w:t xml:space="preserve"> spp. isolates highlight the importance of ongoing surveillance to inform stewardship and infection prevention interventions.</w:t>
      </w:r>
    </w:p>
    <w:p w14:paraId="749A325A" w14:textId="53B86CEB" w:rsidR="00B73144" w:rsidRDefault="00B73144" w:rsidP="00E61A68">
      <w:pPr>
        <w:pStyle w:val="CDIBoxText"/>
        <w:rPr>
          <w:lang w:val="en-GB"/>
        </w:rPr>
      </w:pPr>
      <w:r w:rsidRPr="00E61A68">
        <w:t>Keywords</w:t>
      </w:r>
      <w:r w:rsidR="00BF1476">
        <w:t xml:space="preserve">: </w:t>
      </w:r>
      <w:r w:rsidR="00F2721A" w:rsidRPr="00F2721A">
        <w:rPr>
          <w:lang w:val="en-GB"/>
        </w:rPr>
        <w:t xml:space="preserve">Australian Group on Antimicrobial Resistance (AGAR); antimicrobial resistance surveillance; paediatrics; bacteraemia; Enterobacterales; </w:t>
      </w:r>
      <w:r w:rsidR="00F2721A" w:rsidRPr="00F2721A">
        <w:rPr>
          <w:i/>
          <w:iCs/>
          <w:lang w:val="en-GB"/>
        </w:rPr>
        <w:t>Staphylococcus aureus</w:t>
      </w:r>
      <w:r w:rsidR="00F2721A" w:rsidRPr="00F2721A">
        <w:rPr>
          <w:lang w:val="en-GB"/>
        </w:rPr>
        <w:t xml:space="preserve">; </w:t>
      </w:r>
      <w:r w:rsidR="00F2721A" w:rsidRPr="00F2721A">
        <w:rPr>
          <w:i/>
          <w:iCs/>
          <w:lang w:val="en-GB"/>
        </w:rPr>
        <w:t>Enterococcus</w:t>
      </w:r>
    </w:p>
    <w:p w14:paraId="5A8A8F72" w14:textId="77777777" w:rsidR="0037146D" w:rsidRDefault="00B73144" w:rsidP="00B73144">
      <w:pPr>
        <w:pStyle w:val="Heading1"/>
      </w:pPr>
      <w:bookmarkStart w:id="13" w:name="_Toc195530501"/>
      <w:bookmarkStart w:id="14" w:name="_Toc213227994"/>
      <w:r>
        <w:lastRenderedPageBreak/>
        <w:t>Introduction</w:t>
      </w:r>
      <w:bookmarkEnd w:id="13"/>
      <w:bookmarkEnd w:id="14"/>
    </w:p>
    <w:p w14:paraId="0111BCC9" w14:textId="77777777" w:rsidR="00F2721A" w:rsidRPr="00F2721A" w:rsidRDefault="00F2721A" w:rsidP="00F2721A">
      <w:pPr>
        <w:rPr>
          <w:lang w:val="en-GB"/>
        </w:rPr>
      </w:pPr>
      <w:r w:rsidRPr="00F2721A">
        <w:rPr>
          <w:lang w:val="en-GB"/>
        </w:rPr>
        <w:t xml:space="preserve">The Australian Group on Antimicrobial Resistance (AGAR) performs targeted whole-of-population antimicrobial resistance (AMR) surveillance in </w:t>
      </w:r>
      <w:r w:rsidRPr="00F2721A">
        <w:rPr>
          <w:i/>
          <w:iCs/>
          <w:lang w:val="en-GB"/>
        </w:rPr>
        <w:t>Staphylococcus aureus</w:t>
      </w:r>
      <w:r w:rsidRPr="00F2721A">
        <w:rPr>
          <w:lang w:val="en-GB"/>
        </w:rPr>
        <w:t xml:space="preserve">, </w:t>
      </w:r>
      <w:r w:rsidRPr="00F2721A">
        <w:rPr>
          <w:i/>
          <w:iCs/>
          <w:lang w:val="en-GB"/>
        </w:rPr>
        <w:t>Enterococcus</w:t>
      </w:r>
      <w:r w:rsidRPr="00F2721A">
        <w:rPr>
          <w:lang w:val="en-GB"/>
        </w:rPr>
        <w:t xml:space="preserve"> spp., and key gram-negative bloodstream isolates. In 2023, a total of 51 hospitals reported bloodstream infection (BSI) data to AGAR, with all Australian states and mainland territories represented and all tertiary paediatric hospitals participating. </w:t>
      </w:r>
    </w:p>
    <w:p w14:paraId="20840C24" w14:textId="77777777" w:rsidR="00F2721A" w:rsidRPr="00F2721A" w:rsidRDefault="00F2721A" w:rsidP="00F2721A">
      <w:pPr>
        <w:rPr>
          <w:lang w:val="en-GB"/>
        </w:rPr>
      </w:pPr>
      <w:r w:rsidRPr="00F2721A">
        <w:rPr>
          <w:lang w:val="en-GB"/>
        </w:rPr>
        <w:t>The AGAR reports feed into the key pillar objective #5 ‘Integrated Surveillance and Response to Resistance and Usage’ of the National Antimicrobial Resistance Strategy of Australia.</w:t>
      </w:r>
      <w:r w:rsidRPr="00F2721A">
        <w:rPr>
          <w:vertAlign w:val="superscript"/>
          <w:lang w:val="en-GB"/>
        </w:rPr>
        <w:t>1</w:t>
      </w:r>
      <w:r w:rsidRPr="00F2721A">
        <w:rPr>
          <w:lang w:val="en-GB"/>
        </w:rPr>
        <w:t xml:space="preserve"> The reports allow healthcare professionals and policy makers to ‘use evidence-based surveillance and monitoring data to inform actions and responses to contain antimicrobial resistance’.</w:t>
      </w:r>
      <w:r w:rsidRPr="00F2721A">
        <w:rPr>
          <w:vertAlign w:val="superscript"/>
          <w:lang w:val="en-GB"/>
        </w:rPr>
        <w:t>1</w:t>
      </w:r>
      <w:r w:rsidRPr="00F2721A">
        <w:rPr>
          <w:lang w:val="en-GB"/>
        </w:rPr>
        <w:t xml:space="preserve"> </w:t>
      </w:r>
    </w:p>
    <w:p w14:paraId="04D27F80" w14:textId="77777777" w:rsidR="00F2721A" w:rsidRPr="00F2721A" w:rsidRDefault="00F2721A" w:rsidP="00F2721A">
      <w:pPr>
        <w:rPr>
          <w:lang w:val="en-GB"/>
        </w:rPr>
      </w:pPr>
      <w:r w:rsidRPr="00F2721A">
        <w:rPr>
          <w:lang w:val="en-GB"/>
        </w:rPr>
        <w:t>The AGAR Kids committee, formed in 2022, was established to investigate and present neonatal- and paediatric-specific AMR data from the AGAR programs. As called for by the World Society for Paediatric Infectious Diseases (WSPID),</w:t>
      </w:r>
      <w:r w:rsidRPr="00F2721A">
        <w:rPr>
          <w:vertAlign w:val="superscript"/>
          <w:lang w:val="en-GB"/>
        </w:rPr>
        <w:t>2,3</w:t>
      </w:r>
      <w:r w:rsidRPr="00F2721A">
        <w:rPr>
          <w:lang w:val="en-GB"/>
        </w:rPr>
        <w:t xml:space="preserve"> accessible neonatal and paediatric data is required to optimise prescribing and antimicrobial stewardship efforts. The first AGAR Kids Biennial report described the epidemiology of AMR in bacterial isolates, reported to the AGAR programs from children and adolescents &lt; 18 years of age, in 2020 and 2021.</w:t>
      </w:r>
      <w:r w:rsidRPr="00F2721A">
        <w:rPr>
          <w:vertAlign w:val="superscript"/>
          <w:lang w:val="en-GB"/>
        </w:rPr>
        <w:t>4,5</w:t>
      </w:r>
      <w:r w:rsidRPr="00F2721A">
        <w:rPr>
          <w:lang w:val="en-GB"/>
        </w:rPr>
        <w:t xml:space="preserve"> A subsequent report from the AGAR Kids committee described the trends and shifts in AMR across nine years (2013–2021).</w:t>
      </w:r>
      <w:r w:rsidRPr="00F2721A">
        <w:rPr>
          <w:vertAlign w:val="superscript"/>
          <w:lang w:val="en-GB"/>
        </w:rPr>
        <w:t>6–8</w:t>
      </w:r>
      <w:r w:rsidRPr="00F2721A">
        <w:rPr>
          <w:lang w:val="en-GB"/>
        </w:rPr>
        <w:t xml:space="preserve"> </w:t>
      </w:r>
    </w:p>
    <w:p w14:paraId="10ADDFDC" w14:textId="5BAF71F7" w:rsidR="00AC46DC" w:rsidRPr="00AC46DC" w:rsidRDefault="00F2721A" w:rsidP="00AC46DC">
      <w:r w:rsidRPr="00F2721A">
        <w:rPr>
          <w:lang w:val="en-GB"/>
        </w:rPr>
        <w:t xml:space="preserve">This second biennial AGAR Kids report describes the epidemiology, antimicrobial susceptibility patterns and antimicrobial resistance trends of bacterial isolates, and the patient outcomes of children and adolescents &lt; 18 years old with bacterial BSIs as reported to AGAR in 2022–2023. </w:t>
      </w:r>
    </w:p>
    <w:p w14:paraId="7971AD6C" w14:textId="77777777" w:rsidR="00A24E95" w:rsidRDefault="00B73144" w:rsidP="00B73144">
      <w:pPr>
        <w:pStyle w:val="Heading1"/>
        <w:rPr>
          <w:lang w:val="en-GB"/>
        </w:rPr>
      </w:pPr>
      <w:bookmarkStart w:id="15" w:name="_Toc195530502"/>
      <w:bookmarkStart w:id="16" w:name="_Toc213227995"/>
      <w:r>
        <w:rPr>
          <w:lang w:val="en-GB"/>
        </w:rPr>
        <w:lastRenderedPageBreak/>
        <w:t>Methods</w:t>
      </w:r>
      <w:bookmarkEnd w:id="15"/>
      <w:bookmarkEnd w:id="16"/>
    </w:p>
    <w:p w14:paraId="1B9A3B2B" w14:textId="77777777" w:rsidR="00F2721A" w:rsidRPr="00F2721A" w:rsidRDefault="00F2721A" w:rsidP="00F2721A">
      <w:pPr>
        <w:rPr>
          <w:lang w:val="en-GB"/>
        </w:rPr>
      </w:pPr>
      <w:r w:rsidRPr="00F2721A">
        <w:rPr>
          <w:lang w:val="en-GB"/>
        </w:rPr>
        <w:t xml:space="preserve">From 1 January 2022 to 31 December 2023, participating laboratories submitted unique BSI episodes of </w:t>
      </w:r>
      <w:r w:rsidRPr="00F2721A">
        <w:rPr>
          <w:i/>
          <w:iCs/>
          <w:lang w:val="en-GB"/>
        </w:rPr>
        <w:t>S. aureus</w:t>
      </w:r>
      <w:r w:rsidRPr="00F2721A">
        <w:rPr>
          <w:lang w:val="en-GB"/>
        </w:rPr>
        <w:t xml:space="preserve">, </w:t>
      </w:r>
      <w:r w:rsidRPr="00F2721A">
        <w:rPr>
          <w:i/>
          <w:iCs/>
          <w:lang w:val="en-GB"/>
        </w:rPr>
        <w:t>Enterococcus</w:t>
      </w:r>
      <w:r w:rsidRPr="00F2721A">
        <w:rPr>
          <w:lang w:val="en-GB"/>
        </w:rPr>
        <w:t xml:space="preserve"> spp., Enterobacterales, </w:t>
      </w:r>
      <w:r w:rsidRPr="00F2721A">
        <w:rPr>
          <w:i/>
          <w:iCs/>
          <w:lang w:val="en-GB"/>
        </w:rPr>
        <w:t>Pseudomonas aeruginosa</w:t>
      </w:r>
      <w:r w:rsidRPr="00F2721A">
        <w:rPr>
          <w:lang w:val="en-GB"/>
        </w:rPr>
        <w:t xml:space="preserve">, and </w:t>
      </w:r>
      <w:r w:rsidRPr="00F2721A">
        <w:rPr>
          <w:i/>
          <w:iCs/>
          <w:lang w:val="en-GB"/>
        </w:rPr>
        <w:t>Acinetobacter</w:t>
      </w:r>
      <w:r w:rsidRPr="00F2721A">
        <w:rPr>
          <w:lang w:val="en-GB"/>
        </w:rPr>
        <w:t xml:space="preserve"> spp.</w:t>
      </w:r>
    </w:p>
    <w:p w14:paraId="1916F269" w14:textId="5F20ADFC" w:rsidR="00BE73E6" w:rsidRDefault="00F2721A" w:rsidP="00F2721A">
      <w:pPr>
        <w:pStyle w:val="Heading2"/>
        <w:rPr>
          <w:lang w:val="en-GB"/>
        </w:rPr>
      </w:pPr>
      <w:bookmarkStart w:id="17" w:name="_Toc213227996"/>
      <w:r w:rsidRPr="00F2721A">
        <w:rPr>
          <w:lang w:val="en-GB"/>
        </w:rPr>
        <w:t>Participants</w:t>
      </w:r>
      <w:bookmarkEnd w:id="17"/>
    </w:p>
    <w:p w14:paraId="67F448A6" w14:textId="67BA3D15" w:rsidR="00F2721A" w:rsidRPr="00F2721A" w:rsidRDefault="00F2721A" w:rsidP="00F2721A">
      <w:pPr>
        <w:rPr>
          <w:lang w:val="en-GB"/>
        </w:rPr>
      </w:pPr>
      <w:r w:rsidRPr="00F2721A">
        <w:rPr>
          <w:lang w:val="en-GB"/>
        </w:rPr>
        <w:t>Forty-one laboratories processing blood cultures from 53 hospitals submitted data from patients &lt;</w:t>
      </w:r>
      <w:r>
        <w:rPr>
          <w:lang w:val="en-GB"/>
        </w:rPr>
        <w:t> </w:t>
      </w:r>
      <w:r w:rsidRPr="00F2721A">
        <w:rPr>
          <w:lang w:val="en-GB"/>
        </w:rPr>
        <w:t>18 years old to the AGAR surveillance outcome programs: 52 hospitals in 2022 and 51 hospitals in 2023. All tertiary paediatric hospitals (n = 8), and 25 of the 29 principal referral centres in Australia, reported data during the two years, as well as five public acute group A hospitals, three private group A hospitals, two private group B hospitals and all public group C hospitals in the north-west of Western Australia.</w:t>
      </w:r>
    </w:p>
    <w:p w14:paraId="199F42DA" w14:textId="31A5E6F2" w:rsidR="00F2721A" w:rsidRDefault="00F2721A" w:rsidP="00F2721A">
      <w:pPr>
        <w:pStyle w:val="Heading2"/>
        <w:rPr>
          <w:lang w:val="en-GB"/>
        </w:rPr>
      </w:pPr>
      <w:bookmarkStart w:id="18" w:name="_Toc213227997"/>
      <w:r w:rsidRPr="00F2721A">
        <w:rPr>
          <w:lang w:val="en-GB"/>
        </w:rPr>
        <w:t>Data collection</w:t>
      </w:r>
      <w:bookmarkEnd w:id="18"/>
    </w:p>
    <w:p w14:paraId="5B0CC5E2" w14:textId="77777777" w:rsidR="00F2721A" w:rsidRPr="00F2721A" w:rsidRDefault="00F2721A" w:rsidP="00F2721A">
      <w:pPr>
        <w:rPr>
          <w:lang w:val="en-GB"/>
        </w:rPr>
      </w:pPr>
      <w:r w:rsidRPr="00F2721A">
        <w:rPr>
          <w:lang w:val="en-GB"/>
        </w:rPr>
        <w:t>A BSI episode was defined as a clinical event associated with a positive blood culture, irrespective of the number of bacterial species identified. A new episode of bacteraemia in the same patient was recorded if the blood culture was collected more than 14 days after the initial positive culture. An episode was defined as community-onset if the first positive blood culture of the episode was collected ≤ 48 hours after hospital admission, and as hospital-onset if collected &gt; 48 hours after admission.</w:t>
      </w:r>
    </w:p>
    <w:p w14:paraId="141068A3" w14:textId="77777777" w:rsidR="00F2721A" w:rsidRPr="00F2721A" w:rsidRDefault="00F2721A" w:rsidP="00F2721A">
      <w:pPr>
        <w:rPr>
          <w:lang w:val="en-GB"/>
        </w:rPr>
      </w:pPr>
      <w:r w:rsidRPr="00F2721A">
        <w:rPr>
          <w:lang w:val="en-GB"/>
        </w:rPr>
        <w:t>The data submitted by each laboratory to AGAR for each episode included a laboratory accession number; the date of collection; the organism isolated (genus and species); and the antimicrobial susceptibility test results (minimum inhibitory concentrations [MICs]). The patient’s age, sex and jurisdiction of residence were also provided. If the patient was admitted to hospital, the dates of admission and discharge were reported. Depending on the laboratory’s level of participation in AGAR, limited clinical and outcome data were also provided, including the principal clinical manifestation, device related infection (yes or no), and the outcome (died, all-cause or survived) at seven and 30 days. For the AGAR Kids Biennial Report, data from AGAR were restricted to patients aged &lt; 18 years (0–17 years inclusive).</w:t>
      </w:r>
    </w:p>
    <w:p w14:paraId="695B88A9" w14:textId="17BE37F8" w:rsidR="00F2721A" w:rsidRDefault="00F2721A" w:rsidP="00F2721A">
      <w:pPr>
        <w:pStyle w:val="Heading2"/>
        <w:rPr>
          <w:lang w:val="en-GB"/>
        </w:rPr>
      </w:pPr>
      <w:bookmarkStart w:id="19" w:name="_Toc213227998"/>
      <w:r w:rsidRPr="00F2721A">
        <w:rPr>
          <w:lang w:val="en-GB"/>
        </w:rPr>
        <w:t>Laboratory methods</w:t>
      </w:r>
      <w:bookmarkEnd w:id="19"/>
    </w:p>
    <w:p w14:paraId="56D8E317" w14:textId="77777777" w:rsidR="00F2721A" w:rsidRPr="00F2721A" w:rsidRDefault="00F2721A" w:rsidP="00F2721A">
      <w:pPr>
        <w:rPr>
          <w:lang w:val="en-GB"/>
        </w:rPr>
      </w:pPr>
      <w:r w:rsidRPr="00F2721A">
        <w:rPr>
          <w:lang w:val="en-GB"/>
        </w:rPr>
        <w:t>Where possible, isolates were identified to species level by each laboratory, using the laboratory’s routine method. Species identification methods included the Vitek</w:t>
      </w:r>
      <w:r w:rsidRPr="00F2721A">
        <w:rPr>
          <w:vertAlign w:val="superscript"/>
          <w:lang w:val="en-GB"/>
        </w:rPr>
        <w:t>®</w:t>
      </w:r>
      <w:r w:rsidRPr="00F2721A">
        <w:rPr>
          <w:lang w:val="en-GB"/>
        </w:rPr>
        <w:t xml:space="preserve"> and BD Phoenix™ automated microbiology systems, and matrix assisted laser desorption ionization—time of flight (MALDI-TOF) mass spectrometry (Bruker MALDI </w:t>
      </w:r>
      <w:proofErr w:type="spellStart"/>
      <w:r w:rsidRPr="00F2721A">
        <w:rPr>
          <w:lang w:val="en-GB"/>
        </w:rPr>
        <w:t>biotyper</w:t>
      </w:r>
      <w:proofErr w:type="spellEnd"/>
      <w:r w:rsidRPr="00F2721A">
        <w:rPr>
          <w:vertAlign w:val="superscript"/>
          <w:lang w:val="en-GB"/>
        </w:rPr>
        <w:t>®</w:t>
      </w:r>
      <w:r w:rsidRPr="00F2721A">
        <w:rPr>
          <w:lang w:val="en-GB"/>
        </w:rPr>
        <w:t xml:space="preserve"> or Vitek</w:t>
      </w:r>
      <w:r w:rsidRPr="00F2721A">
        <w:rPr>
          <w:vertAlign w:val="superscript"/>
          <w:lang w:val="en-GB"/>
        </w:rPr>
        <w:t>®</w:t>
      </w:r>
      <w:r w:rsidRPr="00F2721A">
        <w:rPr>
          <w:lang w:val="en-GB"/>
        </w:rPr>
        <w:t xml:space="preserve"> MS). Antimicrobial susceptibility testing was performed using one of two commercial semi-automated systems: the Vitek</w:t>
      </w:r>
      <w:r w:rsidRPr="00F2721A">
        <w:rPr>
          <w:vertAlign w:val="superscript"/>
          <w:lang w:val="en-GB"/>
        </w:rPr>
        <w:t>®</w:t>
      </w:r>
      <w:r w:rsidRPr="00F2721A">
        <w:rPr>
          <w:lang w:val="en-GB"/>
        </w:rPr>
        <w:t xml:space="preserve"> 2 (bioMérieux) or BD Phoenix™ (BD), both of which are calibrated to the ISO (International Organization for Standardization) reference standard method of broth microdilution. </w:t>
      </w:r>
    </w:p>
    <w:p w14:paraId="598CC97D" w14:textId="77777777" w:rsidR="00F2721A" w:rsidRPr="00F2721A" w:rsidRDefault="00F2721A" w:rsidP="00F2721A">
      <w:pPr>
        <w:rPr>
          <w:lang w:val="en-GB"/>
        </w:rPr>
      </w:pPr>
      <w:r w:rsidRPr="00F2721A">
        <w:rPr>
          <w:lang w:val="en-GB"/>
        </w:rPr>
        <w:t xml:space="preserve">All methicillin-resistant </w:t>
      </w:r>
      <w:r w:rsidRPr="00F2721A">
        <w:rPr>
          <w:i/>
          <w:iCs/>
          <w:lang w:val="en-GB"/>
        </w:rPr>
        <w:t>S. aureus</w:t>
      </w:r>
      <w:r w:rsidRPr="00F2721A">
        <w:rPr>
          <w:lang w:val="en-GB"/>
        </w:rPr>
        <w:t xml:space="preserve"> (MRSA) isolates, all </w:t>
      </w:r>
      <w:r w:rsidRPr="00F2721A">
        <w:rPr>
          <w:i/>
          <w:iCs/>
          <w:lang w:val="en-GB"/>
        </w:rPr>
        <w:t>E. faecium</w:t>
      </w:r>
      <w:r w:rsidRPr="00F2721A">
        <w:rPr>
          <w:lang w:val="en-GB"/>
        </w:rPr>
        <w:t xml:space="preserve"> isolates, and select gram-negative isolates with specific antimicrobial resistant profiles underwent whole genome sequencing (WGS) to determine the presence of specific antimicrobial resistant determinants, including cefotaximases (e.g. CTX-15); plasmid mediated AmpC β-lactamases; and carbapenemases such </w:t>
      </w:r>
      <w:r w:rsidRPr="00F2721A">
        <w:rPr>
          <w:lang w:val="en-GB"/>
        </w:rPr>
        <w:lastRenderedPageBreak/>
        <w:t>as New Delhi metallo-β-lactamases (NDMs). A detailed description of the molecular laboratory methods employed by AGAR is available in previously published reports.</w:t>
      </w:r>
      <w:r w:rsidRPr="00F2721A">
        <w:rPr>
          <w:vertAlign w:val="superscript"/>
          <w:lang w:val="en-GB"/>
        </w:rPr>
        <w:t>6,7,9</w:t>
      </w:r>
    </w:p>
    <w:p w14:paraId="10C0D272" w14:textId="14A6CA44" w:rsidR="00F2721A" w:rsidRDefault="00F2721A" w:rsidP="00F2721A">
      <w:pPr>
        <w:pStyle w:val="Heading2"/>
        <w:rPr>
          <w:lang w:val="en-GB"/>
        </w:rPr>
      </w:pPr>
      <w:bookmarkStart w:id="20" w:name="_Toc213227999"/>
      <w:r w:rsidRPr="00F2721A">
        <w:rPr>
          <w:lang w:val="en-GB"/>
        </w:rPr>
        <w:t>Data analysis</w:t>
      </w:r>
      <w:bookmarkEnd w:id="20"/>
    </w:p>
    <w:p w14:paraId="75B021A4" w14:textId="77777777" w:rsidR="00F2721A" w:rsidRPr="00F2721A" w:rsidRDefault="00F2721A" w:rsidP="00F2721A">
      <w:pPr>
        <w:rPr>
          <w:lang w:val="en-GB"/>
        </w:rPr>
      </w:pPr>
      <w:r w:rsidRPr="00F2721A">
        <w:rPr>
          <w:lang w:val="en-GB"/>
        </w:rPr>
        <w:t>The AMR for R package (v2.0) was used to transform MIC data as per European Committee on Antimicrobial Susceptibility Testing (EUCAST) 2024 (v14) breakpoints.</w:t>
      </w:r>
      <w:r w:rsidRPr="00F2721A">
        <w:rPr>
          <w:vertAlign w:val="superscript"/>
          <w:lang w:val="en-GB"/>
        </w:rPr>
        <w:t>10,11</w:t>
      </w:r>
      <w:r w:rsidRPr="00F2721A">
        <w:rPr>
          <w:lang w:val="en-GB"/>
        </w:rPr>
        <w:t xml:space="preserve"> </w:t>
      </w:r>
      <w:proofErr w:type="gramStart"/>
      <w:r w:rsidRPr="00F2721A">
        <w:rPr>
          <w:lang w:val="en-GB"/>
        </w:rPr>
        <w:t>Multi-drug</w:t>
      </w:r>
      <w:proofErr w:type="gramEnd"/>
      <w:r w:rsidRPr="00F2721A">
        <w:rPr>
          <w:lang w:val="en-GB"/>
        </w:rPr>
        <w:t xml:space="preserve"> resistance was defined as resistance to one or more agents in three or more antimicrobial classes. Intrinsic resistance mechanisms were not included in determining if an organism was multi-drug resistant (MDR). Apart from </w:t>
      </w:r>
      <w:r w:rsidRPr="00F2721A">
        <w:rPr>
          <w:i/>
          <w:iCs/>
          <w:lang w:val="en-GB"/>
        </w:rPr>
        <w:t>Enterobacter</w:t>
      </w:r>
      <w:r w:rsidRPr="00F2721A">
        <w:rPr>
          <w:lang w:val="en-GB"/>
        </w:rPr>
        <w:t xml:space="preserve"> spp., Enterobacterales were phenotypically classified as an extended spectrum β-lactamase (ESBL) producer if the organism had a ceftriaxone and/or ceftazidime MIC ≥ 2 mg/L. For </w:t>
      </w:r>
      <w:r w:rsidRPr="00F2721A">
        <w:rPr>
          <w:i/>
          <w:iCs/>
          <w:lang w:val="en-GB"/>
        </w:rPr>
        <w:t>Enterobacter</w:t>
      </w:r>
      <w:r w:rsidRPr="00F2721A">
        <w:rPr>
          <w:lang w:val="en-GB"/>
        </w:rPr>
        <w:t xml:space="preserve"> spp., isolates with a cefepime MIC ≥ 1 mg/L were classified as ESBL-producing. </w:t>
      </w:r>
    </w:p>
    <w:p w14:paraId="784FA86F" w14:textId="77777777" w:rsidR="00F2721A" w:rsidRPr="00F2721A" w:rsidRDefault="00F2721A" w:rsidP="00F2721A">
      <w:pPr>
        <w:rPr>
          <w:lang w:val="en-GB"/>
        </w:rPr>
      </w:pPr>
      <w:r w:rsidRPr="00F2721A">
        <w:rPr>
          <w:lang w:val="en-GB"/>
        </w:rPr>
        <w:t>Descriptive statistics for the overall population and per year were stratified by age, sex, and state/territory. Proportions were only calculated when the total number for a category was &gt; 10. Categorical data were compared using the chi-square or Fisher’s exact test. Continuous data were compared using the Mann-Whitney U-test. Associations between exposure and outcome were estimated using odds ratios (OR). Proportions for the organisms classified in the World Health Organisation (WHO) Bacterial Priority Pathogen List (BPPL) were calculated with 95% confidence intervals (95% CI).</w:t>
      </w:r>
      <w:r w:rsidRPr="00F2721A">
        <w:rPr>
          <w:vertAlign w:val="superscript"/>
          <w:lang w:val="en-GB"/>
        </w:rPr>
        <w:t>12</w:t>
      </w:r>
    </w:p>
    <w:p w14:paraId="72AF3427" w14:textId="41545F34" w:rsidR="00F2721A" w:rsidRDefault="00F2721A" w:rsidP="00F2721A">
      <w:pPr>
        <w:pStyle w:val="Heading2"/>
        <w:rPr>
          <w:lang w:val="en-GB"/>
        </w:rPr>
      </w:pPr>
      <w:bookmarkStart w:id="21" w:name="_Toc213228000"/>
      <w:r>
        <w:rPr>
          <w:lang w:val="en-GB"/>
        </w:rPr>
        <w:t>Ethics</w:t>
      </w:r>
      <w:bookmarkEnd w:id="21"/>
    </w:p>
    <w:p w14:paraId="00F02132" w14:textId="7BE63A59" w:rsidR="00F2721A" w:rsidRPr="00BE73E6" w:rsidRDefault="00F2721A" w:rsidP="00BE73E6">
      <w:pPr>
        <w:rPr>
          <w:lang w:val="en-GB"/>
        </w:rPr>
      </w:pPr>
      <w:r w:rsidRPr="00F2721A">
        <w:rPr>
          <w:lang w:val="en-GB"/>
        </w:rPr>
        <w:t>Approval to conduct the prospective data collection was given by the research ethics committee associated with each participating healthcare facility.</w:t>
      </w:r>
    </w:p>
    <w:p w14:paraId="205E6875" w14:textId="77777777" w:rsidR="008A0736" w:rsidRDefault="000073ED" w:rsidP="005A4E9D">
      <w:pPr>
        <w:pStyle w:val="Heading1"/>
      </w:pPr>
      <w:bookmarkStart w:id="22" w:name="_Toc195530503"/>
      <w:bookmarkStart w:id="23" w:name="_Toc213228001"/>
      <w:r>
        <w:lastRenderedPageBreak/>
        <w:t>Results</w:t>
      </w:r>
      <w:bookmarkEnd w:id="22"/>
      <w:bookmarkEnd w:id="23"/>
    </w:p>
    <w:p w14:paraId="60DA20D3" w14:textId="08FFB42D" w:rsidR="00AC46DC" w:rsidRDefault="00AA023A" w:rsidP="00AA023A">
      <w:pPr>
        <w:pStyle w:val="Heading2-lessspacebefore"/>
      </w:pPr>
      <w:bookmarkStart w:id="24" w:name="_Toc213228002"/>
      <w:r w:rsidRPr="00AA023A">
        <w:t>Patient characteristics</w:t>
      </w:r>
      <w:bookmarkEnd w:id="24"/>
    </w:p>
    <w:p w14:paraId="4AAB7D79" w14:textId="4221FFF8" w:rsidR="00AA023A" w:rsidRPr="00AA023A" w:rsidRDefault="00AA023A" w:rsidP="00AA023A">
      <w:pPr>
        <w:rPr>
          <w:lang w:val="en-GB"/>
        </w:rPr>
      </w:pPr>
      <w:r w:rsidRPr="00AA023A">
        <w:rPr>
          <w:lang w:val="en-GB"/>
        </w:rPr>
        <w:t xml:space="preserve">Between 1 January 2022 and 31 December 2023, there were 1,827 isolates, from 1,745 children and adolescents &lt; 18 years old, reported to the AGAR surveillance outcome programs. Across all Australian states and mainland territories, Enterobacterales were the most frequently reported isolates (n = 932; 51.0%). Over the two years, </w:t>
      </w:r>
      <w:r w:rsidRPr="00AA023A">
        <w:rPr>
          <w:i/>
          <w:iCs/>
          <w:lang w:val="en-GB"/>
        </w:rPr>
        <w:t>Staphylococcus aureus</w:t>
      </w:r>
      <w:r w:rsidRPr="00AA023A">
        <w:rPr>
          <w:lang w:val="en-GB"/>
        </w:rPr>
        <w:t xml:space="preserve"> (n: 601) and </w:t>
      </w:r>
      <w:r w:rsidRPr="00AA023A">
        <w:rPr>
          <w:i/>
          <w:iCs/>
          <w:lang w:val="en-GB"/>
        </w:rPr>
        <w:t>Escherichia coli</w:t>
      </w:r>
      <w:r w:rsidRPr="00AA023A">
        <w:rPr>
          <w:lang w:val="en-GB"/>
        </w:rPr>
        <w:t xml:space="preserve"> (n: 457) comprised more than half of all isolates reported to AGAR (57.9%; 1,058/1,827). The commonest isolates remained unchanged between 2020–2021 and 2022–2023, with the exception of </w:t>
      </w:r>
      <w:r w:rsidRPr="00AA023A">
        <w:rPr>
          <w:i/>
          <w:iCs/>
          <w:lang w:val="en-GB"/>
        </w:rPr>
        <w:t>Salmonella</w:t>
      </w:r>
      <w:r w:rsidRPr="00AA023A">
        <w:rPr>
          <w:lang w:val="en-GB"/>
        </w:rPr>
        <w:t xml:space="preserve"> Typhi for which significantly more isolates were reported in 2022–2023 than in 2020–2021 (50 vs 14 isolates; χ</w:t>
      </w:r>
      <w:r w:rsidRPr="00AA023A">
        <w:rPr>
          <w:vertAlign w:val="superscript"/>
          <w:lang w:val="en-GB"/>
        </w:rPr>
        <w:t>2</w:t>
      </w:r>
      <w:r w:rsidRPr="00AA023A">
        <w:rPr>
          <w:lang w:val="en-GB"/>
        </w:rPr>
        <w:t xml:space="preserve">: 17; </w:t>
      </w:r>
      <w:r w:rsidRPr="00AA023A">
        <w:rPr>
          <w:i/>
          <w:iCs/>
          <w:lang w:val="en-GB"/>
        </w:rPr>
        <w:t xml:space="preserve">p </w:t>
      </w:r>
      <w:r w:rsidRPr="00AA023A">
        <w:rPr>
          <w:lang w:val="en-GB"/>
        </w:rPr>
        <w:t>&lt; 0.001; 95% CI: 1.0–2.8) (see Appendix A, Tables A.1.1 and A.1.2).</w:t>
      </w:r>
      <w:r w:rsidRPr="00AA023A">
        <w:rPr>
          <w:vertAlign w:val="superscript"/>
          <w:lang w:val="en-GB"/>
        </w:rPr>
        <w:t>4</w:t>
      </w:r>
      <w:r w:rsidRPr="00AA023A">
        <w:rPr>
          <w:lang w:val="en-GB"/>
        </w:rPr>
        <w:t xml:space="preserve"> Approximately half of the </w:t>
      </w:r>
      <w:r w:rsidRPr="00AA023A">
        <w:rPr>
          <w:i/>
          <w:iCs/>
          <w:lang w:val="en-GB"/>
        </w:rPr>
        <w:t>S</w:t>
      </w:r>
      <w:r w:rsidRPr="00AA023A">
        <w:rPr>
          <w:lang w:val="en-GB"/>
        </w:rPr>
        <w:t>. Typhi isolates were from children aged 5–11 years (n</w:t>
      </w:r>
      <w:r>
        <w:rPr>
          <w:lang w:val="en-GB"/>
        </w:rPr>
        <w:t> </w:t>
      </w:r>
      <w:r w:rsidRPr="00AA023A">
        <w:rPr>
          <w:lang w:val="en-GB"/>
        </w:rPr>
        <w:t>=</w:t>
      </w:r>
      <w:r>
        <w:rPr>
          <w:lang w:val="en-GB"/>
        </w:rPr>
        <w:t> </w:t>
      </w:r>
      <w:r w:rsidRPr="00AA023A">
        <w:rPr>
          <w:lang w:val="en-GB"/>
        </w:rPr>
        <w:t xml:space="preserve">23; 46.0%); a similar proportion were from those living in Victoria (24/50; 48.0%). </w:t>
      </w:r>
    </w:p>
    <w:p w14:paraId="2FF969F8" w14:textId="2D5DAC0B" w:rsidR="00AA023A" w:rsidRPr="00AA023A" w:rsidRDefault="00AA023A" w:rsidP="00AA023A">
      <w:pPr>
        <w:rPr>
          <w:lang w:val="en-GB"/>
        </w:rPr>
      </w:pPr>
      <w:r w:rsidRPr="00AA023A">
        <w:rPr>
          <w:lang w:val="en-GB"/>
        </w:rPr>
        <w:t xml:space="preserve">Over the two years, 40.5% of episodes were in children aged &lt; 12 months (n = 706/1,745), with a quarter of all episodes occurring in children ≤ 90 days old. Two-thirds of all episodes were community-onset (n = 1,184; 67.8%). However, as observed in 2020–2021, </w:t>
      </w:r>
      <w:r w:rsidRPr="00AA023A">
        <w:rPr>
          <w:i/>
          <w:iCs/>
          <w:lang w:val="en-GB"/>
        </w:rPr>
        <w:t>Enterococcus</w:t>
      </w:r>
      <w:r w:rsidRPr="00AA023A">
        <w:rPr>
          <w:lang w:val="en-GB"/>
        </w:rPr>
        <w:t xml:space="preserve"> spp. BSIs were more frequently hospital-onset than were BSIs involving </w:t>
      </w:r>
      <w:r w:rsidRPr="00AA023A">
        <w:rPr>
          <w:i/>
          <w:iCs/>
          <w:lang w:val="en-GB"/>
        </w:rPr>
        <w:t>S. aureus</w:t>
      </w:r>
      <w:r w:rsidRPr="00AA023A">
        <w:rPr>
          <w:lang w:val="en-GB"/>
        </w:rPr>
        <w:t xml:space="preserve"> or Enterbacterales (67.6% vs 27.9%; χ</w:t>
      </w:r>
      <w:r w:rsidRPr="00AA023A">
        <w:rPr>
          <w:vertAlign w:val="superscript"/>
          <w:lang w:val="en-GB"/>
        </w:rPr>
        <w:t>2</w:t>
      </w:r>
      <w:r w:rsidRPr="00AA023A">
        <w:rPr>
          <w:lang w:val="en-GB"/>
        </w:rPr>
        <w:t xml:space="preserve">: 117, </w:t>
      </w:r>
      <w:r w:rsidRPr="00AA023A">
        <w:rPr>
          <w:i/>
          <w:iCs/>
          <w:lang w:val="en-GB"/>
        </w:rPr>
        <w:t>p</w:t>
      </w:r>
      <w:r w:rsidRPr="00AA023A">
        <w:rPr>
          <w:lang w:val="en-GB"/>
        </w:rPr>
        <w:t xml:space="preserve"> &lt; 0.001). As a proportion of total BSIs, hospital-onset infections were highest in Victoria (41.7%) and New South Wales (36.4%), in children &lt; 12 months old (44.1%), in device-related infections (60.1%), and in BSIs involving at least one MDR isolate (87.5%) (Table</w:t>
      </w:r>
      <w:r>
        <w:rPr>
          <w:lang w:val="en-GB"/>
        </w:rPr>
        <w:t> </w:t>
      </w:r>
      <w:r w:rsidRPr="00AA023A">
        <w:rPr>
          <w:lang w:val="en-GB"/>
        </w:rPr>
        <w:t xml:space="preserve">1). </w:t>
      </w:r>
    </w:p>
    <w:p w14:paraId="0E630EDC" w14:textId="77777777" w:rsidR="00AA023A" w:rsidRPr="00AA023A" w:rsidRDefault="00AA023A" w:rsidP="00AA023A">
      <w:pPr>
        <w:rPr>
          <w:lang w:val="en-GB"/>
        </w:rPr>
      </w:pPr>
      <w:r w:rsidRPr="00AA023A">
        <w:rPr>
          <w:lang w:val="en-GB"/>
        </w:rPr>
        <w:t xml:space="preserve">The most frequently reported primary clinical manifestations were febrile neutropenia (n = 218; 12.5%), osteomyelitis/septic arthritis (n = 213; 12.2%), and urinary tract infections (UTI; n = 204; 11.7%). Episodes with at least one MDR isolate were most frequently reported in children and adolescents with febrile neutropenia (53/213; 24.3%) or UTIs (26/204; 12.7%) reported as the principal clinical manifestation. </w:t>
      </w:r>
    </w:p>
    <w:p w14:paraId="093DD781" w14:textId="77777777" w:rsidR="00AA023A" w:rsidRPr="00AA023A" w:rsidRDefault="00AA023A" w:rsidP="00AA023A">
      <w:pPr>
        <w:rPr>
          <w:lang w:val="en-GB"/>
        </w:rPr>
      </w:pPr>
      <w:r w:rsidRPr="00AA023A">
        <w:rPr>
          <w:lang w:val="en-GB"/>
        </w:rPr>
        <w:t>Overall, 19.3% of episodes were device-related; a decrease from the 23.5% of episodes in the previous report χ</w:t>
      </w:r>
      <w:r w:rsidRPr="00AA023A">
        <w:rPr>
          <w:vertAlign w:val="superscript"/>
          <w:lang w:val="en-GB"/>
        </w:rPr>
        <w:t>2</w:t>
      </w:r>
      <w:r w:rsidRPr="00AA023A">
        <w:rPr>
          <w:lang w:val="en-GB"/>
        </w:rPr>
        <w:t xml:space="preserve">: 9; </w:t>
      </w:r>
      <w:r w:rsidRPr="00AA023A">
        <w:rPr>
          <w:i/>
          <w:iCs/>
          <w:lang w:val="en-GB"/>
        </w:rPr>
        <w:t>p</w:t>
      </w:r>
      <w:r w:rsidRPr="00AA023A">
        <w:rPr>
          <w:lang w:val="en-GB"/>
        </w:rPr>
        <w:t xml:space="preserve"> = 0.003). This decrease was primarily observed in Victoria, which decreased from 32.4% in 2020–2021 to 20.7% in 2022–2023 (χ</w:t>
      </w:r>
      <w:r w:rsidRPr="00AA023A">
        <w:rPr>
          <w:vertAlign w:val="superscript"/>
          <w:lang w:val="en-GB"/>
        </w:rPr>
        <w:t>2</w:t>
      </w:r>
      <w:r w:rsidRPr="00AA023A">
        <w:rPr>
          <w:lang w:val="en-GB"/>
        </w:rPr>
        <w:t xml:space="preserve">: 16; </w:t>
      </w:r>
      <w:r w:rsidRPr="00AA023A">
        <w:rPr>
          <w:i/>
          <w:iCs/>
          <w:lang w:val="en-GB"/>
        </w:rPr>
        <w:t>p</w:t>
      </w:r>
      <w:r w:rsidRPr="00AA023A">
        <w:rPr>
          <w:lang w:val="en-GB"/>
        </w:rPr>
        <w:t xml:space="preserve"> &lt; 0.001). Thirteen percent of BSI episodes were polymicrobial (227/1,745); such episodes were more commonly observed in hospital-onset infections (</w:t>
      </w:r>
      <w:r w:rsidRPr="00AA023A">
        <w:rPr>
          <w:i/>
          <w:iCs/>
          <w:lang w:val="en-GB"/>
        </w:rPr>
        <w:t>p</w:t>
      </w:r>
      <w:r w:rsidRPr="00AA023A">
        <w:rPr>
          <w:lang w:val="en-GB"/>
        </w:rPr>
        <w:t xml:space="preserve"> = 0.001) (Table 1).</w:t>
      </w:r>
    </w:p>
    <w:p w14:paraId="24813194" w14:textId="30127B15" w:rsidR="00AA023A" w:rsidRPr="00AA023A" w:rsidRDefault="00AA023A" w:rsidP="00AA023A">
      <w:pPr>
        <w:rPr>
          <w:lang w:val="en-GB"/>
        </w:rPr>
      </w:pPr>
      <w:r w:rsidRPr="00AA023A">
        <w:rPr>
          <w:lang w:val="en-GB"/>
        </w:rPr>
        <w:t>The median length of stay (</w:t>
      </w:r>
      <w:proofErr w:type="spellStart"/>
      <w:r w:rsidRPr="00AA023A">
        <w:rPr>
          <w:lang w:val="en-GB"/>
        </w:rPr>
        <w:t>LoS</w:t>
      </w:r>
      <w:proofErr w:type="spellEnd"/>
      <w:r w:rsidRPr="00AA023A">
        <w:rPr>
          <w:lang w:val="en-GB"/>
        </w:rPr>
        <w:t>) following blood culture collection was 11 days (interquartile range, IQR: 6–22 days) (Table 1). Children and adolescents with an episode involving at least one MDR isolate remained in hospital longer than did patients who did not have a MDR isolate (14 days vs 9</w:t>
      </w:r>
      <w:r>
        <w:rPr>
          <w:lang w:val="en-GB"/>
        </w:rPr>
        <w:t> </w:t>
      </w:r>
      <w:r w:rsidRPr="00AA023A">
        <w:rPr>
          <w:lang w:val="en-GB"/>
        </w:rPr>
        <w:t>days; χ</w:t>
      </w:r>
      <w:r w:rsidRPr="00AA023A">
        <w:rPr>
          <w:vertAlign w:val="superscript"/>
          <w:lang w:val="en-GB"/>
        </w:rPr>
        <w:t>2</w:t>
      </w:r>
      <w:r w:rsidRPr="00AA023A">
        <w:rPr>
          <w:lang w:val="en-GB"/>
        </w:rPr>
        <w:t xml:space="preserve">: 16; </w:t>
      </w:r>
      <w:r w:rsidRPr="00AA023A">
        <w:rPr>
          <w:i/>
          <w:iCs/>
          <w:lang w:val="en-GB"/>
        </w:rPr>
        <w:t xml:space="preserve">p </w:t>
      </w:r>
      <w:r w:rsidRPr="00AA023A">
        <w:rPr>
          <w:lang w:val="en-GB"/>
        </w:rPr>
        <w:t>&lt; 0.001).</w:t>
      </w:r>
    </w:p>
    <w:p w14:paraId="0B57B9B5" w14:textId="3F8C0FAB" w:rsidR="00AA023A" w:rsidRPr="00AA023A" w:rsidRDefault="00AA023A" w:rsidP="00AA023A">
      <w:pPr>
        <w:rPr>
          <w:lang w:val="en-GB"/>
        </w:rPr>
      </w:pPr>
      <w:r w:rsidRPr="00AA023A">
        <w:rPr>
          <w:lang w:val="en-GB"/>
        </w:rPr>
        <w:t>One in five patients were still admitted to hospital at thirty days post-blood culture collection (380/1,745; 21.8%) (Table 1). Remaining in hospital thirty days post-collection was more frequent in children and adolescents with either an enterococcal BSI (OR: 2.7; 95% CI: 1.9–3.8), aged &lt;</w:t>
      </w:r>
      <w:r>
        <w:rPr>
          <w:lang w:val="en-GB"/>
        </w:rPr>
        <w:t> </w:t>
      </w:r>
      <w:r w:rsidRPr="00AA023A">
        <w:rPr>
          <w:lang w:val="en-GB"/>
        </w:rPr>
        <w:t>12</w:t>
      </w:r>
      <w:r>
        <w:rPr>
          <w:lang w:val="en-GB"/>
        </w:rPr>
        <w:t> </w:t>
      </w:r>
      <w:r w:rsidRPr="00AA023A">
        <w:rPr>
          <w:lang w:val="en-GB"/>
        </w:rPr>
        <w:t xml:space="preserve">months (OR: 2.6; 95% CI: 2.0–3.2), a hospital-onset infection (OR: 11.2; 95% CI: 8.6–14.6), or a device-related infection (OR: 2.3; 95% CI: 1.7–2.9). </w:t>
      </w:r>
    </w:p>
    <w:p w14:paraId="20037EAC" w14:textId="77777777" w:rsidR="00AA023A" w:rsidRDefault="00AA023A" w:rsidP="00AA023A">
      <w:pPr>
        <w:rPr>
          <w:lang w:val="en-GB"/>
        </w:rPr>
        <w:sectPr w:rsidR="00AA023A" w:rsidSect="001E3ECB">
          <w:headerReference w:type="even" r:id="rId18"/>
          <w:headerReference w:type="default" r:id="rId19"/>
          <w:footerReference w:type="even" r:id="rId20"/>
          <w:footerReference w:type="default" r:id="rId21"/>
          <w:headerReference w:type="first" r:id="rId22"/>
          <w:footerReference w:type="first" r:id="rId23"/>
          <w:footnotePr>
            <w:numFmt w:val="lowerRoman"/>
          </w:footnotePr>
          <w:pgSz w:w="11907" w:h="16840" w:code="9"/>
          <w:pgMar w:top="1134" w:right="1134" w:bottom="1134" w:left="1134" w:header="709" w:footer="567" w:gutter="0"/>
          <w:cols w:space="708"/>
          <w:docGrid w:linePitch="360"/>
        </w:sectPr>
      </w:pPr>
      <w:r w:rsidRPr="00AA023A">
        <w:rPr>
          <w:lang w:val="en-GB"/>
        </w:rPr>
        <w:t xml:space="preserve">Over the two years, 46 children and adolescents died with a BSI (2.6%). </w:t>
      </w:r>
      <w:r w:rsidRPr="00AA023A">
        <w:rPr>
          <w:i/>
          <w:iCs/>
          <w:lang w:val="en-GB"/>
        </w:rPr>
        <w:t>E. coli</w:t>
      </w:r>
      <w:r w:rsidRPr="00AA023A">
        <w:rPr>
          <w:lang w:val="en-GB"/>
        </w:rPr>
        <w:t xml:space="preserve"> was reported in a quarter of patients who died (n = 13/46; 28.3%). Seven of the patients who died had an MDR isolate (15.2%) (Table 2).</w:t>
      </w:r>
    </w:p>
    <w:p w14:paraId="3F7C1E69" w14:textId="4C93C031" w:rsidR="00AA023A" w:rsidRPr="00AA023A" w:rsidRDefault="00AA023A" w:rsidP="00AA023A">
      <w:pPr>
        <w:pStyle w:val="CDITable-Title"/>
        <w:spacing w:before="0"/>
        <w:rPr>
          <w:lang w:val="en-GB"/>
        </w:rPr>
      </w:pPr>
      <w:bookmarkStart w:id="25" w:name="_Toc213076653"/>
      <w:r w:rsidRPr="00AA023A">
        <w:rPr>
          <w:lang w:val="en-GB"/>
        </w:rPr>
        <w:lastRenderedPageBreak/>
        <w:t>Table 1: Characteristics of patients aged &lt; 18 years with a bacteraemic event reported to the Australian Group on Antimicrobial Resistance, per survey, January 2022 – December 2023</w:t>
      </w:r>
      <w:bookmarkEnd w:id="25"/>
    </w:p>
    <w:tbl>
      <w:tblPr>
        <w:tblW w:w="0" w:type="auto"/>
        <w:tblLayout w:type="fixed"/>
        <w:tblCellMar>
          <w:left w:w="0" w:type="dxa"/>
          <w:right w:w="0" w:type="dxa"/>
        </w:tblCellMar>
        <w:tblLook w:val="0000" w:firstRow="0" w:lastRow="0" w:firstColumn="0" w:lastColumn="0" w:noHBand="0" w:noVBand="0"/>
        <w:tblCaption w:val="Table 1: Characteristics of patients aged &lt; 18 years with a bacteraemic event reported to the Australian Group on Antimicrobial Resistance, per survey, January 2022 – December 2023"/>
        <w:tblDescription w:val="Table 1 shows the characteristics of patients aged &lt;18 years with a bloodstream infection reported to AGAR, per survey (GnSOP, ASSOP and AESOP) and overall from January 2022 – December 2023. Descriptive variables include median age and length of stay, and proportions for age group, sex, state/territory, outcomes at 30-days (dead, alive, unknown), infection onset type and infections related to devices."/>
      </w:tblPr>
      <w:tblGrid>
        <w:gridCol w:w="2891"/>
        <w:gridCol w:w="1701"/>
        <w:gridCol w:w="1219"/>
        <w:gridCol w:w="1219"/>
        <w:gridCol w:w="1219"/>
        <w:gridCol w:w="1219"/>
        <w:gridCol w:w="1219"/>
        <w:gridCol w:w="1219"/>
        <w:gridCol w:w="1218"/>
        <w:gridCol w:w="1219"/>
      </w:tblGrid>
      <w:tr w:rsidR="00154D35" w:rsidRPr="00154D35" w14:paraId="351BCA1B" w14:textId="77777777" w:rsidTr="00E10C2B">
        <w:trPr>
          <w:trHeight w:val="60"/>
          <w:tblHeader/>
        </w:trPr>
        <w:tc>
          <w:tcPr>
            <w:tcW w:w="2891" w:type="dxa"/>
            <w:vMerge w:val="restart"/>
            <w:shd w:val="clear" w:color="auto" w:fill="1E4496" w:themeFill="text2"/>
            <w:tcMar>
              <w:top w:w="113" w:type="dxa"/>
              <w:left w:w="113" w:type="dxa"/>
              <w:bottom w:w="113" w:type="dxa"/>
              <w:right w:w="113" w:type="dxa"/>
            </w:tcMar>
            <w:vAlign w:val="bottom"/>
          </w:tcPr>
          <w:p w14:paraId="34184478" w14:textId="77777777" w:rsidR="00154D35" w:rsidRPr="00154D35" w:rsidRDefault="00154D35" w:rsidP="00154D35">
            <w:pPr>
              <w:pStyle w:val="CDITable-HeaderRowLeft"/>
            </w:pPr>
            <w:r w:rsidRPr="00154D35">
              <w:t>Category</w:t>
            </w:r>
          </w:p>
        </w:tc>
        <w:tc>
          <w:tcPr>
            <w:tcW w:w="1701" w:type="dxa"/>
            <w:vMerge w:val="restart"/>
            <w:shd w:val="clear" w:color="auto" w:fill="1E4496" w:themeFill="text2"/>
            <w:tcMar>
              <w:top w:w="113" w:type="dxa"/>
              <w:left w:w="113" w:type="dxa"/>
              <w:bottom w:w="113" w:type="dxa"/>
              <w:right w:w="113" w:type="dxa"/>
            </w:tcMar>
            <w:vAlign w:val="bottom"/>
          </w:tcPr>
          <w:p w14:paraId="22076DF0" w14:textId="77777777" w:rsidR="00154D35" w:rsidRPr="004E078E" w:rsidRDefault="00154D35" w:rsidP="004E078E">
            <w:pPr>
              <w:pStyle w:val="CDITable-HeaderRowLeft"/>
            </w:pPr>
            <w:r w:rsidRPr="004E078E">
              <w:t>Characteristic</w:t>
            </w:r>
          </w:p>
        </w:tc>
        <w:tc>
          <w:tcPr>
            <w:tcW w:w="2438" w:type="dxa"/>
            <w:gridSpan w:val="2"/>
            <w:tcBorders>
              <w:bottom w:val="single" w:sz="6" w:space="0" w:color="FFFFFF" w:themeColor="background1"/>
            </w:tcBorders>
            <w:shd w:val="clear" w:color="auto" w:fill="1E4496" w:themeFill="text2"/>
            <w:tcMar>
              <w:top w:w="113" w:type="dxa"/>
              <w:left w:w="113" w:type="dxa"/>
              <w:bottom w:w="113" w:type="dxa"/>
              <w:right w:w="113" w:type="dxa"/>
            </w:tcMar>
            <w:vAlign w:val="bottom"/>
          </w:tcPr>
          <w:p w14:paraId="12114876" w14:textId="74A895A6" w:rsidR="00154D35" w:rsidRPr="00154D35" w:rsidRDefault="00154D35" w:rsidP="00154D35">
            <w:pPr>
              <w:pStyle w:val="CDITable-HeaderRowCentre"/>
            </w:pPr>
            <w:r w:rsidRPr="00154D35">
              <w:rPr>
                <w:i/>
                <w:iCs/>
              </w:rPr>
              <w:t>Enterococcus</w:t>
            </w:r>
            <w:r w:rsidRPr="00154D35">
              <w:t xml:space="preserve"> spp. (N</w:t>
            </w:r>
            <w:r>
              <w:t> </w:t>
            </w:r>
            <w:r w:rsidRPr="00154D35">
              <w:t>=</w:t>
            </w:r>
            <w:r>
              <w:t> </w:t>
            </w:r>
            <w:r w:rsidRPr="00154D35">
              <w:t>185)</w:t>
            </w:r>
          </w:p>
        </w:tc>
        <w:tc>
          <w:tcPr>
            <w:tcW w:w="2438" w:type="dxa"/>
            <w:gridSpan w:val="2"/>
            <w:tcBorders>
              <w:bottom w:val="single" w:sz="6" w:space="0" w:color="FFFFFF" w:themeColor="background1"/>
            </w:tcBorders>
            <w:shd w:val="clear" w:color="auto" w:fill="1E4496" w:themeFill="text2"/>
            <w:tcMar>
              <w:top w:w="113" w:type="dxa"/>
              <w:left w:w="113" w:type="dxa"/>
              <w:bottom w:w="113" w:type="dxa"/>
              <w:right w:w="113" w:type="dxa"/>
            </w:tcMar>
            <w:vAlign w:val="bottom"/>
          </w:tcPr>
          <w:p w14:paraId="3C159A27" w14:textId="77777777" w:rsidR="00154D35" w:rsidRPr="00154D35" w:rsidRDefault="00154D35" w:rsidP="00154D35">
            <w:pPr>
              <w:pStyle w:val="CDITable-HeaderRowCentre"/>
            </w:pPr>
            <w:r w:rsidRPr="00154D35">
              <w:rPr>
                <w:i/>
                <w:iCs/>
              </w:rPr>
              <w:t>S. aureus</w:t>
            </w:r>
            <w:r w:rsidRPr="00154D35">
              <w:br/>
              <w:t>(N = 593)</w:t>
            </w:r>
          </w:p>
        </w:tc>
        <w:tc>
          <w:tcPr>
            <w:tcW w:w="2438" w:type="dxa"/>
            <w:gridSpan w:val="2"/>
            <w:tcBorders>
              <w:bottom w:val="single" w:sz="6" w:space="0" w:color="FFFFFF" w:themeColor="background1"/>
            </w:tcBorders>
            <w:shd w:val="clear" w:color="auto" w:fill="1E4496" w:themeFill="text2"/>
            <w:tcMar>
              <w:top w:w="113" w:type="dxa"/>
              <w:left w:w="113" w:type="dxa"/>
              <w:bottom w:w="113" w:type="dxa"/>
              <w:right w:w="113" w:type="dxa"/>
            </w:tcMar>
            <w:vAlign w:val="bottom"/>
          </w:tcPr>
          <w:p w14:paraId="23C7A85B" w14:textId="77777777" w:rsidR="00154D35" w:rsidRPr="00154D35" w:rsidRDefault="00154D35" w:rsidP="00154D35">
            <w:pPr>
              <w:pStyle w:val="CDITable-HeaderRowCentre"/>
            </w:pPr>
            <w:r w:rsidRPr="00154D35">
              <w:t>Gram-negative bacteria (N = 967)</w:t>
            </w:r>
          </w:p>
        </w:tc>
        <w:tc>
          <w:tcPr>
            <w:tcW w:w="2437" w:type="dxa"/>
            <w:gridSpan w:val="2"/>
            <w:tcBorders>
              <w:bottom w:val="single" w:sz="6" w:space="0" w:color="FFFFFF" w:themeColor="background1"/>
            </w:tcBorders>
            <w:shd w:val="clear" w:color="auto" w:fill="1E4496" w:themeFill="text2"/>
            <w:tcMar>
              <w:top w:w="113" w:type="dxa"/>
              <w:left w:w="113" w:type="dxa"/>
              <w:bottom w:w="113" w:type="dxa"/>
              <w:right w:w="113" w:type="dxa"/>
            </w:tcMar>
            <w:vAlign w:val="bottom"/>
          </w:tcPr>
          <w:p w14:paraId="3D926AE6" w14:textId="77777777" w:rsidR="00154D35" w:rsidRPr="00154D35" w:rsidRDefault="00154D35" w:rsidP="00154D35">
            <w:pPr>
              <w:pStyle w:val="CDITable-HeaderRowCentre"/>
            </w:pPr>
            <w:r w:rsidRPr="00154D35">
              <w:t xml:space="preserve">Total patients </w:t>
            </w:r>
            <w:r w:rsidRPr="00154D35">
              <w:br/>
              <w:t xml:space="preserve">(N = </w:t>
            </w:r>
            <w:proofErr w:type="gramStart"/>
            <w:r w:rsidRPr="00154D35">
              <w:t>1,745)</w:t>
            </w:r>
            <w:r w:rsidRPr="00154D35">
              <w:rPr>
                <w:vertAlign w:val="superscript"/>
              </w:rPr>
              <w:t>a</w:t>
            </w:r>
            <w:proofErr w:type="gramEnd"/>
          </w:p>
        </w:tc>
      </w:tr>
      <w:tr w:rsidR="00154D35" w:rsidRPr="00154D35" w14:paraId="39F6ECC3" w14:textId="77777777" w:rsidTr="00E10C2B">
        <w:trPr>
          <w:trHeight w:val="60"/>
          <w:tblHeader/>
        </w:trPr>
        <w:tc>
          <w:tcPr>
            <w:tcW w:w="2891" w:type="dxa"/>
            <w:vMerge/>
            <w:shd w:val="clear" w:color="auto" w:fill="1E4496" w:themeFill="text2"/>
          </w:tcPr>
          <w:p w14:paraId="06252B67" w14:textId="77777777" w:rsidR="00154D35" w:rsidRPr="00154D35" w:rsidRDefault="00154D35" w:rsidP="00154D35"/>
        </w:tc>
        <w:tc>
          <w:tcPr>
            <w:tcW w:w="1701" w:type="dxa"/>
            <w:vMerge/>
            <w:shd w:val="clear" w:color="auto" w:fill="1E4496" w:themeFill="text2"/>
          </w:tcPr>
          <w:p w14:paraId="5AFECDBB" w14:textId="77777777" w:rsidR="00154D35" w:rsidRPr="00154D35" w:rsidRDefault="00154D35" w:rsidP="00154D35"/>
        </w:tc>
        <w:tc>
          <w:tcPr>
            <w:tcW w:w="1219" w:type="dxa"/>
            <w:tcBorders>
              <w:top w:val="single" w:sz="6" w:space="0" w:color="FFFFFF" w:themeColor="background1"/>
            </w:tcBorders>
            <w:shd w:val="clear" w:color="auto" w:fill="1E4496" w:themeFill="text2"/>
            <w:tcMar>
              <w:top w:w="113" w:type="dxa"/>
              <w:left w:w="113" w:type="dxa"/>
              <w:bottom w:w="113" w:type="dxa"/>
              <w:right w:w="113" w:type="dxa"/>
            </w:tcMar>
            <w:vAlign w:val="bottom"/>
          </w:tcPr>
          <w:p w14:paraId="7C276B6D" w14:textId="77777777" w:rsidR="00154D35" w:rsidRPr="00154D35" w:rsidRDefault="00154D35" w:rsidP="00154D35">
            <w:pPr>
              <w:pStyle w:val="CDITable-HeaderRowCentre"/>
            </w:pPr>
            <w:r w:rsidRPr="00154D35">
              <w:t>n</w:t>
            </w:r>
          </w:p>
        </w:tc>
        <w:tc>
          <w:tcPr>
            <w:tcW w:w="1219" w:type="dxa"/>
            <w:tcBorders>
              <w:top w:val="single" w:sz="6" w:space="0" w:color="FFFFFF" w:themeColor="background1"/>
              <w:right w:val="single" w:sz="6" w:space="0" w:color="FFFFFF" w:themeColor="background1"/>
            </w:tcBorders>
            <w:shd w:val="clear" w:color="auto" w:fill="1E4496" w:themeFill="text2"/>
            <w:tcMar>
              <w:top w:w="113" w:type="dxa"/>
              <w:left w:w="113" w:type="dxa"/>
              <w:bottom w:w="113" w:type="dxa"/>
              <w:right w:w="113" w:type="dxa"/>
            </w:tcMar>
            <w:vAlign w:val="bottom"/>
          </w:tcPr>
          <w:p w14:paraId="0F513567" w14:textId="77777777" w:rsidR="00154D35" w:rsidRPr="00154D35" w:rsidRDefault="00154D35" w:rsidP="00154D35">
            <w:pPr>
              <w:pStyle w:val="CDITable-HeaderRowCentre"/>
            </w:pPr>
            <w:r w:rsidRPr="00154D35">
              <w:t>%</w:t>
            </w:r>
          </w:p>
        </w:tc>
        <w:tc>
          <w:tcPr>
            <w:tcW w:w="1219" w:type="dxa"/>
            <w:tcBorders>
              <w:top w:val="single" w:sz="6" w:space="0" w:color="FFFFFF" w:themeColor="background1"/>
              <w:left w:val="single" w:sz="6" w:space="0" w:color="FFFFFF" w:themeColor="background1"/>
            </w:tcBorders>
            <w:shd w:val="clear" w:color="auto" w:fill="1E4496" w:themeFill="text2"/>
            <w:tcMar>
              <w:top w:w="113" w:type="dxa"/>
              <w:left w:w="113" w:type="dxa"/>
              <w:bottom w:w="113" w:type="dxa"/>
              <w:right w:w="113" w:type="dxa"/>
            </w:tcMar>
            <w:vAlign w:val="bottom"/>
          </w:tcPr>
          <w:p w14:paraId="397A6D2F" w14:textId="77777777" w:rsidR="00154D35" w:rsidRPr="00154D35" w:rsidRDefault="00154D35" w:rsidP="00154D35">
            <w:pPr>
              <w:pStyle w:val="CDITable-HeaderRowCentre"/>
            </w:pPr>
            <w:r w:rsidRPr="00154D35">
              <w:t>n</w:t>
            </w:r>
          </w:p>
        </w:tc>
        <w:tc>
          <w:tcPr>
            <w:tcW w:w="1219" w:type="dxa"/>
            <w:tcBorders>
              <w:top w:val="single" w:sz="6" w:space="0" w:color="FFFFFF" w:themeColor="background1"/>
              <w:right w:val="single" w:sz="6" w:space="0" w:color="FFFFFF" w:themeColor="background1"/>
            </w:tcBorders>
            <w:shd w:val="clear" w:color="auto" w:fill="1E4496" w:themeFill="text2"/>
            <w:tcMar>
              <w:top w:w="113" w:type="dxa"/>
              <w:left w:w="113" w:type="dxa"/>
              <w:bottom w:w="113" w:type="dxa"/>
              <w:right w:w="113" w:type="dxa"/>
            </w:tcMar>
            <w:vAlign w:val="bottom"/>
          </w:tcPr>
          <w:p w14:paraId="28BB89D4" w14:textId="77777777" w:rsidR="00154D35" w:rsidRPr="00154D35" w:rsidRDefault="00154D35" w:rsidP="00154D35">
            <w:pPr>
              <w:pStyle w:val="CDITable-HeaderRowCentre"/>
            </w:pPr>
            <w:r w:rsidRPr="00154D35">
              <w:t>%</w:t>
            </w:r>
          </w:p>
        </w:tc>
        <w:tc>
          <w:tcPr>
            <w:tcW w:w="1219" w:type="dxa"/>
            <w:tcBorders>
              <w:top w:val="single" w:sz="6" w:space="0" w:color="FFFFFF" w:themeColor="background1"/>
              <w:left w:val="single" w:sz="6" w:space="0" w:color="FFFFFF" w:themeColor="background1"/>
            </w:tcBorders>
            <w:shd w:val="clear" w:color="auto" w:fill="1E4496" w:themeFill="text2"/>
            <w:tcMar>
              <w:top w:w="113" w:type="dxa"/>
              <w:left w:w="113" w:type="dxa"/>
              <w:bottom w:w="113" w:type="dxa"/>
              <w:right w:w="113" w:type="dxa"/>
            </w:tcMar>
            <w:vAlign w:val="bottom"/>
          </w:tcPr>
          <w:p w14:paraId="3DA3571E" w14:textId="77777777" w:rsidR="00154D35" w:rsidRPr="00154D35" w:rsidRDefault="00154D35" w:rsidP="00154D35">
            <w:pPr>
              <w:pStyle w:val="CDITable-HeaderRowCentre"/>
            </w:pPr>
            <w:r w:rsidRPr="00154D35">
              <w:t>n</w:t>
            </w:r>
          </w:p>
        </w:tc>
        <w:tc>
          <w:tcPr>
            <w:tcW w:w="1219" w:type="dxa"/>
            <w:tcBorders>
              <w:top w:val="single" w:sz="6" w:space="0" w:color="FFFFFF" w:themeColor="background1"/>
              <w:right w:val="single" w:sz="6" w:space="0" w:color="FFFFFF" w:themeColor="background1"/>
            </w:tcBorders>
            <w:shd w:val="clear" w:color="auto" w:fill="1E4496" w:themeFill="text2"/>
            <w:tcMar>
              <w:top w:w="113" w:type="dxa"/>
              <w:left w:w="113" w:type="dxa"/>
              <w:bottom w:w="113" w:type="dxa"/>
              <w:right w:w="113" w:type="dxa"/>
            </w:tcMar>
            <w:vAlign w:val="bottom"/>
          </w:tcPr>
          <w:p w14:paraId="3E51F037" w14:textId="77777777" w:rsidR="00154D35" w:rsidRPr="00154D35" w:rsidRDefault="00154D35" w:rsidP="00154D35">
            <w:pPr>
              <w:pStyle w:val="CDITable-HeaderRowCentre"/>
            </w:pPr>
            <w:r w:rsidRPr="00154D35">
              <w:t>%</w:t>
            </w:r>
          </w:p>
        </w:tc>
        <w:tc>
          <w:tcPr>
            <w:tcW w:w="1218" w:type="dxa"/>
            <w:tcBorders>
              <w:top w:val="single" w:sz="6" w:space="0" w:color="FFFFFF" w:themeColor="background1"/>
              <w:left w:val="single" w:sz="6" w:space="0" w:color="FFFFFF" w:themeColor="background1"/>
            </w:tcBorders>
            <w:shd w:val="clear" w:color="auto" w:fill="1E4496" w:themeFill="text2"/>
            <w:tcMar>
              <w:top w:w="113" w:type="dxa"/>
              <w:left w:w="113" w:type="dxa"/>
              <w:bottom w:w="113" w:type="dxa"/>
              <w:right w:w="113" w:type="dxa"/>
            </w:tcMar>
            <w:vAlign w:val="bottom"/>
          </w:tcPr>
          <w:p w14:paraId="68795168" w14:textId="77777777" w:rsidR="00154D35" w:rsidRPr="00154D35" w:rsidRDefault="00154D35" w:rsidP="00154D35">
            <w:pPr>
              <w:pStyle w:val="CDITable-HeaderRowCentre"/>
            </w:pPr>
            <w:r w:rsidRPr="00154D35">
              <w:t>n</w:t>
            </w:r>
          </w:p>
        </w:tc>
        <w:tc>
          <w:tcPr>
            <w:tcW w:w="1219" w:type="dxa"/>
            <w:tcBorders>
              <w:top w:val="single" w:sz="6" w:space="0" w:color="FFFFFF" w:themeColor="background1"/>
            </w:tcBorders>
            <w:shd w:val="clear" w:color="auto" w:fill="1E4496" w:themeFill="text2"/>
            <w:tcMar>
              <w:top w:w="113" w:type="dxa"/>
              <w:left w:w="113" w:type="dxa"/>
              <w:bottom w:w="113" w:type="dxa"/>
              <w:right w:w="113" w:type="dxa"/>
            </w:tcMar>
            <w:vAlign w:val="bottom"/>
          </w:tcPr>
          <w:p w14:paraId="11350469" w14:textId="77777777" w:rsidR="00154D35" w:rsidRPr="00154D35" w:rsidRDefault="00154D35" w:rsidP="00154D35">
            <w:pPr>
              <w:pStyle w:val="CDITable-HeaderRowCentre"/>
            </w:pPr>
            <w:r w:rsidRPr="00154D35">
              <w:t>%</w:t>
            </w:r>
          </w:p>
        </w:tc>
      </w:tr>
      <w:tr w:rsidR="00154D35" w:rsidRPr="00154D35" w14:paraId="200E9732" w14:textId="77777777" w:rsidTr="00E10C2B">
        <w:trPr>
          <w:trHeight w:val="60"/>
        </w:trPr>
        <w:tc>
          <w:tcPr>
            <w:tcW w:w="2891" w:type="dxa"/>
            <w:vMerge w:val="restart"/>
            <w:tcBorders>
              <w:bottom w:val="single" w:sz="6" w:space="0" w:color="1E4496" w:themeColor="text2"/>
            </w:tcBorders>
            <w:shd w:val="clear" w:color="auto" w:fill="DCF4FC" w:themeFill="background2" w:themeFillTint="33"/>
            <w:tcMar>
              <w:top w:w="102" w:type="dxa"/>
              <w:left w:w="113" w:type="dxa"/>
              <w:bottom w:w="102" w:type="dxa"/>
              <w:right w:w="113" w:type="dxa"/>
            </w:tcMar>
            <w:vAlign w:val="center"/>
          </w:tcPr>
          <w:p w14:paraId="50E5CCA8" w14:textId="77777777" w:rsidR="00154D35" w:rsidRPr="00154D35" w:rsidRDefault="00154D35" w:rsidP="00154D35">
            <w:pPr>
              <w:pStyle w:val="CDITable-RowLeft"/>
            </w:pPr>
            <w:r w:rsidRPr="00154D35">
              <w:t>Age (years)</w:t>
            </w:r>
          </w:p>
        </w:tc>
        <w:tc>
          <w:tcPr>
            <w:tcW w:w="1701" w:type="dxa"/>
            <w:tcBorders>
              <w:bottom w:val="single" w:sz="6" w:space="0" w:color="1E4496" w:themeColor="text2"/>
            </w:tcBorders>
            <w:tcMar>
              <w:top w:w="102" w:type="dxa"/>
              <w:left w:w="113" w:type="dxa"/>
              <w:bottom w:w="102" w:type="dxa"/>
              <w:right w:w="113" w:type="dxa"/>
            </w:tcMar>
            <w:vAlign w:val="center"/>
          </w:tcPr>
          <w:p w14:paraId="1AE91E61" w14:textId="77777777" w:rsidR="00154D35" w:rsidRPr="00154D35" w:rsidRDefault="00154D35" w:rsidP="00154D35">
            <w:pPr>
              <w:pStyle w:val="CDITable-RowLeft"/>
            </w:pPr>
            <w:r w:rsidRPr="00154D35">
              <w:t>Median</w:t>
            </w:r>
          </w:p>
        </w:tc>
        <w:tc>
          <w:tcPr>
            <w:tcW w:w="1219" w:type="dxa"/>
            <w:tcBorders>
              <w:bottom w:val="single" w:sz="6" w:space="0" w:color="1E4496" w:themeColor="text2"/>
            </w:tcBorders>
            <w:tcMar>
              <w:top w:w="102" w:type="dxa"/>
              <w:left w:w="113" w:type="dxa"/>
              <w:bottom w:w="102" w:type="dxa"/>
              <w:right w:w="113" w:type="dxa"/>
            </w:tcMar>
            <w:vAlign w:val="center"/>
          </w:tcPr>
          <w:p w14:paraId="7C3F1E71" w14:textId="77777777" w:rsidR="00154D35" w:rsidRPr="00154D35" w:rsidRDefault="00154D35" w:rsidP="00154D35">
            <w:pPr>
              <w:pStyle w:val="CDITable-RowCentre"/>
            </w:pPr>
            <w:r w:rsidRPr="00154D35">
              <w:t>&lt; 1</w:t>
            </w:r>
          </w:p>
        </w:tc>
        <w:tc>
          <w:tcPr>
            <w:tcW w:w="1219" w:type="dxa"/>
            <w:tcBorders>
              <w:bottom w:val="single" w:sz="6" w:space="0" w:color="1E4496" w:themeColor="text2"/>
              <w:right w:val="single" w:sz="6" w:space="0" w:color="1E4496" w:themeColor="text2"/>
            </w:tcBorders>
            <w:tcMar>
              <w:top w:w="102" w:type="dxa"/>
              <w:left w:w="113" w:type="dxa"/>
              <w:bottom w:w="102" w:type="dxa"/>
              <w:right w:w="113" w:type="dxa"/>
            </w:tcMar>
            <w:vAlign w:val="center"/>
          </w:tcPr>
          <w:p w14:paraId="1C7FBF87" w14:textId="77777777" w:rsidR="00154D35" w:rsidRPr="00154D35" w:rsidRDefault="00154D35" w:rsidP="00154D35">
            <w:pPr>
              <w:pStyle w:val="CDITable-RowCentre"/>
            </w:pPr>
            <w:r w:rsidRPr="00154D35">
              <w:t>—</w:t>
            </w:r>
          </w:p>
        </w:tc>
        <w:tc>
          <w:tcPr>
            <w:tcW w:w="1219" w:type="dxa"/>
            <w:tcBorders>
              <w:left w:val="single" w:sz="6" w:space="0" w:color="1E4496" w:themeColor="text2"/>
              <w:bottom w:val="single" w:sz="6" w:space="0" w:color="1E4496" w:themeColor="text2"/>
            </w:tcBorders>
            <w:tcMar>
              <w:top w:w="102" w:type="dxa"/>
              <w:left w:w="113" w:type="dxa"/>
              <w:bottom w:w="102" w:type="dxa"/>
              <w:right w:w="113" w:type="dxa"/>
            </w:tcMar>
            <w:vAlign w:val="center"/>
          </w:tcPr>
          <w:p w14:paraId="6BE355DD" w14:textId="77777777" w:rsidR="00154D35" w:rsidRPr="00154D35" w:rsidRDefault="00154D35" w:rsidP="00154D35">
            <w:pPr>
              <w:pStyle w:val="CDITable-RowCentre"/>
            </w:pPr>
            <w:r w:rsidRPr="00154D35">
              <w:t>6</w:t>
            </w:r>
          </w:p>
        </w:tc>
        <w:tc>
          <w:tcPr>
            <w:tcW w:w="1219" w:type="dxa"/>
            <w:tcBorders>
              <w:bottom w:val="single" w:sz="6" w:space="0" w:color="1E4496" w:themeColor="text2"/>
              <w:right w:val="single" w:sz="6" w:space="0" w:color="1E4496" w:themeColor="text2"/>
            </w:tcBorders>
            <w:tcMar>
              <w:top w:w="102" w:type="dxa"/>
              <w:left w:w="113" w:type="dxa"/>
              <w:bottom w:w="102" w:type="dxa"/>
              <w:right w:w="113" w:type="dxa"/>
            </w:tcMar>
            <w:vAlign w:val="center"/>
          </w:tcPr>
          <w:p w14:paraId="0B61E57E" w14:textId="77777777" w:rsidR="00154D35" w:rsidRPr="00154D35" w:rsidRDefault="00154D35" w:rsidP="00154D35">
            <w:pPr>
              <w:pStyle w:val="CDITable-RowCentre"/>
            </w:pPr>
            <w:r w:rsidRPr="00154D35">
              <w:t>—</w:t>
            </w:r>
          </w:p>
        </w:tc>
        <w:tc>
          <w:tcPr>
            <w:tcW w:w="1219" w:type="dxa"/>
            <w:tcBorders>
              <w:left w:val="single" w:sz="6" w:space="0" w:color="1E4496" w:themeColor="text2"/>
              <w:bottom w:val="single" w:sz="6" w:space="0" w:color="1E4496" w:themeColor="text2"/>
            </w:tcBorders>
            <w:tcMar>
              <w:top w:w="102" w:type="dxa"/>
              <w:left w:w="113" w:type="dxa"/>
              <w:bottom w:w="102" w:type="dxa"/>
              <w:right w:w="113" w:type="dxa"/>
            </w:tcMar>
            <w:vAlign w:val="center"/>
          </w:tcPr>
          <w:p w14:paraId="45ADBCF5" w14:textId="77777777" w:rsidR="00154D35" w:rsidRPr="00154D35" w:rsidRDefault="00154D35" w:rsidP="00154D35">
            <w:pPr>
              <w:pStyle w:val="CDITable-RowCentre"/>
            </w:pPr>
            <w:r w:rsidRPr="00154D35">
              <w:t>1</w:t>
            </w:r>
          </w:p>
        </w:tc>
        <w:tc>
          <w:tcPr>
            <w:tcW w:w="1219" w:type="dxa"/>
            <w:tcBorders>
              <w:bottom w:val="single" w:sz="6" w:space="0" w:color="1E4496" w:themeColor="text2"/>
              <w:right w:val="single" w:sz="6" w:space="0" w:color="1E4496" w:themeColor="text2"/>
            </w:tcBorders>
            <w:tcMar>
              <w:top w:w="102" w:type="dxa"/>
              <w:left w:w="113" w:type="dxa"/>
              <w:bottom w:w="102" w:type="dxa"/>
              <w:right w:w="113" w:type="dxa"/>
            </w:tcMar>
            <w:vAlign w:val="center"/>
          </w:tcPr>
          <w:p w14:paraId="3536E6F6" w14:textId="77777777" w:rsidR="00154D35" w:rsidRPr="00154D35" w:rsidRDefault="00154D35" w:rsidP="00154D35">
            <w:pPr>
              <w:pStyle w:val="CDITable-RowCentre"/>
            </w:pPr>
            <w:r w:rsidRPr="00154D35">
              <w:t>—</w:t>
            </w:r>
          </w:p>
        </w:tc>
        <w:tc>
          <w:tcPr>
            <w:tcW w:w="1218" w:type="dxa"/>
            <w:tcBorders>
              <w:left w:val="single" w:sz="6" w:space="0" w:color="1E4496" w:themeColor="text2"/>
              <w:bottom w:val="single" w:sz="6" w:space="0" w:color="1E4496" w:themeColor="text2"/>
            </w:tcBorders>
            <w:tcMar>
              <w:top w:w="102" w:type="dxa"/>
              <w:left w:w="113" w:type="dxa"/>
              <w:bottom w:w="102" w:type="dxa"/>
              <w:right w:w="113" w:type="dxa"/>
            </w:tcMar>
            <w:vAlign w:val="center"/>
          </w:tcPr>
          <w:p w14:paraId="16472AAF" w14:textId="77777777" w:rsidR="00154D35" w:rsidRPr="00154D35" w:rsidRDefault="00154D35" w:rsidP="00154D35">
            <w:pPr>
              <w:pStyle w:val="CDITable-RowCentre"/>
            </w:pPr>
            <w:r w:rsidRPr="00154D35">
              <w:t>2</w:t>
            </w:r>
          </w:p>
        </w:tc>
        <w:tc>
          <w:tcPr>
            <w:tcW w:w="1219" w:type="dxa"/>
            <w:tcBorders>
              <w:bottom w:val="single" w:sz="6" w:space="0" w:color="1E4496" w:themeColor="text2"/>
            </w:tcBorders>
            <w:tcMar>
              <w:top w:w="102" w:type="dxa"/>
              <w:left w:w="113" w:type="dxa"/>
              <w:bottom w:w="102" w:type="dxa"/>
              <w:right w:w="113" w:type="dxa"/>
            </w:tcMar>
            <w:vAlign w:val="center"/>
          </w:tcPr>
          <w:p w14:paraId="433D41B5" w14:textId="77777777" w:rsidR="00154D35" w:rsidRPr="00154D35" w:rsidRDefault="00154D35" w:rsidP="00154D35">
            <w:pPr>
              <w:pStyle w:val="CDITable-RowCentre"/>
            </w:pPr>
            <w:r w:rsidRPr="00154D35">
              <w:t>—</w:t>
            </w:r>
          </w:p>
        </w:tc>
      </w:tr>
      <w:tr w:rsidR="00154D35" w:rsidRPr="00154D35" w14:paraId="1253CFA9" w14:textId="77777777" w:rsidTr="00E10C2B">
        <w:trPr>
          <w:trHeight w:val="60"/>
        </w:trPr>
        <w:tc>
          <w:tcPr>
            <w:tcW w:w="2891" w:type="dxa"/>
            <w:vMerge/>
            <w:tcBorders>
              <w:bottom w:val="single" w:sz="6" w:space="0" w:color="1E4496" w:themeColor="text2"/>
            </w:tcBorders>
            <w:shd w:val="clear" w:color="auto" w:fill="DCF4FC" w:themeFill="background2" w:themeFillTint="33"/>
            <w:tcMar>
              <w:top w:w="102" w:type="dxa"/>
              <w:bottom w:w="102" w:type="dxa"/>
            </w:tcMar>
          </w:tcPr>
          <w:p w14:paraId="6ACB15DB" w14:textId="77777777" w:rsidR="00154D35" w:rsidRPr="00154D35" w:rsidRDefault="00154D35" w:rsidP="00154D35">
            <w:pPr>
              <w:pStyle w:val="CDITable-RowLeft"/>
            </w:pPr>
          </w:p>
        </w:tc>
        <w:tc>
          <w:tcPr>
            <w:tcW w:w="1701"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0C125159" w14:textId="77777777" w:rsidR="00154D35" w:rsidRPr="00154D35" w:rsidRDefault="00154D35" w:rsidP="00154D35">
            <w:pPr>
              <w:pStyle w:val="CDITable-RowLeft"/>
            </w:pPr>
            <w:proofErr w:type="spellStart"/>
            <w:r w:rsidRPr="00154D35">
              <w:t>IQR</w:t>
            </w:r>
            <w:r w:rsidRPr="00E10C2B">
              <w:rPr>
                <w:vertAlign w:val="superscript"/>
              </w:rPr>
              <w:t>b</w:t>
            </w:r>
            <w:proofErr w:type="spellEnd"/>
          </w:p>
        </w:tc>
        <w:tc>
          <w:tcPr>
            <w:tcW w:w="1219"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35C76E44" w14:textId="77777777" w:rsidR="00154D35" w:rsidRPr="00154D35" w:rsidRDefault="00154D35" w:rsidP="00154D35">
            <w:pPr>
              <w:pStyle w:val="CDITable-RowCentre"/>
            </w:pPr>
            <w:r w:rsidRPr="00154D35">
              <w:t>0–5</w:t>
            </w:r>
          </w:p>
        </w:tc>
        <w:tc>
          <w:tcPr>
            <w:tcW w:w="1219" w:type="dxa"/>
            <w:tcBorders>
              <w:top w:val="single" w:sz="6" w:space="0" w:color="1E4496" w:themeColor="text2"/>
              <w:bottom w:val="single" w:sz="6" w:space="0" w:color="1E4496" w:themeColor="text2"/>
              <w:right w:val="single" w:sz="6" w:space="0" w:color="1E4496" w:themeColor="text2"/>
            </w:tcBorders>
            <w:tcMar>
              <w:top w:w="102" w:type="dxa"/>
              <w:left w:w="113" w:type="dxa"/>
              <w:bottom w:w="102" w:type="dxa"/>
              <w:right w:w="113" w:type="dxa"/>
            </w:tcMar>
            <w:vAlign w:val="center"/>
          </w:tcPr>
          <w:p w14:paraId="3EDE039D" w14:textId="77777777" w:rsidR="00154D35" w:rsidRPr="00154D35" w:rsidRDefault="00154D35" w:rsidP="00154D35">
            <w:pPr>
              <w:pStyle w:val="CDITable-RowCentre"/>
            </w:pPr>
            <w:r w:rsidRPr="00154D35">
              <w:t>—</w:t>
            </w:r>
          </w:p>
        </w:tc>
        <w:tc>
          <w:tcPr>
            <w:tcW w:w="1219" w:type="dxa"/>
            <w:tcBorders>
              <w:top w:val="single" w:sz="6" w:space="0" w:color="1E4496" w:themeColor="text2"/>
              <w:left w:val="single" w:sz="6" w:space="0" w:color="1E4496" w:themeColor="text2"/>
              <w:bottom w:val="single" w:sz="6" w:space="0" w:color="1E4496" w:themeColor="text2"/>
            </w:tcBorders>
            <w:tcMar>
              <w:top w:w="102" w:type="dxa"/>
              <w:left w:w="113" w:type="dxa"/>
              <w:bottom w:w="102" w:type="dxa"/>
              <w:right w:w="113" w:type="dxa"/>
            </w:tcMar>
            <w:vAlign w:val="center"/>
          </w:tcPr>
          <w:p w14:paraId="663D80DD" w14:textId="77777777" w:rsidR="00154D35" w:rsidRPr="00154D35" w:rsidRDefault="00154D35" w:rsidP="00154D35">
            <w:pPr>
              <w:pStyle w:val="CDITable-RowCentre"/>
            </w:pPr>
            <w:r w:rsidRPr="00154D35">
              <w:t>0–12</w:t>
            </w:r>
          </w:p>
        </w:tc>
        <w:tc>
          <w:tcPr>
            <w:tcW w:w="1219" w:type="dxa"/>
            <w:tcBorders>
              <w:top w:val="single" w:sz="6" w:space="0" w:color="1E4496" w:themeColor="text2"/>
              <w:bottom w:val="single" w:sz="6" w:space="0" w:color="1E4496" w:themeColor="text2"/>
              <w:right w:val="single" w:sz="6" w:space="0" w:color="1E4496" w:themeColor="text2"/>
            </w:tcBorders>
            <w:tcMar>
              <w:top w:w="102" w:type="dxa"/>
              <w:left w:w="113" w:type="dxa"/>
              <w:bottom w:w="102" w:type="dxa"/>
              <w:right w:w="113" w:type="dxa"/>
            </w:tcMar>
            <w:vAlign w:val="center"/>
          </w:tcPr>
          <w:p w14:paraId="60858E87" w14:textId="77777777" w:rsidR="00154D35" w:rsidRPr="00154D35" w:rsidRDefault="00154D35" w:rsidP="00154D35">
            <w:pPr>
              <w:pStyle w:val="CDITable-RowCentre"/>
            </w:pPr>
            <w:r w:rsidRPr="00154D35">
              <w:t>—</w:t>
            </w:r>
          </w:p>
        </w:tc>
        <w:tc>
          <w:tcPr>
            <w:tcW w:w="1219" w:type="dxa"/>
            <w:tcBorders>
              <w:top w:val="single" w:sz="6" w:space="0" w:color="1E4496" w:themeColor="text2"/>
              <w:left w:val="single" w:sz="6" w:space="0" w:color="1E4496" w:themeColor="text2"/>
              <w:bottom w:val="single" w:sz="6" w:space="0" w:color="1E4496" w:themeColor="text2"/>
            </w:tcBorders>
            <w:tcMar>
              <w:top w:w="102" w:type="dxa"/>
              <w:left w:w="113" w:type="dxa"/>
              <w:bottom w:w="102" w:type="dxa"/>
              <w:right w:w="113" w:type="dxa"/>
            </w:tcMar>
            <w:vAlign w:val="center"/>
          </w:tcPr>
          <w:p w14:paraId="7EB9AEA0" w14:textId="77777777" w:rsidR="00154D35" w:rsidRPr="00154D35" w:rsidRDefault="00154D35" w:rsidP="00154D35">
            <w:pPr>
              <w:pStyle w:val="CDITable-RowCentre"/>
            </w:pPr>
            <w:r w:rsidRPr="00154D35">
              <w:t>0–9</w:t>
            </w:r>
          </w:p>
        </w:tc>
        <w:tc>
          <w:tcPr>
            <w:tcW w:w="1219" w:type="dxa"/>
            <w:tcBorders>
              <w:top w:val="single" w:sz="6" w:space="0" w:color="1E4496" w:themeColor="text2"/>
              <w:bottom w:val="single" w:sz="6" w:space="0" w:color="1E4496" w:themeColor="text2"/>
              <w:right w:val="single" w:sz="6" w:space="0" w:color="1E4496" w:themeColor="text2"/>
            </w:tcBorders>
            <w:tcMar>
              <w:top w:w="102" w:type="dxa"/>
              <w:left w:w="113" w:type="dxa"/>
              <w:bottom w:w="102" w:type="dxa"/>
              <w:right w:w="113" w:type="dxa"/>
            </w:tcMar>
            <w:vAlign w:val="center"/>
          </w:tcPr>
          <w:p w14:paraId="346D2B4F" w14:textId="77777777" w:rsidR="00154D35" w:rsidRPr="00154D35" w:rsidRDefault="00154D35" w:rsidP="00154D35">
            <w:pPr>
              <w:pStyle w:val="CDITable-RowCentre"/>
            </w:pPr>
            <w:r w:rsidRPr="00154D35">
              <w:t>—</w:t>
            </w:r>
          </w:p>
        </w:tc>
        <w:tc>
          <w:tcPr>
            <w:tcW w:w="1218" w:type="dxa"/>
            <w:tcBorders>
              <w:top w:val="single" w:sz="6" w:space="0" w:color="1E4496" w:themeColor="text2"/>
              <w:left w:val="single" w:sz="6" w:space="0" w:color="1E4496" w:themeColor="text2"/>
              <w:bottom w:val="single" w:sz="6" w:space="0" w:color="1E4496" w:themeColor="text2"/>
            </w:tcBorders>
            <w:tcMar>
              <w:top w:w="102" w:type="dxa"/>
              <w:left w:w="113" w:type="dxa"/>
              <w:bottom w:w="102" w:type="dxa"/>
              <w:right w:w="113" w:type="dxa"/>
            </w:tcMar>
            <w:vAlign w:val="center"/>
          </w:tcPr>
          <w:p w14:paraId="5B2340DA" w14:textId="77777777" w:rsidR="00154D35" w:rsidRPr="00154D35" w:rsidRDefault="00154D35" w:rsidP="00154D35">
            <w:pPr>
              <w:pStyle w:val="CDITable-RowCentre"/>
            </w:pPr>
            <w:r w:rsidRPr="00154D35">
              <w:t>0–10</w:t>
            </w:r>
          </w:p>
        </w:tc>
        <w:tc>
          <w:tcPr>
            <w:tcW w:w="1219"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727BCC26" w14:textId="77777777" w:rsidR="00154D35" w:rsidRPr="00154D35" w:rsidRDefault="00154D35" w:rsidP="00154D35">
            <w:pPr>
              <w:pStyle w:val="CDITable-RowCentre"/>
            </w:pPr>
            <w:r w:rsidRPr="00154D35">
              <w:t>—</w:t>
            </w:r>
          </w:p>
        </w:tc>
      </w:tr>
      <w:tr w:rsidR="00154D35" w:rsidRPr="00154D35" w14:paraId="29304969" w14:textId="77777777" w:rsidTr="00E10C2B">
        <w:trPr>
          <w:trHeight w:val="60"/>
        </w:trPr>
        <w:tc>
          <w:tcPr>
            <w:tcW w:w="2891" w:type="dxa"/>
            <w:vMerge w:val="restart"/>
            <w:tcBorders>
              <w:top w:val="single" w:sz="6" w:space="0" w:color="1E4496" w:themeColor="text2"/>
              <w:bottom w:val="single" w:sz="6" w:space="0" w:color="1E4496" w:themeColor="text2"/>
            </w:tcBorders>
            <w:shd w:val="clear" w:color="auto" w:fill="DCF4FC" w:themeFill="background2" w:themeFillTint="33"/>
            <w:tcMar>
              <w:top w:w="102" w:type="dxa"/>
              <w:left w:w="113" w:type="dxa"/>
              <w:bottom w:w="102" w:type="dxa"/>
              <w:right w:w="113" w:type="dxa"/>
            </w:tcMar>
            <w:vAlign w:val="center"/>
          </w:tcPr>
          <w:p w14:paraId="345231A1" w14:textId="77777777" w:rsidR="00154D35" w:rsidRPr="00154D35" w:rsidRDefault="00154D35" w:rsidP="00154D35">
            <w:pPr>
              <w:pStyle w:val="CDITable-RowLeft"/>
            </w:pPr>
            <w:r w:rsidRPr="00154D35">
              <w:t>Age group</w:t>
            </w:r>
          </w:p>
        </w:tc>
        <w:tc>
          <w:tcPr>
            <w:tcW w:w="1701"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5046BFE9" w14:textId="77777777" w:rsidR="00154D35" w:rsidRPr="00154D35" w:rsidRDefault="00154D35" w:rsidP="00154D35">
            <w:pPr>
              <w:pStyle w:val="CDITable-RowLeft"/>
            </w:pPr>
            <w:r w:rsidRPr="00154D35">
              <w:t>≤ 28 days</w:t>
            </w:r>
          </w:p>
        </w:tc>
        <w:tc>
          <w:tcPr>
            <w:tcW w:w="1219"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453D1FFE" w14:textId="77777777" w:rsidR="00154D35" w:rsidRPr="00154D35" w:rsidRDefault="00154D35" w:rsidP="00154D35">
            <w:pPr>
              <w:pStyle w:val="CDITable-RowCentre"/>
            </w:pPr>
            <w:r w:rsidRPr="00154D35">
              <w:t>46</w:t>
            </w:r>
          </w:p>
        </w:tc>
        <w:tc>
          <w:tcPr>
            <w:tcW w:w="1219" w:type="dxa"/>
            <w:tcBorders>
              <w:top w:val="single" w:sz="6" w:space="0" w:color="1E4496" w:themeColor="text2"/>
              <w:bottom w:val="single" w:sz="6" w:space="0" w:color="1E4496" w:themeColor="text2"/>
              <w:right w:val="single" w:sz="6" w:space="0" w:color="1E4496" w:themeColor="text2"/>
            </w:tcBorders>
            <w:tcMar>
              <w:top w:w="102" w:type="dxa"/>
              <w:left w:w="113" w:type="dxa"/>
              <w:bottom w:w="102" w:type="dxa"/>
              <w:right w:w="113" w:type="dxa"/>
            </w:tcMar>
            <w:vAlign w:val="center"/>
          </w:tcPr>
          <w:p w14:paraId="55011EA6" w14:textId="77777777" w:rsidR="00154D35" w:rsidRPr="00154D35" w:rsidRDefault="00154D35" w:rsidP="00154D35">
            <w:pPr>
              <w:pStyle w:val="CDITable-RowCentre"/>
            </w:pPr>
            <w:r w:rsidRPr="00154D35">
              <w:t>24.9</w:t>
            </w:r>
          </w:p>
        </w:tc>
        <w:tc>
          <w:tcPr>
            <w:tcW w:w="1219" w:type="dxa"/>
            <w:tcBorders>
              <w:top w:val="single" w:sz="6" w:space="0" w:color="1E4496" w:themeColor="text2"/>
              <w:left w:val="single" w:sz="6" w:space="0" w:color="1E4496" w:themeColor="text2"/>
              <w:bottom w:val="single" w:sz="6" w:space="0" w:color="1E4496" w:themeColor="text2"/>
            </w:tcBorders>
            <w:tcMar>
              <w:top w:w="102" w:type="dxa"/>
              <w:left w:w="113" w:type="dxa"/>
              <w:bottom w:w="102" w:type="dxa"/>
              <w:right w:w="113" w:type="dxa"/>
            </w:tcMar>
            <w:vAlign w:val="center"/>
          </w:tcPr>
          <w:p w14:paraId="2701BC2B" w14:textId="77777777" w:rsidR="00154D35" w:rsidRPr="00154D35" w:rsidRDefault="00154D35" w:rsidP="00154D35">
            <w:pPr>
              <w:pStyle w:val="CDITable-RowCentre"/>
            </w:pPr>
            <w:r w:rsidRPr="00154D35">
              <w:t>50</w:t>
            </w:r>
          </w:p>
        </w:tc>
        <w:tc>
          <w:tcPr>
            <w:tcW w:w="1219" w:type="dxa"/>
            <w:tcBorders>
              <w:top w:val="single" w:sz="6" w:space="0" w:color="1E4496" w:themeColor="text2"/>
              <w:bottom w:val="single" w:sz="6" w:space="0" w:color="1E4496" w:themeColor="text2"/>
              <w:right w:val="single" w:sz="6" w:space="0" w:color="1E4496" w:themeColor="text2"/>
            </w:tcBorders>
            <w:tcMar>
              <w:top w:w="102" w:type="dxa"/>
              <w:left w:w="113" w:type="dxa"/>
              <w:bottom w:w="102" w:type="dxa"/>
              <w:right w:w="113" w:type="dxa"/>
            </w:tcMar>
            <w:vAlign w:val="center"/>
          </w:tcPr>
          <w:p w14:paraId="089C8CC0" w14:textId="77777777" w:rsidR="00154D35" w:rsidRPr="00154D35" w:rsidRDefault="00154D35" w:rsidP="00154D35">
            <w:pPr>
              <w:pStyle w:val="CDITable-RowCentre"/>
            </w:pPr>
            <w:r w:rsidRPr="00154D35">
              <w:t>8.4</w:t>
            </w:r>
          </w:p>
        </w:tc>
        <w:tc>
          <w:tcPr>
            <w:tcW w:w="1219" w:type="dxa"/>
            <w:tcBorders>
              <w:top w:val="single" w:sz="6" w:space="0" w:color="1E4496" w:themeColor="text2"/>
              <w:left w:val="single" w:sz="6" w:space="0" w:color="1E4496" w:themeColor="text2"/>
              <w:bottom w:val="single" w:sz="6" w:space="0" w:color="1E4496" w:themeColor="text2"/>
            </w:tcBorders>
            <w:tcMar>
              <w:top w:w="102" w:type="dxa"/>
              <w:left w:w="113" w:type="dxa"/>
              <w:bottom w:w="102" w:type="dxa"/>
              <w:right w:w="113" w:type="dxa"/>
            </w:tcMar>
            <w:vAlign w:val="center"/>
          </w:tcPr>
          <w:p w14:paraId="78D04E08" w14:textId="77777777" w:rsidR="00154D35" w:rsidRPr="00154D35" w:rsidRDefault="00154D35" w:rsidP="00154D35">
            <w:pPr>
              <w:pStyle w:val="CDITable-RowCentre"/>
            </w:pPr>
            <w:r w:rsidRPr="00154D35">
              <w:t>194</w:t>
            </w:r>
          </w:p>
        </w:tc>
        <w:tc>
          <w:tcPr>
            <w:tcW w:w="1219" w:type="dxa"/>
            <w:tcBorders>
              <w:top w:val="single" w:sz="6" w:space="0" w:color="1E4496" w:themeColor="text2"/>
              <w:bottom w:val="single" w:sz="6" w:space="0" w:color="1E4496" w:themeColor="text2"/>
              <w:right w:val="single" w:sz="6" w:space="0" w:color="1E4496" w:themeColor="text2"/>
            </w:tcBorders>
            <w:tcMar>
              <w:top w:w="102" w:type="dxa"/>
              <w:left w:w="113" w:type="dxa"/>
              <w:bottom w:w="102" w:type="dxa"/>
              <w:right w:w="113" w:type="dxa"/>
            </w:tcMar>
            <w:vAlign w:val="center"/>
          </w:tcPr>
          <w:p w14:paraId="6A4E7028" w14:textId="77777777" w:rsidR="00154D35" w:rsidRPr="00154D35" w:rsidRDefault="00154D35" w:rsidP="00154D35">
            <w:pPr>
              <w:pStyle w:val="CDITable-RowCentre"/>
            </w:pPr>
            <w:r w:rsidRPr="00154D35">
              <w:t>20.1</w:t>
            </w:r>
          </w:p>
        </w:tc>
        <w:tc>
          <w:tcPr>
            <w:tcW w:w="1218" w:type="dxa"/>
            <w:tcBorders>
              <w:top w:val="single" w:sz="6" w:space="0" w:color="1E4496" w:themeColor="text2"/>
              <w:left w:val="single" w:sz="6" w:space="0" w:color="1E4496" w:themeColor="text2"/>
              <w:bottom w:val="single" w:sz="6" w:space="0" w:color="1E4496" w:themeColor="text2"/>
            </w:tcBorders>
            <w:tcMar>
              <w:top w:w="102" w:type="dxa"/>
              <w:left w:w="113" w:type="dxa"/>
              <w:bottom w:w="102" w:type="dxa"/>
              <w:right w:w="113" w:type="dxa"/>
            </w:tcMar>
            <w:vAlign w:val="center"/>
          </w:tcPr>
          <w:p w14:paraId="5E31940F" w14:textId="77777777" w:rsidR="00154D35" w:rsidRPr="00154D35" w:rsidRDefault="00154D35" w:rsidP="00154D35">
            <w:pPr>
              <w:pStyle w:val="CDITable-RowCentre"/>
            </w:pPr>
            <w:r w:rsidRPr="00154D35">
              <w:t>290</w:t>
            </w:r>
          </w:p>
        </w:tc>
        <w:tc>
          <w:tcPr>
            <w:tcW w:w="1219"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2F09E203" w14:textId="77777777" w:rsidR="00154D35" w:rsidRPr="00154D35" w:rsidRDefault="00154D35" w:rsidP="00154D35">
            <w:pPr>
              <w:pStyle w:val="CDITable-RowCentre"/>
            </w:pPr>
            <w:r w:rsidRPr="00154D35">
              <w:t>16.6</w:t>
            </w:r>
          </w:p>
        </w:tc>
      </w:tr>
      <w:tr w:rsidR="00154D35" w:rsidRPr="00154D35" w14:paraId="75C4C5C4" w14:textId="77777777" w:rsidTr="00E10C2B">
        <w:trPr>
          <w:trHeight w:val="60"/>
        </w:trPr>
        <w:tc>
          <w:tcPr>
            <w:tcW w:w="2891" w:type="dxa"/>
            <w:vMerge/>
            <w:tcBorders>
              <w:bottom w:val="single" w:sz="6" w:space="0" w:color="1E4496" w:themeColor="text2"/>
            </w:tcBorders>
            <w:shd w:val="clear" w:color="auto" w:fill="DCF4FC" w:themeFill="background2" w:themeFillTint="33"/>
            <w:tcMar>
              <w:top w:w="102" w:type="dxa"/>
              <w:bottom w:w="102" w:type="dxa"/>
            </w:tcMar>
          </w:tcPr>
          <w:p w14:paraId="3C7CFD16" w14:textId="77777777" w:rsidR="00154D35" w:rsidRPr="00154D35" w:rsidRDefault="00154D35" w:rsidP="00154D35">
            <w:pPr>
              <w:pStyle w:val="CDITable-RowLeft"/>
            </w:pPr>
          </w:p>
        </w:tc>
        <w:tc>
          <w:tcPr>
            <w:tcW w:w="1701"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22061AD2" w14:textId="77777777" w:rsidR="00154D35" w:rsidRPr="00154D35" w:rsidRDefault="00154D35" w:rsidP="00154D35">
            <w:pPr>
              <w:pStyle w:val="CDITable-RowLeft"/>
            </w:pPr>
            <w:r w:rsidRPr="00154D35">
              <w:t>29–90 days</w:t>
            </w:r>
          </w:p>
        </w:tc>
        <w:tc>
          <w:tcPr>
            <w:tcW w:w="1219"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5F3FBE5B" w14:textId="77777777" w:rsidR="00154D35" w:rsidRPr="00154D35" w:rsidRDefault="00154D35" w:rsidP="00154D35">
            <w:pPr>
              <w:pStyle w:val="CDITable-RowCentre"/>
            </w:pPr>
            <w:r w:rsidRPr="00154D35">
              <w:t>29</w:t>
            </w:r>
          </w:p>
        </w:tc>
        <w:tc>
          <w:tcPr>
            <w:tcW w:w="1219" w:type="dxa"/>
            <w:tcBorders>
              <w:top w:val="single" w:sz="6" w:space="0" w:color="1E4496" w:themeColor="text2"/>
              <w:bottom w:val="single" w:sz="6" w:space="0" w:color="1E4496" w:themeColor="text2"/>
              <w:right w:val="single" w:sz="6" w:space="0" w:color="1E4496" w:themeColor="text2"/>
            </w:tcBorders>
            <w:tcMar>
              <w:top w:w="102" w:type="dxa"/>
              <w:left w:w="113" w:type="dxa"/>
              <w:bottom w:w="102" w:type="dxa"/>
              <w:right w:w="113" w:type="dxa"/>
            </w:tcMar>
            <w:vAlign w:val="center"/>
          </w:tcPr>
          <w:p w14:paraId="2B76A19F" w14:textId="77777777" w:rsidR="00154D35" w:rsidRPr="00154D35" w:rsidRDefault="00154D35" w:rsidP="00154D35">
            <w:pPr>
              <w:pStyle w:val="CDITable-RowCentre"/>
            </w:pPr>
            <w:r w:rsidRPr="00154D35">
              <w:t>15.7</w:t>
            </w:r>
          </w:p>
        </w:tc>
        <w:tc>
          <w:tcPr>
            <w:tcW w:w="1219" w:type="dxa"/>
            <w:tcBorders>
              <w:top w:val="single" w:sz="6" w:space="0" w:color="1E4496" w:themeColor="text2"/>
              <w:left w:val="single" w:sz="6" w:space="0" w:color="1E4496" w:themeColor="text2"/>
              <w:bottom w:val="single" w:sz="6" w:space="0" w:color="1E4496" w:themeColor="text2"/>
            </w:tcBorders>
            <w:tcMar>
              <w:top w:w="102" w:type="dxa"/>
              <w:left w:w="113" w:type="dxa"/>
              <w:bottom w:w="102" w:type="dxa"/>
              <w:right w:w="113" w:type="dxa"/>
            </w:tcMar>
            <w:vAlign w:val="center"/>
          </w:tcPr>
          <w:p w14:paraId="01230E35" w14:textId="77777777" w:rsidR="00154D35" w:rsidRPr="00154D35" w:rsidRDefault="00154D35" w:rsidP="00154D35">
            <w:pPr>
              <w:pStyle w:val="CDITable-RowCentre"/>
            </w:pPr>
            <w:r w:rsidRPr="00154D35">
              <w:t>47</w:t>
            </w:r>
          </w:p>
        </w:tc>
        <w:tc>
          <w:tcPr>
            <w:tcW w:w="1219" w:type="dxa"/>
            <w:tcBorders>
              <w:top w:val="single" w:sz="6" w:space="0" w:color="1E4496" w:themeColor="text2"/>
              <w:bottom w:val="single" w:sz="6" w:space="0" w:color="1E4496" w:themeColor="text2"/>
              <w:right w:val="single" w:sz="6" w:space="0" w:color="1E4496" w:themeColor="text2"/>
            </w:tcBorders>
            <w:tcMar>
              <w:top w:w="102" w:type="dxa"/>
              <w:left w:w="113" w:type="dxa"/>
              <w:bottom w:w="102" w:type="dxa"/>
              <w:right w:w="113" w:type="dxa"/>
            </w:tcMar>
            <w:vAlign w:val="center"/>
          </w:tcPr>
          <w:p w14:paraId="38E4B8A2" w14:textId="77777777" w:rsidR="00154D35" w:rsidRPr="00154D35" w:rsidRDefault="00154D35" w:rsidP="00154D35">
            <w:pPr>
              <w:pStyle w:val="CDITable-RowCentre"/>
            </w:pPr>
            <w:r w:rsidRPr="00154D35">
              <w:t>7.9</w:t>
            </w:r>
          </w:p>
        </w:tc>
        <w:tc>
          <w:tcPr>
            <w:tcW w:w="1219" w:type="dxa"/>
            <w:tcBorders>
              <w:top w:val="single" w:sz="6" w:space="0" w:color="1E4496" w:themeColor="text2"/>
              <w:left w:val="single" w:sz="6" w:space="0" w:color="1E4496" w:themeColor="text2"/>
              <w:bottom w:val="single" w:sz="6" w:space="0" w:color="1E4496" w:themeColor="text2"/>
            </w:tcBorders>
            <w:tcMar>
              <w:top w:w="102" w:type="dxa"/>
              <w:left w:w="113" w:type="dxa"/>
              <w:bottom w:w="102" w:type="dxa"/>
              <w:right w:w="113" w:type="dxa"/>
            </w:tcMar>
            <w:vAlign w:val="center"/>
          </w:tcPr>
          <w:p w14:paraId="398BED3A" w14:textId="77777777" w:rsidR="00154D35" w:rsidRPr="00154D35" w:rsidRDefault="00154D35" w:rsidP="00154D35">
            <w:pPr>
              <w:pStyle w:val="CDITable-RowCentre"/>
            </w:pPr>
            <w:r w:rsidRPr="00154D35">
              <w:t>105</w:t>
            </w:r>
          </w:p>
        </w:tc>
        <w:tc>
          <w:tcPr>
            <w:tcW w:w="1219" w:type="dxa"/>
            <w:tcBorders>
              <w:top w:val="single" w:sz="6" w:space="0" w:color="1E4496" w:themeColor="text2"/>
              <w:bottom w:val="single" w:sz="6" w:space="0" w:color="1E4496" w:themeColor="text2"/>
              <w:right w:val="single" w:sz="6" w:space="0" w:color="1E4496" w:themeColor="text2"/>
            </w:tcBorders>
            <w:tcMar>
              <w:top w:w="102" w:type="dxa"/>
              <w:left w:w="113" w:type="dxa"/>
              <w:bottom w:w="102" w:type="dxa"/>
              <w:right w:w="113" w:type="dxa"/>
            </w:tcMar>
            <w:vAlign w:val="center"/>
          </w:tcPr>
          <w:p w14:paraId="4818AF39" w14:textId="77777777" w:rsidR="00154D35" w:rsidRPr="00154D35" w:rsidRDefault="00154D35" w:rsidP="00154D35">
            <w:pPr>
              <w:pStyle w:val="CDITable-RowCentre"/>
            </w:pPr>
            <w:r w:rsidRPr="00154D35">
              <w:t>10.9</w:t>
            </w:r>
          </w:p>
        </w:tc>
        <w:tc>
          <w:tcPr>
            <w:tcW w:w="1218" w:type="dxa"/>
            <w:tcBorders>
              <w:top w:val="single" w:sz="6" w:space="0" w:color="1E4496" w:themeColor="text2"/>
              <w:left w:val="single" w:sz="6" w:space="0" w:color="1E4496" w:themeColor="text2"/>
              <w:bottom w:val="single" w:sz="6" w:space="0" w:color="1E4496" w:themeColor="text2"/>
            </w:tcBorders>
            <w:tcMar>
              <w:top w:w="102" w:type="dxa"/>
              <w:left w:w="113" w:type="dxa"/>
              <w:bottom w:w="102" w:type="dxa"/>
              <w:right w:w="113" w:type="dxa"/>
            </w:tcMar>
            <w:vAlign w:val="center"/>
          </w:tcPr>
          <w:p w14:paraId="7606FFC9" w14:textId="77777777" w:rsidR="00154D35" w:rsidRPr="00154D35" w:rsidRDefault="00154D35" w:rsidP="00154D35">
            <w:pPr>
              <w:pStyle w:val="CDITable-RowCentre"/>
            </w:pPr>
            <w:r w:rsidRPr="00154D35">
              <w:t>181</w:t>
            </w:r>
          </w:p>
        </w:tc>
        <w:tc>
          <w:tcPr>
            <w:tcW w:w="1219"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058FB94F" w14:textId="77777777" w:rsidR="00154D35" w:rsidRPr="00154D35" w:rsidRDefault="00154D35" w:rsidP="00154D35">
            <w:pPr>
              <w:pStyle w:val="CDITable-RowCentre"/>
            </w:pPr>
            <w:r w:rsidRPr="00154D35">
              <w:t>10.4</w:t>
            </w:r>
          </w:p>
        </w:tc>
      </w:tr>
      <w:tr w:rsidR="00154D35" w:rsidRPr="00154D35" w14:paraId="7872E291" w14:textId="77777777" w:rsidTr="00E10C2B">
        <w:trPr>
          <w:trHeight w:val="60"/>
        </w:trPr>
        <w:tc>
          <w:tcPr>
            <w:tcW w:w="2891" w:type="dxa"/>
            <w:vMerge/>
            <w:tcBorders>
              <w:bottom w:val="single" w:sz="6" w:space="0" w:color="1E4496" w:themeColor="text2"/>
            </w:tcBorders>
            <w:shd w:val="clear" w:color="auto" w:fill="DCF4FC" w:themeFill="background2" w:themeFillTint="33"/>
            <w:tcMar>
              <w:top w:w="102" w:type="dxa"/>
              <w:bottom w:w="102" w:type="dxa"/>
            </w:tcMar>
          </w:tcPr>
          <w:p w14:paraId="18E3E7A4" w14:textId="77777777" w:rsidR="00154D35" w:rsidRPr="00154D35" w:rsidRDefault="00154D35" w:rsidP="00154D35">
            <w:pPr>
              <w:pStyle w:val="CDITable-RowLeft"/>
            </w:pPr>
          </w:p>
        </w:tc>
        <w:tc>
          <w:tcPr>
            <w:tcW w:w="1701"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7A3A46BB" w14:textId="77777777" w:rsidR="00154D35" w:rsidRPr="00154D35" w:rsidRDefault="00154D35" w:rsidP="00154D35">
            <w:pPr>
              <w:pStyle w:val="CDITable-RowLeft"/>
            </w:pPr>
            <w:r w:rsidRPr="00154D35">
              <w:t>91–364 days</w:t>
            </w:r>
          </w:p>
        </w:tc>
        <w:tc>
          <w:tcPr>
            <w:tcW w:w="1219"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28B87111" w14:textId="77777777" w:rsidR="00154D35" w:rsidRPr="00154D35" w:rsidRDefault="00154D35" w:rsidP="00154D35">
            <w:pPr>
              <w:pStyle w:val="CDITable-RowCentre"/>
            </w:pPr>
            <w:r w:rsidRPr="00154D35">
              <w:t>32</w:t>
            </w:r>
          </w:p>
        </w:tc>
        <w:tc>
          <w:tcPr>
            <w:tcW w:w="1219" w:type="dxa"/>
            <w:tcBorders>
              <w:top w:val="single" w:sz="6" w:space="0" w:color="1E4496" w:themeColor="text2"/>
              <w:bottom w:val="single" w:sz="6" w:space="0" w:color="1E4496" w:themeColor="text2"/>
              <w:right w:val="single" w:sz="6" w:space="0" w:color="1E4496" w:themeColor="text2"/>
            </w:tcBorders>
            <w:tcMar>
              <w:top w:w="102" w:type="dxa"/>
              <w:left w:w="113" w:type="dxa"/>
              <w:bottom w:w="102" w:type="dxa"/>
              <w:right w:w="113" w:type="dxa"/>
            </w:tcMar>
            <w:vAlign w:val="center"/>
          </w:tcPr>
          <w:p w14:paraId="46D659D7" w14:textId="77777777" w:rsidR="00154D35" w:rsidRPr="00154D35" w:rsidRDefault="00154D35" w:rsidP="00154D35">
            <w:pPr>
              <w:pStyle w:val="CDITable-RowCentre"/>
            </w:pPr>
            <w:r w:rsidRPr="00154D35">
              <w:t>17.3</w:t>
            </w:r>
          </w:p>
        </w:tc>
        <w:tc>
          <w:tcPr>
            <w:tcW w:w="1219" w:type="dxa"/>
            <w:tcBorders>
              <w:top w:val="single" w:sz="6" w:space="0" w:color="1E4496" w:themeColor="text2"/>
              <w:left w:val="single" w:sz="6" w:space="0" w:color="1E4496" w:themeColor="text2"/>
              <w:bottom w:val="single" w:sz="6" w:space="0" w:color="1E4496" w:themeColor="text2"/>
            </w:tcBorders>
            <w:tcMar>
              <w:top w:w="102" w:type="dxa"/>
              <w:left w:w="113" w:type="dxa"/>
              <w:bottom w:w="102" w:type="dxa"/>
              <w:right w:w="113" w:type="dxa"/>
            </w:tcMar>
            <w:vAlign w:val="center"/>
          </w:tcPr>
          <w:p w14:paraId="28415D95" w14:textId="77777777" w:rsidR="00154D35" w:rsidRPr="00154D35" w:rsidRDefault="00154D35" w:rsidP="00154D35">
            <w:pPr>
              <w:pStyle w:val="CDITable-RowCentre"/>
            </w:pPr>
            <w:r w:rsidRPr="00154D35">
              <w:t>59</w:t>
            </w:r>
          </w:p>
        </w:tc>
        <w:tc>
          <w:tcPr>
            <w:tcW w:w="1219" w:type="dxa"/>
            <w:tcBorders>
              <w:top w:val="single" w:sz="6" w:space="0" w:color="1E4496" w:themeColor="text2"/>
              <w:bottom w:val="single" w:sz="6" w:space="0" w:color="1E4496" w:themeColor="text2"/>
              <w:right w:val="single" w:sz="6" w:space="0" w:color="1E4496" w:themeColor="text2"/>
            </w:tcBorders>
            <w:tcMar>
              <w:top w:w="102" w:type="dxa"/>
              <w:left w:w="113" w:type="dxa"/>
              <w:bottom w:w="102" w:type="dxa"/>
              <w:right w:w="113" w:type="dxa"/>
            </w:tcMar>
            <w:vAlign w:val="center"/>
          </w:tcPr>
          <w:p w14:paraId="6EAFD3C0" w14:textId="77777777" w:rsidR="00154D35" w:rsidRPr="00154D35" w:rsidRDefault="00154D35" w:rsidP="00154D35">
            <w:pPr>
              <w:pStyle w:val="CDITable-RowCentre"/>
            </w:pPr>
            <w:r w:rsidRPr="00154D35">
              <w:t>9.9</w:t>
            </w:r>
          </w:p>
        </w:tc>
        <w:tc>
          <w:tcPr>
            <w:tcW w:w="1219" w:type="dxa"/>
            <w:tcBorders>
              <w:top w:val="single" w:sz="6" w:space="0" w:color="1E4496" w:themeColor="text2"/>
              <w:left w:val="single" w:sz="6" w:space="0" w:color="1E4496" w:themeColor="text2"/>
              <w:bottom w:val="single" w:sz="6" w:space="0" w:color="1E4496" w:themeColor="text2"/>
            </w:tcBorders>
            <w:tcMar>
              <w:top w:w="102" w:type="dxa"/>
              <w:left w:w="113" w:type="dxa"/>
              <w:bottom w:w="102" w:type="dxa"/>
              <w:right w:w="113" w:type="dxa"/>
            </w:tcMar>
            <w:vAlign w:val="center"/>
          </w:tcPr>
          <w:p w14:paraId="6A5B568C" w14:textId="77777777" w:rsidR="00154D35" w:rsidRPr="00154D35" w:rsidRDefault="00154D35" w:rsidP="00154D35">
            <w:pPr>
              <w:pStyle w:val="CDITable-RowCentre"/>
            </w:pPr>
            <w:r w:rsidRPr="00154D35">
              <w:t>144</w:t>
            </w:r>
          </w:p>
        </w:tc>
        <w:tc>
          <w:tcPr>
            <w:tcW w:w="1219" w:type="dxa"/>
            <w:tcBorders>
              <w:top w:val="single" w:sz="6" w:space="0" w:color="1E4496" w:themeColor="text2"/>
              <w:bottom w:val="single" w:sz="6" w:space="0" w:color="1E4496" w:themeColor="text2"/>
              <w:right w:val="single" w:sz="6" w:space="0" w:color="1E4496" w:themeColor="text2"/>
            </w:tcBorders>
            <w:tcMar>
              <w:top w:w="102" w:type="dxa"/>
              <w:left w:w="113" w:type="dxa"/>
              <w:bottom w:w="102" w:type="dxa"/>
              <w:right w:w="113" w:type="dxa"/>
            </w:tcMar>
            <w:vAlign w:val="center"/>
          </w:tcPr>
          <w:p w14:paraId="4D1424FB" w14:textId="77777777" w:rsidR="00154D35" w:rsidRPr="00154D35" w:rsidRDefault="00154D35" w:rsidP="00154D35">
            <w:pPr>
              <w:pStyle w:val="CDITable-RowCentre"/>
            </w:pPr>
            <w:r w:rsidRPr="00154D35">
              <w:t>14.9</w:t>
            </w:r>
          </w:p>
        </w:tc>
        <w:tc>
          <w:tcPr>
            <w:tcW w:w="1218" w:type="dxa"/>
            <w:tcBorders>
              <w:top w:val="single" w:sz="6" w:space="0" w:color="1E4496" w:themeColor="text2"/>
              <w:left w:val="single" w:sz="6" w:space="0" w:color="1E4496" w:themeColor="text2"/>
              <w:bottom w:val="single" w:sz="6" w:space="0" w:color="1E4496" w:themeColor="text2"/>
            </w:tcBorders>
            <w:tcMar>
              <w:top w:w="102" w:type="dxa"/>
              <w:left w:w="113" w:type="dxa"/>
              <w:bottom w:w="102" w:type="dxa"/>
              <w:right w:w="113" w:type="dxa"/>
            </w:tcMar>
            <w:vAlign w:val="center"/>
          </w:tcPr>
          <w:p w14:paraId="18DB8F25" w14:textId="77777777" w:rsidR="00154D35" w:rsidRPr="00154D35" w:rsidRDefault="00154D35" w:rsidP="00154D35">
            <w:pPr>
              <w:pStyle w:val="CDITable-RowCentre"/>
            </w:pPr>
            <w:r w:rsidRPr="00154D35">
              <w:t>235</w:t>
            </w:r>
          </w:p>
        </w:tc>
        <w:tc>
          <w:tcPr>
            <w:tcW w:w="1219"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3A0F4FBD" w14:textId="77777777" w:rsidR="00154D35" w:rsidRPr="00154D35" w:rsidRDefault="00154D35" w:rsidP="00154D35">
            <w:pPr>
              <w:pStyle w:val="CDITable-RowCentre"/>
            </w:pPr>
            <w:r w:rsidRPr="00154D35">
              <w:t>13.5</w:t>
            </w:r>
          </w:p>
        </w:tc>
      </w:tr>
      <w:tr w:rsidR="00154D35" w:rsidRPr="00154D35" w14:paraId="2B0BB369" w14:textId="77777777" w:rsidTr="00E10C2B">
        <w:trPr>
          <w:trHeight w:val="60"/>
        </w:trPr>
        <w:tc>
          <w:tcPr>
            <w:tcW w:w="2891" w:type="dxa"/>
            <w:vMerge/>
            <w:tcBorders>
              <w:bottom w:val="single" w:sz="6" w:space="0" w:color="1E4496" w:themeColor="text2"/>
            </w:tcBorders>
            <w:shd w:val="clear" w:color="auto" w:fill="DCF4FC" w:themeFill="background2" w:themeFillTint="33"/>
            <w:tcMar>
              <w:top w:w="102" w:type="dxa"/>
              <w:bottom w:w="102" w:type="dxa"/>
            </w:tcMar>
          </w:tcPr>
          <w:p w14:paraId="6A6ADDDE" w14:textId="77777777" w:rsidR="00154D35" w:rsidRPr="00154D35" w:rsidRDefault="00154D35" w:rsidP="00154D35">
            <w:pPr>
              <w:pStyle w:val="CDITable-RowLeft"/>
            </w:pPr>
          </w:p>
        </w:tc>
        <w:tc>
          <w:tcPr>
            <w:tcW w:w="1701"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20CE7DF8" w14:textId="77777777" w:rsidR="00154D35" w:rsidRPr="00154D35" w:rsidRDefault="00154D35" w:rsidP="00154D35">
            <w:pPr>
              <w:pStyle w:val="CDITable-RowLeft"/>
            </w:pPr>
            <w:r w:rsidRPr="00154D35">
              <w:t>1– 4 years</w:t>
            </w:r>
          </w:p>
        </w:tc>
        <w:tc>
          <w:tcPr>
            <w:tcW w:w="1219"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2CC35149" w14:textId="77777777" w:rsidR="00154D35" w:rsidRPr="00154D35" w:rsidRDefault="00154D35" w:rsidP="00154D35">
            <w:pPr>
              <w:pStyle w:val="CDITable-RowCentre"/>
            </w:pPr>
            <w:r w:rsidRPr="00154D35">
              <w:t>30</w:t>
            </w:r>
          </w:p>
        </w:tc>
        <w:tc>
          <w:tcPr>
            <w:tcW w:w="1219" w:type="dxa"/>
            <w:tcBorders>
              <w:top w:val="single" w:sz="6" w:space="0" w:color="1E4496" w:themeColor="text2"/>
              <w:bottom w:val="single" w:sz="6" w:space="0" w:color="1E4496" w:themeColor="text2"/>
              <w:right w:val="single" w:sz="6" w:space="0" w:color="1E4496" w:themeColor="text2"/>
            </w:tcBorders>
            <w:tcMar>
              <w:top w:w="102" w:type="dxa"/>
              <w:left w:w="113" w:type="dxa"/>
              <w:bottom w:w="102" w:type="dxa"/>
              <w:right w:w="113" w:type="dxa"/>
            </w:tcMar>
            <w:vAlign w:val="center"/>
          </w:tcPr>
          <w:p w14:paraId="5C122E37" w14:textId="77777777" w:rsidR="00154D35" w:rsidRPr="00154D35" w:rsidRDefault="00154D35" w:rsidP="00154D35">
            <w:pPr>
              <w:pStyle w:val="CDITable-RowCentre"/>
            </w:pPr>
            <w:r w:rsidRPr="00154D35">
              <w:t>16.2</w:t>
            </w:r>
          </w:p>
        </w:tc>
        <w:tc>
          <w:tcPr>
            <w:tcW w:w="1219" w:type="dxa"/>
            <w:tcBorders>
              <w:top w:val="single" w:sz="6" w:space="0" w:color="1E4496" w:themeColor="text2"/>
              <w:left w:val="single" w:sz="6" w:space="0" w:color="1E4496" w:themeColor="text2"/>
              <w:bottom w:val="single" w:sz="6" w:space="0" w:color="1E4496" w:themeColor="text2"/>
            </w:tcBorders>
            <w:tcMar>
              <w:top w:w="102" w:type="dxa"/>
              <w:left w:w="113" w:type="dxa"/>
              <w:bottom w:w="102" w:type="dxa"/>
              <w:right w:w="113" w:type="dxa"/>
            </w:tcMar>
            <w:vAlign w:val="center"/>
          </w:tcPr>
          <w:p w14:paraId="4083E5DF" w14:textId="77777777" w:rsidR="00154D35" w:rsidRPr="00154D35" w:rsidRDefault="00154D35" w:rsidP="00154D35">
            <w:pPr>
              <w:pStyle w:val="CDITable-RowCentre"/>
            </w:pPr>
            <w:r w:rsidRPr="00154D35">
              <w:t>110</w:t>
            </w:r>
          </w:p>
        </w:tc>
        <w:tc>
          <w:tcPr>
            <w:tcW w:w="1219" w:type="dxa"/>
            <w:tcBorders>
              <w:top w:val="single" w:sz="6" w:space="0" w:color="1E4496" w:themeColor="text2"/>
              <w:bottom w:val="single" w:sz="6" w:space="0" w:color="1E4496" w:themeColor="text2"/>
              <w:right w:val="single" w:sz="6" w:space="0" w:color="1E4496" w:themeColor="text2"/>
            </w:tcBorders>
            <w:tcMar>
              <w:top w:w="102" w:type="dxa"/>
              <w:left w:w="113" w:type="dxa"/>
              <w:bottom w:w="102" w:type="dxa"/>
              <w:right w:w="113" w:type="dxa"/>
            </w:tcMar>
            <w:vAlign w:val="center"/>
          </w:tcPr>
          <w:p w14:paraId="1F167973" w14:textId="77777777" w:rsidR="00154D35" w:rsidRPr="00154D35" w:rsidRDefault="00154D35" w:rsidP="00154D35">
            <w:pPr>
              <w:pStyle w:val="CDITable-RowCentre"/>
            </w:pPr>
            <w:r w:rsidRPr="00154D35">
              <w:t>18.5</w:t>
            </w:r>
          </w:p>
        </w:tc>
        <w:tc>
          <w:tcPr>
            <w:tcW w:w="1219" w:type="dxa"/>
            <w:tcBorders>
              <w:top w:val="single" w:sz="6" w:space="0" w:color="1E4496" w:themeColor="text2"/>
              <w:left w:val="single" w:sz="6" w:space="0" w:color="1E4496" w:themeColor="text2"/>
              <w:bottom w:val="single" w:sz="6" w:space="0" w:color="1E4496" w:themeColor="text2"/>
            </w:tcBorders>
            <w:tcMar>
              <w:top w:w="102" w:type="dxa"/>
              <w:left w:w="113" w:type="dxa"/>
              <w:bottom w:w="102" w:type="dxa"/>
              <w:right w:w="113" w:type="dxa"/>
            </w:tcMar>
            <w:vAlign w:val="center"/>
          </w:tcPr>
          <w:p w14:paraId="3C3DF7A9" w14:textId="77777777" w:rsidR="00154D35" w:rsidRPr="00154D35" w:rsidRDefault="00154D35" w:rsidP="00154D35">
            <w:pPr>
              <w:pStyle w:val="CDITable-RowCentre"/>
            </w:pPr>
            <w:r w:rsidRPr="00154D35">
              <w:t>186</w:t>
            </w:r>
          </w:p>
        </w:tc>
        <w:tc>
          <w:tcPr>
            <w:tcW w:w="1219" w:type="dxa"/>
            <w:tcBorders>
              <w:top w:val="single" w:sz="6" w:space="0" w:color="1E4496" w:themeColor="text2"/>
              <w:bottom w:val="single" w:sz="6" w:space="0" w:color="1E4496" w:themeColor="text2"/>
              <w:right w:val="single" w:sz="6" w:space="0" w:color="1E4496" w:themeColor="text2"/>
            </w:tcBorders>
            <w:tcMar>
              <w:top w:w="102" w:type="dxa"/>
              <w:left w:w="113" w:type="dxa"/>
              <w:bottom w:w="102" w:type="dxa"/>
              <w:right w:w="113" w:type="dxa"/>
            </w:tcMar>
            <w:vAlign w:val="center"/>
          </w:tcPr>
          <w:p w14:paraId="3052E1CA" w14:textId="77777777" w:rsidR="00154D35" w:rsidRPr="00154D35" w:rsidRDefault="00154D35" w:rsidP="00154D35">
            <w:pPr>
              <w:pStyle w:val="CDITable-RowCentre"/>
            </w:pPr>
            <w:r w:rsidRPr="00154D35">
              <w:t>19.2</w:t>
            </w:r>
          </w:p>
        </w:tc>
        <w:tc>
          <w:tcPr>
            <w:tcW w:w="1218" w:type="dxa"/>
            <w:tcBorders>
              <w:top w:val="single" w:sz="6" w:space="0" w:color="1E4496" w:themeColor="text2"/>
              <w:left w:val="single" w:sz="6" w:space="0" w:color="1E4496" w:themeColor="text2"/>
              <w:bottom w:val="single" w:sz="6" w:space="0" w:color="1E4496" w:themeColor="text2"/>
            </w:tcBorders>
            <w:tcMar>
              <w:top w:w="102" w:type="dxa"/>
              <w:left w:w="113" w:type="dxa"/>
              <w:bottom w:w="102" w:type="dxa"/>
              <w:right w:w="113" w:type="dxa"/>
            </w:tcMar>
            <w:vAlign w:val="center"/>
          </w:tcPr>
          <w:p w14:paraId="76ACE296" w14:textId="77777777" w:rsidR="00154D35" w:rsidRPr="00154D35" w:rsidRDefault="00154D35" w:rsidP="00154D35">
            <w:pPr>
              <w:pStyle w:val="CDITable-RowCentre"/>
            </w:pPr>
            <w:r w:rsidRPr="00154D35">
              <w:t>326</w:t>
            </w:r>
          </w:p>
        </w:tc>
        <w:tc>
          <w:tcPr>
            <w:tcW w:w="1219"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617D9D62" w14:textId="77777777" w:rsidR="00154D35" w:rsidRPr="00154D35" w:rsidRDefault="00154D35" w:rsidP="00154D35">
            <w:pPr>
              <w:pStyle w:val="CDITable-RowCentre"/>
            </w:pPr>
            <w:r w:rsidRPr="00154D35">
              <w:t>18.7</w:t>
            </w:r>
          </w:p>
        </w:tc>
      </w:tr>
      <w:tr w:rsidR="00154D35" w:rsidRPr="00154D35" w14:paraId="37A39D35" w14:textId="77777777" w:rsidTr="00E10C2B">
        <w:trPr>
          <w:trHeight w:val="60"/>
        </w:trPr>
        <w:tc>
          <w:tcPr>
            <w:tcW w:w="2891" w:type="dxa"/>
            <w:vMerge/>
            <w:tcBorders>
              <w:bottom w:val="single" w:sz="6" w:space="0" w:color="1E4496" w:themeColor="text2"/>
            </w:tcBorders>
            <w:shd w:val="clear" w:color="auto" w:fill="DCF4FC" w:themeFill="background2" w:themeFillTint="33"/>
            <w:tcMar>
              <w:top w:w="102" w:type="dxa"/>
              <w:bottom w:w="102" w:type="dxa"/>
            </w:tcMar>
          </w:tcPr>
          <w:p w14:paraId="7AEE91D1" w14:textId="77777777" w:rsidR="00154D35" w:rsidRPr="00154D35" w:rsidRDefault="00154D35" w:rsidP="00154D35">
            <w:pPr>
              <w:pStyle w:val="CDITable-RowLeft"/>
            </w:pPr>
          </w:p>
        </w:tc>
        <w:tc>
          <w:tcPr>
            <w:tcW w:w="1701"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2D5CF47D" w14:textId="77777777" w:rsidR="00154D35" w:rsidRPr="00154D35" w:rsidRDefault="00154D35" w:rsidP="00154D35">
            <w:pPr>
              <w:pStyle w:val="CDITable-RowLeft"/>
            </w:pPr>
            <w:r w:rsidRPr="00154D35">
              <w:t>5–11 years</w:t>
            </w:r>
          </w:p>
        </w:tc>
        <w:tc>
          <w:tcPr>
            <w:tcW w:w="1219"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621C3919" w14:textId="77777777" w:rsidR="00154D35" w:rsidRPr="00154D35" w:rsidRDefault="00154D35" w:rsidP="00154D35">
            <w:pPr>
              <w:pStyle w:val="CDITable-RowCentre"/>
            </w:pPr>
            <w:r w:rsidRPr="00154D35">
              <w:t>16</w:t>
            </w:r>
          </w:p>
        </w:tc>
        <w:tc>
          <w:tcPr>
            <w:tcW w:w="1219" w:type="dxa"/>
            <w:tcBorders>
              <w:top w:val="single" w:sz="6" w:space="0" w:color="1E4496" w:themeColor="text2"/>
              <w:bottom w:val="single" w:sz="6" w:space="0" w:color="1E4496" w:themeColor="text2"/>
              <w:right w:val="single" w:sz="6" w:space="0" w:color="1E4496" w:themeColor="text2"/>
            </w:tcBorders>
            <w:tcMar>
              <w:top w:w="102" w:type="dxa"/>
              <w:left w:w="113" w:type="dxa"/>
              <w:bottom w:w="102" w:type="dxa"/>
              <w:right w:w="113" w:type="dxa"/>
            </w:tcMar>
            <w:vAlign w:val="center"/>
          </w:tcPr>
          <w:p w14:paraId="6FC75E2E" w14:textId="77777777" w:rsidR="00154D35" w:rsidRPr="00154D35" w:rsidRDefault="00154D35" w:rsidP="00154D35">
            <w:pPr>
              <w:pStyle w:val="CDITable-RowCentre"/>
            </w:pPr>
            <w:r w:rsidRPr="00154D35">
              <w:t>8.6</w:t>
            </w:r>
          </w:p>
        </w:tc>
        <w:tc>
          <w:tcPr>
            <w:tcW w:w="1219" w:type="dxa"/>
            <w:tcBorders>
              <w:top w:val="single" w:sz="6" w:space="0" w:color="1E4496" w:themeColor="text2"/>
              <w:left w:val="single" w:sz="6" w:space="0" w:color="1E4496" w:themeColor="text2"/>
              <w:bottom w:val="single" w:sz="6" w:space="0" w:color="1E4496" w:themeColor="text2"/>
            </w:tcBorders>
            <w:tcMar>
              <w:top w:w="102" w:type="dxa"/>
              <w:left w:w="113" w:type="dxa"/>
              <w:bottom w:w="102" w:type="dxa"/>
              <w:right w:w="113" w:type="dxa"/>
            </w:tcMar>
            <w:vAlign w:val="center"/>
          </w:tcPr>
          <w:p w14:paraId="4E74EC58" w14:textId="77777777" w:rsidR="00154D35" w:rsidRPr="00154D35" w:rsidRDefault="00154D35" w:rsidP="00154D35">
            <w:pPr>
              <w:pStyle w:val="CDITable-RowCentre"/>
            </w:pPr>
            <w:r w:rsidRPr="00154D35">
              <w:t>174</w:t>
            </w:r>
          </w:p>
        </w:tc>
        <w:tc>
          <w:tcPr>
            <w:tcW w:w="1219" w:type="dxa"/>
            <w:tcBorders>
              <w:top w:val="single" w:sz="6" w:space="0" w:color="1E4496" w:themeColor="text2"/>
              <w:bottom w:val="single" w:sz="6" w:space="0" w:color="1E4496" w:themeColor="text2"/>
              <w:right w:val="single" w:sz="6" w:space="0" w:color="1E4496" w:themeColor="text2"/>
            </w:tcBorders>
            <w:tcMar>
              <w:top w:w="102" w:type="dxa"/>
              <w:left w:w="113" w:type="dxa"/>
              <w:bottom w:w="102" w:type="dxa"/>
              <w:right w:w="113" w:type="dxa"/>
            </w:tcMar>
            <w:vAlign w:val="center"/>
          </w:tcPr>
          <w:p w14:paraId="769BB984" w14:textId="77777777" w:rsidR="00154D35" w:rsidRPr="00154D35" w:rsidRDefault="00154D35" w:rsidP="00154D35">
            <w:pPr>
              <w:pStyle w:val="CDITable-RowCentre"/>
            </w:pPr>
            <w:r w:rsidRPr="00154D35">
              <w:t>29.3</w:t>
            </w:r>
          </w:p>
        </w:tc>
        <w:tc>
          <w:tcPr>
            <w:tcW w:w="1219" w:type="dxa"/>
            <w:tcBorders>
              <w:top w:val="single" w:sz="6" w:space="0" w:color="1E4496" w:themeColor="text2"/>
              <w:left w:val="single" w:sz="6" w:space="0" w:color="1E4496" w:themeColor="text2"/>
              <w:bottom w:val="single" w:sz="6" w:space="0" w:color="1E4496" w:themeColor="text2"/>
            </w:tcBorders>
            <w:tcMar>
              <w:top w:w="102" w:type="dxa"/>
              <w:left w:w="113" w:type="dxa"/>
              <w:bottom w:w="102" w:type="dxa"/>
              <w:right w:w="113" w:type="dxa"/>
            </w:tcMar>
            <w:vAlign w:val="center"/>
          </w:tcPr>
          <w:p w14:paraId="4F28FD14" w14:textId="77777777" w:rsidR="00154D35" w:rsidRPr="00154D35" w:rsidRDefault="00154D35" w:rsidP="00154D35">
            <w:pPr>
              <w:pStyle w:val="CDITable-RowCentre"/>
            </w:pPr>
            <w:r w:rsidRPr="00154D35">
              <w:t>168</w:t>
            </w:r>
          </w:p>
        </w:tc>
        <w:tc>
          <w:tcPr>
            <w:tcW w:w="1219" w:type="dxa"/>
            <w:tcBorders>
              <w:top w:val="single" w:sz="6" w:space="0" w:color="1E4496" w:themeColor="text2"/>
              <w:bottom w:val="single" w:sz="6" w:space="0" w:color="1E4496" w:themeColor="text2"/>
              <w:right w:val="single" w:sz="6" w:space="0" w:color="1E4496" w:themeColor="text2"/>
            </w:tcBorders>
            <w:tcMar>
              <w:top w:w="102" w:type="dxa"/>
              <w:left w:w="113" w:type="dxa"/>
              <w:bottom w:w="102" w:type="dxa"/>
              <w:right w:w="113" w:type="dxa"/>
            </w:tcMar>
            <w:vAlign w:val="center"/>
          </w:tcPr>
          <w:p w14:paraId="7281D97B" w14:textId="77777777" w:rsidR="00154D35" w:rsidRPr="00154D35" w:rsidRDefault="00154D35" w:rsidP="00154D35">
            <w:pPr>
              <w:pStyle w:val="CDITable-RowCentre"/>
            </w:pPr>
            <w:r w:rsidRPr="00154D35">
              <w:t>17.4</w:t>
            </w:r>
          </w:p>
        </w:tc>
        <w:tc>
          <w:tcPr>
            <w:tcW w:w="1218" w:type="dxa"/>
            <w:tcBorders>
              <w:top w:val="single" w:sz="6" w:space="0" w:color="1E4496" w:themeColor="text2"/>
              <w:left w:val="single" w:sz="6" w:space="0" w:color="1E4496" w:themeColor="text2"/>
              <w:bottom w:val="single" w:sz="6" w:space="0" w:color="1E4496" w:themeColor="text2"/>
            </w:tcBorders>
            <w:tcMar>
              <w:top w:w="102" w:type="dxa"/>
              <w:left w:w="113" w:type="dxa"/>
              <w:bottom w:w="102" w:type="dxa"/>
              <w:right w:w="113" w:type="dxa"/>
            </w:tcMar>
            <w:vAlign w:val="center"/>
          </w:tcPr>
          <w:p w14:paraId="7A812F21" w14:textId="77777777" w:rsidR="00154D35" w:rsidRPr="00154D35" w:rsidRDefault="00154D35" w:rsidP="00154D35">
            <w:pPr>
              <w:pStyle w:val="CDITable-RowCentre"/>
            </w:pPr>
            <w:r w:rsidRPr="00154D35">
              <w:t>358</w:t>
            </w:r>
          </w:p>
        </w:tc>
        <w:tc>
          <w:tcPr>
            <w:tcW w:w="1219"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48F9F11C" w14:textId="77777777" w:rsidR="00154D35" w:rsidRPr="00154D35" w:rsidRDefault="00154D35" w:rsidP="00154D35">
            <w:pPr>
              <w:pStyle w:val="CDITable-RowCentre"/>
            </w:pPr>
            <w:r w:rsidRPr="00154D35">
              <w:t>20.5</w:t>
            </w:r>
          </w:p>
        </w:tc>
      </w:tr>
      <w:tr w:rsidR="00154D35" w:rsidRPr="00154D35" w14:paraId="5B78C38D" w14:textId="77777777" w:rsidTr="00E10C2B">
        <w:trPr>
          <w:trHeight w:val="60"/>
        </w:trPr>
        <w:tc>
          <w:tcPr>
            <w:tcW w:w="2891" w:type="dxa"/>
            <w:vMerge/>
            <w:tcBorders>
              <w:bottom w:val="single" w:sz="6" w:space="0" w:color="1E4496" w:themeColor="text2"/>
            </w:tcBorders>
            <w:shd w:val="clear" w:color="auto" w:fill="DCF4FC" w:themeFill="background2" w:themeFillTint="33"/>
            <w:tcMar>
              <w:top w:w="102" w:type="dxa"/>
              <w:bottom w:w="102" w:type="dxa"/>
            </w:tcMar>
          </w:tcPr>
          <w:p w14:paraId="1AD2D286" w14:textId="77777777" w:rsidR="00154D35" w:rsidRPr="00154D35" w:rsidRDefault="00154D35" w:rsidP="00154D35">
            <w:pPr>
              <w:pStyle w:val="CDITable-RowLeft"/>
            </w:pPr>
          </w:p>
        </w:tc>
        <w:tc>
          <w:tcPr>
            <w:tcW w:w="1701"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24E3111C" w14:textId="77777777" w:rsidR="00154D35" w:rsidRPr="00154D35" w:rsidRDefault="00154D35" w:rsidP="00154D35">
            <w:pPr>
              <w:pStyle w:val="CDITable-RowLeft"/>
            </w:pPr>
            <w:r w:rsidRPr="00154D35">
              <w:t>12–17 years</w:t>
            </w:r>
          </w:p>
        </w:tc>
        <w:tc>
          <w:tcPr>
            <w:tcW w:w="1219"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36141C04" w14:textId="77777777" w:rsidR="00154D35" w:rsidRPr="00154D35" w:rsidRDefault="00154D35" w:rsidP="00154D35">
            <w:pPr>
              <w:pStyle w:val="CDITable-RowCentre"/>
            </w:pPr>
            <w:r w:rsidRPr="00154D35">
              <w:t>32</w:t>
            </w:r>
          </w:p>
        </w:tc>
        <w:tc>
          <w:tcPr>
            <w:tcW w:w="1219" w:type="dxa"/>
            <w:tcBorders>
              <w:top w:val="single" w:sz="6" w:space="0" w:color="1E4496" w:themeColor="text2"/>
              <w:bottom w:val="single" w:sz="6" w:space="0" w:color="1E4496" w:themeColor="text2"/>
              <w:right w:val="single" w:sz="6" w:space="0" w:color="1E4496" w:themeColor="text2"/>
            </w:tcBorders>
            <w:tcMar>
              <w:top w:w="102" w:type="dxa"/>
              <w:left w:w="113" w:type="dxa"/>
              <w:bottom w:w="102" w:type="dxa"/>
              <w:right w:w="113" w:type="dxa"/>
            </w:tcMar>
            <w:vAlign w:val="center"/>
          </w:tcPr>
          <w:p w14:paraId="3C838BD0" w14:textId="77777777" w:rsidR="00154D35" w:rsidRPr="00154D35" w:rsidRDefault="00154D35" w:rsidP="00154D35">
            <w:pPr>
              <w:pStyle w:val="CDITable-RowCentre"/>
            </w:pPr>
            <w:r w:rsidRPr="00154D35">
              <w:t>17.3</w:t>
            </w:r>
          </w:p>
        </w:tc>
        <w:tc>
          <w:tcPr>
            <w:tcW w:w="1219" w:type="dxa"/>
            <w:tcBorders>
              <w:top w:val="single" w:sz="6" w:space="0" w:color="1E4496" w:themeColor="text2"/>
              <w:left w:val="single" w:sz="6" w:space="0" w:color="1E4496" w:themeColor="text2"/>
              <w:bottom w:val="single" w:sz="6" w:space="0" w:color="1E4496" w:themeColor="text2"/>
            </w:tcBorders>
            <w:tcMar>
              <w:top w:w="102" w:type="dxa"/>
              <w:left w:w="113" w:type="dxa"/>
              <w:bottom w:w="102" w:type="dxa"/>
              <w:right w:w="113" w:type="dxa"/>
            </w:tcMar>
            <w:vAlign w:val="center"/>
          </w:tcPr>
          <w:p w14:paraId="1D97738C" w14:textId="77777777" w:rsidR="00154D35" w:rsidRPr="00154D35" w:rsidRDefault="00154D35" w:rsidP="00154D35">
            <w:pPr>
              <w:pStyle w:val="CDITable-RowCentre"/>
            </w:pPr>
            <w:r w:rsidRPr="00154D35">
              <w:t>153</w:t>
            </w:r>
          </w:p>
        </w:tc>
        <w:tc>
          <w:tcPr>
            <w:tcW w:w="1219" w:type="dxa"/>
            <w:tcBorders>
              <w:top w:val="single" w:sz="6" w:space="0" w:color="1E4496" w:themeColor="text2"/>
              <w:bottom w:val="single" w:sz="6" w:space="0" w:color="1E4496" w:themeColor="text2"/>
              <w:right w:val="single" w:sz="6" w:space="0" w:color="1E4496" w:themeColor="text2"/>
            </w:tcBorders>
            <w:tcMar>
              <w:top w:w="102" w:type="dxa"/>
              <w:left w:w="113" w:type="dxa"/>
              <w:bottom w:w="102" w:type="dxa"/>
              <w:right w:w="113" w:type="dxa"/>
            </w:tcMar>
            <w:vAlign w:val="center"/>
          </w:tcPr>
          <w:p w14:paraId="56387230" w14:textId="77777777" w:rsidR="00154D35" w:rsidRPr="00154D35" w:rsidRDefault="00154D35" w:rsidP="00154D35">
            <w:pPr>
              <w:pStyle w:val="CDITable-RowCentre"/>
            </w:pPr>
            <w:r w:rsidRPr="00154D35">
              <w:t>25.8</w:t>
            </w:r>
          </w:p>
        </w:tc>
        <w:tc>
          <w:tcPr>
            <w:tcW w:w="1219" w:type="dxa"/>
            <w:tcBorders>
              <w:top w:val="single" w:sz="6" w:space="0" w:color="1E4496" w:themeColor="text2"/>
              <w:left w:val="single" w:sz="6" w:space="0" w:color="1E4496" w:themeColor="text2"/>
              <w:bottom w:val="single" w:sz="6" w:space="0" w:color="1E4496" w:themeColor="text2"/>
            </w:tcBorders>
            <w:tcMar>
              <w:top w:w="102" w:type="dxa"/>
              <w:left w:w="113" w:type="dxa"/>
              <w:bottom w:w="102" w:type="dxa"/>
              <w:right w:w="113" w:type="dxa"/>
            </w:tcMar>
            <w:vAlign w:val="center"/>
          </w:tcPr>
          <w:p w14:paraId="4E817B58" w14:textId="77777777" w:rsidR="00154D35" w:rsidRPr="00154D35" w:rsidRDefault="00154D35" w:rsidP="00154D35">
            <w:pPr>
              <w:pStyle w:val="CDITable-RowCentre"/>
            </w:pPr>
            <w:r w:rsidRPr="00154D35">
              <w:t>170</w:t>
            </w:r>
          </w:p>
        </w:tc>
        <w:tc>
          <w:tcPr>
            <w:tcW w:w="1219" w:type="dxa"/>
            <w:tcBorders>
              <w:top w:val="single" w:sz="6" w:space="0" w:color="1E4496" w:themeColor="text2"/>
              <w:bottom w:val="single" w:sz="6" w:space="0" w:color="1E4496" w:themeColor="text2"/>
              <w:right w:val="single" w:sz="6" w:space="0" w:color="1E4496" w:themeColor="text2"/>
            </w:tcBorders>
            <w:tcMar>
              <w:top w:w="102" w:type="dxa"/>
              <w:left w:w="113" w:type="dxa"/>
              <w:bottom w:w="102" w:type="dxa"/>
              <w:right w:w="113" w:type="dxa"/>
            </w:tcMar>
            <w:vAlign w:val="center"/>
          </w:tcPr>
          <w:p w14:paraId="5865CBFD" w14:textId="77777777" w:rsidR="00154D35" w:rsidRPr="00154D35" w:rsidRDefault="00154D35" w:rsidP="00154D35">
            <w:pPr>
              <w:pStyle w:val="CDITable-RowCentre"/>
            </w:pPr>
            <w:r w:rsidRPr="00154D35">
              <w:t>17.6</w:t>
            </w:r>
          </w:p>
        </w:tc>
        <w:tc>
          <w:tcPr>
            <w:tcW w:w="1218" w:type="dxa"/>
            <w:tcBorders>
              <w:top w:val="single" w:sz="6" w:space="0" w:color="1E4496" w:themeColor="text2"/>
              <w:left w:val="single" w:sz="6" w:space="0" w:color="1E4496" w:themeColor="text2"/>
              <w:bottom w:val="single" w:sz="6" w:space="0" w:color="1E4496" w:themeColor="text2"/>
            </w:tcBorders>
            <w:tcMar>
              <w:top w:w="102" w:type="dxa"/>
              <w:left w:w="113" w:type="dxa"/>
              <w:bottom w:w="102" w:type="dxa"/>
              <w:right w:w="113" w:type="dxa"/>
            </w:tcMar>
            <w:vAlign w:val="center"/>
          </w:tcPr>
          <w:p w14:paraId="544F8DC3" w14:textId="77777777" w:rsidR="00154D35" w:rsidRPr="00154D35" w:rsidRDefault="00154D35" w:rsidP="00154D35">
            <w:pPr>
              <w:pStyle w:val="CDITable-RowCentre"/>
            </w:pPr>
            <w:r w:rsidRPr="00154D35">
              <w:t>355</w:t>
            </w:r>
          </w:p>
        </w:tc>
        <w:tc>
          <w:tcPr>
            <w:tcW w:w="1219"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0AFE5E6A" w14:textId="77777777" w:rsidR="00154D35" w:rsidRPr="00154D35" w:rsidRDefault="00154D35" w:rsidP="00154D35">
            <w:pPr>
              <w:pStyle w:val="CDITable-RowCentre"/>
            </w:pPr>
            <w:r w:rsidRPr="00154D35">
              <w:t>20.3</w:t>
            </w:r>
          </w:p>
        </w:tc>
      </w:tr>
      <w:tr w:rsidR="00154D35" w:rsidRPr="00154D35" w14:paraId="7A8622C6" w14:textId="77777777" w:rsidTr="00E10C2B">
        <w:trPr>
          <w:trHeight w:val="60"/>
        </w:trPr>
        <w:tc>
          <w:tcPr>
            <w:tcW w:w="2891" w:type="dxa"/>
            <w:vMerge w:val="restart"/>
            <w:tcBorders>
              <w:top w:val="single" w:sz="6" w:space="0" w:color="1E4496" w:themeColor="text2"/>
              <w:bottom w:val="single" w:sz="6" w:space="0" w:color="1E4496" w:themeColor="text2"/>
            </w:tcBorders>
            <w:shd w:val="clear" w:color="auto" w:fill="DCF4FC" w:themeFill="background2" w:themeFillTint="33"/>
            <w:tcMar>
              <w:top w:w="102" w:type="dxa"/>
              <w:left w:w="113" w:type="dxa"/>
              <w:bottom w:w="102" w:type="dxa"/>
              <w:right w:w="113" w:type="dxa"/>
            </w:tcMar>
            <w:vAlign w:val="center"/>
          </w:tcPr>
          <w:p w14:paraId="42F2D728" w14:textId="77777777" w:rsidR="00154D35" w:rsidRPr="00154D35" w:rsidRDefault="00154D35" w:rsidP="00154D35">
            <w:pPr>
              <w:pStyle w:val="CDITable-RowLeft"/>
            </w:pPr>
            <w:r w:rsidRPr="00154D35">
              <w:t>Sex</w:t>
            </w:r>
          </w:p>
        </w:tc>
        <w:tc>
          <w:tcPr>
            <w:tcW w:w="1701"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7934F8B0" w14:textId="77777777" w:rsidR="00154D35" w:rsidRPr="00154D35" w:rsidRDefault="00154D35" w:rsidP="00154D35">
            <w:pPr>
              <w:pStyle w:val="CDITable-RowLeft"/>
            </w:pPr>
            <w:r w:rsidRPr="00154D35">
              <w:t>Female</w:t>
            </w:r>
          </w:p>
        </w:tc>
        <w:tc>
          <w:tcPr>
            <w:tcW w:w="1219"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00356C01" w14:textId="77777777" w:rsidR="00154D35" w:rsidRPr="00154D35" w:rsidRDefault="00154D35" w:rsidP="00154D35">
            <w:pPr>
              <w:pStyle w:val="CDITable-RowCentre"/>
            </w:pPr>
            <w:r w:rsidRPr="00154D35">
              <w:t>75</w:t>
            </w:r>
          </w:p>
        </w:tc>
        <w:tc>
          <w:tcPr>
            <w:tcW w:w="1219" w:type="dxa"/>
            <w:tcBorders>
              <w:top w:val="single" w:sz="6" w:space="0" w:color="1E4496" w:themeColor="text2"/>
              <w:bottom w:val="single" w:sz="6" w:space="0" w:color="1E4496" w:themeColor="text2"/>
              <w:right w:val="single" w:sz="6" w:space="0" w:color="1E4496" w:themeColor="text2"/>
            </w:tcBorders>
            <w:tcMar>
              <w:top w:w="102" w:type="dxa"/>
              <w:left w:w="113" w:type="dxa"/>
              <w:bottom w:w="102" w:type="dxa"/>
              <w:right w:w="113" w:type="dxa"/>
            </w:tcMar>
            <w:vAlign w:val="center"/>
          </w:tcPr>
          <w:p w14:paraId="1C7D23C7" w14:textId="77777777" w:rsidR="00154D35" w:rsidRPr="00154D35" w:rsidRDefault="00154D35" w:rsidP="00154D35">
            <w:pPr>
              <w:pStyle w:val="CDITable-RowCentre"/>
            </w:pPr>
            <w:r w:rsidRPr="00154D35">
              <w:t>40.5</w:t>
            </w:r>
          </w:p>
        </w:tc>
        <w:tc>
          <w:tcPr>
            <w:tcW w:w="1219" w:type="dxa"/>
            <w:tcBorders>
              <w:top w:val="single" w:sz="6" w:space="0" w:color="1E4496" w:themeColor="text2"/>
              <w:left w:val="single" w:sz="6" w:space="0" w:color="1E4496" w:themeColor="text2"/>
              <w:bottom w:val="single" w:sz="6" w:space="0" w:color="1E4496" w:themeColor="text2"/>
            </w:tcBorders>
            <w:tcMar>
              <w:top w:w="102" w:type="dxa"/>
              <w:left w:w="113" w:type="dxa"/>
              <w:bottom w:w="102" w:type="dxa"/>
              <w:right w:w="113" w:type="dxa"/>
            </w:tcMar>
            <w:vAlign w:val="center"/>
          </w:tcPr>
          <w:p w14:paraId="07D252BA" w14:textId="77777777" w:rsidR="00154D35" w:rsidRPr="00154D35" w:rsidRDefault="00154D35" w:rsidP="00154D35">
            <w:pPr>
              <w:pStyle w:val="CDITable-RowCentre"/>
            </w:pPr>
            <w:r w:rsidRPr="00154D35">
              <w:t>237</w:t>
            </w:r>
          </w:p>
        </w:tc>
        <w:tc>
          <w:tcPr>
            <w:tcW w:w="1219" w:type="dxa"/>
            <w:tcBorders>
              <w:top w:val="single" w:sz="6" w:space="0" w:color="1E4496" w:themeColor="text2"/>
              <w:bottom w:val="single" w:sz="6" w:space="0" w:color="1E4496" w:themeColor="text2"/>
              <w:right w:val="single" w:sz="6" w:space="0" w:color="1E4496" w:themeColor="text2"/>
            </w:tcBorders>
            <w:tcMar>
              <w:top w:w="102" w:type="dxa"/>
              <w:left w:w="113" w:type="dxa"/>
              <w:bottom w:w="102" w:type="dxa"/>
              <w:right w:w="113" w:type="dxa"/>
            </w:tcMar>
            <w:vAlign w:val="center"/>
          </w:tcPr>
          <w:p w14:paraId="2ABC6BBC" w14:textId="77777777" w:rsidR="00154D35" w:rsidRPr="00154D35" w:rsidRDefault="00154D35" w:rsidP="00154D35">
            <w:pPr>
              <w:pStyle w:val="CDITable-RowCentre"/>
            </w:pPr>
            <w:r w:rsidRPr="00154D35">
              <w:t>40.0</w:t>
            </w:r>
          </w:p>
        </w:tc>
        <w:tc>
          <w:tcPr>
            <w:tcW w:w="1219" w:type="dxa"/>
            <w:tcBorders>
              <w:top w:val="single" w:sz="6" w:space="0" w:color="1E4496" w:themeColor="text2"/>
              <w:left w:val="single" w:sz="6" w:space="0" w:color="1E4496" w:themeColor="text2"/>
              <w:bottom w:val="single" w:sz="6" w:space="0" w:color="1E4496" w:themeColor="text2"/>
            </w:tcBorders>
            <w:tcMar>
              <w:top w:w="102" w:type="dxa"/>
              <w:left w:w="113" w:type="dxa"/>
              <w:bottom w:w="102" w:type="dxa"/>
              <w:right w:w="113" w:type="dxa"/>
            </w:tcMar>
            <w:vAlign w:val="center"/>
          </w:tcPr>
          <w:p w14:paraId="197DCDB0" w14:textId="77777777" w:rsidR="00154D35" w:rsidRPr="00154D35" w:rsidRDefault="00154D35" w:rsidP="00154D35">
            <w:pPr>
              <w:pStyle w:val="CDITable-RowCentre"/>
            </w:pPr>
            <w:r w:rsidRPr="00154D35">
              <w:t>411</w:t>
            </w:r>
          </w:p>
        </w:tc>
        <w:tc>
          <w:tcPr>
            <w:tcW w:w="1219" w:type="dxa"/>
            <w:tcBorders>
              <w:top w:val="single" w:sz="6" w:space="0" w:color="1E4496" w:themeColor="text2"/>
              <w:bottom w:val="single" w:sz="6" w:space="0" w:color="1E4496" w:themeColor="text2"/>
              <w:right w:val="single" w:sz="6" w:space="0" w:color="1E4496" w:themeColor="text2"/>
            </w:tcBorders>
            <w:tcMar>
              <w:top w:w="102" w:type="dxa"/>
              <w:left w:w="113" w:type="dxa"/>
              <w:bottom w:w="102" w:type="dxa"/>
              <w:right w:w="113" w:type="dxa"/>
            </w:tcMar>
            <w:vAlign w:val="center"/>
          </w:tcPr>
          <w:p w14:paraId="0A4889DF" w14:textId="77777777" w:rsidR="00154D35" w:rsidRPr="00154D35" w:rsidRDefault="00154D35" w:rsidP="00154D35">
            <w:pPr>
              <w:pStyle w:val="CDITable-RowCentre"/>
            </w:pPr>
            <w:r w:rsidRPr="00154D35">
              <w:t>42.5</w:t>
            </w:r>
          </w:p>
        </w:tc>
        <w:tc>
          <w:tcPr>
            <w:tcW w:w="1218" w:type="dxa"/>
            <w:tcBorders>
              <w:top w:val="single" w:sz="6" w:space="0" w:color="1E4496" w:themeColor="text2"/>
              <w:left w:val="single" w:sz="6" w:space="0" w:color="1E4496" w:themeColor="text2"/>
              <w:bottom w:val="single" w:sz="6" w:space="0" w:color="1E4496" w:themeColor="text2"/>
            </w:tcBorders>
            <w:tcMar>
              <w:top w:w="102" w:type="dxa"/>
              <w:left w:w="113" w:type="dxa"/>
              <w:bottom w:w="102" w:type="dxa"/>
              <w:right w:w="113" w:type="dxa"/>
            </w:tcMar>
            <w:vAlign w:val="center"/>
          </w:tcPr>
          <w:p w14:paraId="1BDDD494" w14:textId="77777777" w:rsidR="00154D35" w:rsidRPr="00154D35" w:rsidRDefault="00154D35" w:rsidP="00154D35">
            <w:pPr>
              <w:pStyle w:val="CDITable-RowCentre"/>
            </w:pPr>
            <w:r w:rsidRPr="00154D35">
              <w:t>723</w:t>
            </w:r>
          </w:p>
        </w:tc>
        <w:tc>
          <w:tcPr>
            <w:tcW w:w="1219"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2830FDD2" w14:textId="77777777" w:rsidR="00154D35" w:rsidRPr="00154D35" w:rsidRDefault="00154D35" w:rsidP="00154D35">
            <w:pPr>
              <w:pStyle w:val="CDITable-RowCentre"/>
            </w:pPr>
            <w:r w:rsidRPr="00154D35">
              <w:t>41.4</w:t>
            </w:r>
          </w:p>
        </w:tc>
      </w:tr>
      <w:tr w:rsidR="00154D35" w:rsidRPr="00154D35" w14:paraId="4917127C" w14:textId="77777777" w:rsidTr="00E10C2B">
        <w:trPr>
          <w:trHeight w:val="60"/>
        </w:trPr>
        <w:tc>
          <w:tcPr>
            <w:tcW w:w="2891" w:type="dxa"/>
            <w:vMerge/>
            <w:tcBorders>
              <w:bottom w:val="single" w:sz="6" w:space="0" w:color="1E4496" w:themeColor="text2"/>
            </w:tcBorders>
            <w:shd w:val="clear" w:color="auto" w:fill="DCF4FC" w:themeFill="background2" w:themeFillTint="33"/>
            <w:tcMar>
              <w:top w:w="102" w:type="dxa"/>
              <w:bottom w:w="102" w:type="dxa"/>
            </w:tcMar>
          </w:tcPr>
          <w:p w14:paraId="06F0FCB2" w14:textId="77777777" w:rsidR="00154D35" w:rsidRPr="00154D35" w:rsidRDefault="00154D35" w:rsidP="00154D35">
            <w:pPr>
              <w:pStyle w:val="CDITable-RowLeft"/>
            </w:pPr>
          </w:p>
        </w:tc>
        <w:tc>
          <w:tcPr>
            <w:tcW w:w="1701"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661AE864" w14:textId="77777777" w:rsidR="00154D35" w:rsidRPr="00154D35" w:rsidRDefault="00154D35" w:rsidP="00154D35">
            <w:pPr>
              <w:pStyle w:val="CDITable-RowLeft"/>
            </w:pPr>
            <w:r w:rsidRPr="00154D35">
              <w:t>Male</w:t>
            </w:r>
          </w:p>
        </w:tc>
        <w:tc>
          <w:tcPr>
            <w:tcW w:w="1219"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31523938" w14:textId="77777777" w:rsidR="00154D35" w:rsidRPr="00154D35" w:rsidRDefault="00154D35" w:rsidP="00154D35">
            <w:pPr>
              <w:pStyle w:val="CDITable-RowCentre"/>
            </w:pPr>
            <w:r w:rsidRPr="00154D35">
              <w:t>110</w:t>
            </w:r>
          </w:p>
        </w:tc>
        <w:tc>
          <w:tcPr>
            <w:tcW w:w="1219" w:type="dxa"/>
            <w:tcBorders>
              <w:top w:val="single" w:sz="6" w:space="0" w:color="1E4496" w:themeColor="text2"/>
              <w:bottom w:val="single" w:sz="6" w:space="0" w:color="1E4496" w:themeColor="text2"/>
              <w:right w:val="single" w:sz="6" w:space="0" w:color="1E4496" w:themeColor="text2"/>
            </w:tcBorders>
            <w:tcMar>
              <w:top w:w="102" w:type="dxa"/>
              <w:left w:w="113" w:type="dxa"/>
              <w:bottom w:w="102" w:type="dxa"/>
              <w:right w:w="113" w:type="dxa"/>
            </w:tcMar>
            <w:vAlign w:val="center"/>
          </w:tcPr>
          <w:p w14:paraId="3A69DA9B" w14:textId="77777777" w:rsidR="00154D35" w:rsidRPr="00154D35" w:rsidRDefault="00154D35" w:rsidP="00154D35">
            <w:pPr>
              <w:pStyle w:val="CDITable-RowCentre"/>
            </w:pPr>
            <w:r w:rsidRPr="00154D35">
              <w:t>59.5</w:t>
            </w:r>
          </w:p>
        </w:tc>
        <w:tc>
          <w:tcPr>
            <w:tcW w:w="1219" w:type="dxa"/>
            <w:tcBorders>
              <w:top w:val="single" w:sz="6" w:space="0" w:color="1E4496" w:themeColor="text2"/>
              <w:left w:val="single" w:sz="6" w:space="0" w:color="1E4496" w:themeColor="text2"/>
              <w:bottom w:val="single" w:sz="6" w:space="0" w:color="1E4496" w:themeColor="text2"/>
            </w:tcBorders>
            <w:tcMar>
              <w:top w:w="102" w:type="dxa"/>
              <w:left w:w="113" w:type="dxa"/>
              <w:bottom w:w="102" w:type="dxa"/>
              <w:right w:w="113" w:type="dxa"/>
            </w:tcMar>
            <w:vAlign w:val="center"/>
          </w:tcPr>
          <w:p w14:paraId="09F44E2B" w14:textId="77777777" w:rsidR="00154D35" w:rsidRPr="00154D35" w:rsidRDefault="00154D35" w:rsidP="00154D35">
            <w:pPr>
              <w:pStyle w:val="CDITable-RowCentre"/>
            </w:pPr>
            <w:r w:rsidRPr="00154D35">
              <w:t>356</w:t>
            </w:r>
          </w:p>
        </w:tc>
        <w:tc>
          <w:tcPr>
            <w:tcW w:w="1219" w:type="dxa"/>
            <w:tcBorders>
              <w:top w:val="single" w:sz="6" w:space="0" w:color="1E4496" w:themeColor="text2"/>
              <w:bottom w:val="single" w:sz="6" w:space="0" w:color="1E4496" w:themeColor="text2"/>
              <w:right w:val="single" w:sz="6" w:space="0" w:color="1E4496" w:themeColor="text2"/>
            </w:tcBorders>
            <w:tcMar>
              <w:top w:w="102" w:type="dxa"/>
              <w:left w:w="113" w:type="dxa"/>
              <w:bottom w:w="102" w:type="dxa"/>
              <w:right w:w="113" w:type="dxa"/>
            </w:tcMar>
            <w:vAlign w:val="center"/>
          </w:tcPr>
          <w:p w14:paraId="7C6783A3" w14:textId="77777777" w:rsidR="00154D35" w:rsidRPr="00154D35" w:rsidRDefault="00154D35" w:rsidP="00154D35">
            <w:pPr>
              <w:pStyle w:val="CDITable-RowCentre"/>
            </w:pPr>
            <w:r w:rsidRPr="00154D35">
              <w:t>60.0</w:t>
            </w:r>
          </w:p>
        </w:tc>
        <w:tc>
          <w:tcPr>
            <w:tcW w:w="1219" w:type="dxa"/>
            <w:tcBorders>
              <w:top w:val="single" w:sz="6" w:space="0" w:color="1E4496" w:themeColor="text2"/>
              <w:left w:val="single" w:sz="6" w:space="0" w:color="1E4496" w:themeColor="text2"/>
              <w:bottom w:val="single" w:sz="6" w:space="0" w:color="1E4496" w:themeColor="text2"/>
            </w:tcBorders>
            <w:tcMar>
              <w:top w:w="102" w:type="dxa"/>
              <w:left w:w="113" w:type="dxa"/>
              <w:bottom w:w="102" w:type="dxa"/>
              <w:right w:w="113" w:type="dxa"/>
            </w:tcMar>
            <w:vAlign w:val="center"/>
          </w:tcPr>
          <w:p w14:paraId="2A31F103" w14:textId="77777777" w:rsidR="00154D35" w:rsidRPr="00154D35" w:rsidRDefault="00154D35" w:rsidP="00154D35">
            <w:pPr>
              <w:pStyle w:val="CDITable-RowCentre"/>
            </w:pPr>
            <w:r w:rsidRPr="00154D35">
              <w:t>556</w:t>
            </w:r>
          </w:p>
        </w:tc>
        <w:tc>
          <w:tcPr>
            <w:tcW w:w="1219" w:type="dxa"/>
            <w:tcBorders>
              <w:top w:val="single" w:sz="6" w:space="0" w:color="1E4496" w:themeColor="text2"/>
              <w:bottom w:val="single" w:sz="6" w:space="0" w:color="1E4496" w:themeColor="text2"/>
              <w:right w:val="single" w:sz="6" w:space="0" w:color="1E4496" w:themeColor="text2"/>
            </w:tcBorders>
            <w:tcMar>
              <w:top w:w="102" w:type="dxa"/>
              <w:left w:w="113" w:type="dxa"/>
              <w:bottom w:w="102" w:type="dxa"/>
              <w:right w:w="113" w:type="dxa"/>
            </w:tcMar>
            <w:vAlign w:val="center"/>
          </w:tcPr>
          <w:p w14:paraId="58F7D00A" w14:textId="77777777" w:rsidR="00154D35" w:rsidRPr="00154D35" w:rsidRDefault="00154D35" w:rsidP="00154D35">
            <w:pPr>
              <w:pStyle w:val="CDITable-RowCentre"/>
            </w:pPr>
            <w:r w:rsidRPr="00154D35">
              <w:t>57.5</w:t>
            </w:r>
          </w:p>
        </w:tc>
        <w:tc>
          <w:tcPr>
            <w:tcW w:w="1218" w:type="dxa"/>
            <w:tcBorders>
              <w:top w:val="single" w:sz="6" w:space="0" w:color="1E4496" w:themeColor="text2"/>
              <w:left w:val="single" w:sz="6" w:space="0" w:color="1E4496" w:themeColor="text2"/>
              <w:bottom w:val="single" w:sz="6" w:space="0" w:color="1E4496" w:themeColor="text2"/>
            </w:tcBorders>
            <w:tcMar>
              <w:top w:w="102" w:type="dxa"/>
              <w:left w:w="113" w:type="dxa"/>
              <w:bottom w:w="102" w:type="dxa"/>
              <w:right w:w="113" w:type="dxa"/>
            </w:tcMar>
            <w:vAlign w:val="center"/>
          </w:tcPr>
          <w:p w14:paraId="35F4E234" w14:textId="77777777" w:rsidR="00154D35" w:rsidRPr="00154D35" w:rsidRDefault="00154D35" w:rsidP="00154D35">
            <w:pPr>
              <w:pStyle w:val="CDITable-RowCentre"/>
            </w:pPr>
            <w:r w:rsidRPr="00154D35">
              <w:t>1,022</w:t>
            </w:r>
          </w:p>
        </w:tc>
        <w:tc>
          <w:tcPr>
            <w:tcW w:w="1219"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0E96C52D" w14:textId="77777777" w:rsidR="00154D35" w:rsidRPr="00154D35" w:rsidRDefault="00154D35" w:rsidP="00154D35">
            <w:pPr>
              <w:pStyle w:val="CDITable-RowCentre"/>
            </w:pPr>
            <w:r w:rsidRPr="00154D35">
              <w:t>58.6</w:t>
            </w:r>
          </w:p>
        </w:tc>
      </w:tr>
      <w:tr w:rsidR="00154D35" w:rsidRPr="00154D35" w14:paraId="67C66EF8" w14:textId="77777777" w:rsidTr="00E10C2B">
        <w:trPr>
          <w:trHeight w:val="60"/>
        </w:trPr>
        <w:tc>
          <w:tcPr>
            <w:tcW w:w="2891" w:type="dxa"/>
            <w:vMerge w:val="restart"/>
            <w:tcBorders>
              <w:top w:val="single" w:sz="6" w:space="0" w:color="1E4496" w:themeColor="text2"/>
              <w:bottom w:val="single" w:sz="6" w:space="0" w:color="1E4496" w:themeColor="text2"/>
            </w:tcBorders>
            <w:shd w:val="clear" w:color="auto" w:fill="DCF4FC" w:themeFill="background2" w:themeFillTint="33"/>
            <w:tcMar>
              <w:top w:w="102" w:type="dxa"/>
              <w:left w:w="113" w:type="dxa"/>
              <w:bottom w:w="102" w:type="dxa"/>
              <w:right w:w="113" w:type="dxa"/>
            </w:tcMar>
            <w:vAlign w:val="center"/>
          </w:tcPr>
          <w:p w14:paraId="152CEF4C" w14:textId="77777777" w:rsidR="00154D35" w:rsidRPr="00154D35" w:rsidRDefault="00154D35" w:rsidP="00E10C2B">
            <w:pPr>
              <w:pStyle w:val="CDITable-RowLeft"/>
            </w:pPr>
            <w:proofErr w:type="spellStart"/>
            <w:r w:rsidRPr="00154D35">
              <w:t>Jurisdiction</w:t>
            </w:r>
            <w:r w:rsidRPr="00E10C2B">
              <w:rPr>
                <w:vertAlign w:val="superscript"/>
              </w:rPr>
              <w:t>c</w:t>
            </w:r>
            <w:proofErr w:type="spellEnd"/>
          </w:p>
        </w:tc>
        <w:tc>
          <w:tcPr>
            <w:tcW w:w="1701"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77E4FEB0" w14:textId="77777777" w:rsidR="00154D35" w:rsidRPr="00154D35" w:rsidRDefault="00154D35" w:rsidP="00154D35">
            <w:pPr>
              <w:pStyle w:val="CDITable-RowLeft"/>
            </w:pPr>
            <w:r w:rsidRPr="00154D35">
              <w:t>ACT</w:t>
            </w:r>
          </w:p>
        </w:tc>
        <w:tc>
          <w:tcPr>
            <w:tcW w:w="1219"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270B9C1A" w14:textId="77777777" w:rsidR="00154D35" w:rsidRPr="00154D35" w:rsidRDefault="00154D35" w:rsidP="00154D35">
            <w:pPr>
              <w:pStyle w:val="CDITable-RowCentre"/>
            </w:pPr>
            <w:r w:rsidRPr="00154D35">
              <w:t>5</w:t>
            </w:r>
          </w:p>
        </w:tc>
        <w:tc>
          <w:tcPr>
            <w:tcW w:w="1219" w:type="dxa"/>
            <w:tcBorders>
              <w:top w:val="single" w:sz="6" w:space="0" w:color="1E4496" w:themeColor="text2"/>
              <w:bottom w:val="single" w:sz="6" w:space="0" w:color="1E4496" w:themeColor="text2"/>
              <w:right w:val="single" w:sz="6" w:space="0" w:color="1E4496" w:themeColor="text2"/>
            </w:tcBorders>
            <w:tcMar>
              <w:top w:w="102" w:type="dxa"/>
              <w:left w:w="113" w:type="dxa"/>
              <w:bottom w:w="102" w:type="dxa"/>
              <w:right w:w="113" w:type="dxa"/>
            </w:tcMar>
            <w:vAlign w:val="center"/>
          </w:tcPr>
          <w:p w14:paraId="03705629" w14:textId="77777777" w:rsidR="00154D35" w:rsidRPr="00154D35" w:rsidRDefault="00154D35" w:rsidP="00154D35">
            <w:pPr>
              <w:pStyle w:val="CDITable-RowCentre"/>
            </w:pPr>
            <w:r w:rsidRPr="00154D35">
              <w:t>2.7</w:t>
            </w:r>
          </w:p>
        </w:tc>
        <w:tc>
          <w:tcPr>
            <w:tcW w:w="1219" w:type="dxa"/>
            <w:tcBorders>
              <w:top w:val="single" w:sz="6" w:space="0" w:color="1E4496" w:themeColor="text2"/>
              <w:left w:val="single" w:sz="6" w:space="0" w:color="1E4496" w:themeColor="text2"/>
              <w:bottom w:val="single" w:sz="6" w:space="0" w:color="1E4496" w:themeColor="text2"/>
            </w:tcBorders>
            <w:tcMar>
              <w:top w:w="102" w:type="dxa"/>
              <w:left w:w="113" w:type="dxa"/>
              <w:bottom w:w="102" w:type="dxa"/>
              <w:right w:w="113" w:type="dxa"/>
            </w:tcMar>
            <w:vAlign w:val="center"/>
          </w:tcPr>
          <w:p w14:paraId="07A605AA" w14:textId="77777777" w:rsidR="00154D35" w:rsidRPr="00154D35" w:rsidRDefault="00154D35" w:rsidP="00154D35">
            <w:pPr>
              <w:pStyle w:val="CDITable-RowCentre"/>
            </w:pPr>
            <w:r w:rsidRPr="00154D35">
              <w:t>19</w:t>
            </w:r>
          </w:p>
        </w:tc>
        <w:tc>
          <w:tcPr>
            <w:tcW w:w="1219" w:type="dxa"/>
            <w:tcBorders>
              <w:top w:val="single" w:sz="6" w:space="0" w:color="1E4496" w:themeColor="text2"/>
              <w:bottom w:val="single" w:sz="6" w:space="0" w:color="1E4496" w:themeColor="text2"/>
              <w:right w:val="single" w:sz="6" w:space="0" w:color="1E4496" w:themeColor="text2"/>
            </w:tcBorders>
            <w:tcMar>
              <w:top w:w="102" w:type="dxa"/>
              <w:left w:w="113" w:type="dxa"/>
              <w:bottom w:w="102" w:type="dxa"/>
              <w:right w:w="113" w:type="dxa"/>
            </w:tcMar>
            <w:vAlign w:val="center"/>
          </w:tcPr>
          <w:p w14:paraId="07340907" w14:textId="77777777" w:rsidR="00154D35" w:rsidRPr="00154D35" w:rsidRDefault="00154D35" w:rsidP="00154D35">
            <w:pPr>
              <w:pStyle w:val="CDITable-RowCentre"/>
            </w:pPr>
            <w:r w:rsidRPr="00154D35">
              <w:t>3.2</w:t>
            </w:r>
          </w:p>
        </w:tc>
        <w:tc>
          <w:tcPr>
            <w:tcW w:w="1219" w:type="dxa"/>
            <w:tcBorders>
              <w:top w:val="single" w:sz="6" w:space="0" w:color="1E4496" w:themeColor="text2"/>
              <w:left w:val="single" w:sz="6" w:space="0" w:color="1E4496" w:themeColor="text2"/>
              <w:bottom w:val="single" w:sz="6" w:space="0" w:color="1E4496" w:themeColor="text2"/>
            </w:tcBorders>
            <w:tcMar>
              <w:top w:w="102" w:type="dxa"/>
              <w:left w:w="113" w:type="dxa"/>
              <w:bottom w:w="102" w:type="dxa"/>
              <w:right w:w="113" w:type="dxa"/>
            </w:tcMar>
            <w:vAlign w:val="center"/>
          </w:tcPr>
          <w:p w14:paraId="724B02D8" w14:textId="77777777" w:rsidR="00154D35" w:rsidRPr="00154D35" w:rsidRDefault="00154D35" w:rsidP="00154D35">
            <w:pPr>
              <w:pStyle w:val="CDITable-RowCentre"/>
            </w:pPr>
            <w:r w:rsidRPr="00154D35">
              <w:t>30</w:t>
            </w:r>
          </w:p>
        </w:tc>
        <w:tc>
          <w:tcPr>
            <w:tcW w:w="1219" w:type="dxa"/>
            <w:tcBorders>
              <w:top w:val="single" w:sz="6" w:space="0" w:color="1E4496" w:themeColor="text2"/>
              <w:bottom w:val="single" w:sz="6" w:space="0" w:color="1E4496" w:themeColor="text2"/>
              <w:right w:val="single" w:sz="6" w:space="0" w:color="1E4496" w:themeColor="text2"/>
            </w:tcBorders>
            <w:tcMar>
              <w:top w:w="102" w:type="dxa"/>
              <w:left w:w="113" w:type="dxa"/>
              <w:bottom w:w="102" w:type="dxa"/>
              <w:right w:w="113" w:type="dxa"/>
            </w:tcMar>
            <w:vAlign w:val="center"/>
          </w:tcPr>
          <w:p w14:paraId="42B9063D" w14:textId="77777777" w:rsidR="00154D35" w:rsidRPr="00154D35" w:rsidRDefault="00154D35" w:rsidP="00154D35">
            <w:pPr>
              <w:pStyle w:val="CDITable-RowCentre"/>
            </w:pPr>
            <w:r w:rsidRPr="00154D35">
              <w:t>3.1</w:t>
            </w:r>
          </w:p>
        </w:tc>
        <w:tc>
          <w:tcPr>
            <w:tcW w:w="1218" w:type="dxa"/>
            <w:tcBorders>
              <w:top w:val="single" w:sz="6" w:space="0" w:color="1E4496" w:themeColor="text2"/>
              <w:left w:val="single" w:sz="6" w:space="0" w:color="1E4496" w:themeColor="text2"/>
              <w:bottom w:val="single" w:sz="6" w:space="0" w:color="1E4496" w:themeColor="text2"/>
            </w:tcBorders>
            <w:tcMar>
              <w:top w:w="102" w:type="dxa"/>
              <w:left w:w="113" w:type="dxa"/>
              <w:bottom w:w="102" w:type="dxa"/>
              <w:right w:w="113" w:type="dxa"/>
            </w:tcMar>
            <w:vAlign w:val="center"/>
          </w:tcPr>
          <w:p w14:paraId="4F31300B" w14:textId="77777777" w:rsidR="00154D35" w:rsidRPr="00154D35" w:rsidRDefault="00154D35" w:rsidP="00154D35">
            <w:pPr>
              <w:pStyle w:val="CDITable-RowCentre"/>
            </w:pPr>
            <w:r w:rsidRPr="00154D35">
              <w:t>54</w:t>
            </w:r>
          </w:p>
        </w:tc>
        <w:tc>
          <w:tcPr>
            <w:tcW w:w="1219"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2D0D06B1" w14:textId="77777777" w:rsidR="00154D35" w:rsidRPr="00154D35" w:rsidRDefault="00154D35" w:rsidP="00154D35">
            <w:pPr>
              <w:pStyle w:val="CDITable-RowCentre"/>
            </w:pPr>
            <w:r w:rsidRPr="00154D35">
              <w:t>3.1</w:t>
            </w:r>
          </w:p>
        </w:tc>
      </w:tr>
      <w:tr w:rsidR="00154D35" w:rsidRPr="00154D35" w14:paraId="12EB4699" w14:textId="77777777" w:rsidTr="00E10C2B">
        <w:trPr>
          <w:trHeight w:val="60"/>
        </w:trPr>
        <w:tc>
          <w:tcPr>
            <w:tcW w:w="2891" w:type="dxa"/>
            <w:vMerge/>
            <w:tcBorders>
              <w:bottom w:val="single" w:sz="6" w:space="0" w:color="1E4496" w:themeColor="text2"/>
            </w:tcBorders>
            <w:shd w:val="clear" w:color="auto" w:fill="DCF4FC" w:themeFill="background2" w:themeFillTint="33"/>
            <w:tcMar>
              <w:top w:w="102" w:type="dxa"/>
              <w:bottom w:w="102" w:type="dxa"/>
            </w:tcMar>
          </w:tcPr>
          <w:p w14:paraId="429C028D" w14:textId="77777777" w:rsidR="00154D35" w:rsidRPr="00154D35" w:rsidRDefault="00154D35" w:rsidP="00154D35"/>
        </w:tc>
        <w:tc>
          <w:tcPr>
            <w:tcW w:w="1701"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761AA89F" w14:textId="77777777" w:rsidR="00154D35" w:rsidRPr="00154D35" w:rsidRDefault="00154D35" w:rsidP="00154D35">
            <w:pPr>
              <w:pStyle w:val="CDITable-RowLeft"/>
            </w:pPr>
            <w:r w:rsidRPr="00154D35">
              <w:t>NSW</w:t>
            </w:r>
          </w:p>
        </w:tc>
        <w:tc>
          <w:tcPr>
            <w:tcW w:w="1219"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77C3CDF3" w14:textId="77777777" w:rsidR="00154D35" w:rsidRPr="00154D35" w:rsidRDefault="00154D35" w:rsidP="00154D35">
            <w:pPr>
              <w:pStyle w:val="CDITable-RowCentre"/>
            </w:pPr>
            <w:r w:rsidRPr="00154D35">
              <w:t>70</w:t>
            </w:r>
          </w:p>
        </w:tc>
        <w:tc>
          <w:tcPr>
            <w:tcW w:w="1219" w:type="dxa"/>
            <w:tcBorders>
              <w:top w:val="single" w:sz="6" w:space="0" w:color="1E4496" w:themeColor="text2"/>
              <w:bottom w:val="single" w:sz="6" w:space="0" w:color="1E4496" w:themeColor="text2"/>
              <w:right w:val="single" w:sz="6" w:space="0" w:color="1E4496" w:themeColor="text2"/>
            </w:tcBorders>
            <w:tcMar>
              <w:top w:w="102" w:type="dxa"/>
              <w:left w:w="113" w:type="dxa"/>
              <w:bottom w:w="102" w:type="dxa"/>
              <w:right w:w="113" w:type="dxa"/>
            </w:tcMar>
            <w:vAlign w:val="center"/>
          </w:tcPr>
          <w:p w14:paraId="2DC0DC96" w14:textId="77777777" w:rsidR="00154D35" w:rsidRPr="00154D35" w:rsidRDefault="00154D35" w:rsidP="00154D35">
            <w:pPr>
              <w:pStyle w:val="CDITable-RowCentre"/>
            </w:pPr>
            <w:r w:rsidRPr="00154D35">
              <w:t>37.8</w:t>
            </w:r>
          </w:p>
        </w:tc>
        <w:tc>
          <w:tcPr>
            <w:tcW w:w="1219" w:type="dxa"/>
            <w:tcBorders>
              <w:top w:val="single" w:sz="6" w:space="0" w:color="1E4496" w:themeColor="text2"/>
              <w:left w:val="single" w:sz="6" w:space="0" w:color="1E4496" w:themeColor="text2"/>
              <w:bottom w:val="single" w:sz="6" w:space="0" w:color="1E4496" w:themeColor="text2"/>
            </w:tcBorders>
            <w:tcMar>
              <w:top w:w="102" w:type="dxa"/>
              <w:left w:w="113" w:type="dxa"/>
              <w:bottom w:w="102" w:type="dxa"/>
              <w:right w:w="113" w:type="dxa"/>
            </w:tcMar>
            <w:vAlign w:val="center"/>
          </w:tcPr>
          <w:p w14:paraId="5ADB4354" w14:textId="77777777" w:rsidR="00154D35" w:rsidRPr="00154D35" w:rsidRDefault="00154D35" w:rsidP="00154D35">
            <w:pPr>
              <w:pStyle w:val="CDITable-RowCentre"/>
            </w:pPr>
            <w:r w:rsidRPr="00154D35">
              <w:t>209</w:t>
            </w:r>
          </w:p>
        </w:tc>
        <w:tc>
          <w:tcPr>
            <w:tcW w:w="1219" w:type="dxa"/>
            <w:tcBorders>
              <w:top w:val="single" w:sz="6" w:space="0" w:color="1E4496" w:themeColor="text2"/>
              <w:bottom w:val="single" w:sz="6" w:space="0" w:color="1E4496" w:themeColor="text2"/>
              <w:right w:val="single" w:sz="6" w:space="0" w:color="1E4496" w:themeColor="text2"/>
            </w:tcBorders>
            <w:tcMar>
              <w:top w:w="102" w:type="dxa"/>
              <w:left w:w="113" w:type="dxa"/>
              <w:bottom w:w="102" w:type="dxa"/>
              <w:right w:w="113" w:type="dxa"/>
            </w:tcMar>
            <w:vAlign w:val="center"/>
          </w:tcPr>
          <w:p w14:paraId="28B2C961" w14:textId="77777777" w:rsidR="00154D35" w:rsidRPr="00154D35" w:rsidRDefault="00154D35" w:rsidP="00154D35">
            <w:pPr>
              <w:pStyle w:val="CDITable-RowCentre"/>
            </w:pPr>
            <w:r w:rsidRPr="00154D35">
              <w:t>35.2</w:t>
            </w:r>
          </w:p>
        </w:tc>
        <w:tc>
          <w:tcPr>
            <w:tcW w:w="1219" w:type="dxa"/>
            <w:tcBorders>
              <w:top w:val="single" w:sz="6" w:space="0" w:color="1E4496" w:themeColor="text2"/>
              <w:left w:val="single" w:sz="6" w:space="0" w:color="1E4496" w:themeColor="text2"/>
              <w:bottom w:val="single" w:sz="6" w:space="0" w:color="1E4496" w:themeColor="text2"/>
            </w:tcBorders>
            <w:tcMar>
              <w:top w:w="102" w:type="dxa"/>
              <w:left w:w="113" w:type="dxa"/>
              <w:bottom w:w="102" w:type="dxa"/>
              <w:right w:w="113" w:type="dxa"/>
            </w:tcMar>
            <w:vAlign w:val="center"/>
          </w:tcPr>
          <w:p w14:paraId="6DE45C3C" w14:textId="77777777" w:rsidR="00154D35" w:rsidRPr="00154D35" w:rsidRDefault="00154D35" w:rsidP="00154D35">
            <w:pPr>
              <w:pStyle w:val="CDITable-RowCentre"/>
            </w:pPr>
            <w:r w:rsidRPr="00154D35">
              <w:t>336</w:t>
            </w:r>
          </w:p>
        </w:tc>
        <w:tc>
          <w:tcPr>
            <w:tcW w:w="1219" w:type="dxa"/>
            <w:tcBorders>
              <w:top w:val="single" w:sz="6" w:space="0" w:color="1E4496" w:themeColor="text2"/>
              <w:bottom w:val="single" w:sz="6" w:space="0" w:color="1E4496" w:themeColor="text2"/>
              <w:right w:val="single" w:sz="6" w:space="0" w:color="1E4496" w:themeColor="text2"/>
            </w:tcBorders>
            <w:tcMar>
              <w:top w:w="102" w:type="dxa"/>
              <w:left w:w="113" w:type="dxa"/>
              <w:bottom w:w="102" w:type="dxa"/>
              <w:right w:w="113" w:type="dxa"/>
            </w:tcMar>
            <w:vAlign w:val="center"/>
          </w:tcPr>
          <w:p w14:paraId="6CB36D5E" w14:textId="77777777" w:rsidR="00154D35" w:rsidRPr="00154D35" w:rsidRDefault="00154D35" w:rsidP="00154D35">
            <w:pPr>
              <w:pStyle w:val="CDITable-RowCentre"/>
            </w:pPr>
            <w:r w:rsidRPr="00154D35">
              <w:t>34.7</w:t>
            </w:r>
          </w:p>
        </w:tc>
        <w:tc>
          <w:tcPr>
            <w:tcW w:w="1218" w:type="dxa"/>
            <w:tcBorders>
              <w:top w:val="single" w:sz="6" w:space="0" w:color="1E4496" w:themeColor="text2"/>
              <w:left w:val="single" w:sz="6" w:space="0" w:color="1E4496" w:themeColor="text2"/>
              <w:bottom w:val="single" w:sz="6" w:space="0" w:color="1E4496" w:themeColor="text2"/>
            </w:tcBorders>
            <w:tcMar>
              <w:top w:w="102" w:type="dxa"/>
              <w:left w:w="113" w:type="dxa"/>
              <w:bottom w:w="102" w:type="dxa"/>
              <w:right w:w="113" w:type="dxa"/>
            </w:tcMar>
            <w:vAlign w:val="center"/>
          </w:tcPr>
          <w:p w14:paraId="3A77ADDA" w14:textId="77777777" w:rsidR="00154D35" w:rsidRPr="00154D35" w:rsidRDefault="00154D35" w:rsidP="00154D35">
            <w:pPr>
              <w:pStyle w:val="CDITable-RowCentre"/>
            </w:pPr>
            <w:r w:rsidRPr="00154D35">
              <w:t>615</w:t>
            </w:r>
          </w:p>
        </w:tc>
        <w:tc>
          <w:tcPr>
            <w:tcW w:w="1219"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1C556408" w14:textId="77777777" w:rsidR="00154D35" w:rsidRPr="00154D35" w:rsidRDefault="00154D35" w:rsidP="00154D35">
            <w:pPr>
              <w:pStyle w:val="CDITable-RowCentre"/>
            </w:pPr>
            <w:r w:rsidRPr="00154D35">
              <w:t>35.2</w:t>
            </w:r>
          </w:p>
        </w:tc>
      </w:tr>
      <w:tr w:rsidR="00154D35" w:rsidRPr="00154D35" w14:paraId="45B3002C" w14:textId="77777777" w:rsidTr="00E10C2B">
        <w:trPr>
          <w:trHeight w:val="60"/>
        </w:trPr>
        <w:tc>
          <w:tcPr>
            <w:tcW w:w="2891" w:type="dxa"/>
            <w:vMerge/>
            <w:tcBorders>
              <w:bottom w:val="single" w:sz="6" w:space="0" w:color="1E4496" w:themeColor="text2"/>
            </w:tcBorders>
            <w:shd w:val="clear" w:color="auto" w:fill="DCF4FC" w:themeFill="background2" w:themeFillTint="33"/>
            <w:tcMar>
              <w:top w:w="102" w:type="dxa"/>
              <w:bottom w:w="102" w:type="dxa"/>
            </w:tcMar>
          </w:tcPr>
          <w:p w14:paraId="67001E31" w14:textId="77777777" w:rsidR="00154D35" w:rsidRPr="00154D35" w:rsidRDefault="00154D35" w:rsidP="00154D35"/>
        </w:tc>
        <w:tc>
          <w:tcPr>
            <w:tcW w:w="1701"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0A932A00" w14:textId="77777777" w:rsidR="00154D35" w:rsidRPr="00154D35" w:rsidRDefault="00154D35" w:rsidP="00154D35">
            <w:pPr>
              <w:pStyle w:val="CDITable-RowLeft"/>
            </w:pPr>
            <w:r w:rsidRPr="00154D35">
              <w:t>NT</w:t>
            </w:r>
          </w:p>
        </w:tc>
        <w:tc>
          <w:tcPr>
            <w:tcW w:w="1219"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4ABF0091" w14:textId="77777777" w:rsidR="00154D35" w:rsidRPr="00154D35" w:rsidRDefault="00154D35" w:rsidP="00154D35">
            <w:pPr>
              <w:pStyle w:val="CDITable-RowCentre"/>
            </w:pPr>
            <w:r w:rsidRPr="00154D35">
              <w:t>4</w:t>
            </w:r>
          </w:p>
        </w:tc>
        <w:tc>
          <w:tcPr>
            <w:tcW w:w="1219" w:type="dxa"/>
            <w:tcBorders>
              <w:top w:val="single" w:sz="6" w:space="0" w:color="1E4496" w:themeColor="text2"/>
              <w:bottom w:val="single" w:sz="6" w:space="0" w:color="1E4496" w:themeColor="text2"/>
              <w:right w:val="single" w:sz="6" w:space="0" w:color="1E4496" w:themeColor="text2"/>
            </w:tcBorders>
            <w:tcMar>
              <w:top w:w="102" w:type="dxa"/>
              <w:left w:w="113" w:type="dxa"/>
              <w:bottom w:w="102" w:type="dxa"/>
              <w:right w:w="113" w:type="dxa"/>
            </w:tcMar>
            <w:vAlign w:val="center"/>
          </w:tcPr>
          <w:p w14:paraId="1C8587DB" w14:textId="77777777" w:rsidR="00154D35" w:rsidRPr="00154D35" w:rsidRDefault="00154D35" w:rsidP="00154D35">
            <w:pPr>
              <w:pStyle w:val="CDITable-RowCentre"/>
            </w:pPr>
            <w:r w:rsidRPr="00154D35">
              <w:t>2.2</w:t>
            </w:r>
          </w:p>
        </w:tc>
        <w:tc>
          <w:tcPr>
            <w:tcW w:w="1219" w:type="dxa"/>
            <w:tcBorders>
              <w:top w:val="single" w:sz="6" w:space="0" w:color="1E4496" w:themeColor="text2"/>
              <w:left w:val="single" w:sz="6" w:space="0" w:color="1E4496" w:themeColor="text2"/>
              <w:bottom w:val="single" w:sz="6" w:space="0" w:color="1E4496" w:themeColor="text2"/>
            </w:tcBorders>
            <w:tcMar>
              <w:top w:w="102" w:type="dxa"/>
              <w:left w:w="113" w:type="dxa"/>
              <w:bottom w:w="102" w:type="dxa"/>
              <w:right w:w="113" w:type="dxa"/>
            </w:tcMar>
            <w:vAlign w:val="center"/>
          </w:tcPr>
          <w:p w14:paraId="49B9937B" w14:textId="77777777" w:rsidR="00154D35" w:rsidRPr="00154D35" w:rsidRDefault="00154D35" w:rsidP="00154D35">
            <w:pPr>
              <w:pStyle w:val="CDITable-RowCentre"/>
            </w:pPr>
            <w:r w:rsidRPr="00154D35">
              <w:t>36</w:t>
            </w:r>
          </w:p>
        </w:tc>
        <w:tc>
          <w:tcPr>
            <w:tcW w:w="1219" w:type="dxa"/>
            <w:tcBorders>
              <w:top w:val="single" w:sz="6" w:space="0" w:color="1E4496" w:themeColor="text2"/>
              <w:bottom w:val="single" w:sz="6" w:space="0" w:color="1E4496" w:themeColor="text2"/>
              <w:right w:val="single" w:sz="6" w:space="0" w:color="1E4496" w:themeColor="text2"/>
            </w:tcBorders>
            <w:tcMar>
              <w:top w:w="102" w:type="dxa"/>
              <w:left w:w="113" w:type="dxa"/>
              <w:bottom w:w="102" w:type="dxa"/>
              <w:right w:w="113" w:type="dxa"/>
            </w:tcMar>
            <w:vAlign w:val="center"/>
          </w:tcPr>
          <w:p w14:paraId="6F5BB4FD" w14:textId="77777777" w:rsidR="00154D35" w:rsidRPr="00154D35" w:rsidRDefault="00154D35" w:rsidP="00154D35">
            <w:pPr>
              <w:pStyle w:val="CDITable-RowCentre"/>
            </w:pPr>
            <w:r w:rsidRPr="00154D35">
              <w:t>6.1</w:t>
            </w:r>
          </w:p>
        </w:tc>
        <w:tc>
          <w:tcPr>
            <w:tcW w:w="1219" w:type="dxa"/>
            <w:tcBorders>
              <w:top w:val="single" w:sz="6" w:space="0" w:color="1E4496" w:themeColor="text2"/>
              <w:left w:val="single" w:sz="6" w:space="0" w:color="1E4496" w:themeColor="text2"/>
              <w:bottom w:val="single" w:sz="6" w:space="0" w:color="1E4496" w:themeColor="text2"/>
            </w:tcBorders>
            <w:tcMar>
              <w:top w:w="102" w:type="dxa"/>
              <w:left w:w="113" w:type="dxa"/>
              <w:bottom w:w="102" w:type="dxa"/>
              <w:right w:w="113" w:type="dxa"/>
            </w:tcMar>
            <w:vAlign w:val="center"/>
          </w:tcPr>
          <w:p w14:paraId="2C3B4FEA" w14:textId="77777777" w:rsidR="00154D35" w:rsidRPr="00154D35" w:rsidRDefault="00154D35" w:rsidP="00154D35">
            <w:pPr>
              <w:pStyle w:val="CDITable-RowCentre"/>
            </w:pPr>
            <w:r w:rsidRPr="00154D35">
              <w:t>32</w:t>
            </w:r>
          </w:p>
        </w:tc>
        <w:tc>
          <w:tcPr>
            <w:tcW w:w="1219" w:type="dxa"/>
            <w:tcBorders>
              <w:top w:val="single" w:sz="6" w:space="0" w:color="1E4496" w:themeColor="text2"/>
              <w:bottom w:val="single" w:sz="6" w:space="0" w:color="1E4496" w:themeColor="text2"/>
              <w:right w:val="single" w:sz="6" w:space="0" w:color="1E4496" w:themeColor="text2"/>
            </w:tcBorders>
            <w:tcMar>
              <w:top w:w="102" w:type="dxa"/>
              <w:left w:w="113" w:type="dxa"/>
              <w:bottom w:w="102" w:type="dxa"/>
              <w:right w:w="113" w:type="dxa"/>
            </w:tcMar>
            <w:vAlign w:val="center"/>
          </w:tcPr>
          <w:p w14:paraId="7A757D2D" w14:textId="77777777" w:rsidR="00154D35" w:rsidRPr="00154D35" w:rsidRDefault="00154D35" w:rsidP="00154D35">
            <w:pPr>
              <w:pStyle w:val="CDITable-RowCentre"/>
            </w:pPr>
            <w:r w:rsidRPr="00154D35">
              <w:t>3.3</w:t>
            </w:r>
          </w:p>
        </w:tc>
        <w:tc>
          <w:tcPr>
            <w:tcW w:w="1218" w:type="dxa"/>
            <w:tcBorders>
              <w:top w:val="single" w:sz="6" w:space="0" w:color="1E4496" w:themeColor="text2"/>
              <w:left w:val="single" w:sz="6" w:space="0" w:color="1E4496" w:themeColor="text2"/>
              <w:bottom w:val="single" w:sz="6" w:space="0" w:color="1E4496" w:themeColor="text2"/>
            </w:tcBorders>
            <w:tcMar>
              <w:top w:w="102" w:type="dxa"/>
              <w:left w:w="113" w:type="dxa"/>
              <w:bottom w:w="102" w:type="dxa"/>
              <w:right w:w="113" w:type="dxa"/>
            </w:tcMar>
            <w:vAlign w:val="center"/>
          </w:tcPr>
          <w:p w14:paraId="085017E5" w14:textId="77777777" w:rsidR="00154D35" w:rsidRPr="00154D35" w:rsidRDefault="00154D35" w:rsidP="00154D35">
            <w:pPr>
              <w:pStyle w:val="CDITable-RowCentre"/>
            </w:pPr>
            <w:r w:rsidRPr="00154D35">
              <w:t>72</w:t>
            </w:r>
          </w:p>
        </w:tc>
        <w:tc>
          <w:tcPr>
            <w:tcW w:w="1219"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03B15914" w14:textId="77777777" w:rsidR="00154D35" w:rsidRPr="00154D35" w:rsidRDefault="00154D35" w:rsidP="00154D35">
            <w:pPr>
              <w:pStyle w:val="CDITable-RowCentre"/>
            </w:pPr>
            <w:r w:rsidRPr="00154D35">
              <w:t>4.1</w:t>
            </w:r>
          </w:p>
        </w:tc>
      </w:tr>
      <w:tr w:rsidR="00154D35" w:rsidRPr="00154D35" w14:paraId="1FDBA2FC" w14:textId="77777777" w:rsidTr="00E10C2B">
        <w:trPr>
          <w:trHeight w:val="60"/>
        </w:trPr>
        <w:tc>
          <w:tcPr>
            <w:tcW w:w="2891" w:type="dxa"/>
            <w:vMerge/>
            <w:tcBorders>
              <w:bottom w:val="single" w:sz="6" w:space="0" w:color="1E4496" w:themeColor="text2"/>
            </w:tcBorders>
            <w:shd w:val="clear" w:color="auto" w:fill="DCF4FC" w:themeFill="background2" w:themeFillTint="33"/>
            <w:tcMar>
              <w:top w:w="102" w:type="dxa"/>
              <w:bottom w:w="102" w:type="dxa"/>
            </w:tcMar>
          </w:tcPr>
          <w:p w14:paraId="7F1A82C1" w14:textId="77777777" w:rsidR="00154D35" w:rsidRPr="00154D35" w:rsidRDefault="00154D35" w:rsidP="00154D35"/>
        </w:tc>
        <w:tc>
          <w:tcPr>
            <w:tcW w:w="1701"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37172019" w14:textId="77777777" w:rsidR="00154D35" w:rsidRPr="00154D35" w:rsidRDefault="00154D35" w:rsidP="00154D35">
            <w:pPr>
              <w:pStyle w:val="CDITable-RowLeft"/>
            </w:pPr>
            <w:r w:rsidRPr="00154D35">
              <w:t>Qld</w:t>
            </w:r>
          </w:p>
        </w:tc>
        <w:tc>
          <w:tcPr>
            <w:tcW w:w="1219"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0D372DD6" w14:textId="77777777" w:rsidR="00154D35" w:rsidRPr="00154D35" w:rsidRDefault="00154D35" w:rsidP="00154D35">
            <w:pPr>
              <w:pStyle w:val="CDITable-RowCentre"/>
            </w:pPr>
            <w:r w:rsidRPr="00154D35">
              <w:t>10</w:t>
            </w:r>
          </w:p>
        </w:tc>
        <w:tc>
          <w:tcPr>
            <w:tcW w:w="1219" w:type="dxa"/>
            <w:tcBorders>
              <w:top w:val="single" w:sz="6" w:space="0" w:color="1E4496" w:themeColor="text2"/>
              <w:bottom w:val="single" w:sz="6" w:space="0" w:color="1E4496" w:themeColor="text2"/>
              <w:right w:val="single" w:sz="6" w:space="0" w:color="1E4496" w:themeColor="text2"/>
            </w:tcBorders>
            <w:tcMar>
              <w:top w:w="102" w:type="dxa"/>
              <w:left w:w="113" w:type="dxa"/>
              <w:bottom w:w="102" w:type="dxa"/>
              <w:right w:w="113" w:type="dxa"/>
            </w:tcMar>
            <w:vAlign w:val="center"/>
          </w:tcPr>
          <w:p w14:paraId="18E61A8D" w14:textId="77777777" w:rsidR="00154D35" w:rsidRPr="00154D35" w:rsidRDefault="00154D35" w:rsidP="00154D35">
            <w:pPr>
              <w:pStyle w:val="CDITable-RowCentre"/>
            </w:pPr>
            <w:r w:rsidRPr="00154D35">
              <w:t>5.4</w:t>
            </w:r>
          </w:p>
        </w:tc>
        <w:tc>
          <w:tcPr>
            <w:tcW w:w="1219" w:type="dxa"/>
            <w:tcBorders>
              <w:top w:val="single" w:sz="6" w:space="0" w:color="1E4496" w:themeColor="text2"/>
              <w:left w:val="single" w:sz="6" w:space="0" w:color="1E4496" w:themeColor="text2"/>
              <w:bottom w:val="single" w:sz="6" w:space="0" w:color="1E4496" w:themeColor="text2"/>
            </w:tcBorders>
            <w:tcMar>
              <w:top w:w="102" w:type="dxa"/>
              <w:left w:w="113" w:type="dxa"/>
              <w:bottom w:w="102" w:type="dxa"/>
              <w:right w:w="113" w:type="dxa"/>
            </w:tcMar>
            <w:vAlign w:val="center"/>
          </w:tcPr>
          <w:p w14:paraId="4E95425A" w14:textId="77777777" w:rsidR="00154D35" w:rsidRPr="00154D35" w:rsidRDefault="00154D35" w:rsidP="00154D35">
            <w:pPr>
              <w:pStyle w:val="CDITable-RowCentre"/>
            </w:pPr>
            <w:r w:rsidRPr="00154D35">
              <w:t>70</w:t>
            </w:r>
          </w:p>
        </w:tc>
        <w:tc>
          <w:tcPr>
            <w:tcW w:w="1219" w:type="dxa"/>
            <w:tcBorders>
              <w:top w:val="single" w:sz="6" w:space="0" w:color="1E4496" w:themeColor="text2"/>
              <w:bottom w:val="single" w:sz="6" w:space="0" w:color="1E4496" w:themeColor="text2"/>
              <w:right w:val="single" w:sz="6" w:space="0" w:color="1E4496" w:themeColor="text2"/>
            </w:tcBorders>
            <w:tcMar>
              <w:top w:w="102" w:type="dxa"/>
              <w:left w:w="113" w:type="dxa"/>
              <w:bottom w:w="102" w:type="dxa"/>
              <w:right w:w="113" w:type="dxa"/>
            </w:tcMar>
            <w:vAlign w:val="center"/>
          </w:tcPr>
          <w:p w14:paraId="4F1F5A33" w14:textId="77777777" w:rsidR="00154D35" w:rsidRPr="00154D35" w:rsidRDefault="00154D35" w:rsidP="00154D35">
            <w:pPr>
              <w:pStyle w:val="CDITable-RowCentre"/>
            </w:pPr>
            <w:r w:rsidRPr="00154D35">
              <w:t>11.8</w:t>
            </w:r>
          </w:p>
        </w:tc>
        <w:tc>
          <w:tcPr>
            <w:tcW w:w="1219" w:type="dxa"/>
            <w:tcBorders>
              <w:top w:val="single" w:sz="6" w:space="0" w:color="1E4496" w:themeColor="text2"/>
              <w:left w:val="single" w:sz="6" w:space="0" w:color="1E4496" w:themeColor="text2"/>
              <w:bottom w:val="single" w:sz="6" w:space="0" w:color="1E4496" w:themeColor="text2"/>
            </w:tcBorders>
            <w:tcMar>
              <w:top w:w="102" w:type="dxa"/>
              <w:left w:w="113" w:type="dxa"/>
              <w:bottom w:w="102" w:type="dxa"/>
              <w:right w:w="113" w:type="dxa"/>
            </w:tcMar>
            <w:vAlign w:val="center"/>
          </w:tcPr>
          <w:p w14:paraId="00D438C3" w14:textId="77777777" w:rsidR="00154D35" w:rsidRPr="00154D35" w:rsidRDefault="00154D35" w:rsidP="00154D35">
            <w:pPr>
              <w:pStyle w:val="CDITable-RowCentre"/>
            </w:pPr>
            <w:r w:rsidRPr="00154D35">
              <w:t>102</w:t>
            </w:r>
          </w:p>
        </w:tc>
        <w:tc>
          <w:tcPr>
            <w:tcW w:w="1219" w:type="dxa"/>
            <w:tcBorders>
              <w:top w:val="single" w:sz="6" w:space="0" w:color="1E4496" w:themeColor="text2"/>
              <w:bottom w:val="single" w:sz="6" w:space="0" w:color="1E4496" w:themeColor="text2"/>
              <w:right w:val="single" w:sz="6" w:space="0" w:color="1E4496" w:themeColor="text2"/>
            </w:tcBorders>
            <w:tcMar>
              <w:top w:w="102" w:type="dxa"/>
              <w:left w:w="113" w:type="dxa"/>
              <w:bottom w:w="102" w:type="dxa"/>
              <w:right w:w="113" w:type="dxa"/>
            </w:tcMar>
            <w:vAlign w:val="center"/>
          </w:tcPr>
          <w:p w14:paraId="68924955" w14:textId="77777777" w:rsidR="00154D35" w:rsidRPr="00154D35" w:rsidRDefault="00154D35" w:rsidP="00154D35">
            <w:pPr>
              <w:pStyle w:val="CDITable-RowCentre"/>
            </w:pPr>
            <w:r w:rsidRPr="00154D35">
              <w:t>10.5</w:t>
            </w:r>
          </w:p>
        </w:tc>
        <w:tc>
          <w:tcPr>
            <w:tcW w:w="1218" w:type="dxa"/>
            <w:tcBorders>
              <w:top w:val="single" w:sz="6" w:space="0" w:color="1E4496" w:themeColor="text2"/>
              <w:left w:val="single" w:sz="6" w:space="0" w:color="1E4496" w:themeColor="text2"/>
              <w:bottom w:val="single" w:sz="6" w:space="0" w:color="1E4496" w:themeColor="text2"/>
            </w:tcBorders>
            <w:tcMar>
              <w:top w:w="102" w:type="dxa"/>
              <w:left w:w="113" w:type="dxa"/>
              <w:bottom w:w="102" w:type="dxa"/>
              <w:right w:w="113" w:type="dxa"/>
            </w:tcMar>
            <w:vAlign w:val="center"/>
          </w:tcPr>
          <w:p w14:paraId="4F14406F" w14:textId="77777777" w:rsidR="00154D35" w:rsidRPr="00154D35" w:rsidRDefault="00154D35" w:rsidP="00154D35">
            <w:pPr>
              <w:pStyle w:val="CDITable-RowCentre"/>
            </w:pPr>
            <w:r w:rsidRPr="00154D35">
              <w:t>182</w:t>
            </w:r>
          </w:p>
        </w:tc>
        <w:tc>
          <w:tcPr>
            <w:tcW w:w="1219"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56F8BF9C" w14:textId="77777777" w:rsidR="00154D35" w:rsidRPr="00154D35" w:rsidRDefault="00154D35" w:rsidP="00154D35">
            <w:pPr>
              <w:pStyle w:val="CDITable-RowCentre"/>
            </w:pPr>
            <w:r w:rsidRPr="00154D35">
              <w:t>10.4</w:t>
            </w:r>
          </w:p>
        </w:tc>
      </w:tr>
      <w:tr w:rsidR="00154D35" w:rsidRPr="00154D35" w14:paraId="744CC004" w14:textId="77777777" w:rsidTr="00E10C2B">
        <w:trPr>
          <w:trHeight w:val="60"/>
        </w:trPr>
        <w:tc>
          <w:tcPr>
            <w:tcW w:w="2891" w:type="dxa"/>
            <w:vMerge/>
            <w:tcBorders>
              <w:bottom w:val="single" w:sz="6" w:space="0" w:color="1E4496" w:themeColor="text2"/>
            </w:tcBorders>
            <w:shd w:val="clear" w:color="auto" w:fill="DCF4FC" w:themeFill="background2" w:themeFillTint="33"/>
            <w:tcMar>
              <w:top w:w="102" w:type="dxa"/>
              <w:bottom w:w="102" w:type="dxa"/>
            </w:tcMar>
          </w:tcPr>
          <w:p w14:paraId="480852D2" w14:textId="77777777" w:rsidR="00154D35" w:rsidRPr="00154D35" w:rsidRDefault="00154D35" w:rsidP="00154D35"/>
        </w:tc>
        <w:tc>
          <w:tcPr>
            <w:tcW w:w="1701"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025E21C0" w14:textId="77777777" w:rsidR="00154D35" w:rsidRPr="00154D35" w:rsidRDefault="00154D35" w:rsidP="00154D35">
            <w:pPr>
              <w:pStyle w:val="CDITable-RowLeft"/>
            </w:pPr>
            <w:r w:rsidRPr="00154D35">
              <w:t>SA</w:t>
            </w:r>
          </w:p>
        </w:tc>
        <w:tc>
          <w:tcPr>
            <w:tcW w:w="1219"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704185F5" w14:textId="77777777" w:rsidR="00154D35" w:rsidRPr="00154D35" w:rsidRDefault="00154D35" w:rsidP="00154D35">
            <w:pPr>
              <w:pStyle w:val="CDITable-RowCentre"/>
            </w:pPr>
            <w:r w:rsidRPr="00154D35">
              <w:t>17</w:t>
            </w:r>
          </w:p>
        </w:tc>
        <w:tc>
          <w:tcPr>
            <w:tcW w:w="1219" w:type="dxa"/>
            <w:tcBorders>
              <w:top w:val="single" w:sz="6" w:space="0" w:color="1E4496" w:themeColor="text2"/>
              <w:bottom w:val="single" w:sz="6" w:space="0" w:color="1E4496" w:themeColor="text2"/>
              <w:right w:val="single" w:sz="6" w:space="0" w:color="1E4496" w:themeColor="text2"/>
            </w:tcBorders>
            <w:tcMar>
              <w:top w:w="102" w:type="dxa"/>
              <w:left w:w="113" w:type="dxa"/>
              <w:bottom w:w="102" w:type="dxa"/>
              <w:right w:w="113" w:type="dxa"/>
            </w:tcMar>
            <w:vAlign w:val="center"/>
          </w:tcPr>
          <w:p w14:paraId="1CBD0597" w14:textId="77777777" w:rsidR="00154D35" w:rsidRPr="00154D35" w:rsidRDefault="00154D35" w:rsidP="00154D35">
            <w:pPr>
              <w:pStyle w:val="CDITable-RowCentre"/>
            </w:pPr>
            <w:r w:rsidRPr="00154D35">
              <w:t>9.2</w:t>
            </w:r>
          </w:p>
        </w:tc>
        <w:tc>
          <w:tcPr>
            <w:tcW w:w="1219" w:type="dxa"/>
            <w:tcBorders>
              <w:top w:val="single" w:sz="6" w:space="0" w:color="1E4496" w:themeColor="text2"/>
              <w:left w:val="single" w:sz="6" w:space="0" w:color="1E4496" w:themeColor="text2"/>
              <w:bottom w:val="single" w:sz="6" w:space="0" w:color="1E4496" w:themeColor="text2"/>
            </w:tcBorders>
            <w:tcMar>
              <w:top w:w="102" w:type="dxa"/>
              <w:left w:w="113" w:type="dxa"/>
              <w:bottom w:w="102" w:type="dxa"/>
              <w:right w:w="113" w:type="dxa"/>
            </w:tcMar>
            <w:vAlign w:val="center"/>
          </w:tcPr>
          <w:p w14:paraId="1A8C2688" w14:textId="77777777" w:rsidR="00154D35" w:rsidRPr="00154D35" w:rsidRDefault="00154D35" w:rsidP="00154D35">
            <w:pPr>
              <w:pStyle w:val="CDITable-RowCentre"/>
            </w:pPr>
            <w:r w:rsidRPr="00154D35">
              <w:t>36</w:t>
            </w:r>
          </w:p>
        </w:tc>
        <w:tc>
          <w:tcPr>
            <w:tcW w:w="1219" w:type="dxa"/>
            <w:tcBorders>
              <w:top w:val="single" w:sz="6" w:space="0" w:color="1E4496" w:themeColor="text2"/>
              <w:bottom w:val="single" w:sz="6" w:space="0" w:color="1E4496" w:themeColor="text2"/>
              <w:right w:val="single" w:sz="6" w:space="0" w:color="1E4496" w:themeColor="text2"/>
            </w:tcBorders>
            <w:tcMar>
              <w:top w:w="102" w:type="dxa"/>
              <w:left w:w="113" w:type="dxa"/>
              <w:bottom w:w="102" w:type="dxa"/>
              <w:right w:w="113" w:type="dxa"/>
            </w:tcMar>
            <w:vAlign w:val="center"/>
          </w:tcPr>
          <w:p w14:paraId="0DAEFD7C" w14:textId="77777777" w:rsidR="00154D35" w:rsidRPr="00154D35" w:rsidRDefault="00154D35" w:rsidP="00154D35">
            <w:pPr>
              <w:pStyle w:val="CDITable-RowCentre"/>
            </w:pPr>
            <w:r w:rsidRPr="00154D35">
              <w:t>6.1</w:t>
            </w:r>
          </w:p>
        </w:tc>
        <w:tc>
          <w:tcPr>
            <w:tcW w:w="1219" w:type="dxa"/>
            <w:tcBorders>
              <w:top w:val="single" w:sz="6" w:space="0" w:color="1E4496" w:themeColor="text2"/>
              <w:left w:val="single" w:sz="6" w:space="0" w:color="1E4496" w:themeColor="text2"/>
              <w:bottom w:val="single" w:sz="6" w:space="0" w:color="1E4496" w:themeColor="text2"/>
            </w:tcBorders>
            <w:tcMar>
              <w:top w:w="102" w:type="dxa"/>
              <w:left w:w="113" w:type="dxa"/>
              <w:bottom w:w="102" w:type="dxa"/>
              <w:right w:w="113" w:type="dxa"/>
            </w:tcMar>
            <w:vAlign w:val="center"/>
          </w:tcPr>
          <w:p w14:paraId="0D3F3BDE" w14:textId="77777777" w:rsidR="00154D35" w:rsidRPr="00154D35" w:rsidRDefault="00154D35" w:rsidP="00154D35">
            <w:pPr>
              <w:pStyle w:val="CDITable-RowCentre"/>
            </w:pPr>
            <w:r w:rsidRPr="00154D35">
              <w:t>68</w:t>
            </w:r>
          </w:p>
        </w:tc>
        <w:tc>
          <w:tcPr>
            <w:tcW w:w="1219" w:type="dxa"/>
            <w:tcBorders>
              <w:top w:val="single" w:sz="6" w:space="0" w:color="1E4496" w:themeColor="text2"/>
              <w:bottom w:val="single" w:sz="6" w:space="0" w:color="1E4496" w:themeColor="text2"/>
              <w:right w:val="single" w:sz="6" w:space="0" w:color="1E4496" w:themeColor="text2"/>
            </w:tcBorders>
            <w:tcMar>
              <w:top w:w="102" w:type="dxa"/>
              <w:left w:w="113" w:type="dxa"/>
              <w:bottom w:w="102" w:type="dxa"/>
              <w:right w:w="113" w:type="dxa"/>
            </w:tcMar>
            <w:vAlign w:val="center"/>
          </w:tcPr>
          <w:p w14:paraId="4DE86181" w14:textId="77777777" w:rsidR="00154D35" w:rsidRPr="00154D35" w:rsidRDefault="00154D35" w:rsidP="00154D35">
            <w:pPr>
              <w:pStyle w:val="CDITable-RowCentre"/>
            </w:pPr>
            <w:r w:rsidRPr="00154D35">
              <w:t>7.0</w:t>
            </w:r>
          </w:p>
        </w:tc>
        <w:tc>
          <w:tcPr>
            <w:tcW w:w="1218" w:type="dxa"/>
            <w:tcBorders>
              <w:top w:val="single" w:sz="6" w:space="0" w:color="1E4496" w:themeColor="text2"/>
              <w:left w:val="single" w:sz="6" w:space="0" w:color="1E4496" w:themeColor="text2"/>
              <w:bottom w:val="single" w:sz="6" w:space="0" w:color="1E4496" w:themeColor="text2"/>
            </w:tcBorders>
            <w:tcMar>
              <w:top w:w="102" w:type="dxa"/>
              <w:left w:w="113" w:type="dxa"/>
              <w:bottom w:w="102" w:type="dxa"/>
              <w:right w:w="113" w:type="dxa"/>
            </w:tcMar>
            <w:vAlign w:val="center"/>
          </w:tcPr>
          <w:p w14:paraId="66F171FF" w14:textId="77777777" w:rsidR="00154D35" w:rsidRPr="00154D35" w:rsidRDefault="00154D35" w:rsidP="00154D35">
            <w:pPr>
              <w:pStyle w:val="CDITable-RowCentre"/>
            </w:pPr>
            <w:r w:rsidRPr="00154D35">
              <w:t>121</w:t>
            </w:r>
          </w:p>
        </w:tc>
        <w:tc>
          <w:tcPr>
            <w:tcW w:w="1219"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57AF1F33" w14:textId="77777777" w:rsidR="00154D35" w:rsidRPr="00154D35" w:rsidRDefault="00154D35" w:rsidP="00154D35">
            <w:pPr>
              <w:pStyle w:val="CDITable-RowCentre"/>
            </w:pPr>
            <w:r w:rsidRPr="00154D35">
              <w:t>6.9</w:t>
            </w:r>
          </w:p>
        </w:tc>
      </w:tr>
      <w:tr w:rsidR="00154D35" w:rsidRPr="00154D35" w14:paraId="149EA83B" w14:textId="77777777" w:rsidTr="00E10C2B">
        <w:trPr>
          <w:trHeight w:val="60"/>
        </w:trPr>
        <w:tc>
          <w:tcPr>
            <w:tcW w:w="2891" w:type="dxa"/>
            <w:vMerge/>
            <w:tcBorders>
              <w:bottom w:val="single" w:sz="6" w:space="0" w:color="1E4496" w:themeColor="text2"/>
            </w:tcBorders>
            <w:shd w:val="clear" w:color="auto" w:fill="DCF4FC" w:themeFill="background2" w:themeFillTint="33"/>
            <w:tcMar>
              <w:top w:w="102" w:type="dxa"/>
              <w:bottom w:w="102" w:type="dxa"/>
            </w:tcMar>
          </w:tcPr>
          <w:p w14:paraId="3F6F4726" w14:textId="77777777" w:rsidR="00154D35" w:rsidRPr="00154D35" w:rsidRDefault="00154D35" w:rsidP="00154D35"/>
        </w:tc>
        <w:tc>
          <w:tcPr>
            <w:tcW w:w="1701"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2B0953A6" w14:textId="77777777" w:rsidR="00154D35" w:rsidRPr="00154D35" w:rsidRDefault="00154D35" w:rsidP="00154D35">
            <w:pPr>
              <w:pStyle w:val="CDITable-RowLeft"/>
            </w:pPr>
            <w:r w:rsidRPr="00154D35">
              <w:t>Tas.</w:t>
            </w:r>
          </w:p>
        </w:tc>
        <w:tc>
          <w:tcPr>
            <w:tcW w:w="1219"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1FDACECA" w14:textId="77777777" w:rsidR="00154D35" w:rsidRPr="00154D35" w:rsidRDefault="00154D35" w:rsidP="00154D35">
            <w:pPr>
              <w:pStyle w:val="CDITable-RowCentre"/>
            </w:pPr>
            <w:r w:rsidRPr="00154D35">
              <w:t>5</w:t>
            </w:r>
          </w:p>
        </w:tc>
        <w:tc>
          <w:tcPr>
            <w:tcW w:w="1219" w:type="dxa"/>
            <w:tcBorders>
              <w:top w:val="single" w:sz="6" w:space="0" w:color="1E4496" w:themeColor="text2"/>
              <w:bottom w:val="single" w:sz="6" w:space="0" w:color="1E4496" w:themeColor="text2"/>
              <w:right w:val="single" w:sz="6" w:space="0" w:color="1E4496" w:themeColor="text2"/>
            </w:tcBorders>
            <w:tcMar>
              <w:top w:w="102" w:type="dxa"/>
              <w:left w:w="113" w:type="dxa"/>
              <w:bottom w:w="102" w:type="dxa"/>
              <w:right w:w="113" w:type="dxa"/>
            </w:tcMar>
            <w:vAlign w:val="center"/>
          </w:tcPr>
          <w:p w14:paraId="283BD9CD" w14:textId="77777777" w:rsidR="00154D35" w:rsidRPr="00154D35" w:rsidRDefault="00154D35" w:rsidP="00154D35">
            <w:pPr>
              <w:pStyle w:val="CDITable-RowCentre"/>
            </w:pPr>
            <w:r w:rsidRPr="00154D35">
              <w:t>2.7</w:t>
            </w:r>
          </w:p>
        </w:tc>
        <w:tc>
          <w:tcPr>
            <w:tcW w:w="1219" w:type="dxa"/>
            <w:tcBorders>
              <w:top w:val="single" w:sz="6" w:space="0" w:color="1E4496" w:themeColor="text2"/>
              <w:left w:val="single" w:sz="6" w:space="0" w:color="1E4496" w:themeColor="text2"/>
              <w:bottom w:val="single" w:sz="6" w:space="0" w:color="1E4496" w:themeColor="text2"/>
            </w:tcBorders>
            <w:tcMar>
              <w:top w:w="102" w:type="dxa"/>
              <w:left w:w="113" w:type="dxa"/>
              <w:bottom w:w="102" w:type="dxa"/>
              <w:right w:w="113" w:type="dxa"/>
            </w:tcMar>
            <w:vAlign w:val="center"/>
          </w:tcPr>
          <w:p w14:paraId="1B1F4CB7" w14:textId="77777777" w:rsidR="00154D35" w:rsidRPr="00154D35" w:rsidRDefault="00154D35" w:rsidP="00154D35">
            <w:pPr>
              <w:pStyle w:val="CDITable-RowCentre"/>
            </w:pPr>
            <w:r w:rsidRPr="00154D35">
              <w:t>16</w:t>
            </w:r>
          </w:p>
        </w:tc>
        <w:tc>
          <w:tcPr>
            <w:tcW w:w="1219" w:type="dxa"/>
            <w:tcBorders>
              <w:top w:val="single" w:sz="6" w:space="0" w:color="1E4496" w:themeColor="text2"/>
              <w:bottom w:val="single" w:sz="6" w:space="0" w:color="1E4496" w:themeColor="text2"/>
              <w:right w:val="single" w:sz="6" w:space="0" w:color="1E4496" w:themeColor="text2"/>
            </w:tcBorders>
            <w:tcMar>
              <w:top w:w="102" w:type="dxa"/>
              <w:left w:w="113" w:type="dxa"/>
              <w:bottom w:w="102" w:type="dxa"/>
              <w:right w:w="113" w:type="dxa"/>
            </w:tcMar>
            <w:vAlign w:val="center"/>
          </w:tcPr>
          <w:p w14:paraId="1ACEC7A6" w14:textId="77777777" w:rsidR="00154D35" w:rsidRPr="00154D35" w:rsidRDefault="00154D35" w:rsidP="00154D35">
            <w:pPr>
              <w:pStyle w:val="CDITable-RowCentre"/>
            </w:pPr>
            <w:r w:rsidRPr="00154D35">
              <w:t>2.7</w:t>
            </w:r>
          </w:p>
        </w:tc>
        <w:tc>
          <w:tcPr>
            <w:tcW w:w="1219" w:type="dxa"/>
            <w:tcBorders>
              <w:top w:val="single" w:sz="6" w:space="0" w:color="1E4496" w:themeColor="text2"/>
              <w:left w:val="single" w:sz="6" w:space="0" w:color="1E4496" w:themeColor="text2"/>
              <w:bottom w:val="single" w:sz="6" w:space="0" w:color="1E4496" w:themeColor="text2"/>
            </w:tcBorders>
            <w:tcMar>
              <w:top w:w="102" w:type="dxa"/>
              <w:left w:w="113" w:type="dxa"/>
              <w:bottom w:w="102" w:type="dxa"/>
              <w:right w:w="113" w:type="dxa"/>
            </w:tcMar>
            <w:vAlign w:val="center"/>
          </w:tcPr>
          <w:p w14:paraId="09CDE381" w14:textId="77777777" w:rsidR="00154D35" w:rsidRPr="00154D35" w:rsidRDefault="00154D35" w:rsidP="00154D35">
            <w:pPr>
              <w:pStyle w:val="CDITable-RowCentre"/>
            </w:pPr>
            <w:r w:rsidRPr="00154D35">
              <w:t>29</w:t>
            </w:r>
          </w:p>
        </w:tc>
        <w:tc>
          <w:tcPr>
            <w:tcW w:w="1219" w:type="dxa"/>
            <w:tcBorders>
              <w:top w:val="single" w:sz="6" w:space="0" w:color="1E4496" w:themeColor="text2"/>
              <w:bottom w:val="single" w:sz="6" w:space="0" w:color="1E4496" w:themeColor="text2"/>
              <w:right w:val="single" w:sz="6" w:space="0" w:color="1E4496" w:themeColor="text2"/>
            </w:tcBorders>
            <w:tcMar>
              <w:top w:w="102" w:type="dxa"/>
              <w:left w:w="113" w:type="dxa"/>
              <w:bottom w:w="102" w:type="dxa"/>
              <w:right w:w="113" w:type="dxa"/>
            </w:tcMar>
            <w:vAlign w:val="center"/>
          </w:tcPr>
          <w:p w14:paraId="3A9D882E" w14:textId="77777777" w:rsidR="00154D35" w:rsidRPr="00154D35" w:rsidRDefault="00154D35" w:rsidP="00154D35">
            <w:pPr>
              <w:pStyle w:val="CDITable-RowCentre"/>
            </w:pPr>
            <w:r w:rsidRPr="00154D35">
              <w:t>3.0</w:t>
            </w:r>
          </w:p>
        </w:tc>
        <w:tc>
          <w:tcPr>
            <w:tcW w:w="1218" w:type="dxa"/>
            <w:tcBorders>
              <w:top w:val="single" w:sz="6" w:space="0" w:color="1E4496" w:themeColor="text2"/>
              <w:left w:val="single" w:sz="6" w:space="0" w:color="1E4496" w:themeColor="text2"/>
              <w:bottom w:val="single" w:sz="6" w:space="0" w:color="1E4496" w:themeColor="text2"/>
            </w:tcBorders>
            <w:tcMar>
              <w:top w:w="102" w:type="dxa"/>
              <w:left w:w="113" w:type="dxa"/>
              <w:bottom w:w="102" w:type="dxa"/>
              <w:right w:w="113" w:type="dxa"/>
            </w:tcMar>
            <w:vAlign w:val="center"/>
          </w:tcPr>
          <w:p w14:paraId="487E2F04" w14:textId="77777777" w:rsidR="00154D35" w:rsidRPr="00154D35" w:rsidRDefault="00154D35" w:rsidP="00154D35">
            <w:pPr>
              <w:pStyle w:val="CDITable-RowCentre"/>
            </w:pPr>
            <w:r w:rsidRPr="00154D35">
              <w:t>50</w:t>
            </w:r>
          </w:p>
        </w:tc>
        <w:tc>
          <w:tcPr>
            <w:tcW w:w="1219"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2BDE9248" w14:textId="77777777" w:rsidR="00154D35" w:rsidRPr="00154D35" w:rsidRDefault="00154D35" w:rsidP="00154D35">
            <w:pPr>
              <w:pStyle w:val="CDITable-RowCentre"/>
            </w:pPr>
            <w:r w:rsidRPr="00154D35">
              <w:t>2.9</w:t>
            </w:r>
          </w:p>
        </w:tc>
      </w:tr>
      <w:tr w:rsidR="00154D35" w:rsidRPr="00154D35" w14:paraId="458383C2" w14:textId="77777777" w:rsidTr="00E10C2B">
        <w:trPr>
          <w:trHeight w:val="60"/>
        </w:trPr>
        <w:tc>
          <w:tcPr>
            <w:tcW w:w="2891" w:type="dxa"/>
            <w:vMerge/>
            <w:tcBorders>
              <w:bottom w:val="single" w:sz="6" w:space="0" w:color="1E4496" w:themeColor="text2"/>
            </w:tcBorders>
            <w:shd w:val="clear" w:color="auto" w:fill="DCF4FC" w:themeFill="background2" w:themeFillTint="33"/>
            <w:tcMar>
              <w:top w:w="102" w:type="dxa"/>
              <w:bottom w:w="102" w:type="dxa"/>
            </w:tcMar>
          </w:tcPr>
          <w:p w14:paraId="25A88B45" w14:textId="77777777" w:rsidR="00154D35" w:rsidRPr="00154D35" w:rsidRDefault="00154D35" w:rsidP="00154D35"/>
        </w:tc>
        <w:tc>
          <w:tcPr>
            <w:tcW w:w="1701"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4DF39382" w14:textId="77777777" w:rsidR="00154D35" w:rsidRPr="00154D35" w:rsidRDefault="00154D35" w:rsidP="00154D35">
            <w:pPr>
              <w:pStyle w:val="CDITable-RowLeft"/>
            </w:pPr>
            <w:r w:rsidRPr="00154D35">
              <w:t>Vic.</w:t>
            </w:r>
          </w:p>
        </w:tc>
        <w:tc>
          <w:tcPr>
            <w:tcW w:w="1219"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146EB9F8" w14:textId="77777777" w:rsidR="00154D35" w:rsidRPr="00154D35" w:rsidRDefault="00154D35" w:rsidP="00154D35">
            <w:pPr>
              <w:pStyle w:val="CDITable-RowCentre"/>
            </w:pPr>
            <w:r w:rsidRPr="00154D35">
              <w:t>53</w:t>
            </w:r>
          </w:p>
        </w:tc>
        <w:tc>
          <w:tcPr>
            <w:tcW w:w="1219" w:type="dxa"/>
            <w:tcBorders>
              <w:top w:val="single" w:sz="6" w:space="0" w:color="1E4496" w:themeColor="text2"/>
              <w:bottom w:val="single" w:sz="6" w:space="0" w:color="1E4496" w:themeColor="text2"/>
              <w:right w:val="single" w:sz="6" w:space="0" w:color="1E4496" w:themeColor="text2"/>
            </w:tcBorders>
            <w:tcMar>
              <w:top w:w="102" w:type="dxa"/>
              <w:left w:w="113" w:type="dxa"/>
              <w:bottom w:w="102" w:type="dxa"/>
              <w:right w:w="113" w:type="dxa"/>
            </w:tcMar>
            <w:vAlign w:val="center"/>
          </w:tcPr>
          <w:p w14:paraId="76E12D77" w14:textId="77777777" w:rsidR="00154D35" w:rsidRPr="00154D35" w:rsidRDefault="00154D35" w:rsidP="00154D35">
            <w:pPr>
              <w:pStyle w:val="CDITable-RowCentre"/>
            </w:pPr>
            <w:r w:rsidRPr="00154D35">
              <w:t>28.6</w:t>
            </w:r>
          </w:p>
        </w:tc>
        <w:tc>
          <w:tcPr>
            <w:tcW w:w="1219" w:type="dxa"/>
            <w:tcBorders>
              <w:top w:val="single" w:sz="6" w:space="0" w:color="1E4496" w:themeColor="text2"/>
              <w:left w:val="single" w:sz="6" w:space="0" w:color="1E4496" w:themeColor="text2"/>
              <w:bottom w:val="single" w:sz="6" w:space="0" w:color="1E4496" w:themeColor="text2"/>
            </w:tcBorders>
            <w:tcMar>
              <w:top w:w="102" w:type="dxa"/>
              <w:left w:w="113" w:type="dxa"/>
              <w:bottom w:w="102" w:type="dxa"/>
              <w:right w:w="113" w:type="dxa"/>
            </w:tcMar>
            <w:vAlign w:val="center"/>
          </w:tcPr>
          <w:p w14:paraId="379A2E49" w14:textId="77777777" w:rsidR="00154D35" w:rsidRPr="00154D35" w:rsidRDefault="00154D35" w:rsidP="00154D35">
            <w:pPr>
              <w:pStyle w:val="CDITable-RowCentre"/>
            </w:pPr>
            <w:r w:rsidRPr="00154D35">
              <w:t>135</w:t>
            </w:r>
          </w:p>
        </w:tc>
        <w:tc>
          <w:tcPr>
            <w:tcW w:w="1219" w:type="dxa"/>
            <w:tcBorders>
              <w:top w:val="single" w:sz="6" w:space="0" w:color="1E4496" w:themeColor="text2"/>
              <w:bottom w:val="single" w:sz="6" w:space="0" w:color="1E4496" w:themeColor="text2"/>
              <w:right w:val="single" w:sz="6" w:space="0" w:color="1E4496" w:themeColor="text2"/>
            </w:tcBorders>
            <w:tcMar>
              <w:top w:w="102" w:type="dxa"/>
              <w:left w:w="113" w:type="dxa"/>
              <w:bottom w:w="102" w:type="dxa"/>
              <w:right w:w="113" w:type="dxa"/>
            </w:tcMar>
            <w:vAlign w:val="center"/>
          </w:tcPr>
          <w:p w14:paraId="30EE6A55" w14:textId="77777777" w:rsidR="00154D35" w:rsidRPr="00154D35" w:rsidRDefault="00154D35" w:rsidP="00154D35">
            <w:pPr>
              <w:pStyle w:val="CDITable-RowCentre"/>
            </w:pPr>
            <w:r w:rsidRPr="00154D35">
              <w:t>22.8</w:t>
            </w:r>
          </w:p>
        </w:tc>
        <w:tc>
          <w:tcPr>
            <w:tcW w:w="1219" w:type="dxa"/>
            <w:tcBorders>
              <w:top w:val="single" w:sz="6" w:space="0" w:color="1E4496" w:themeColor="text2"/>
              <w:left w:val="single" w:sz="6" w:space="0" w:color="1E4496" w:themeColor="text2"/>
              <w:bottom w:val="single" w:sz="6" w:space="0" w:color="1E4496" w:themeColor="text2"/>
            </w:tcBorders>
            <w:tcMar>
              <w:top w:w="102" w:type="dxa"/>
              <w:left w:w="113" w:type="dxa"/>
              <w:bottom w:w="102" w:type="dxa"/>
              <w:right w:w="113" w:type="dxa"/>
            </w:tcMar>
            <w:vAlign w:val="center"/>
          </w:tcPr>
          <w:p w14:paraId="4572011E" w14:textId="77777777" w:rsidR="00154D35" w:rsidRPr="00154D35" w:rsidRDefault="00154D35" w:rsidP="00154D35">
            <w:pPr>
              <w:pStyle w:val="CDITable-RowCentre"/>
            </w:pPr>
            <w:r w:rsidRPr="00154D35">
              <w:t>260</w:t>
            </w:r>
          </w:p>
        </w:tc>
        <w:tc>
          <w:tcPr>
            <w:tcW w:w="1219" w:type="dxa"/>
            <w:tcBorders>
              <w:top w:val="single" w:sz="6" w:space="0" w:color="1E4496" w:themeColor="text2"/>
              <w:bottom w:val="single" w:sz="6" w:space="0" w:color="1E4496" w:themeColor="text2"/>
              <w:right w:val="single" w:sz="6" w:space="0" w:color="1E4496" w:themeColor="text2"/>
            </w:tcBorders>
            <w:tcMar>
              <w:top w:w="102" w:type="dxa"/>
              <w:left w:w="113" w:type="dxa"/>
              <w:bottom w:w="102" w:type="dxa"/>
              <w:right w:w="113" w:type="dxa"/>
            </w:tcMar>
            <w:vAlign w:val="center"/>
          </w:tcPr>
          <w:p w14:paraId="41A1A541" w14:textId="77777777" w:rsidR="00154D35" w:rsidRPr="00154D35" w:rsidRDefault="00154D35" w:rsidP="00154D35">
            <w:pPr>
              <w:pStyle w:val="CDITable-RowCentre"/>
            </w:pPr>
            <w:r w:rsidRPr="00154D35">
              <w:t>26.9</w:t>
            </w:r>
          </w:p>
        </w:tc>
        <w:tc>
          <w:tcPr>
            <w:tcW w:w="1218" w:type="dxa"/>
            <w:tcBorders>
              <w:top w:val="single" w:sz="6" w:space="0" w:color="1E4496" w:themeColor="text2"/>
              <w:left w:val="single" w:sz="6" w:space="0" w:color="1E4496" w:themeColor="text2"/>
              <w:bottom w:val="single" w:sz="6" w:space="0" w:color="1E4496" w:themeColor="text2"/>
            </w:tcBorders>
            <w:tcMar>
              <w:top w:w="102" w:type="dxa"/>
              <w:left w:w="113" w:type="dxa"/>
              <w:bottom w:w="102" w:type="dxa"/>
              <w:right w:w="113" w:type="dxa"/>
            </w:tcMar>
            <w:vAlign w:val="center"/>
          </w:tcPr>
          <w:p w14:paraId="714D81C8" w14:textId="77777777" w:rsidR="00154D35" w:rsidRPr="00154D35" w:rsidRDefault="00154D35" w:rsidP="00154D35">
            <w:pPr>
              <w:pStyle w:val="CDITable-RowCentre"/>
            </w:pPr>
            <w:r w:rsidRPr="00154D35">
              <w:t>448</w:t>
            </w:r>
          </w:p>
        </w:tc>
        <w:tc>
          <w:tcPr>
            <w:tcW w:w="1219"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4578C753" w14:textId="77777777" w:rsidR="00154D35" w:rsidRPr="00154D35" w:rsidRDefault="00154D35" w:rsidP="00154D35">
            <w:pPr>
              <w:pStyle w:val="CDITable-RowCentre"/>
            </w:pPr>
            <w:r w:rsidRPr="00154D35">
              <w:t>25.7</w:t>
            </w:r>
          </w:p>
        </w:tc>
      </w:tr>
      <w:tr w:rsidR="00802EBE" w:rsidRPr="00154D35" w14:paraId="73C9C716" w14:textId="77777777" w:rsidTr="00E10C2B">
        <w:trPr>
          <w:trHeight w:val="60"/>
        </w:trPr>
        <w:tc>
          <w:tcPr>
            <w:tcW w:w="2891" w:type="dxa"/>
            <w:vMerge/>
            <w:tcBorders>
              <w:bottom w:val="single" w:sz="6" w:space="0" w:color="1E4496" w:themeColor="text2"/>
            </w:tcBorders>
            <w:shd w:val="clear" w:color="auto" w:fill="DCF4FC" w:themeFill="background2" w:themeFillTint="33"/>
            <w:tcMar>
              <w:top w:w="102" w:type="dxa"/>
              <w:bottom w:w="102" w:type="dxa"/>
            </w:tcMar>
          </w:tcPr>
          <w:p w14:paraId="616283B0" w14:textId="77777777" w:rsidR="00154D35" w:rsidRPr="00154D35" w:rsidRDefault="00154D35" w:rsidP="00154D35"/>
        </w:tc>
        <w:tc>
          <w:tcPr>
            <w:tcW w:w="1701"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1B62EB74" w14:textId="77777777" w:rsidR="00154D35" w:rsidRPr="00154D35" w:rsidRDefault="00154D35" w:rsidP="00154D35">
            <w:pPr>
              <w:pStyle w:val="CDITable-RowLeft"/>
            </w:pPr>
            <w:r w:rsidRPr="00154D35">
              <w:t>WA</w:t>
            </w:r>
          </w:p>
        </w:tc>
        <w:tc>
          <w:tcPr>
            <w:tcW w:w="1219"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3CEF85ED" w14:textId="77777777" w:rsidR="00154D35" w:rsidRPr="00154D35" w:rsidRDefault="00154D35" w:rsidP="00154D35">
            <w:pPr>
              <w:pStyle w:val="CDITable-RowCentre"/>
            </w:pPr>
            <w:r w:rsidRPr="00154D35">
              <w:t>21</w:t>
            </w:r>
          </w:p>
        </w:tc>
        <w:tc>
          <w:tcPr>
            <w:tcW w:w="1219" w:type="dxa"/>
            <w:tcBorders>
              <w:top w:val="single" w:sz="6" w:space="0" w:color="1E4496" w:themeColor="text2"/>
              <w:bottom w:val="single" w:sz="6" w:space="0" w:color="1E4496" w:themeColor="text2"/>
              <w:right w:val="single" w:sz="6" w:space="0" w:color="1E4496" w:themeColor="text2"/>
            </w:tcBorders>
            <w:tcMar>
              <w:top w:w="102" w:type="dxa"/>
              <w:left w:w="113" w:type="dxa"/>
              <w:bottom w:w="102" w:type="dxa"/>
              <w:right w:w="113" w:type="dxa"/>
            </w:tcMar>
            <w:vAlign w:val="center"/>
          </w:tcPr>
          <w:p w14:paraId="4BF1A532" w14:textId="77777777" w:rsidR="00154D35" w:rsidRPr="00154D35" w:rsidRDefault="00154D35" w:rsidP="00154D35">
            <w:pPr>
              <w:pStyle w:val="CDITable-RowCentre"/>
            </w:pPr>
            <w:r w:rsidRPr="00154D35">
              <w:t>11.4</w:t>
            </w:r>
          </w:p>
        </w:tc>
        <w:tc>
          <w:tcPr>
            <w:tcW w:w="1219" w:type="dxa"/>
            <w:tcBorders>
              <w:top w:val="single" w:sz="6" w:space="0" w:color="1E4496" w:themeColor="text2"/>
              <w:left w:val="single" w:sz="6" w:space="0" w:color="1E4496" w:themeColor="text2"/>
              <w:bottom w:val="single" w:sz="6" w:space="0" w:color="1E4496" w:themeColor="text2"/>
            </w:tcBorders>
            <w:tcMar>
              <w:top w:w="102" w:type="dxa"/>
              <w:left w:w="113" w:type="dxa"/>
              <w:bottom w:w="102" w:type="dxa"/>
              <w:right w:w="113" w:type="dxa"/>
            </w:tcMar>
            <w:vAlign w:val="center"/>
          </w:tcPr>
          <w:p w14:paraId="105B4FAD" w14:textId="77777777" w:rsidR="00154D35" w:rsidRPr="00154D35" w:rsidRDefault="00154D35" w:rsidP="00154D35">
            <w:pPr>
              <w:pStyle w:val="CDITable-RowCentre"/>
            </w:pPr>
            <w:r w:rsidRPr="00154D35">
              <w:t>72</w:t>
            </w:r>
          </w:p>
        </w:tc>
        <w:tc>
          <w:tcPr>
            <w:tcW w:w="1219" w:type="dxa"/>
            <w:tcBorders>
              <w:top w:val="single" w:sz="6" w:space="0" w:color="1E4496" w:themeColor="text2"/>
              <w:bottom w:val="single" w:sz="6" w:space="0" w:color="1E4496" w:themeColor="text2"/>
              <w:right w:val="single" w:sz="6" w:space="0" w:color="1E4496" w:themeColor="text2"/>
            </w:tcBorders>
            <w:tcMar>
              <w:top w:w="102" w:type="dxa"/>
              <w:left w:w="113" w:type="dxa"/>
              <w:bottom w:w="102" w:type="dxa"/>
              <w:right w:w="113" w:type="dxa"/>
            </w:tcMar>
            <w:vAlign w:val="center"/>
          </w:tcPr>
          <w:p w14:paraId="1A0C5187" w14:textId="77777777" w:rsidR="00154D35" w:rsidRPr="00154D35" w:rsidRDefault="00154D35" w:rsidP="00154D35">
            <w:pPr>
              <w:pStyle w:val="CDITable-RowCentre"/>
            </w:pPr>
            <w:r w:rsidRPr="00154D35">
              <w:t>12.1</w:t>
            </w:r>
          </w:p>
        </w:tc>
        <w:tc>
          <w:tcPr>
            <w:tcW w:w="1219" w:type="dxa"/>
            <w:tcBorders>
              <w:top w:val="single" w:sz="6" w:space="0" w:color="1E4496" w:themeColor="text2"/>
              <w:left w:val="single" w:sz="6" w:space="0" w:color="1E4496" w:themeColor="text2"/>
              <w:bottom w:val="single" w:sz="6" w:space="0" w:color="1E4496" w:themeColor="text2"/>
            </w:tcBorders>
            <w:tcMar>
              <w:top w:w="102" w:type="dxa"/>
              <w:left w:w="113" w:type="dxa"/>
              <w:bottom w:w="102" w:type="dxa"/>
              <w:right w:w="113" w:type="dxa"/>
            </w:tcMar>
            <w:vAlign w:val="center"/>
          </w:tcPr>
          <w:p w14:paraId="65A06BED" w14:textId="77777777" w:rsidR="00154D35" w:rsidRPr="00154D35" w:rsidRDefault="00154D35" w:rsidP="00154D35">
            <w:pPr>
              <w:pStyle w:val="CDITable-RowCentre"/>
            </w:pPr>
            <w:r w:rsidRPr="00154D35">
              <w:t>110</w:t>
            </w:r>
          </w:p>
        </w:tc>
        <w:tc>
          <w:tcPr>
            <w:tcW w:w="1219" w:type="dxa"/>
            <w:tcBorders>
              <w:top w:val="single" w:sz="6" w:space="0" w:color="1E4496" w:themeColor="text2"/>
              <w:bottom w:val="single" w:sz="6" w:space="0" w:color="1E4496" w:themeColor="text2"/>
              <w:right w:val="single" w:sz="6" w:space="0" w:color="1E4496" w:themeColor="text2"/>
            </w:tcBorders>
            <w:tcMar>
              <w:top w:w="102" w:type="dxa"/>
              <w:left w:w="113" w:type="dxa"/>
              <w:bottom w:w="102" w:type="dxa"/>
              <w:right w:w="113" w:type="dxa"/>
            </w:tcMar>
            <w:vAlign w:val="center"/>
          </w:tcPr>
          <w:p w14:paraId="565952AA" w14:textId="77777777" w:rsidR="00154D35" w:rsidRPr="00154D35" w:rsidRDefault="00154D35" w:rsidP="00154D35">
            <w:pPr>
              <w:pStyle w:val="CDITable-RowCentre"/>
            </w:pPr>
            <w:r w:rsidRPr="00154D35">
              <w:t>11.4</w:t>
            </w:r>
          </w:p>
        </w:tc>
        <w:tc>
          <w:tcPr>
            <w:tcW w:w="1218" w:type="dxa"/>
            <w:tcBorders>
              <w:top w:val="single" w:sz="6" w:space="0" w:color="1E4496" w:themeColor="text2"/>
              <w:left w:val="single" w:sz="6" w:space="0" w:color="1E4496" w:themeColor="text2"/>
              <w:bottom w:val="single" w:sz="6" w:space="0" w:color="1E4496" w:themeColor="text2"/>
            </w:tcBorders>
            <w:tcMar>
              <w:top w:w="102" w:type="dxa"/>
              <w:left w:w="113" w:type="dxa"/>
              <w:bottom w:w="102" w:type="dxa"/>
              <w:right w:w="113" w:type="dxa"/>
            </w:tcMar>
            <w:vAlign w:val="center"/>
          </w:tcPr>
          <w:p w14:paraId="3BC52F5B" w14:textId="77777777" w:rsidR="00154D35" w:rsidRPr="00154D35" w:rsidRDefault="00154D35" w:rsidP="00154D35">
            <w:pPr>
              <w:pStyle w:val="CDITable-RowCentre"/>
            </w:pPr>
            <w:r w:rsidRPr="00154D35">
              <w:t>203</w:t>
            </w:r>
          </w:p>
        </w:tc>
        <w:tc>
          <w:tcPr>
            <w:tcW w:w="1219"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16B6899B" w14:textId="77777777" w:rsidR="00154D35" w:rsidRPr="00154D35" w:rsidRDefault="00154D35" w:rsidP="00154D35">
            <w:pPr>
              <w:pStyle w:val="CDITable-RowCentre"/>
            </w:pPr>
            <w:r w:rsidRPr="00154D35">
              <w:t>11.6</w:t>
            </w:r>
          </w:p>
        </w:tc>
      </w:tr>
      <w:tr w:rsidR="00154D35" w:rsidRPr="00154D35" w14:paraId="6BF96702" w14:textId="77777777" w:rsidTr="00E10C2B">
        <w:trPr>
          <w:trHeight w:val="60"/>
        </w:trPr>
        <w:tc>
          <w:tcPr>
            <w:tcW w:w="2891" w:type="dxa"/>
            <w:vMerge w:val="restart"/>
            <w:tcBorders>
              <w:top w:val="single" w:sz="6" w:space="0" w:color="1E4496" w:themeColor="text2"/>
              <w:bottom w:val="single" w:sz="6" w:space="0" w:color="1E4496" w:themeColor="text2"/>
            </w:tcBorders>
            <w:shd w:val="clear" w:color="auto" w:fill="DCF4FC" w:themeFill="background2" w:themeFillTint="33"/>
            <w:tcMar>
              <w:top w:w="111" w:type="dxa"/>
              <w:left w:w="113" w:type="dxa"/>
              <w:bottom w:w="111" w:type="dxa"/>
              <w:right w:w="113" w:type="dxa"/>
            </w:tcMar>
            <w:vAlign w:val="center"/>
          </w:tcPr>
          <w:p w14:paraId="1EE797A5" w14:textId="77777777" w:rsidR="00154D35" w:rsidRPr="00154D35" w:rsidRDefault="00154D35" w:rsidP="00154D35">
            <w:pPr>
              <w:pStyle w:val="CDITable-RowLeft"/>
            </w:pPr>
            <w:r w:rsidRPr="00154D35">
              <w:lastRenderedPageBreak/>
              <w:t>Onset location</w:t>
            </w:r>
          </w:p>
        </w:tc>
        <w:tc>
          <w:tcPr>
            <w:tcW w:w="1701" w:type="dxa"/>
            <w:tcBorders>
              <w:top w:val="single" w:sz="6" w:space="0" w:color="1E4496" w:themeColor="text2"/>
              <w:bottom w:val="single" w:sz="6" w:space="0" w:color="1E4496" w:themeColor="text2"/>
            </w:tcBorders>
            <w:tcMar>
              <w:top w:w="111" w:type="dxa"/>
              <w:left w:w="113" w:type="dxa"/>
              <w:bottom w:w="111" w:type="dxa"/>
              <w:right w:w="113" w:type="dxa"/>
            </w:tcMar>
            <w:vAlign w:val="center"/>
          </w:tcPr>
          <w:p w14:paraId="35B16A23" w14:textId="77777777" w:rsidR="00154D35" w:rsidRPr="00154D35" w:rsidRDefault="00154D35" w:rsidP="00154D35">
            <w:pPr>
              <w:pStyle w:val="CDITable-RowLeft"/>
            </w:pPr>
            <w:r w:rsidRPr="00154D35">
              <w:t>Community</w:t>
            </w:r>
          </w:p>
        </w:tc>
        <w:tc>
          <w:tcPr>
            <w:tcW w:w="1219" w:type="dxa"/>
            <w:tcBorders>
              <w:top w:val="single" w:sz="6" w:space="0" w:color="1E4496" w:themeColor="text2"/>
              <w:bottom w:val="single" w:sz="6" w:space="0" w:color="1E4496" w:themeColor="text2"/>
            </w:tcBorders>
            <w:tcMar>
              <w:top w:w="111" w:type="dxa"/>
              <w:left w:w="113" w:type="dxa"/>
              <w:bottom w:w="111" w:type="dxa"/>
              <w:right w:w="113" w:type="dxa"/>
            </w:tcMar>
            <w:vAlign w:val="center"/>
          </w:tcPr>
          <w:p w14:paraId="72418858" w14:textId="77777777" w:rsidR="00154D35" w:rsidRPr="00154D35" w:rsidRDefault="00154D35" w:rsidP="00154D35">
            <w:pPr>
              <w:pStyle w:val="CDITable-RowCentre"/>
            </w:pPr>
            <w:r w:rsidRPr="00154D35">
              <w:t>60</w:t>
            </w:r>
          </w:p>
        </w:tc>
        <w:tc>
          <w:tcPr>
            <w:tcW w:w="1219" w:type="dxa"/>
            <w:tcBorders>
              <w:top w:val="single" w:sz="6" w:space="0" w:color="1E4496" w:themeColor="text2"/>
              <w:bottom w:val="single" w:sz="6" w:space="0" w:color="1E4496" w:themeColor="text2"/>
              <w:right w:val="single" w:sz="6" w:space="0" w:color="1E4496" w:themeColor="text2"/>
            </w:tcBorders>
            <w:tcMar>
              <w:top w:w="111" w:type="dxa"/>
              <w:left w:w="113" w:type="dxa"/>
              <w:bottom w:w="111" w:type="dxa"/>
              <w:right w:w="113" w:type="dxa"/>
            </w:tcMar>
            <w:vAlign w:val="center"/>
          </w:tcPr>
          <w:p w14:paraId="57188AAF" w14:textId="77777777" w:rsidR="00154D35" w:rsidRPr="00154D35" w:rsidRDefault="00154D35" w:rsidP="00154D35">
            <w:pPr>
              <w:pStyle w:val="CDITable-RowCentre"/>
            </w:pPr>
            <w:r w:rsidRPr="00154D35">
              <w:t>32.4</w:t>
            </w:r>
          </w:p>
        </w:tc>
        <w:tc>
          <w:tcPr>
            <w:tcW w:w="1219" w:type="dxa"/>
            <w:tcBorders>
              <w:top w:val="single" w:sz="6" w:space="0" w:color="1E4496" w:themeColor="text2"/>
              <w:left w:val="single" w:sz="6" w:space="0" w:color="1E4496" w:themeColor="text2"/>
              <w:bottom w:val="single" w:sz="6" w:space="0" w:color="1E4496" w:themeColor="text2"/>
            </w:tcBorders>
            <w:tcMar>
              <w:top w:w="111" w:type="dxa"/>
              <w:left w:w="113" w:type="dxa"/>
              <w:bottom w:w="111" w:type="dxa"/>
              <w:right w:w="113" w:type="dxa"/>
            </w:tcMar>
            <w:vAlign w:val="center"/>
          </w:tcPr>
          <w:p w14:paraId="638D3902" w14:textId="77777777" w:rsidR="00154D35" w:rsidRPr="00154D35" w:rsidRDefault="00154D35" w:rsidP="00154D35">
            <w:pPr>
              <w:pStyle w:val="CDITable-RowCentre"/>
            </w:pPr>
            <w:r w:rsidRPr="00154D35">
              <w:t>466</w:t>
            </w:r>
          </w:p>
        </w:tc>
        <w:tc>
          <w:tcPr>
            <w:tcW w:w="1219" w:type="dxa"/>
            <w:tcBorders>
              <w:top w:val="single" w:sz="6" w:space="0" w:color="1E4496" w:themeColor="text2"/>
              <w:bottom w:val="single" w:sz="6" w:space="0" w:color="1E4496" w:themeColor="text2"/>
              <w:right w:val="single" w:sz="6" w:space="0" w:color="1E4496" w:themeColor="text2"/>
            </w:tcBorders>
            <w:tcMar>
              <w:top w:w="111" w:type="dxa"/>
              <w:left w:w="113" w:type="dxa"/>
              <w:bottom w:w="111" w:type="dxa"/>
              <w:right w:w="113" w:type="dxa"/>
            </w:tcMar>
            <w:vAlign w:val="center"/>
          </w:tcPr>
          <w:p w14:paraId="3BD0EEF9" w14:textId="77777777" w:rsidR="00154D35" w:rsidRPr="00154D35" w:rsidRDefault="00154D35" w:rsidP="00154D35">
            <w:pPr>
              <w:pStyle w:val="CDITable-RowCentre"/>
            </w:pPr>
            <w:r w:rsidRPr="00154D35">
              <w:t>78.6</w:t>
            </w:r>
          </w:p>
        </w:tc>
        <w:tc>
          <w:tcPr>
            <w:tcW w:w="1219" w:type="dxa"/>
            <w:tcBorders>
              <w:top w:val="single" w:sz="6" w:space="0" w:color="1E4496" w:themeColor="text2"/>
              <w:left w:val="single" w:sz="6" w:space="0" w:color="1E4496" w:themeColor="text2"/>
              <w:bottom w:val="single" w:sz="6" w:space="0" w:color="1E4496" w:themeColor="text2"/>
            </w:tcBorders>
            <w:tcMar>
              <w:top w:w="111" w:type="dxa"/>
              <w:left w:w="113" w:type="dxa"/>
              <w:bottom w:w="111" w:type="dxa"/>
              <w:right w:w="113" w:type="dxa"/>
            </w:tcMar>
            <w:vAlign w:val="center"/>
          </w:tcPr>
          <w:p w14:paraId="596C99DA" w14:textId="77777777" w:rsidR="00154D35" w:rsidRPr="00154D35" w:rsidRDefault="00154D35" w:rsidP="00154D35">
            <w:pPr>
              <w:pStyle w:val="CDITable-RowCentre"/>
            </w:pPr>
            <w:r w:rsidRPr="00154D35">
              <w:t>658</w:t>
            </w:r>
          </w:p>
        </w:tc>
        <w:tc>
          <w:tcPr>
            <w:tcW w:w="1219" w:type="dxa"/>
            <w:tcBorders>
              <w:top w:val="single" w:sz="6" w:space="0" w:color="1E4496" w:themeColor="text2"/>
              <w:bottom w:val="single" w:sz="6" w:space="0" w:color="1E4496" w:themeColor="text2"/>
              <w:right w:val="single" w:sz="6" w:space="0" w:color="1E4496" w:themeColor="text2"/>
            </w:tcBorders>
            <w:tcMar>
              <w:top w:w="111" w:type="dxa"/>
              <w:left w:w="113" w:type="dxa"/>
              <w:bottom w:w="111" w:type="dxa"/>
              <w:right w:w="113" w:type="dxa"/>
            </w:tcMar>
            <w:vAlign w:val="center"/>
          </w:tcPr>
          <w:p w14:paraId="36572067" w14:textId="77777777" w:rsidR="00154D35" w:rsidRPr="00154D35" w:rsidRDefault="00154D35" w:rsidP="00154D35">
            <w:pPr>
              <w:pStyle w:val="CDITable-RowCentre"/>
            </w:pPr>
            <w:r w:rsidRPr="00154D35">
              <w:t>68.0</w:t>
            </w:r>
          </w:p>
        </w:tc>
        <w:tc>
          <w:tcPr>
            <w:tcW w:w="1218" w:type="dxa"/>
            <w:tcBorders>
              <w:top w:val="single" w:sz="6" w:space="0" w:color="1E4496" w:themeColor="text2"/>
              <w:left w:val="single" w:sz="6" w:space="0" w:color="1E4496" w:themeColor="text2"/>
              <w:bottom w:val="single" w:sz="6" w:space="0" w:color="1E4496" w:themeColor="text2"/>
            </w:tcBorders>
            <w:tcMar>
              <w:top w:w="111" w:type="dxa"/>
              <w:left w:w="113" w:type="dxa"/>
              <w:bottom w:w="111" w:type="dxa"/>
              <w:right w:w="113" w:type="dxa"/>
            </w:tcMar>
            <w:vAlign w:val="center"/>
          </w:tcPr>
          <w:p w14:paraId="4782F1F3" w14:textId="77777777" w:rsidR="00154D35" w:rsidRPr="00154D35" w:rsidRDefault="00154D35" w:rsidP="00154D35">
            <w:pPr>
              <w:pStyle w:val="CDITable-RowCentre"/>
            </w:pPr>
            <w:r w:rsidRPr="00154D35">
              <w:t>1,184</w:t>
            </w:r>
          </w:p>
        </w:tc>
        <w:tc>
          <w:tcPr>
            <w:tcW w:w="1219" w:type="dxa"/>
            <w:tcBorders>
              <w:top w:val="single" w:sz="6" w:space="0" w:color="1E4496" w:themeColor="text2"/>
              <w:bottom w:val="single" w:sz="6" w:space="0" w:color="1E4496" w:themeColor="text2"/>
            </w:tcBorders>
            <w:tcMar>
              <w:top w:w="111" w:type="dxa"/>
              <w:left w:w="113" w:type="dxa"/>
              <w:bottom w:w="111" w:type="dxa"/>
              <w:right w:w="113" w:type="dxa"/>
            </w:tcMar>
            <w:vAlign w:val="center"/>
          </w:tcPr>
          <w:p w14:paraId="0588CBA7" w14:textId="77777777" w:rsidR="00154D35" w:rsidRPr="00154D35" w:rsidRDefault="00154D35" w:rsidP="00154D35">
            <w:pPr>
              <w:pStyle w:val="CDITable-RowCentre"/>
            </w:pPr>
            <w:r w:rsidRPr="00154D35">
              <w:t>67.8</w:t>
            </w:r>
          </w:p>
        </w:tc>
      </w:tr>
      <w:tr w:rsidR="00154D35" w:rsidRPr="00154D35" w14:paraId="3DD40666" w14:textId="77777777" w:rsidTr="00E10C2B">
        <w:trPr>
          <w:trHeight w:val="60"/>
        </w:trPr>
        <w:tc>
          <w:tcPr>
            <w:tcW w:w="2891" w:type="dxa"/>
            <w:vMerge/>
            <w:tcBorders>
              <w:bottom w:val="single" w:sz="6" w:space="0" w:color="1E4496" w:themeColor="text2"/>
            </w:tcBorders>
            <w:shd w:val="clear" w:color="auto" w:fill="DCF4FC" w:themeFill="background2" w:themeFillTint="33"/>
          </w:tcPr>
          <w:p w14:paraId="59F1B169" w14:textId="77777777" w:rsidR="00154D35" w:rsidRPr="00154D35" w:rsidRDefault="00154D35" w:rsidP="00154D35">
            <w:pPr>
              <w:pStyle w:val="CDITable-RowLeft"/>
            </w:pPr>
          </w:p>
        </w:tc>
        <w:tc>
          <w:tcPr>
            <w:tcW w:w="1701" w:type="dxa"/>
            <w:tcBorders>
              <w:top w:val="single" w:sz="6" w:space="0" w:color="1E4496" w:themeColor="text2"/>
              <w:bottom w:val="single" w:sz="6" w:space="0" w:color="1E4496" w:themeColor="text2"/>
            </w:tcBorders>
            <w:tcMar>
              <w:top w:w="111" w:type="dxa"/>
              <w:left w:w="113" w:type="dxa"/>
              <w:bottom w:w="111" w:type="dxa"/>
              <w:right w:w="113" w:type="dxa"/>
            </w:tcMar>
            <w:vAlign w:val="center"/>
          </w:tcPr>
          <w:p w14:paraId="282FE263" w14:textId="77777777" w:rsidR="00154D35" w:rsidRPr="00154D35" w:rsidRDefault="00154D35" w:rsidP="00154D35">
            <w:pPr>
              <w:pStyle w:val="CDITable-RowLeft"/>
            </w:pPr>
            <w:r w:rsidRPr="00154D35">
              <w:t>Hospital</w:t>
            </w:r>
          </w:p>
        </w:tc>
        <w:tc>
          <w:tcPr>
            <w:tcW w:w="1219" w:type="dxa"/>
            <w:tcBorders>
              <w:top w:val="single" w:sz="6" w:space="0" w:color="1E4496" w:themeColor="text2"/>
              <w:bottom w:val="single" w:sz="6" w:space="0" w:color="1E4496" w:themeColor="text2"/>
            </w:tcBorders>
            <w:tcMar>
              <w:top w:w="111" w:type="dxa"/>
              <w:left w:w="113" w:type="dxa"/>
              <w:bottom w:w="111" w:type="dxa"/>
              <w:right w:w="113" w:type="dxa"/>
            </w:tcMar>
            <w:vAlign w:val="center"/>
          </w:tcPr>
          <w:p w14:paraId="500CB041" w14:textId="77777777" w:rsidR="00154D35" w:rsidRPr="00154D35" w:rsidRDefault="00154D35" w:rsidP="00154D35">
            <w:pPr>
              <w:pStyle w:val="CDITable-RowCentre"/>
            </w:pPr>
            <w:r w:rsidRPr="00154D35">
              <w:t>125</w:t>
            </w:r>
          </w:p>
        </w:tc>
        <w:tc>
          <w:tcPr>
            <w:tcW w:w="1219" w:type="dxa"/>
            <w:tcBorders>
              <w:top w:val="single" w:sz="6" w:space="0" w:color="1E4496" w:themeColor="text2"/>
              <w:bottom w:val="single" w:sz="6" w:space="0" w:color="1E4496" w:themeColor="text2"/>
              <w:right w:val="single" w:sz="6" w:space="0" w:color="1E4496" w:themeColor="text2"/>
            </w:tcBorders>
            <w:tcMar>
              <w:top w:w="111" w:type="dxa"/>
              <w:left w:w="113" w:type="dxa"/>
              <w:bottom w:w="111" w:type="dxa"/>
              <w:right w:w="113" w:type="dxa"/>
            </w:tcMar>
            <w:vAlign w:val="center"/>
          </w:tcPr>
          <w:p w14:paraId="11D2819C" w14:textId="77777777" w:rsidR="00154D35" w:rsidRPr="00154D35" w:rsidRDefault="00154D35" w:rsidP="00154D35">
            <w:pPr>
              <w:pStyle w:val="CDITable-RowCentre"/>
            </w:pPr>
            <w:r w:rsidRPr="00154D35">
              <w:t>67.6</w:t>
            </w:r>
          </w:p>
        </w:tc>
        <w:tc>
          <w:tcPr>
            <w:tcW w:w="1219" w:type="dxa"/>
            <w:tcBorders>
              <w:top w:val="single" w:sz="6" w:space="0" w:color="1E4496" w:themeColor="text2"/>
              <w:left w:val="single" w:sz="6" w:space="0" w:color="1E4496" w:themeColor="text2"/>
              <w:bottom w:val="single" w:sz="6" w:space="0" w:color="1E4496" w:themeColor="text2"/>
            </w:tcBorders>
            <w:tcMar>
              <w:top w:w="111" w:type="dxa"/>
              <w:left w:w="113" w:type="dxa"/>
              <w:bottom w:w="111" w:type="dxa"/>
              <w:right w:w="113" w:type="dxa"/>
            </w:tcMar>
            <w:vAlign w:val="center"/>
          </w:tcPr>
          <w:p w14:paraId="53C308E6" w14:textId="77777777" w:rsidR="00154D35" w:rsidRPr="00154D35" w:rsidRDefault="00154D35" w:rsidP="00154D35">
            <w:pPr>
              <w:pStyle w:val="CDITable-RowCentre"/>
            </w:pPr>
            <w:r w:rsidRPr="00154D35">
              <w:t>127</w:t>
            </w:r>
          </w:p>
        </w:tc>
        <w:tc>
          <w:tcPr>
            <w:tcW w:w="1219" w:type="dxa"/>
            <w:tcBorders>
              <w:top w:val="single" w:sz="6" w:space="0" w:color="1E4496" w:themeColor="text2"/>
              <w:bottom w:val="single" w:sz="6" w:space="0" w:color="1E4496" w:themeColor="text2"/>
              <w:right w:val="single" w:sz="6" w:space="0" w:color="1E4496" w:themeColor="text2"/>
            </w:tcBorders>
            <w:tcMar>
              <w:top w:w="111" w:type="dxa"/>
              <w:left w:w="113" w:type="dxa"/>
              <w:bottom w:w="111" w:type="dxa"/>
              <w:right w:w="113" w:type="dxa"/>
            </w:tcMar>
            <w:vAlign w:val="center"/>
          </w:tcPr>
          <w:p w14:paraId="7C39477A" w14:textId="77777777" w:rsidR="00154D35" w:rsidRPr="00154D35" w:rsidRDefault="00154D35" w:rsidP="00154D35">
            <w:pPr>
              <w:pStyle w:val="CDITable-RowCentre"/>
            </w:pPr>
            <w:r w:rsidRPr="00154D35">
              <w:t>21.4</w:t>
            </w:r>
          </w:p>
        </w:tc>
        <w:tc>
          <w:tcPr>
            <w:tcW w:w="1219" w:type="dxa"/>
            <w:tcBorders>
              <w:top w:val="single" w:sz="6" w:space="0" w:color="1E4496" w:themeColor="text2"/>
              <w:left w:val="single" w:sz="6" w:space="0" w:color="1E4496" w:themeColor="text2"/>
              <w:bottom w:val="single" w:sz="6" w:space="0" w:color="1E4496" w:themeColor="text2"/>
            </w:tcBorders>
            <w:tcMar>
              <w:top w:w="111" w:type="dxa"/>
              <w:left w:w="113" w:type="dxa"/>
              <w:bottom w:w="111" w:type="dxa"/>
              <w:right w:w="113" w:type="dxa"/>
            </w:tcMar>
            <w:vAlign w:val="center"/>
          </w:tcPr>
          <w:p w14:paraId="3C78110D" w14:textId="77777777" w:rsidR="00154D35" w:rsidRPr="00154D35" w:rsidRDefault="00154D35" w:rsidP="00154D35">
            <w:pPr>
              <w:pStyle w:val="CDITable-RowCentre"/>
            </w:pPr>
            <w:r w:rsidRPr="00154D35">
              <w:t>309</w:t>
            </w:r>
          </w:p>
        </w:tc>
        <w:tc>
          <w:tcPr>
            <w:tcW w:w="1219" w:type="dxa"/>
            <w:tcBorders>
              <w:top w:val="single" w:sz="6" w:space="0" w:color="1E4496" w:themeColor="text2"/>
              <w:bottom w:val="single" w:sz="6" w:space="0" w:color="1E4496" w:themeColor="text2"/>
              <w:right w:val="single" w:sz="6" w:space="0" w:color="1E4496" w:themeColor="text2"/>
            </w:tcBorders>
            <w:tcMar>
              <w:top w:w="111" w:type="dxa"/>
              <w:left w:w="113" w:type="dxa"/>
              <w:bottom w:w="111" w:type="dxa"/>
              <w:right w:w="113" w:type="dxa"/>
            </w:tcMar>
            <w:vAlign w:val="center"/>
          </w:tcPr>
          <w:p w14:paraId="6532F1C4" w14:textId="77777777" w:rsidR="00154D35" w:rsidRPr="00154D35" w:rsidRDefault="00154D35" w:rsidP="00154D35">
            <w:pPr>
              <w:pStyle w:val="CDITable-RowCentre"/>
            </w:pPr>
            <w:r w:rsidRPr="00154D35">
              <w:t>32.0</w:t>
            </w:r>
          </w:p>
        </w:tc>
        <w:tc>
          <w:tcPr>
            <w:tcW w:w="1218" w:type="dxa"/>
            <w:tcBorders>
              <w:top w:val="single" w:sz="6" w:space="0" w:color="1E4496" w:themeColor="text2"/>
              <w:left w:val="single" w:sz="6" w:space="0" w:color="1E4496" w:themeColor="text2"/>
              <w:bottom w:val="single" w:sz="6" w:space="0" w:color="1E4496" w:themeColor="text2"/>
            </w:tcBorders>
            <w:tcMar>
              <w:top w:w="111" w:type="dxa"/>
              <w:left w:w="113" w:type="dxa"/>
              <w:bottom w:w="111" w:type="dxa"/>
              <w:right w:w="113" w:type="dxa"/>
            </w:tcMar>
            <w:vAlign w:val="center"/>
          </w:tcPr>
          <w:p w14:paraId="6E71E86F" w14:textId="77777777" w:rsidR="00154D35" w:rsidRPr="00154D35" w:rsidRDefault="00154D35" w:rsidP="00154D35">
            <w:pPr>
              <w:pStyle w:val="CDITable-RowCentre"/>
            </w:pPr>
            <w:r w:rsidRPr="00154D35">
              <w:t>561</w:t>
            </w:r>
          </w:p>
        </w:tc>
        <w:tc>
          <w:tcPr>
            <w:tcW w:w="1219" w:type="dxa"/>
            <w:tcBorders>
              <w:top w:val="single" w:sz="6" w:space="0" w:color="1E4496" w:themeColor="text2"/>
              <w:bottom w:val="single" w:sz="6" w:space="0" w:color="1E4496" w:themeColor="text2"/>
            </w:tcBorders>
            <w:tcMar>
              <w:top w:w="111" w:type="dxa"/>
              <w:left w:w="113" w:type="dxa"/>
              <w:bottom w:w="111" w:type="dxa"/>
              <w:right w:w="113" w:type="dxa"/>
            </w:tcMar>
            <w:vAlign w:val="center"/>
          </w:tcPr>
          <w:p w14:paraId="22EECA4F" w14:textId="77777777" w:rsidR="00154D35" w:rsidRPr="00154D35" w:rsidRDefault="00154D35" w:rsidP="00154D35">
            <w:pPr>
              <w:pStyle w:val="CDITable-RowCentre"/>
            </w:pPr>
            <w:r w:rsidRPr="00154D35">
              <w:t>32.2</w:t>
            </w:r>
          </w:p>
        </w:tc>
      </w:tr>
      <w:tr w:rsidR="00154D35" w:rsidRPr="00154D35" w14:paraId="071729E7" w14:textId="77777777" w:rsidTr="00E10C2B">
        <w:trPr>
          <w:trHeight w:val="60"/>
        </w:trPr>
        <w:tc>
          <w:tcPr>
            <w:tcW w:w="2891" w:type="dxa"/>
            <w:vMerge w:val="restart"/>
            <w:tcBorders>
              <w:top w:val="single" w:sz="6" w:space="0" w:color="1E4496" w:themeColor="text2"/>
              <w:bottom w:val="single" w:sz="6" w:space="0" w:color="1E4496" w:themeColor="text2"/>
            </w:tcBorders>
            <w:shd w:val="clear" w:color="auto" w:fill="DCF4FC" w:themeFill="background2" w:themeFillTint="33"/>
            <w:tcMar>
              <w:top w:w="111" w:type="dxa"/>
              <w:left w:w="113" w:type="dxa"/>
              <w:bottom w:w="111" w:type="dxa"/>
              <w:right w:w="113" w:type="dxa"/>
            </w:tcMar>
            <w:vAlign w:val="center"/>
          </w:tcPr>
          <w:p w14:paraId="0A065EC2" w14:textId="77777777" w:rsidR="00154D35" w:rsidRPr="00154D35" w:rsidRDefault="00154D35" w:rsidP="00154D35">
            <w:pPr>
              <w:pStyle w:val="CDITable-RowLeft"/>
            </w:pPr>
            <w:r w:rsidRPr="00154D35">
              <w:t xml:space="preserve">Device-related </w:t>
            </w:r>
            <w:proofErr w:type="spellStart"/>
            <w:r w:rsidRPr="00154D35">
              <w:t>BSI</w:t>
            </w:r>
            <w:r w:rsidRPr="00E10C2B">
              <w:rPr>
                <w:vertAlign w:val="superscript"/>
              </w:rPr>
              <w:t>d</w:t>
            </w:r>
            <w:proofErr w:type="spellEnd"/>
          </w:p>
        </w:tc>
        <w:tc>
          <w:tcPr>
            <w:tcW w:w="1701" w:type="dxa"/>
            <w:tcBorders>
              <w:top w:val="single" w:sz="6" w:space="0" w:color="1E4496" w:themeColor="text2"/>
              <w:bottom w:val="single" w:sz="6" w:space="0" w:color="1E4496" w:themeColor="text2"/>
            </w:tcBorders>
            <w:tcMar>
              <w:top w:w="111" w:type="dxa"/>
              <w:left w:w="113" w:type="dxa"/>
              <w:bottom w:w="111" w:type="dxa"/>
              <w:right w:w="113" w:type="dxa"/>
            </w:tcMar>
            <w:vAlign w:val="center"/>
          </w:tcPr>
          <w:p w14:paraId="316DFAF0" w14:textId="77777777" w:rsidR="00154D35" w:rsidRPr="00154D35" w:rsidRDefault="00154D35" w:rsidP="00154D35">
            <w:pPr>
              <w:pStyle w:val="CDITable-RowLeft"/>
            </w:pPr>
            <w:r w:rsidRPr="00154D35">
              <w:t>Yes</w:t>
            </w:r>
          </w:p>
        </w:tc>
        <w:tc>
          <w:tcPr>
            <w:tcW w:w="1219" w:type="dxa"/>
            <w:tcBorders>
              <w:top w:val="single" w:sz="6" w:space="0" w:color="1E4496" w:themeColor="text2"/>
              <w:bottom w:val="single" w:sz="6" w:space="0" w:color="1E4496" w:themeColor="text2"/>
            </w:tcBorders>
            <w:tcMar>
              <w:top w:w="111" w:type="dxa"/>
              <w:left w:w="113" w:type="dxa"/>
              <w:bottom w:w="111" w:type="dxa"/>
              <w:right w:w="113" w:type="dxa"/>
            </w:tcMar>
            <w:vAlign w:val="center"/>
          </w:tcPr>
          <w:p w14:paraId="6340A772" w14:textId="77777777" w:rsidR="00154D35" w:rsidRPr="00154D35" w:rsidRDefault="00154D35" w:rsidP="00154D35">
            <w:pPr>
              <w:pStyle w:val="CDITable-RowCentre"/>
            </w:pPr>
            <w:r w:rsidRPr="00154D35">
              <w:t>72</w:t>
            </w:r>
          </w:p>
        </w:tc>
        <w:tc>
          <w:tcPr>
            <w:tcW w:w="1219" w:type="dxa"/>
            <w:tcBorders>
              <w:top w:val="single" w:sz="6" w:space="0" w:color="1E4496" w:themeColor="text2"/>
              <w:bottom w:val="single" w:sz="6" w:space="0" w:color="1E4496" w:themeColor="text2"/>
              <w:right w:val="single" w:sz="6" w:space="0" w:color="1E4496" w:themeColor="text2"/>
            </w:tcBorders>
            <w:tcMar>
              <w:top w:w="111" w:type="dxa"/>
              <w:left w:w="113" w:type="dxa"/>
              <w:bottom w:w="111" w:type="dxa"/>
              <w:right w:w="113" w:type="dxa"/>
            </w:tcMar>
            <w:vAlign w:val="center"/>
          </w:tcPr>
          <w:p w14:paraId="4264AD96" w14:textId="77777777" w:rsidR="00154D35" w:rsidRPr="00154D35" w:rsidRDefault="00154D35" w:rsidP="00154D35">
            <w:pPr>
              <w:pStyle w:val="CDITable-RowCentre"/>
            </w:pPr>
            <w:r w:rsidRPr="00154D35">
              <w:t>39.6</w:t>
            </w:r>
          </w:p>
        </w:tc>
        <w:tc>
          <w:tcPr>
            <w:tcW w:w="1219" w:type="dxa"/>
            <w:tcBorders>
              <w:top w:val="single" w:sz="6" w:space="0" w:color="1E4496" w:themeColor="text2"/>
              <w:left w:val="single" w:sz="6" w:space="0" w:color="1E4496" w:themeColor="text2"/>
              <w:bottom w:val="single" w:sz="6" w:space="0" w:color="1E4496" w:themeColor="text2"/>
            </w:tcBorders>
            <w:tcMar>
              <w:top w:w="111" w:type="dxa"/>
              <w:left w:w="113" w:type="dxa"/>
              <w:bottom w:w="111" w:type="dxa"/>
              <w:right w:w="113" w:type="dxa"/>
            </w:tcMar>
            <w:vAlign w:val="center"/>
          </w:tcPr>
          <w:p w14:paraId="2B641FEC" w14:textId="77777777" w:rsidR="00154D35" w:rsidRPr="00154D35" w:rsidRDefault="00154D35" w:rsidP="00154D35">
            <w:pPr>
              <w:pStyle w:val="CDITable-RowCentre"/>
            </w:pPr>
            <w:r w:rsidRPr="00154D35">
              <w:t>95</w:t>
            </w:r>
          </w:p>
        </w:tc>
        <w:tc>
          <w:tcPr>
            <w:tcW w:w="1219" w:type="dxa"/>
            <w:tcBorders>
              <w:top w:val="single" w:sz="6" w:space="0" w:color="1E4496" w:themeColor="text2"/>
              <w:bottom w:val="single" w:sz="6" w:space="0" w:color="1E4496" w:themeColor="text2"/>
              <w:right w:val="single" w:sz="6" w:space="0" w:color="1E4496" w:themeColor="text2"/>
            </w:tcBorders>
            <w:tcMar>
              <w:top w:w="111" w:type="dxa"/>
              <w:left w:w="113" w:type="dxa"/>
              <w:bottom w:w="111" w:type="dxa"/>
              <w:right w:w="113" w:type="dxa"/>
            </w:tcMar>
            <w:vAlign w:val="center"/>
          </w:tcPr>
          <w:p w14:paraId="3B295EB3" w14:textId="77777777" w:rsidR="00154D35" w:rsidRPr="00154D35" w:rsidRDefault="00154D35" w:rsidP="00154D35">
            <w:pPr>
              <w:pStyle w:val="CDITable-RowCentre"/>
            </w:pPr>
            <w:r w:rsidRPr="00154D35">
              <w:t>16.5</w:t>
            </w:r>
          </w:p>
        </w:tc>
        <w:tc>
          <w:tcPr>
            <w:tcW w:w="1219" w:type="dxa"/>
            <w:tcBorders>
              <w:top w:val="single" w:sz="6" w:space="0" w:color="1E4496" w:themeColor="text2"/>
              <w:left w:val="single" w:sz="6" w:space="0" w:color="1E4496" w:themeColor="text2"/>
              <w:bottom w:val="single" w:sz="6" w:space="0" w:color="1E4496" w:themeColor="text2"/>
            </w:tcBorders>
            <w:tcMar>
              <w:top w:w="111" w:type="dxa"/>
              <w:left w:w="113" w:type="dxa"/>
              <w:bottom w:w="111" w:type="dxa"/>
              <w:right w:w="113" w:type="dxa"/>
            </w:tcMar>
            <w:vAlign w:val="center"/>
          </w:tcPr>
          <w:p w14:paraId="3D22DB2F" w14:textId="77777777" w:rsidR="00154D35" w:rsidRPr="00154D35" w:rsidRDefault="00154D35" w:rsidP="00154D35">
            <w:pPr>
              <w:pStyle w:val="CDITable-RowCentre"/>
            </w:pPr>
            <w:r w:rsidRPr="00154D35">
              <w:t>170</w:t>
            </w:r>
          </w:p>
        </w:tc>
        <w:tc>
          <w:tcPr>
            <w:tcW w:w="1219" w:type="dxa"/>
            <w:tcBorders>
              <w:top w:val="single" w:sz="6" w:space="0" w:color="1E4496" w:themeColor="text2"/>
              <w:bottom w:val="single" w:sz="6" w:space="0" w:color="1E4496" w:themeColor="text2"/>
              <w:right w:val="single" w:sz="6" w:space="0" w:color="1E4496" w:themeColor="text2"/>
            </w:tcBorders>
            <w:tcMar>
              <w:top w:w="111" w:type="dxa"/>
              <w:left w:w="113" w:type="dxa"/>
              <w:bottom w:w="111" w:type="dxa"/>
              <w:right w:w="113" w:type="dxa"/>
            </w:tcMar>
            <w:vAlign w:val="center"/>
          </w:tcPr>
          <w:p w14:paraId="7D3F71F6" w14:textId="77777777" w:rsidR="00154D35" w:rsidRPr="00154D35" w:rsidRDefault="00154D35" w:rsidP="00154D35">
            <w:pPr>
              <w:pStyle w:val="CDITable-RowCentre"/>
            </w:pPr>
            <w:r w:rsidRPr="00154D35">
              <w:t>19.4</w:t>
            </w:r>
          </w:p>
        </w:tc>
        <w:tc>
          <w:tcPr>
            <w:tcW w:w="1218" w:type="dxa"/>
            <w:tcBorders>
              <w:top w:val="single" w:sz="6" w:space="0" w:color="1E4496" w:themeColor="text2"/>
              <w:left w:val="single" w:sz="6" w:space="0" w:color="1E4496" w:themeColor="text2"/>
              <w:bottom w:val="single" w:sz="6" w:space="0" w:color="1E4496" w:themeColor="text2"/>
            </w:tcBorders>
            <w:tcMar>
              <w:top w:w="111" w:type="dxa"/>
              <w:left w:w="113" w:type="dxa"/>
              <w:bottom w:w="111" w:type="dxa"/>
              <w:right w:w="113" w:type="dxa"/>
            </w:tcMar>
            <w:vAlign w:val="center"/>
          </w:tcPr>
          <w:p w14:paraId="0603ED0C" w14:textId="77777777" w:rsidR="00154D35" w:rsidRPr="00154D35" w:rsidRDefault="00154D35" w:rsidP="00154D35">
            <w:pPr>
              <w:pStyle w:val="CDITable-RowCentre"/>
            </w:pPr>
            <w:r w:rsidRPr="00154D35">
              <w:t>337</w:t>
            </w:r>
          </w:p>
        </w:tc>
        <w:tc>
          <w:tcPr>
            <w:tcW w:w="1219" w:type="dxa"/>
            <w:tcBorders>
              <w:top w:val="single" w:sz="6" w:space="0" w:color="1E4496" w:themeColor="text2"/>
              <w:bottom w:val="single" w:sz="6" w:space="0" w:color="1E4496" w:themeColor="text2"/>
            </w:tcBorders>
            <w:tcMar>
              <w:top w:w="111" w:type="dxa"/>
              <w:left w:w="113" w:type="dxa"/>
              <w:bottom w:w="111" w:type="dxa"/>
              <w:right w:w="113" w:type="dxa"/>
            </w:tcMar>
            <w:vAlign w:val="center"/>
          </w:tcPr>
          <w:p w14:paraId="5FA99071" w14:textId="77777777" w:rsidR="00154D35" w:rsidRPr="00154D35" w:rsidRDefault="00154D35" w:rsidP="00154D35">
            <w:pPr>
              <w:pStyle w:val="CDITable-RowCentre"/>
            </w:pPr>
            <w:r w:rsidRPr="00154D35">
              <w:t>19.3</w:t>
            </w:r>
          </w:p>
        </w:tc>
      </w:tr>
      <w:tr w:rsidR="00154D35" w:rsidRPr="00154D35" w14:paraId="4A1BF353" w14:textId="77777777" w:rsidTr="00E10C2B">
        <w:trPr>
          <w:trHeight w:val="60"/>
        </w:trPr>
        <w:tc>
          <w:tcPr>
            <w:tcW w:w="2891" w:type="dxa"/>
            <w:vMerge/>
            <w:tcBorders>
              <w:bottom w:val="single" w:sz="6" w:space="0" w:color="1E4496" w:themeColor="text2"/>
            </w:tcBorders>
            <w:shd w:val="clear" w:color="auto" w:fill="DCF4FC" w:themeFill="background2" w:themeFillTint="33"/>
          </w:tcPr>
          <w:p w14:paraId="1EAF3725" w14:textId="77777777" w:rsidR="00154D35" w:rsidRPr="00154D35" w:rsidRDefault="00154D35" w:rsidP="00154D35">
            <w:pPr>
              <w:pStyle w:val="CDITable-RowLeft"/>
            </w:pPr>
          </w:p>
        </w:tc>
        <w:tc>
          <w:tcPr>
            <w:tcW w:w="1701" w:type="dxa"/>
            <w:tcBorders>
              <w:top w:val="single" w:sz="6" w:space="0" w:color="1E4496" w:themeColor="text2"/>
              <w:bottom w:val="single" w:sz="6" w:space="0" w:color="1E4496" w:themeColor="text2"/>
            </w:tcBorders>
            <w:tcMar>
              <w:top w:w="111" w:type="dxa"/>
              <w:left w:w="113" w:type="dxa"/>
              <w:bottom w:w="111" w:type="dxa"/>
              <w:right w:w="113" w:type="dxa"/>
            </w:tcMar>
            <w:vAlign w:val="center"/>
          </w:tcPr>
          <w:p w14:paraId="42E35112" w14:textId="77777777" w:rsidR="00154D35" w:rsidRPr="00154D35" w:rsidRDefault="00154D35" w:rsidP="00154D35">
            <w:pPr>
              <w:pStyle w:val="CDITable-RowLeft"/>
            </w:pPr>
            <w:r w:rsidRPr="00154D35">
              <w:t>No</w:t>
            </w:r>
          </w:p>
        </w:tc>
        <w:tc>
          <w:tcPr>
            <w:tcW w:w="1219" w:type="dxa"/>
            <w:tcBorders>
              <w:top w:val="single" w:sz="6" w:space="0" w:color="1E4496" w:themeColor="text2"/>
              <w:bottom w:val="single" w:sz="6" w:space="0" w:color="1E4496" w:themeColor="text2"/>
            </w:tcBorders>
            <w:tcMar>
              <w:top w:w="111" w:type="dxa"/>
              <w:left w:w="113" w:type="dxa"/>
              <w:bottom w:w="111" w:type="dxa"/>
              <w:right w:w="113" w:type="dxa"/>
            </w:tcMar>
            <w:vAlign w:val="center"/>
          </w:tcPr>
          <w:p w14:paraId="25A9F615" w14:textId="77777777" w:rsidR="00154D35" w:rsidRPr="00154D35" w:rsidRDefault="00154D35" w:rsidP="00154D35">
            <w:pPr>
              <w:pStyle w:val="CDITable-RowCentre"/>
            </w:pPr>
            <w:r w:rsidRPr="00154D35">
              <w:t>111</w:t>
            </w:r>
          </w:p>
        </w:tc>
        <w:tc>
          <w:tcPr>
            <w:tcW w:w="1219" w:type="dxa"/>
            <w:tcBorders>
              <w:top w:val="single" w:sz="6" w:space="0" w:color="1E4496" w:themeColor="text2"/>
              <w:bottom w:val="single" w:sz="6" w:space="0" w:color="1E4496" w:themeColor="text2"/>
              <w:right w:val="single" w:sz="6" w:space="0" w:color="1E4496" w:themeColor="text2"/>
            </w:tcBorders>
            <w:tcMar>
              <w:top w:w="111" w:type="dxa"/>
              <w:left w:w="113" w:type="dxa"/>
              <w:bottom w:w="111" w:type="dxa"/>
              <w:right w:w="113" w:type="dxa"/>
            </w:tcMar>
            <w:vAlign w:val="center"/>
          </w:tcPr>
          <w:p w14:paraId="0452559B" w14:textId="77777777" w:rsidR="00154D35" w:rsidRPr="00154D35" w:rsidRDefault="00154D35" w:rsidP="00154D35">
            <w:pPr>
              <w:pStyle w:val="CDITable-RowCentre"/>
            </w:pPr>
            <w:r w:rsidRPr="00154D35">
              <w:t>59.4</w:t>
            </w:r>
          </w:p>
        </w:tc>
        <w:tc>
          <w:tcPr>
            <w:tcW w:w="1219" w:type="dxa"/>
            <w:tcBorders>
              <w:top w:val="single" w:sz="6" w:space="0" w:color="1E4496" w:themeColor="text2"/>
              <w:left w:val="single" w:sz="6" w:space="0" w:color="1E4496" w:themeColor="text2"/>
              <w:bottom w:val="single" w:sz="6" w:space="0" w:color="1E4496" w:themeColor="text2"/>
            </w:tcBorders>
            <w:tcMar>
              <w:top w:w="111" w:type="dxa"/>
              <w:left w:w="113" w:type="dxa"/>
              <w:bottom w:w="111" w:type="dxa"/>
              <w:right w:w="113" w:type="dxa"/>
            </w:tcMar>
            <w:vAlign w:val="center"/>
          </w:tcPr>
          <w:p w14:paraId="65AAC3D8" w14:textId="77777777" w:rsidR="00154D35" w:rsidRPr="00154D35" w:rsidRDefault="00154D35" w:rsidP="00154D35">
            <w:pPr>
              <w:pStyle w:val="CDITable-RowCentre"/>
            </w:pPr>
            <w:r w:rsidRPr="00154D35">
              <w:t>460</w:t>
            </w:r>
          </w:p>
        </w:tc>
        <w:tc>
          <w:tcPr>
            <w:tcW w:w="1219" w:type="dxa"/>
            <w:tcBorders>
              <w:top w:val="single" w:sz="6" w:space="0" w:color="1E4496" w:themeColor="text2"/>
              <w:bottom w:val="single" w:sz="6" w:space="0" w:color="1E4496" w:themeColor="text2"/>
              <w:right w:val="single" w:sz="6" w:space="0" w:color="1E4496" w:themeColor="text2"/>
            </w:tcBorders>
            <w:tcMar>
              <w:top w:w="111" w:type="dxa"/>
              <w:left w:w="113" w:type="dxa"/>
              <w:bottom w:w="111" w:type="dxa"/>
              <w:right w:w="113" w:type="dxa"/>
            </w:tcMar>
            <w:vAlign w:val="center"/>
          </w:tcPr>
          <w:p w14:paraId="63281992" w14:textId="77777777" w:rsidR="00154D35" w:rsidRPr="00154D35" w:rsidRDefault="00154D35" w:rsidP="00154D35">
            <w:pPr>
              <w:pStyle w:val="CDITable-RowCentre"/>
            </w:pPr>
            <w:r w:rsidRPr="00154D35">
              <w:t>77.2</w:t>
            </w:r>
          </w:p>
        </w:tc>
        <w:tc>
          <w:tcPr>
            <w:tcW w:w="1219" w:type="dxa"/>
            <w:tcBorders>
              <w:top w:val="single" w:sz="6" w:space="0" w:color="1E4496" w:themeColor="text2"/>
              <w:left w:val="single" w:sz="6" w:space="0" w:color="1E4496" w:themeColor="text2"/>
              <w:bottom w:val="single" w:sz="6" w:space="0" w:color="1E4496" w:themeColor="text2"/>
            </w:tcBorders>
            <w:tcMar>
              <w:top w:w="111" w:type="dxa"/>
              <w:left w:w="113" w:type="dxa"/>
              <w:bottom w:w="111" w:type="dxa"/>
              <w:right w:w="113" w:type="dxa"/>
            </w:tcMar>
            <w:vAlign w:val="center"/>
          </w:tcPr>
          <w:p w14:paraId="1469E9A8" w14:textId="77777777" w:rsidR="00154D35" w:rsidRPr="00154D35" w:rsidRDefault="00154D35" w:rsidP="00154D35">
            <w:pPr>
              <w:pStyle w:val="CDITable-RowCentre"/>
            </w:pPr>
            <w:r w:rsidRPr="00154D35">
              <w:t>733</w:t>
            </w:r>
          </w:p>
        </w:tc>
        <w:tc>
          <w:tcPr>
            <w:tcW w:w="1219" w:type="dxa"/>
            <w:tcBorders>
              <w:top w:val="single" w:sz="6" w:space="0" w:color="1E4496" w:themeColor="text2"/>
              <w:bottom w:val="single" w:sz="6" w:space="0" w:color="1E4496" w:themeColor="text2"/>
              <w:right w:val="single" w:sz="6" w:space="0" w:color="1E4496" w:themeColor="text2"/>
            </w:tcBorders>
            <w:tcMar>
              <w:top w:w="111" w:type="dxa"/>
              <w:left w:w="113" w:type="dxa"/>
              <w:bottom w:w="111" w:type="dxa"/>
              <w:right w:w="113" w:type="dxa"/>
            </w:tcMar>
            <w:vAlign w:val="center"/>
          </w:tcPr>
          <w:p w14:paraId="3E358FEC" w14:textId="77777777" w:rsidR="00154D35" w:rsidRPr="00154D35" w:rsidRDefault="00154D35" w:rsidP="00154D35">
            <w:pPr>
              <w:pStyle w:val="CDITable-RowCentre"/>
            </w:pPr>
            <w:r w:rsidRPr="00154D35">
              <w:t>74.0</w:t>
            </w:r>
          </w:p>
        </w:tc>
        <w:tc>
          <w:tcPr>
            <w:tcW w:w="1218" w:type="dxa"/>
            <w:tcBorders>
              <w:top w:val="single" w:sz="6" w:space="0" w:color="1E4496" w:themeColor="text2"/>
              <w:left w:val="single" w:sz="6" w:space="0" w:color="1E4496" w:themeColor="text2"/>
              <w:bottom w:val="single" w:sz="6" w:space="0" w:color="1E4496" w:themeColor="text2"/>
            </w:tcBorders>
            <w:tcMar>
              <w:top w:w="111" w:type="dxa"/>
              <w:left w:w="113" w:type="dxa"/>
              <w:bottom w:w="111" w:type="dxa"/>
              <w:right w:w="113" w:type="dxa"/>
            </w:tcMar>
            <w:vAlign w:val="center"/>
          </w:tcPr>
          <w:p w14:paraId="27DF2BED" w14:textId="77777777" w:rsidR="00154D35" w:rsidRPr="00154D35" w:rsidRDefault="00154D35" w:rsidP="00154D35">
            <w:pPr>
              <w:pStyle w:val="CDITable-RowCentre"/>
            </w:pPr>
            <w:r w:rsidRPr="00154D35">
              <w:t>1,304</w:t>
            </w:r>
          </w:p>
        </w:tc>
        <w:tc>
          <w:tcPr>
            <w:tcW w:w="1219" w:type="dxa"/>
            <w:tcBorders>
              <w:top w:val="single" w:sz="6" w:space="0" w:color="1E4496" w:themeColor="text2"/>
              <w:bottom w:val="single" w:sz="6" w:space="0" w:color="1E4496" w:themeColor="text2"/>
            </w:tcBorders>
            <w:tcMar>
              <w:top w:w="111" w:type="dxa"/>
              <w:left w:w="113" w:type="dxa"/>
              <w:bottom w:w="111" w:type="dxa"/>
              <w:right w:w="113" w:type="dxa"/>
            </w:tcMar>
            <w:vAlign w:val="center"/>
          </w:tcPr>
          <w:p w14:paraId="37A4D8BF" w14:textId="77777777" w:rsidR="00154D35" w:rsidRPr="00154D35" w:rsidRDefault="00154D35" w:rsidP="00154D35">
            <w:pPr>
              <w:pStyle w:val="CDITable-RowCentre"/>
            </w:pPr>
            <w:r w:rsidRPr="00154D35">
              <w:t>74.7</w:t>
            </w:r>
          </w:p>
        </w:tc>
      </w:tr>
      <w:tr w:rsidR="00154D35" w:rsidRPr="00154D35" w14:paraId="07E8439F" w14:textId="77777777" w:rsidTr="00E10C2B">
        <w:trPr>
          <w:trHeight w:val="60"/>
        </w:trPr>
        <w:tc>
          <w:tcPr>
            <w:tcW w:w="2891" w:type="dxa"/>
            <w:vMerge/>
            <w:tcBorders>
              <w:bottom w:val="single" w:sz="6" w:space="0" w:color="1E4496" w:themeColor="text2"/>
            </w:tcBorders>
            <w:shd w:val="clear" w:color="auto" w:fill="DCF4FC" w:themeFill="background2" w:themeFillTint="33"/>
          </w:tcPr>
          <w:p w14:paraId="2D528C1F" w14:textId="77777777" w:rsidR="00154D35" w:rsidRPr="00154D35" w:rsidRDefault="00154D35" w:rsidP="00154D35">
            <w:pPr>
              <w:pStyle w:val="CDITable-RowLeft"/>
            </w:pPr>
          </w:p>
        </w:tc>
        <w:tc>
          <w:tcPr>
            <w:tcW w:w="1701" w:type="dxa"/>
            <w:tcBorders>
              <w:top w:val="single" w:sz="6" w:space="0" w:color="1E4496" w:themeColor="text2"/>
              <w:bottom w:val="single" w:sz="6" w:space="0" w:color="1E4496" w:themeColor="text2"/>
            </w:tcBorders>
            <w:tcMar>
              <w:top w:w="111" w:type="dxa"/>
              <w:left w:w="113" w:type="dxa"/>
              <w:bottom w:w="111" w:type="dxa"/>
              <w:right w:w="113" w:type="dxa"/>
            </w:tcMar>
            <w:vAlign w:val="center"/>
          </w:tcPr>
          <w:p w14:paraId="52D65A5A" w14:textId="77777777" w:rsidR="00154D35" w:rsidRPr="00154D35" w:rsidRDefault="00154D35" w:rsidP="00154D35">
            <w:pPr>
              <w:pStyle w:val="CDITable-RowLeft"/>
            </w:pPr>
            <w:r w:rsidRPr="00154D35">
              <w:t>Unknown</w:t>
            </w:r>
          </w:p>
        </w:tc>
        <w:tc>
          <w:tcPr>
            <w:tcW w:w="1219" w:type="dxa"/>
            <w:tcBorders>
              <w:top w:val="single" w:sz="6" w:space="0" w:color="1E4496" w:themeColor="text2"/>
              <w:bottom w:val="single" w:sz="6" w:space="0" w:color="1E4496" w:themeColor="text2"/>
            </w:tcBorders>
            <w:tcMar>
              <w:top w:w="111" w:type="dxa"/>
              <w:left w:w="113" w:type="dxa"/>
              <w:bottom w:w="111" w:type="dxa"/>
              <w:right w:w="113" w:type="dxa"/>
            </w:tcMar>
            <w:vAlign w:val="center"/>
          </w:tcPr>
          <w:p w14:paraId="0455076A" w14:textId="77777777" w:rsidR="00154D35" w:rsidRPr="00154D35" w:rsidRDefault="00154D35" w:rsidP="00154D35">
            <w:pPr>
              <w:pStyle w:val="CDITable-RowCentre"/>
            </w:pPr>
            <w:r w:rsidRPr="00154D35">
              <w:t>2</w:t>
            </w:r>
          </w:p>
        </w:tc>
        <w:tc>
          <w:tcPr>
            <w:tcW w:w="1219" w:type="dxa"/>
            <w:tcBorders>
              <w:top w:val="single" w:sz="6" w:space="0" w:color="1E4496" w:themeColor="text2"/>
              <w:bottom w:val="single" w:sz="6" w:space="0" w:color="1E4496" w:themeColor="text2"/>
              <w:right w:val="single" w:sz="6" w:space="0" w:color="1E4496" w:themeColor="text2"/>
            </w:tcBorders>
            <w:tcMar>
              <w:top w:w="111" w:type="dxa"/>
              <w:left w:w="113" w:type="dxa"/>
              <w:bottom w:w="111" w:type="dxa"/>
              <w:right w:w="113" w:type="dxa"/>
            </w:tcMar>
            <w:vAlign w:val="center"/>
          </w:tcPr>
          <w:p w14:paraId="4D0A2361" w14:textId="77777777" w:rsidR="00154D35" w:rsidRPr="00154D35" w:rsidRDefault="00154D35" w:rsidP="00154D35">
            <w:pPr>
              <w:pStyle w:val="CDITable-RowCentre"/>
            </w:pPr>
            <w:r w:rsidRPr="00154D35">
              <w:t>1.0</w:t>
            </w:r>
          </w:p>
        </w:tc>
        <w:tc>
          <w:tcPr>
            <w:tcW w:w="1219" w:type="dxa"/>
            <w:tcBorders>
              <w:top w:val="single" w:sz="6" w:space="0" w:color="1E4496" w:themeColor="text2"/>
              <w:left w:val="single" w:sz="6" w:space="0" w:color="1E4496" w:themeColor="text2"/>
              <w:bottom w:val="single" w:sz="6" w:space="0" w:color="1E4496" w:themeColor="text2"/>
            </w:tcBorders>
            <w:tcMar>
              <w:top w:w="111" w:type="dxa"/>
              <w:left w:w="113" w:type="dxa"/>
              <w:bottom w:w="111" w:type="dxa"/>
              <w:right w:w="113" w:type="dxa"/>
            </w:tcMar>
            <w:vAlign w:val="center"/>
          </w:tcPr>
          <w:p w14:paraId="18FC3115" w14:textId="77777777" w:rsidR="00154D35" w:rsidRPr="00154D35" w:rsidRDefault="00154D35" w:rsidP="00154D35">
            <w:pPr>
              <w:pStyle w:val="CDITable-RowCentre"/>
            </w:pPr>
            <w:r w:rsidRPr="00154D35">
              <w:t>38</w:t>
            </w:r>
          </w:p>
        </w:tc>
        <w:tc>
          <w:tcPr>
            <w:tcW w:w="1219" w:type="dxa"/>
            <w:tcBorders>
              <w:top w:val="single" w:sz="6" w:space="0" w:color="1E4496" w:themeColor="text2"/>
              <w:bottom w:val="single" w:sz="6" w:space="0" w:color="1E4496" w:themeColor="text2"/>
              <w:right w:val="single" w:sz="6" w:space="0" w:color="1E4496" w:themeColor="text2"/>
            </w:tcBorders>
            <w:tcMar>
              <w:top w:w="111" w:type="dxa"/>
              <w:left w:w="113" w:type="dxa"/>
              <w:bottom w:w="111" w:type="dxa"/>
              <w:right w:w="113" w:type="dxa"/>
            </w:tcMar>
            <w:vAlign w:val="center"/>
          </w:tcPr>
          <w:p w14:paraId="1DF3BB3D" w14:textId="77777777" w:rsidR="00154D35" w:rsidRPr="00154D35" w:rsidRDefault="00154D35" w:rsidP="00154D35">
            <w:pPr>
              <w:pStyle w:val="CDITable-RowCentre"/>
            </w:pPr>
            <w:r w:rsidRPr="00154D35">
              <w:t>6.3</w:t>
            </w:r>
          </w:p>
        </w:tc>
        <w:tc>
          <w:tcPr>
            <w:tcW w:w="1219" w:type="dxa"/>
            <w:tcBorders>
              <w:top w:val="single" w:sz="6" w:space="0" w:color="1E4496" w:themeColor="text2"/>
              <w:left w:val="single" w:sz="6" w:space="0" w:color="1E4496" w:themeColor="text2"/>
              <w:bottom w:val="single" w:sz="6" w:space="0" w:color="1E4496" w:themeColor="text2"/>
            </w:tcBorders>
            <w:tcMar>
              <w:top w:w="111" w:type="dxa"/>
              <w:left w:w="113" w:type="dxa"/>
              <w:bottom w:w="111" w:type="dxa"/>
              <w:right w:w="113" w:type="dxa"/>
            </w:tcMar>
            <w:vAlign w:val="center"/>
          </w:tcPr>
          <w:p w14:paraId="2A62C703" w14:textId="77777777" w:rsidR="00154D35" w:rsidRPr="00154D35" w:rsidRDefault="00154D35" w:rsidP="00154D35">
            <w:pPr>
              <w:pStyle w:val="CDITable-RowCentre"/>
            </w:pPr>
            <w:r w:rsidRPr="00154D35">
              <w:t>64</w:t>
            </w:r>
          </w:p>
        </w:tc>
        <w:tc>
          <w:tcPr>
            <w:tcW w:w="1219" w:type="dxa"/>
            <w:tcBorders>
              <w:top w:val="single" w:sz="6" w:space="0" w:color="1E4496" w:themeColor="text2"/>
              <w:bottom w:val="single" w:sz="6" w:space="0" w:color="1E4496" w:themeColor="text2"/>
              <w:right w:val="single" w:sz="6" w:space="0" w:color="1E4496" w:themeColor="text2"/>
            </w:tcBorders>
            <w:tcMar>
              <w:top w:w="111" w:type="dxa"/>
              <w:left w:w="113" w:type="dxa"/>
              <w:bottom w:w="111" w:type="dxa"/>
              <w:right w:w="113" w:type="dxa"/>
            </w:tcMar>
            <w:vAlign w:val="center"/>
          </w:tcPr>
          <w:p w14:paraId="2A798C3E" w14:textId="77777777" w:rsidR="00154D35" w:rsidRPr="00154D35" w:rsidRDefault="00154D35" w:rsidP="00154D35">
            <w:pPr>
              <w:pStyle w:val="CDITable-RowCentre"/>
            </w:pPr>
            <w:r w:rsidRPr="00154D35">
              <w:t>6.6</w:t>
            </w:r>
          </w:p>
        </w:tc>
        <w:tc>
          <w:tcPr>
            <w:tcW w:w="1218" w:type="dxa"/>
            <w:tcBorders>
              <w:top w:val="single" w:sz="6" w:space="0" w:color="1E4496" w:themeColor="text2"/>
              <w:left w:val="single" w:sz="6" w:space="0" w:color="1E4496" w:themeColor="text2"/>
              <w:bottom w:val="single" w:sz="6" w:space="0" w:color="1E4496" w:themeColor="text2"/>
            </w:tcBorders>
            <w:tcMar>
              <w:top w:w="111" w:type="dxa"/>
              <w:left w:w="113" w:type="dxa"/>
              <w:bottom w:w="111" w:type="dxa"/>
              <w:right w:w="113" w:type="dxa"/>
            </w:tcMar>
            <w:vAlign w:val="center"/>
          </w:tcPr>
          <w:p w14:paraId="1405EB50" w14:textId="77777777" w:rsidR="00154D35" w:rsidRPr="00154D35" w:rsidRDefault="00154D35" w:rsidP="00154D35">
            <w:pPr>
              <w:pStyle w:val="CDITable-RowCentre"/>
            </w:pPr>
            <w:r w:rsidRPr="00154D35">
              <w:t>104</w:t>
            </w:r>
          </w:p>
        </w:tc>
        <w:tc>
          <w:tcPr>
            <w:tcW w:w="1219" w:type="dxa"/>
            <w:tcBorders>
              <w:top w:val="single" w:sz="6" w:space="0" w:color="1E4496" w:themeColor="text2"/>
              <w:bottom w:val="single" w:sz="6" w:space="0" w:color="1E4496" w:themeColor="text2"/>
            </w:tcBorders>
            <w:tcMar>
              <w:top w:w="111" w:type="dxa"/>
              <w:left w:w="113" w:type="dxa"/>
              <w:bottom w:w="111" w:type="dxa"/>
              <w:right w:w="113" w:type="dxa"/>
            </w:tcMar>
            <w:vAlign w:val="center"/>
          </w:tcPr>
          <w:p w14:paraId="422105CC" w14:textId="77777777" w:rsidR="00154D35" w:rsidRPr="00154D35" w:rsidRDefault="00154D35" w:rsidP="00154D35">
            <w:pPr>
              <w:pStyle w:val="CDITable-RowCentre"/>
            </w:pPr>
            <w:r w:rsidRPr="00154D35">
              <w:t>6.0</w:t>
            </w:r>
          </w:p>
        </w:tc>
      </w:tr>
      <w:tr w:rsidR="00154D35" w:rsidRPr="00154D35" w14:paraId="0979D7C6" w14:textId="77777777" w:rsidTr="00E10C2B">
        <w:trPr>
          <w:trHeight w:val="60"/>
        </w:trPr>
        <w:tc>
          <w:tcPr>
            <w:tcW w:w="2891" w:type="dxa"/>
            <w:tcBorders>
              <w:top w:val="single" w:sz="6" w:space="0" w:color="1E4496" w:themeColor="text2"/>
              <w:bottom w:val="single" w:sz="6" w:space="0" w:color="1E4496" w:themeColor="text2"/>
            </w:tcBorders>
            <w:shd w:val="clear" w:color="auto" w:fill="DCF4FC" w:themeFill="background2" w:themeFillTint="33"/>
            <w:tcMar>
              <w:top w:w="113" w:type="dxa"/>
              <w:left w:w="113" w:type="dxa"/>
              <w:bottom w:w="113" w:type="dxa"/>
              <w:right w:w="113" w:type="dxa"/>
            </w:tcMar>
            <w:vAlign w:val="center"/>
          </w:tcPr>
          <w:p w14:paraId="7476DC70" w14:textId="77777777" w:rsidR="00154D35" w:rsidRPr="00154D35" w:rsidRDefault="00154D35" w:rsidP="00154D35">
            <w:pPr>
              <w:pStyle w:val="CDITable-RowLeft"/>
            </w:pPr>
            <w:r w:rsidRPr="00154D35">
              <w:t xml:space="preserve">Polymicrobial </w:t>
            </w:r>
            <w:proofErr w:type="spellStart"/>
            <w:r w:rsidRPr="00154D35">
              <w:t>BSI</w:t>
            </w:r>
            <w:r w:rsidRPr="00E10C2B">
              <w:rPr>
                <w:vertAlign w:val="superscript"/>
              </w:rPr>
              <w:t>d</w:t>
            </w:r>
            <w:proofErr w:type="spellEnd"/>
          </w:p>
        </w:tc>
        <w:tc>
          <w:tcPr>
            <w:tcW w:w="170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EF39EF0" w14:textId="77777777" w:rsidR="00154D35" w:rsidRPr="00154D35" w:rsidRDefault="00154D35" w:rsidP="00154D35">
            <w:pPr>
              <w:pStyle w:val="CDITable-RowLeft"/>
            </w:pPr>
            <w:r w:rsidRPr="00154D35">
              <w:t>—</w:t>
            </w:r>
          </w:p>
        </w:tc>
        <w:tc>
          <w:tcPr>
            <w:tcW w:w="1219"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325268B" w14:textId="77777777" w:rsidR="00154D35" w:rsidRPr="00154D35" w:rsidRDefault="00154D35" w:rsidP="00154D35">
            <w:pPr>
              <w:pStyle w:val="CDITable-RowCentre"/>
            </w:pPr>
            <w:r w:rsidRPr="00154D35">
              <w:t>72</w:t>
            </w:r>
          </w:p>
        </w:tc>
        <w:tc>
          <w:tcPr>
            <w:tcW w:w="1219" w:type="dxa"/>
            <w:tcBorders>
              <w:top w:val="single" w:sz="6" w:space="0" w:color="1E4496" w:themeColor="text2"/>
              <w:bottom w:val="single" w:sz="6" w:space="0" w:color="1E4496" w:themeColor="text2"/>
              <w:right w:val="single" w:sz="6" w:space="0" w:color="1E4496" w:themeColor="text2"/>
            </w:tcBorders>
            <w:tcMar>
              <w:top w:w="113" w:type="dxa"/>
              <w:left w:w="113" w:type="dxa"/>
              <w:bottom w:w="113" w:type="dxa"/>
              <w:right w:w="113" w:type="dxa"/>
            </w:tcMar>
            <w:vAlign w:val="center"/>
          </w:tcPr>
          <w:p w14:paraId="334475AB" w14:textId="77777777" w:rsidR="00154D35" w:rsidRPr="00154D35" w:rsidRDefault="00154D35" w:rsidP="00154D35">
            <w:pPr>
              <w:pStyle w:val="CDITable-RowCentre"/>
            </w:pPr>
            <w:r w:rsidRPr="00154D35">
              <w:t>38.9</w:t>
            </w:r>
          </w:p>
        </w:tc>
        <w:tc>
          <w:tcPr>
            <w:tcW w:w="1219" w:type="dxa"/>
            <w:tcBorders>
              <w:top w:val="single" w:sz="6" w:space="0" w:color="1E4496" w:themeColor="text2"/>
              <w:left w:val="single" w:sz="6" w:space="0" w:color="1E4496" w:themeColor="text2"/>
              <w:bottom w:val="single" w:sz="6" w:space="0" w:color="1E4496" w:themeColor="text2"/>
            </w:tcBorders>
            <w:tcMar>
              <w:top w:w="113" w:type="dxa"/>
              <w:left w:w="113" w:type="dxa"/>
              <w:bottom w:w="113" w:type="dxa"/>
              <w:right w:w="113" w:type="dxa"/>
            </w:tcMar>
            <w:vAlign w:val="center"/>
          </w:tcPr>
          <w:p w14:paraId="6462EC6C" w14:textId="77777777" w:rsidR="00154D35" w:rsidRPr="00154D35" w:rsidRDefault="00154D35" w:rsidP="00154D35">
            <w:pPr>
              <w:pStyle w:val="CDITable-RowCentre"/>
            </w:pPr>
            <w:r w:rsidRPr="00154D35">
              <w:t>54</w:t>
            </w:r>
          </w:p>
        </w:tc>
        <w:tc>
          <w:tcPr>
            <w:tcW w:w="1219" w:type="dxa"/>
            <w:tcBorders>
              <w:top w:val="single" w:sz="6" w:space="0" w:color="1E4496" w:themeColor="text2"/>
              <w:bottom w:val="single" w:sz="6" w:space="0" w:color="1E4496" w:themeColor="text2"/>
              <w:right w:val="single" w:sz="6" w:space="0" w:color="1E4496" w:themeColor="text2"/>
            </w:tcBorders>
            <w:tcMar>
              <w:top w:w="113" w:type="dxa"/>
              <w:left w:w="113" w:type="dxa"/>
              <w:bottom w:w="113" w:type="dxa"/>
              <w:right w:w="113" w:type="dxa"/>
            </w:tcMar>
            <w:vAlign w:val="center"/>
          </w:tcPr>
          <w:p w14:paraId="4214DA21" w14:textId="77777777" w:rsidR="00154D35" w:rsidRPr="00154D35" w:rsidRDefault="00154D35" w:rsidP="00154D35">
            <w:pPr>
              <w:pStyle w:val="CDITable-RowCentre"/>
            </w:pPr>
            <w:r w:rsidRPr="00154D35">
              <w:t>9.1</w:t>
            </w:r>
          </w:p>
        </w:tc>
        <w:tc>
          <w:tcPr>
            <w:tcW w:w="1219" w:type="dxa"/>
            <w:tcBorders>
              <w:top w:val="single" w:sz="6" w:space="0" w:color="1E4496" w:themeColor="text2"/>
              <w:left w:val="single" w:sz="6" w:space="0" w:color="1E4496" w:themeColor="text2"/>
              <w:bottom w:val="single" w:sz="6" w:space="0" w:color="1E4496" w:themeColor="text2"/>
            </w:tcBorders>
            <w:tcMar>
              <w:top w:w="113" w:type="dxa"/>
              <w:left w:w="113" w:type="dxa"/>
              <w:bottom w:w="113" w:type="dxa"/>
              <w:right w:w="113" w:type="dxa"/>
            </w:tcMar>
            <w:vAlign w:val="center"/>
          </w:tcPr>
          <w:p w14:paraId="3500F73C" w14:textId="77777777" w:rsidR="00154D35" w:rsidRPr="00154D35" w:rsidRDefault="00154D35" w:rsidP="00154D35">
            <w:pPr>
              <w:pStyle w:val="CDITable-RowCentre"/>
            </w:pPr>
            <w:r w:rsidRPr="00154D35">
              <w:t>101</w:t>
            </w:r>
          </w:p>
        </w:tc>
        <w:tc>
          <w:tcPr>
            <w:tcW w:w="1219" w:type="dxa"/>
            <w:tcBorders>
              <w:top w:val="single" w:sz="6" w:space="0" w:color="1E4496" w:themeColor="text2"/>
              <w:bottom w:val="single" w:sz="6" w:space="0" w:color="1E4496" w:themeColor="text2"/>
              <w:right w:val="single" w:sz="6" w:space="0" w:color="1E4496" w:themeColor="text2"/>
            </w:tcBorders>
            <w:tcMar>
              <w:top w:w="113" w:type="dxa"/>
              <w:left w:w="113" w:type="dxa"/>
              <w:bottom w:w="113" w:type="dxa"/>
              <w:right w:w="113" w:type="dxa"/>
            </w:tcMar>
            <w:vAlign w:val="center"/>
          </w:tcPr>
          <w:p w14:paraId="01198B13" w14:textId="77777777" w:rsidR="00154D35" w:rsidRPr="00154D35" w:rsidRDefault="00154D35" w:rsidP="00154D35">
            <w:pPr>
              <w:pStyle w:val="CDITable-RowCentre"/>
            </w:pPr>
            <w:r w:rsidRPr="00154D35">
              <w:t>10.4</w:t>
            </w:r>
          </w:p>
        </w:tc>
        <w:tc>
          <w:tcPr>
            <w:tcW w:w="1218" w:type="dxa"/>
            <w:tcBorders>
              <w:top w:val="single" w:sz="6" w:space="0" w:color="1E4496" w:themeColor="text2"/>
              <w:left w:val="single" w:sz="6" w:space="0" w:color="1E4496" w:themeColor="text2"/>
              <w:bottom w:val="single" w:sz="6" w:space="0" w:color="1E4496" w:themeColor="text2"/>
            </w:tcBorders>
            <w:tcMar>
              <w:top w:w="113" w:type="dxa"/>
              <w:left w:w="113" w:type="dxa"/>
              <w:bottom w:w="113" w:type="dxa"/>
              <w:right w:w="113" w:type="dxa"/>
            </w:tcMar>
            <w:vAlign w:val="center"/>
          </w:tcPr>
          <w:p w14:paraId="4BF8F5F3" w14:textId="77777777" w:rsidR="00154D35" w:rsidRPr="00154D35" w:rsidRDefault="00154D35" w:rsidP="00154D35">
            <w:pPr>
              <w:pStyle w:val="CDITable-RowCentre"/>
            </w:pPr>
            <w:r w:rsidRPr="00154D35">
              <w:t>227</w:t>
            </w:r>
          </w:p>
        </w:tc>
        <w:tc>
          <w:tcPr>
            <w:tcW w:w="1219"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9003EE6" w14:textId="77777777" w:rsidR="00154D35" w:rsidRPr="00154D35" w:rsidRDefault="00154D35" w:rsidP="00154D35">
            <w:pPr>
              <w:pStyle w:val="CDITable-RowCentre"/>
            </w:pPr>
            <w:r w:rsidRPr="00154D35">
              <w:t>13.0</w:t>
            </w:r>
          </w:p>
        </w:tc>
      </w:tr>
      <w:tr w:rsidR="00154D35" w:rsidRPr="00154D35" w14:paraId="1E2AFA89" w14:textId="77777777" w:rsidTr="00E10C2B">
        <w:trPr>
          <w:trHeight w:val="60"/>
        </w:trPr>
        <w:tc>
          <w:tcPr>
            <w:tcW w:w="2891" w:type="dxa"/>
            <w:vMerge w:val="restart"/>
            <w:tcBorders>
              <w:top w:val="single" w:sz="6" w:space="0" w:color="1E4496" w:themeColor="text2"/>
              <w:bottom w:val="single" w:sz="6" w:space="0" w:color="1E4496" w:themeColor="text2"/>
            </w:tcBorders>
            <w:shd w:val="clear" w:color="auto" w:fill="DCF4FC" w:themeFill="background2" w:themeFillTint="33"/>
            <w:tcMar>
              <w:top w:w="113" w:type="dxa"/>
              <w:left w:w="113" w:type="dxa"/>
              <w:bottom w:w="113" w:type="dxa"/>
              <w:right w:w="113" w:type="dxa"/>
            </w:tcMar>
            <w:vAlign w:val="center"/>
          </w:tcPr>
          <w:p w14:paraId="22576EB8" w14:textId="77777777" w:rsidR="00154D35" w:rsidRPr="00154D35" w:rsidRDefault="00154D35" w:rsidP="00154D35">
            <w:pPr>
              <w:pStyle w:val="CDITable-RowLeft"/>
            </w:pPr>
            <w:r w:rsidRPr="00154D35">
              <w:t>Length of stay (days)</w:t>
            </w:r>
          </w:p>
        </w:tc>
        <w:tc>
          <w:tcPr>
            <w:tcW w:w="170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F3F4DA2" w14:textId="77777777" w:rsidR="00154D35" w:rsidRPr="00154D35" w:rsidRDefault="00154D35" w:rsidP="00154D35">
            <w:pPr>
              <w:pStyle w:val="CDITable-RowLeft"/>
            </w:pPr>
            <w:r w:rsidRPr="00154D35">
              <w:t>Median</w:t>
            </w:r>
          </w:p>
        </w:tc>
        <w:tc>
          <w:tcPr>
            <w:tcW w:w="1219"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A91E997" w14:textId="77777777" w:rsidR="00154D35" w:rsidRPr="00154D35" w:rsidRDefault="00154D35" w:rsidP="00154D35">
            <w:pPr>
              <w:pStyle w:val="CDITable-RowCentre"/>
            </w:pPr>
            <w:r w:rsidRPr="00154D35">
              <w:t>16.5</w:t>
            </w:r>
          </w:p>
        </w:tc>
        <w:tc>
          <w:tcPr>
            <w:tcW w:w="1219" w:type="dxa"/>
            <w:tcBorders>
              <w:top w:val="single" w:sz="6" w:space="0" w:color="1E4496" w:themeColor="text2"/>
              <w:bottom w:val="single" w:sz="6" w:space="0" w:color="1E4496" w:themeColor="text2"/>
              <w:right w:val="single" w:sz="6" w:space="0" w:color="1E4496" w:themeColor="text2"/>
            </w:tcBorders>
            <w:tcMar>
              <w:top w:w="113" w:type="dxa"/>
              <w:left w:w="113" w:type="dxa"/>
              <w:bottom w:w="113" w:type="dxa"/>
              <w:right w:w="113" w:type="dxa"/>
            </w:tcMar>
            <w:vAlign w:val="center"/>
          </w:tcPr>
          <w:p w14:paraId="1ABB0001" w14:textId="77777777" w:rsidR="00154D35" w:rsidRPr="00154D35" w:rsidRDefault="00154D35" w:rsidP="00154D35">
            <w:pPr>
              <w:pStyle w:val="CDITable-RowCentre"/>
            </w:pPr>
            <w:r w:rsidRPr="00154D35">
              <w:t>—</w:t>
            </w:r>
          </w:p>
        </w:tc>
        <w:tc>
          <w:tcPr>
            <w:tcW w:w="1219" w:type="dxa"/>
            <w:tcBorders>
              <w:top w:val="single" w:sz="6" w:space="0" w:color="1E4496" w:themeColor="text2"/>
              <w:left w:val="single" w:sz="6" w:space="0" w:color="1E4496" w:themeColor="text2"/>
              <w:bottom w:val="single" w:sz="6" w:space="0" w:color="1E4496" w:themeColor="text2"/>
            </w:tcBorders>
            <w:tcMar>
              <w:top w:w="113" w:type="dxa"/>
              <w:left w:w="113" w:type="dxa"/>
              <w:bottom w:w="113" w:type="dxa"/>
              <w:right w:w="113" w:type="dxa"/>
            </w:tcMar>
            <w:vAlign w:val="center"/>
          </w:tcPr>
          <w:p w14:paraId="12FBD80B" w14:textId="77777777" w:rsidR="00154D35" w:rsidRPr="00154D35" w:rsidRDefault="00154D35" w:rsidP="00154D35">
            <w:pPr>
              <w:pStyle w:val="CDITable-RowCentre"/>
            </w:pPr>
            <w:r w:rsidRPr="00154D35">
              <w:t>12</w:t>
            </w:r>
          </w:p>
        </w:tc>
        <w:tc>
          <w:tcPr>
            <w:tcW w:w="1219" w:type="dxa"/>
            <w:tcBorders>
              <w:top w:val="single" w:sz="6" w:space="0" w:color="1E4496" w:themeColor="text2"/>
              <w:bottom w:val="single" w:sz="6" w:space="0" w:color="1E4496" w:themeColor="text2"/>
              <w:right w:val="single" w:sz="6" w:space="0" w:color="1E4496" w:themeColor="text2"/>
            </w:tcBorders>
            <w:tcMar>
              <w:top w:w="113" w:type="dxa"/>
              <w:left w:w="113" w:type="dxa"/>
              <w:bottom w:w="113" w:type="dxa"/>
              <w:right w:w="113" w:type="dxa"/>
            </w:tcMar>
            <w:vAlign w:val="center"/>
          </w:tcPr>
          <w:p w14:paraId="629BE1E1" w14:textId="77777777" w:rsidR="00154D35" w:rsidRPr="00154D35" w:rsidRDefault="00154D35" w:rsidP="00154D35">
            <w:pPr>
              <w:pStyle w:val="CDITable-RowCentre"/>
            </w:pPr>
            <w:r w:rsidRPr="00154D35">
              <w:t>—</w:t>
            </w:r>
          </w:p>
        </w:tc>
        <w:tc>
          <w:tcPr>
            <w:tcW w:w="1219" w:type="dxa"/>
            <w:tcBorders>
              <w:top w:val="single" w:sz="6" w:space="0" w:color="1E4496" w:themeColor="text2"/>
              <w:left w:val="single" w:sz="6" w:space="0" w:color="1E4496" w:themeColor="text2"/>
              <w:bottom w:val="single" w:sz="6" w:space="0" w:color="1E4496" w:themeColor="text2"/>
            </w:tcBorders>
            <w:tcMar>
              <w:top w:w="113" w:type="dxa"/>
              <w:left w:w="113" w:type="dxa"/>
              <w:bottom w:w="113" w:type="dxa"/>
              <w:right w:w="113" w:type="dxa"/>
            </w:tcMar>
            <w:vAlign w:val="center"/>
          </w:tcPr>
          <w:p w14:paraId="1135644F" w14:textId="77777777" w:rsidR="00154D35" w:rsidRPr="00154D35" w:rsidRDefault="00154D35" w:rsidP="00154D35">
            <w:pPr>
              <w:pStyle w:val="CDITable-RowCentre"/>
            </w:pPr>
            <w:r w:rsidRPr="00154D35">
              <w:t>10</w:t>
            </w:r>
          </w:p>
        </w:tc>
        <w:tc>
          <w:tcPr>
            <w:tcW w:w="1219" w:type="dxa"/>
            <w:tcBorders>
              <w:top w:val="single" w:sz="6" w:space="0" w:color="1E4496" w:themeColor="text2"/>
              <w:bottom w:val="single" w:sz="6" w:space="0" w:color="1E4496" w:themeColor="text2"/>
              <w:right w:val="single" w:sz="6" w:space="0" w:color="1E4496" w:themeColor="text2"/>
            </w:tcBorders>
            <w:tcMar>
              <w:top w:w="113" w:type="dxa"/>
              <w:left w:w="113" w:type="dxa"/>
              <w:bottom w:w="113" w:type="dxa"/>
              <w:right w:w="113" w:type="dxa"/>
            </w:tcMar>
            <w:vAlign w:val="center"/>
          </w:tcPr>
          <w:p w14:paraId="4855EFEF" w14:textId="77777777" w:rsidR="00154D35" w:rsidRPr="00154D35" w:rsidRDefault="00154D35" w:rsidP="00154D35">
            <w:pPr>
              <w:pStyle w:val="CDITable-RowCentre"/>
            </w:pPr>
            <w:r w:rsidRPr="00154D35">
              <w:t>—</w:t>
            </w:r>
          </w:p>
        </w:tc>
        <w:tc>
          <w:tcPr>
            <w:tcW w:w="1218" w:type="dxa"/>
            <w:tcBorders>
              <w:top w:val="single" w:sz="6" w:space="0" w:color="1E4496" w:themeColor="text2"/>
              <w:left w:val="single" w:sz="6" w:space="0" w:color="1E4496" w:themeColor="text2"/>
              <w:bottom w:val="single" w:sz="6" w:space="0" w:color="1E4496" w:themeColor="text2"/>
            </w:tcBorders>
            <w:tcMar>
              <w:top w:w="113" w:type="dxa"/>
              <w:left w:w="113" w:type="dxa"/>
              <w:bottom w:w="113" w:type="dxa"/>
              <w:right w:w="113" w:type="dxa"/>
            </w:tcMar>
            <w:vAlign w:val="center"/>
          </w:tcPr>
          <w:p w14:paraId="23E2775F" w14:textId="77777777" w:rsidR="00154D35" w:rsidRPr="00154D35" w:rsidRDefault="00154D35" w:rsidP="00154D35">
            <w:pPr>
              <w:pStyle w:val="CDITable-RowCentre"/>
            </w:pPr>
            <w:r w:rsidRPr="00154D35">
              <w:t>11</w:t>
            </w:r>
          </w:p>
        </w:tc>
        <w:tc>
          <w:tcPr>
            <w:tcW w:w="1219"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20A3F4B" w14:textId="77777777" w:rsidR="00154D35" w:rsidRPr="00154D35" w:rsidRDefault="00154D35" w:rsidP="00154D35">
            <w:pPr>
              <w:pStyle w:val="CDITable-RowCentre"/>
            </w:pPr>
            <w:r w:rsidRPr="00154D35">
              <w:t>—</w:t>
            </w:r>
          </w:p>
        </w:tc>
      </w:tr>
      <w:tr w:rsidR="00154D35" w:rsidRPr="00154D35" w14:paraId="26065C2A" w14:textId="77777777" w:rsidTr="00E10C2B">
        <w:trPr>
          <w:trHeight w:val="60"/>
        </w:trPr>
        <w:tc>
          <w:tcPr>
            <w:tcW w:w="2891" w:type="dxa"/>
            <w:vMerge/>
            <w:tcBorders>
              <w:bottom w:val="single" w:sz="6" w:space="0" w:color="1E4496" w:themeColor="text2"/>
            </w:tcBorders>
            <w:shd w:val="clear" w:color="auto" w:fill="DCF4FC" w:themeFill="background2" w:themeFillTint="33"/>
          </w:tcPr>
          <w:p w14:paraId="71DA2EE3" w14:textId="77777777" w:rsidR="00154D35" w:rsidRPr="00154D35" w:rsidRDefault="00154D35" w:rsidP="00154D35">
            <w:pPr>
              <w:pStyle w:val="CDITable-RowLeft"/>
            </w:pPr>
          </w:p>
        </w:tc>
        <w:tc>
          <w:tcPr>
            <w:tcW w:w="170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A45A17D" w14:textId="77777777" w:rsidR="00154D35" w:rsidRPr="00154D35" w:rsidRDefault="00154D35" w:rsidP="00154D35">
            <w:pPr>
              <w:pStyle w:val="CDITable-RowLeft"/>
            </w:pPr>
            <w:r w:rsidRPr="00154D35">
              <w:t>IQR</w:t>
            </w:r>
          </w:p>
        </w:tc>
        <w:tc>
          <w:tcPr>
            <w:tcW w:w="1219"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C512F52" w14:textId="77777777" w:rsidR="00154D35" w:rsidRPr="00154D35" w:rsidRDefault="00154D35" w:rsidP="00154D35">
            <w:pPr>
              <w:pStyle w:val="CDITable-RowCentre"/>
            </w:pPr>
            <w:r w:rsidRPr="00154D35">
              <w:t>7–35.2</w:t>
            </w:r>
          </w:p>
        </w:tc>
        <w:tc>
          <w:tcPr>
            <w:tcW w:w="1219" w:type="dxa"/>
            <w:tcBorders>
              <w:top w:val="single" w:sz="6" w:space="0" w:color="1E4496" w:themeColor="text2"/>
              <w:bottom w:val="single" w:sz="6" w:space="0" w:color="1E4496" w:themeColor="text2"/>
              <w:right w:val="single" w:sz="6" w:space="0" w:color="1E4496" w:themeColor="text2"/>
            </w:tcBorders>
            <w:tcMar>
              <w:top w:w="113" w:type="dxa"/>
              <w:left w:w="113" w:type="dxa"/>
              <w:bottom w:w="113" w:type="dxa"/>
              <w:right w:w="113" w:type="dxa"/>
            </w:tcMar>
            <w:vAlign w:val="center"/>
          </w:tcPr>
          <w:p w14:paraId="119140BF" w14:textId="77777777" w:rsidR="00154D35" w:rsidRPr="00154D35" w:rsidRDefault="00154D35" w:rsidP="00154D35">
            <w:pPr>
              <w:pStyle w:val="CDITable-RowCentre"/>
            </w:pPr>
            <w:r w:rsidRPr="00154D35">
              <w:t>—</w:t>
            </w:r>
          </w:p>
        </w:tc>
        <w:tc>
          <w:tcPr>
            <w:tcW w:w="1219" w:type="dxa"/>
            <w:tcBorders>
              <w:top w:val="single" w:sz="6" w:space="0" w:color="1E4496" w:themeColor="text2"/>
              <w:left w:val="single" w:sz="6" w:space="0" w:color="1E4496" w:themeColor="text2"/>
              <w:bottom w:val="single" w:sz="6" w:space="0" w:color="1E4496" w:themeColor="text2"/>
            </w:tcBorders>
            <w:tcMar>
              <w:top w:w="113" w:type="dxa"/>
              <w:left w:w="113" w:type="dxa"/>
              <w:bottom w:w="113" w:type="dxa"/>
              <w:right w:w="113" w:type="dxa"/>
            </w:tcMar>
            <w:vAlign w:val="center"/>
          </w:tcPr>
          <w:p w14:paraId="0C6D9EB4" w14:textId="77777777" w:rsidR="00154D35" w:rsidRPr="00154D35" w:rsidRDefault="00154D35" w:rsidP="00154D35">
            <w:pPr>
              <w:pStyle w:val="CDITable-RowCentre"/>
            </w:pPr>
            <w:r w:rsidRPr="00154D35">
              <w:t>7–23</w:t>
            </w:r>
          </w:p>
        </w:tc>
        <w:tc>
          <w:tcPr>
            <w:tcW w:w="1219" w:type="dxa"/>
            <w:tcBorders>
              <w:top w:val="single" w:sz="6" w:space="0" w:color="1E4496" w:themeColor="text2"/>
              <w:bottom w:val="single" w:sz="6" w:space="0" w:color="1E4496" w:themeColor="text2"/>
              <w:right w:val="single" w:sz="6" w:space="0" w:color="1E4496" w:themeColor="text2"/>
            </w:tcBorders>
            <w:tcMar>
              <w:top w:w="113" w:type="dxa"/>
              <w:left w:w="113" w:type="dxa"/>
              <w:bottom w:w="113" w:type="dxa"/>
              <w:right w:w="113" w:type="dxa"/>
            </w:tcMar>
            <w:vAlign w:val="center"/>
          </w:tcPr>
          <w:p w14:paraId="646E2586" w14:textId="77777777" w:rsidR="00154D35" w:rsidRPr="00154D35" w:rsidRDefault="00154D35" w:rsidP="00154D35">
            <w:pPr>
              <w:pStyle w:val="CDITable-RowCentre"/>
            </w:pPr>
            <w:r w:rsidRPr="00154D35">
              <w:t>—</w:t>
            </w:r>
          </w:p>
        </w:tc>
        <w:tc>
          <w:tcPr>
            <w:tcW w:w="1219" w:type="dxa"/>
            <w:tcBorders>
              <w:top w:val="single" w:sz="6" w:space="0" w:color="1E4496" w:themeColor="text2"/>
              <w:left w:val="single" w:sz="6" w:space="0" w:color="1E4496" w:themeColor="text2"/>
              <w:bottom w:val="single" w:sz="6" w:space="0" w:color="1E4496" w:themeColor="text2"/>
            </w:tcBorders>
            <w:tcMar>
              <w:top w:w="113" w:type="dxa"/>
              <w:left w:w="113" w:type="dxa"/>
              <w:bottom w:w="113" w:type="dxa"/>
              <w:right w:w="113" w:type="dxa"/>
            </w:tcMar>
            <w:vAlign w:val="center"/>
          </w:tcPr>
          <w:p w14:paraId="70A2601E" w14:textId="77777777" w:rsidR="00154D35" w:rsidRPr="00154D35" w:rsidRDefault="00154D35" w:rsidP="00154D35">
            <w:pPr>
              <w:pStyle w:val="CDITable-RowCentre"/>
            </w:pPr>
            <w:r w:rsidRPr="00154D35">
              <w:t>5–20</w:t>
            </w:r>
          </w:p>
        </w:tc>
        <w:tc>
          <w:tcPr>
            <w:tcW w:w="1219" w:type="dxa"/>
            <w:tcBorders>
              <w:top w:val="single" w:sz="6" w:space="0" w:color="1E4496" w:themeColor="text2"/>
              <w:bottom w:val="single" w:sz="6" w:space="0" w:color="1E4496" w:themeColor="text2"/>
              <w:right w:val="single" w:sz="6" w:space="0" w:color="1E4496" w:themeColor="text2"/>
            </w:tcBorders>
            <w:tcMar>
              <w:top w:w="113" w:type="dxa"/>
              <w:left w:w="113" w:type="dxa"/>
              <w:bottom w:w="113" w:type="dxa"/>
              <w:right w:w="113" w:type="dxa"/>
            </w:tcMar>
            <w:vAlign w:val="center"/>
          </w:tcPr>
          <w:p w14:paraId="204E41F5" w14:textId="77777777" w:rsidR="00154D35" w:rsidRPr="00154D35" w:rsidRDefault="00154D35" w:rsidP="00154D35">
            <w:pPr>
              <w:pStyle w:val="CDITable-RowCentre"/>
            </w:pPr>
            <w:r w:rsidRPr="00154D35">
              <w:t>—</w:t>
            </w:r>
          </w:p>
        </w:tc>
        <w:tc>
          <w:tcPr>
            <w:tcW w:w="1218" w:type="dxa"/>
            <w:tcBorders>
              <w:top w:val="single" w:sz="6" w:space="0" w:color="1E4496" w:themeColor="text2"/>
              <w:left w:val="single" w:sz="6" w:space="0" w:color="1E4496" w:themeColor="text2"/>
              <w:bottom w:val="single" w:sz="6" w:space="0" w:color="1E4496" w:themeColor="text2"/>
            </w:tcBorders>
            <w:tcMar>
              <w:top w:w="113" w:type="dxa"/>
              <w:left w:w="113" w:type="dxa"/>
              <w:bottom w:w="113" w:type="dxa"/>
              <w:right w:w="113" w:type="dxa"/>
            </w:tcMar>
            <w:vAlign w:val="center"/>
          </w:tcPr>
          <w:p w14:paraId="75450C92" w14:textId="77777777" w:rsidR="00154D35" w:rsidRPr="00154D35" w:rsidRDefault="00154D35" w:rsidP="00154D35">
            <w:pPr>
              <w:pStyle w:val="CDITable-RowCentre"/>
            </w:pPr>
            <w:r w:rsidRPr="00154D35">
              <w:t>6–22</w:t>
            </w:r>
          </w:p>
        </w:tc>
        <w:tc>
          <w:tcPr>
            <w:tcW w:w="1219"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500428F" w14:textId="77777777" w:rsidR="00154D35" w:rsidRPr="00154D35" w:rsidRDefault="00154D35" w:rsidP="00154D35">
            <w:pPr>
              <w:pStyle w:val="CDITable-RowCentre"/>
            </w:pPr>
            <w:r w:rsidRPr="00154D35">
              <w:t>—</w:t>
            </w:r>
          </w:p>
        </w:tc>
      </w:tr>
      <w:tr w:rsidR="00154D35" w:rsidRPr="00154D35" w14:paraId="6E868927" w14:textId="77777777" w:rsidTr="00E10C2B">
        <w:trPr>
          <w:trHeight w:val="60"/>
        </w:trPr>
        <w:tc>
          <w:tcPr>
            <w:tcW w:w="2891" w:type="dxa"/>
            <w:vMerge w:val="restart"/>
            <w:tcBorders>
              <w:top w:val="single" w:sz="6" w:space="0" w:color="1E4496" w:themeColor="text2"/>
              <w:bottom w:val="single" w:sz="6" w:space="0" w:color="1E4496" w:themeColor="text2"/>
            </w:tcBorders>
            <w:shd w:val="clear" w:color="auto" w:fill="DCF4FC" w:themeFill="background2" w:themeFillTint="33"/>
            <w:tcMar>
              <w:top w:w="113" w:type="dxa"/>
              <w:left w:w="113" w:type="dxa"/>
              <w:bottom w:w="113" w:type="dxa"/>
              <w:right w:w="113" w:type="dxa"/>
            </w:tcMar>
            <w:vAlign w:val="center"/>
          </w:tcPr>
          <w:p w14:paraId="5D0A869B" w14:textId="77777777" w:rsidR="00154D35" w:rsidRPr="00154D35" w:rsidRDefault="00154D35" w:rsidP="00154D35">
            <w:pPr>
              <w:pStyle w:val="CDITable-RowLeft"/>
            </w:pPr>
            <w:r w:rsidRPr="00154D35">
              <w:t>All-cause mortality at 30 days</w:t>
            </w:r>
          </w:p>
        </w:tc>
        <w:tc>
          <w:tcPr>
            <w:tcW w:w="170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7DACFDB" w14:textId="77777777" w:rsidR="00154D35" w:rsidRPr="00154D35" w:rsidRDefault="00154D35" w:rsidP="00154D35">
            <w:pPr>
              <w:pStyle w:val="CDITable-RowLeft"/>
            </w:pPr>
            <w:r w:rsidRPr="00154D35">
              <w:t>Died</w:t>
            </w:r>
          </w:p>
        </w:tc>
        <w:tc>
          <w:tcPr>
            <w:tcW w:w="1219"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06505D0" w14:textId="77777777" w:rsidR="00154D35" w:rsidRPr="00154D35" w:rsidRDefault="00154D35" w:rsidP="00154D35">
            <w:pPr>
              <w:pStyle w:val="CDITable-RowCentre"/>
            </w:pPr>
            <w:r w:rsidRPr="00154D35">
              <w:t>7</w:t>
            </w:r>
          </w:p>
        </w:tc>
        <w:tc>
          <w:tcPr>
            <w:tcW w:w="1219" w:type="dxa"/>
            <w:tcBorders>
              <w:top w:val="single" w:sz="6" w:space="0" w:color="1E4496" w:themeColor="text2"/>
              <w:bottom w:val="single" w:sz="6" w:space="0" w:color="1E4496" w:themeColor="text2"/>
              <w:right w:val="single" w:sz="6" w:space="0" w:color="1E4496" w:themeColor="text2"/>
            </w:tcBorders>
            <w:tcMar>
              <w:top w:w="113" w:type="dxa"/>
              <w:left w:w="113" w:type="dxa"/>
              <w:bottom w:w="113" w:type="dxa"/>
              <w:right w:w="113" w:type="dxa"/>
            </w:tcMar>
            <w:vAlign w:val="center"/>
          </w:tcPr>
          <w:p w14:paraId="5E9CBCC6" w14:textId="77777777" w:rsidR="00154D35" w:rsidRPr="00154D35" w:rsidRDefault="00154D35" w:rsidP="00154D35">
            <w:pPr>
              <w:pStyle w:val="CDITable-RowCentre"/>
            </w:pPr>
            <w:r w:rsidRPr="00154D35">
              <w:t>3.8</w:t>
            </w:r>
          </w:p>
        </w:tc>
        <w:tc>
          <w:tcPr>
            <w:tcW w:w="1219" w:type="dxa"/>
            <w:tcBorders>
              <w:top w:val="single" w:sz="6" w:space="0" w:color="1E4496" w:themeColor="text2"/>
              <w:left w:val="single" w:sz="6" w:space="0" w:color="1E4496" w:themeColor="text2"/>
              <w:bottom w:val="single" w:sz="6" w:space="0" w:color="1E4496" w:themeColor="text2"/>
            </w:tcBorders>
            <w:tcMar>
              <w:top w:w="113" w:type="dxa"/>
              <w:left w:w="113" w:type="dxa"/>
              <w:bottom w:w="113" w:type="dxa"/>
              <w:right w:w="113" w:type="dxa"/>
            </w:tcMar>
            <w:vAlign w:val="center"/>
          </w:tcPr>
          <w:p w14:paraId="3E02EB52" w14:textId="77777777" w:rsidR="00154D35" w:rsidRPr="00154D35" w:rsidRDefault="00154D35" w:rsidP="00154D35">
            <w:pPr>
              <w:pStyle w:val="CDITable-RowCentre"/>
            </w:pPr>
            <w:r w:rsidRPr="00154D35">
              <w:t>7</w:t>
            </w:r>
          </w:p>
        </w:tc>
        <w:tc>
          <w:tcPr>
            <w:tcW w:w="1219" w:type="dxa"/>
            <w:tcBorders>
              <w:top w:val="single" w:sz="6" w:space="0" w:color="1E4496" w:themeColor="text2"/>
              <w:bottom w:val="single" w:sz="6" w:space="0" w:color="1E4496" w:themeColor="text2"/>
              <w:right w:val="single" w:sz="6" w:space="0" w:color="1E4496" w:themeColor="text2"/>
            </w:tcBorders>
            <w:tcMar>
              <w:top w:w="113" w:type="dxa"/>
              <w:left w:w="113" w:type="dxa"/>
              <w:bottom w:w="113" w:type="dxa"/>
              <w:right w:w="113" w:type="dxa"/>
            </w:tcMar>
            <w:vAlign w:val="center"/>
          </w:tcPr>
          <w:p w14:paraId="110A7824" w14:textId="77777777" w:rsidR="00154D35" w:rsidRPr="00154D35" w:rsidRDefault="00154D35" w:rsidP="00154D35">
            <w:pPr>
              <w:pStyle w:val="CDITable-RowCentre"/>
            </w:pPr>
            <w:r w:rsidRPr="00154D35">
              <w:t>1.2</w:t>
            </w:r>
          </w:p>
        </w:tc>
        <w:tc>
          <w:tcPr>
            <w:tcW w:w="1219" w:type="dxa"/>
            <w:tcBorders>
              <w:top w:val="single" w:sz="6" w:space="0" w:color="1E4496" w:themeColor="text2"/>
              <w:left w:val="single" w:sz="6" w:space="0" w:color="1E4496" w:themeColor="text2"/>
              <w:bottom w:val="single" w:sz="6" w:space="0" w:color="1E4496" w:themeColor="text2"/>
            </w:tcBorders>
            <w:tcMar>
              <w:top w:w="113" w:type="dxa"/>
              <w:left w:w="113" w:type="dxa"/>
              <w:bottom w:w="113" w:type="dxa"/>
              <w:right w:w="113" w:type="dxa"/>
            </w:tcMar>
            <w:vAlign w:val="center"/>
          </w:tcPr>
          <w:p w14:paraId="59AFBE44" w14:textId="77777777" w:rsidR="00154D35" w:rsidRPr="00154D35" w:rsidRDefault="00154D35" w:rsidP="00154D35">
            <w:pPr>
              <w:pStyle w:val="CDITable-RowCentre"/>
            </w:pPr>
            <w:r w:rsidRPr="00154D35">
              <w:t>32</w:t>
            </w:r>
          </w:p>
        </w:tc>
        <w:tc>
          <w:tcPr>
            <w:tcW w:w="1219" w:type="dxa"/>
            <w:tcBorders>
              <w:top w:val="single" w:sz="6" w:space="0" w:color="1E4496" w:themeColor="text2"/>
              <w:bottom w:val="single" w:sz="6" w:space="0" w:color="1E4496" w:themeColor="text2"/>
              <w:right w:val="single" w:sz="6" w:space="0" w:color="1E4496" w:themeColor="text2"/>
            </w:tcBorders>
            <w:tcMar>
              <w:top w:w="113" w:type="dxa"/>
              <w:left w:w="113" w:type="dxa"/>
              <w:bottom w:w="113" w:type="dxa"/>
              <w:right w:w="113" w:type="dxa"/>
            </w:tcMar>
            <w:vAlign w:val="center"/>
          </w:tcPr>
          <w:p w14:paraId="46231197" w14:textId="77777777" w:rsidR="00154D35" w:rsidRPr="00154D35" w:rsidRDefault="00154D35" w:rsidP="00154D35">
            <w:pPr>
              <w:pStyle w:val="CDITable-RowCentre"/>
            </w:pPr>
            <w:r w:rsidRPr="00154D35">
              <w:t>3.3</w:t>
            </w:r>
          </w:p>
        </w:tc>
        <w:tc>
          <w:tcPr>
            <w:tcW w:w="1218" w:type="dxa"/>
            <w:tcBorders>
              <w:top w:val="single" w:sz="6" w:space="0" w:color="1E4496" w:themeColor="text2"/>
              <w:left w:val="single" w:sz="6" w:space="0" w:color="1E4496" w:themeColor="text2"/>
              <w:bottom w:val="single" w:sz="6" w:space="0" w:color="1E4496" w:themeColor="text2"/>
            </w:tcBorders>
            <w:tcMar>
              <w:top w:w="113" w:type="dxa"/>
              <w:left w:w="113" w:type="dxa"/>
              <w:bottom w:w="113" w:type="dxa"/>
              <w:right w:w="113" w:type="dxa"/>
            </w:tcMar>
            <w:vAlign w:val="center"/>
          </w:tcPr>
          <w:p w14:paraId="4A66B45B" w14:textId="77777777" w:rsidR="00154D35" w:rsidRPr="00154D35" w:rsidRDefault="00154D35" w:rsidP="00154D35">
            <w:pPr>
              <w:pStyle w:val="CDITable-RowCentre"/>
            </w:pPr>
            <w:r w:rsidRPr="00154D35">
              <w:t>46</w:t>
            </w:r>
          </w:p>
        </w:tc>
        <w:tc>
          <w:tcPr>
            <w:tcW w:w="1219"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121F37A" w14:textId="77777777" w:rsidR="00154D35" w:rsidRPr="00154D35" w:rsidRDefault="00154D35" w:rsidP="00154D35">
            <w:pPr>
              <w:pStyle w:val="CDITable-RowCentre"/>
            </w:pPr>
            <w:r w:rsidRPr="00154D35">
              <w:t>2.6</w:t>
            </w:r>
          </w:p>
        </w:tc>
      </w:tr>
      <w:tr w:rsidR="00154D35" w:rsidRPr="00154D35" w14:paraId="1ADF360A" w14:textId="77777777" w:rsidTr="00E10C2B">
        <w:trPr>
          <w:trHeight w:val="60"/>
        </w:trPr>
        <w:tc>
          <w:tcPr>
            <w:tcW w:w="2891" w:type="dxa"/>
            <w:vMerge/>
            <w:tcBorders>
              <w:bottom w:val="single" w:sz="6" w:space="0" w:color="1E4496" w:themeColor="text2"/>
            </w:tcBorders>
            <w:shd w:val="clear" w:color="auto" w:fill="DCF4FC" w:themeFill="background2" w:themeFillTint="33"/>
          </w:tcPr>
          <w:p w14:paraId="3A488458" w14:textId="77777777" w:rsidR="00154D35" w:rsidRPr="00154D35" w:rsidRDefault="00154D35" w:rsidP="00154D35"/>
        </w:tc>
        <w:tc>
          <w:tcPr>
            <w:tcW w:w="170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B0A0275" w14:textId="77777777" w:rsidR="00154D35" w:rsidRPr="00154D35" w:rsidRDefault="00154D35" w:rsidP="00154D35">
            <w:pPr>
              <w:pStyle w:val="CDITable-RowLeft"/>
            </w:pPr>
            <w:r w:rsidRPr="00154D35">
              <w:t>Survived</w:t>
            </w:r>
          </w:p>
        </w:tc>
        <w:tc>
          <w:tcPr>
            <w:tcW w:w="1219"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A0CF7DB" w14:textId="77777777" w:rsidR="00154D35" w:rsidRPr="00154D35" w:rsidRDefault="00154D35" w:rsidP="00154D35">
            <w:pPr>
              <w:pStyle w:val="CDITable-RowCentre"/>
            </w:pPr>
            <w:r w:rsidRPr="00154D35">
              <w:t>151</w:t>
            </w:r>
          </w:p>
        </w:tc>
        <w:tc>
          <w:tcPr>
            <w:tcW w:w="1219" w:type="dxa"/>
            <w:tcBorders>
              <w:top w:val="single" w:sz="6" w:space="0" w:color="1E4496" w:themeColor="text2"/>
              <w:bottom w:val="single" w:sz="6" w:space="0" w:color="1E4496" w:themeColor="text2"/>
              <w:right w:val="single" w:sz="6" w:space="0" w:color="1E4496" w:themeColor="text2"/>
            </w:tcBorders>
            <w:tcMar>
              <w:top w:w="113" w:type="dxa"/>
              <w:left w:w="113" w:type="dxa"/>
              <w:bottom w:w="113" w:type="dxa"/>
              <w:right w:w="113" w:type="dxa"/>
            </w:tcMar>
            <w:vAlign w:val="center"/>
          </w:tcPr>
          <w:p w14:paraId="7E8D4C9E" w14:textId="77777777" w:rsidR="00154D35" w:rsidRPr="00154D35" w:rsidRDefault="00154D35" w:rsidP="00154D35">
            <w:pPr>
              <w:pStyle w:val="CDITable-RowCentre"/>
            </w:pPr>
            <w:r w:rsidRPr="00154D35">
              <w:t>81.6</w:t>
            </w:r>
          </w:p>
        </w:tc>
        <w:tc>
          <w:tcPr>
            <w:tcW w:w="1219" w:type="dxa"/>
            <w:tcBorders>
              <w:top w:val="single" w:sz="6" w:space="0" w:color="1E4496" w:themeColor="text2"/>
              <w:left w:val="single" w:sz="6" w:space="0" w:color="1E4496" w:themeColor="text2"/>
              <w:bottom w:val="single" w:sz="6" w:space="0" w:color="1E4496" w:themeColor="text2"/>
            </w:tcBorders>
            <w:tcMar>
              <w:top w:w="113" w:type="dxa"/>
              <w:left w:w="113" w:type="dxa"/>
              <w:bottom w:w="113" w:type="dxa"/>
              <w:right w:w="113" w:type="dxa"/>
            </w:tcMar>
            <w:vAlign w:val="center"/>
          </w:tcPr>
          <w:p w14:paraId="0DC15538" w14:textId="77777777" w:rsidR="00154D35" w:rsidRPr="00154D35" w:rsidRDefault="00154D35" w:rsidP="00154D35">
            <w:pPr>
              <w:pStyle w:val="CDITable-RowCentre"/>
            </w:pPr>
            <w:r w:rsidRPr="00154D35">
              <w:t>435</w:t>
            </w:r>
          </w:p>
        </w:tc>
        <w:tc>
          <w:tcPr>
            <w:tcW w:w="1219" w:type="dxa"/>
            <w:tcBorders>
              <w:top w:val="single" w:sz="6" w:space="0" w:color="1E4496" w:themeColor="text2"/>
              <w:bottom w:val="single" w:sz="6" w:space="0" w:color="1E4496" w:themeColor="text2"/>
              <w:right w:val="single" w:sz="6" w:space="0" w:color="1E4496" w:themeColor="text2"/>
            </w:tcBorders>
            <w:tcMar>
              <w:top w:w="113" w:type="dxa"/>
              <w:left w:w="113" w:type="dxa"/>
              <w:bottom w:w="113" w:type="dxa"/>
              <w:right w:w="113" w:type="dxa"/>
            </w:tcMar>
            <w:vAlign w:val="center"/>
          </w:tcPr>
          <w:p w14:paraId="4CEEF6B9" w14:textId="77777777" w:rsidR="00154D35" w:rsidRPr="00154D35" w:rsidRDefault="00154D35" w:rsidP="00154D35">
            <w:pPr>
              <w:pStyle w:val="CDITable-RowCentre"/>
            </w:pPr>
            <w:r w:rsidRPr="00154D35">
              <w:t>73.4</w:t>
            </w:r>
          </w:p>
        </w:tc>
        <w:tc>
          <w:tcPr>
            <w:tcW w:w="1219" w:type="dxa"/>
            <w:tcBorders>
              <w:top w:val="single" w:sz="6" w:space="0" w:color="1E4496" w:themeColor="text2"/>
              <w:left w:val="single" w:sz="6" w:space="0" w:color="1E4496" w:themeColor="text2"/>
              <w:bottom w:val="single" w:sz="6" w:space="0" w:color="1E4496" w:themeColor="text2"/>
            </w:tcBorders>
            <w:tcMar>
              <w:top w:w="113" w:type="dxa"/>
              <w:left w:w="113" w:type="dxa"/>
              <w:bottom w:w="113" w:type="dxa"/>
              <w:right w:w="113" w:type="dxa"/>
            </w:tcMar>
            <w:vAlign w:val="center"/>
          </w:tcPr>
          <w:p w14:paraId="067BE596" w14:textId="77777777" w:rsidR="00154D35" w:rsidRPr="00154D35" w:rsidRDefault="00154D35" w:rsidP="00154D35">
            <w:pPr>
              <w:pStyle w:val="CDITable-RowCentre"/>
            </w:pPr>
            <w:r w:rsidRPr="00154D35">
              <w:t>681</w:t>
            </w:r>
          </w:p>
        </w:tc>
        <w:tc>
          <w:tcPr>
            <w:tcW w:w="1219" w:type="dxa"/>
            <w:tcBorders>
              <w:top w:val="single" w:sz="6" w:space="0" w:color="1E4496" w:themeColor="text2"/>
              <w:bottom w:val="single" w:sz="6" w:space="0" w:color="1E4496" w:themeColor="text2"/>
              <w:right w:val="single" w:sz="6" w:space="0" w:color="1E4496" w:themeColor="text2"/>
            </w:tcBorders>
            <w:tcMar>
              <w:top w:w="113" w:type="dxa"/>
              <w:left w:w="113" w:type="dxa"/>
              <w:bottom w:w="113" w:type="dxa"/>
              <w:right w:w="113" w:type="dxa"/>
            </w:tcMar>
            <w:vAlign w:val="center"/>
          </w:tcPr>
          <w:p w14:paraId="5A235ED1" w14:textId="77777777" w:rsidR="00154D35" w:rsidRPr="00154D35" w:rsidRDefault="00154D35" w:rsidP="00154D35">
            <w:pPr>
              <w:pStyle w:val="CDITable-RowCentre"/>
            </w:pPr>
            <w:r w:rsidRPr="00154D35">
              <w:t>70.4</w:t>
            </w:r>
          </w:p>
        </w:tc>
        <w:tc>
          <w:tcPr>
            <w:tcW w:w="1218" w:type="dxa"/>
            <w:tcBorders>
              <w:top w:val="single" w:sz="6" w:space="0" w:color="1E4496" w:themeColor="text2"/>
              <w:left w:val="single" w:sz="6" w:space="0" w:color="1E4496" w:themeColor="text2"/>
              <w:bottom w:val="single" w:sz="6" w:space="0" w:color="1E4496" w:themeColor="text2"/>
            </w:tcBorders>
            <w:tcMar>
              <w:top w:w="113" w:type="dxa"/>
              <w:left w:w="113" w:type="dxa"/>
              <w:bottom w:w="113" w:type="dxa"/>
              <w:right w:w="113" w:type="dxa"/>
            </w:tcMar>
            <w:vAlign w:val="center"/>
          </w:tcPr>
          <w:p w14:paraId="19F96207" w14:textId="77777777" w:rsidR="00154D35" w:rsidRPr="00154D35" w:rsidRDefault="00154D35" w:rsidP="00154D35">
            <w:pPr>
              <w:pStyle w:val="CDITable-RowCentre"/>
            </w:pPr>
            <w:r w:rsidRPr="00154D35">
              <w:t>1,267</w:t>
            </w:r>
          </w:p>
        </w:tc>
        <w:tc>
          <w:tcPr>
            <w:tcW w:w="1219"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F3261D1" w14:textId="77777777" w:rsidR="00154D35" w:rsidRPr="00154D35" w:rsidRDefault="00154D35" w:rsidP="00154D35">
            <w:pPr>
              <w:pStyle w:val="CDITable-RowCentre"/>
            </w:pPr>
            <w:r w:rsidRPr="00154D35">
              <w:t>72.6</w:t>
            </w:r>
          </w:p>
        </w:tc>
      </w:tr>
      <w:tr w:rsidR="00154D35" w:rsidRPr="00154D35" w14:paraId="2617A920" w14:textId="77777777" w:rsidTr="00E10C2B">
        <w:trPr>
          <w:trHeight w:val="60"/>
        </w:trPr>
        <w:tc>
          <w:tcPr>
            <w:tcW w:w="2891" w:type="dxa"/>
            <w:vMerge/>
            <w:tcBorders>
              <w:bottom w:val="single" w:sz="6" w:space="0" w:color="1E4496" w:themeColor="text2"/>
            </w:tcBorders>
            <w:shd w:val="clear" w:color="auto" w:fill="DCF4FC" w:themeFill="background2" w:themeFillTint="33"/>
          </w:tcPr>
          <w:p w14:paraId="0028F06F" w14:textId="77777777" w:rsidR="00154D35" w:rsidRPr="00154D35" w:rsidRDefault="00154D35" w:rsidP="00154D35"/>
        </w:tc>
        <w:tc>
          <w:tcPr>
            <w:tcW w:w="170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D9C7AC9" w14:textId="77777777" w:rsidR="00154D35" w:rsidRPr="00154D35" w:rsidRDefault="00154D35" w:rsidP="00154D35">
            <w:pPr>
              <w:pStyle w:val="CDITable-RowLeft"/>
            </w:pPr>
            <w:r w:rsidRPr="00154D35">
              <w:t>Unknown</w:t>
            </w:r>
          </w:p>
        </w:tc>
        <w:tc>
          <w:tcPr>
            <w:tcW w:w="1219"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71F4E28" w14:textId="77777777" w:rsidR="00154D35" w:rsidRPr="00154D35" w:rsidRDefault="00154D35" w:rsidP="00E10C2B">
            <w:pPr>
              <w:pStyle w:val="CDITable-RowCentre"/>
            </w:pPr>
            <w:r w:rsidRPr="00154D35">
              <w:t>27</w:t>
            </w:r>
          </w:p>
        </w:tc>
        <w:tc>
          <w:tcPr>
            <w:tcW w:w="1219" w:type="dxa"/>
            <w:tcBorders>
              <w:top w:val="single" w:sz="6" w:space="0" w:color="1E4496" w:themeColor="text2"/>
              <w:bottom w:val="single" w:sz="6" w:space="0" w:color="1E4496" w:themeColor="text2"/>
              <w:right w:val="single" w:sz="6" w:space="0" w:color="1E4496" w:themeColor="text2"/>
            </w:tcBorders>
            <w:tcMar>
              <w:top w:w="113" w:type="dxa"/>
              <w:left w:w="113" w:type="dxa"/>
              <w:bottom w:w="113" w:type="dxa"/>
              <w:right w:w="113" w:type="dxa"/>
            </w:tcMar>
            <w:vAlign w:val="center"/>
          </w:tcPr>
          <w:p w14:paraId="4706344A" w14:textId="77777777" w:rsidR="00154D35" w:rsidRPr="00154D35" w:rsidRDefault="00154D35" w:rsidP="00E10C2B">
            <w:pPr>
              <w:pStyle w:val="CDITable-RowCentre"/>
            </w:pPr>
            <w:r w:rsidRPr="00154D35">
              <w:t>14.6</w:t>
            </w:r>
          </w:p>
        </w:tc>
        <w:tc>
          <w:tcPr>
            <w:tcW w:w="1219" w:type="dxa"/>
            <w:tcBorders>
              <w:top w:val="single" w:sz="6" w:space="0" w:color="1E4496" w:themeColor="text2"/>
              <w:left w:val="single" w:sz="6" w:space="0" w:color="1E4496" w:themeColor="text2"/>
              <w:bottom w:val="single" w:sz="6" w:space="0" w:color="1E4496" w:themeColor="text2"/>
            </w:tcBorders>
            <w:tcMar>
              <w:top w:w="113" w:type="dxa"/>
              <w:left w:w="113" w:type="dxa"/>
              <w:bottom w:w="113" w:type="dxa"/>
              <w:right w:w="113" w:type="dxa"/>
            </w:tcMar>
            <w:vAlign w:val="center"/>
          </w:tcPr>
          <w:p w14:paraId="5410D9F7" w14:textId="77777777" w:rsidR="00154D35" w:rsidRPr="00154D35" w:rsidRDefault="00154D35" w:rsidP="00E10C2B">
            <w:pPr>
              <w:pStyle w:val="CDITable-RowCentre"/>
            </w:pPr>
            <w:r w:rsidRPr="00154D35">
              <w:t>151</w:t>
            </w:r>
          </w:p>
        </w:tc>
        <w:tc>
          <w:tcPr>
            <w:tcW w:w="1219" w:type="dxa"/>
            <w:tcBorders>
              <w:top w:val="single" w:sz="6" w:space="0" w:color="1E4496" w:themeColor="text2"/>
              <w:bottom w:val="single" w:sz="6" w:space="0" w:color="1E4496" w:themeColor="text2"/>
              <w:right w:val="single" w:sz="6" w:space="0" w:color="1E4496" w:themeColor="text2"/>
            </w:tcBorders>
            <w:tcMar>
              <w:top w:w="113" w:type="dxa"/>
              <w:left w:w="113" w:type="dxa"/>
              <w:bottom w:w="113" w:type="dxa"/>
              <w:right w:w="113" w:type="dxa"/>
            </w:tcMar>
            <w:vAlign w:val="center"/>
          </w:tcPr>
          <w:p w14:paraId="2586C5D4" w14:textId="77777777" w:rsidR="00154D35" w:rsidRPr="00154D35" w:rsidRDefault="00154D35" w:rsidP="00E10C2B">
            <w:pPr>
              <w:pStyle w:val="CDITable-RowCentre"/>
            </w:pPr>
            <w:r w:rsidRPr="00154D35">
              <w:t>25.5</w:t>
            </w:r>
          </w:p>
        </w:tc>
        <w:tc>
          <w:tcPr>
            <w:tcW w:w="1219" w:type="dxa"/>
            <w:tcBorders>
              <w:top w:val="single" w:sz="6" w:space="0" w:color="1E4496" w:themeColor="text2"/>
              <w:left w:val="single" w:sz="6" w:space="0" w:color="1E4496" w:themeColor="text2"/>
              <w:bottom w:val="single" w:sz="6" w:space="0" w:color="1E4496" w:themeColor="text2"/>
            </w:tcBorders>
            <w:tcMar>
              <w:top w:w="113" w:type="dxa"/>
              <w:left w:w="113" w:type="dxa"/>
              <w:bottom w:w="113" w:type="dxa"/>
              <w:right w:w="113" w:type="dxa"/>
            </w:tcMar>
            <w:vAlign w:val="center"/>
          </w:tcPr>
          <w:p w14:paraId="3E601B79" w14:textId="77777777" w:rsidR="00154D35" w:rsidRPr="00154D35" w:rsidRDefault="00154D35" w:rsidP="00E10C2B">
            <w:pPr>
              <w:pStyle w:val="CDITable-RowCentre"/>
            </w:pPr>
            <w:r w:rsidRPr="00154D35">
              <w:t>254</w:t>
            </w:r>
          </w:p>
        </w:tc>
        <w:tc>
          <w:tcPr>
            <w:tcW w:w="1219" w:type="dxa"/>
            <w:tcBorders>
              <w:top w:val="single" w:sz="6" w:space="0" w:color="1E4496" w:themeColor="text2"/>
              <w:bottom w:val="single" w:sz="6" w:space="0" w:color="1E4496" w:themeColor="text2"/>
              <w:right w:val="single" w:sz="6" w:space="0" w:color="1E4496" w:themeColor="text2"/>
            </w:tcBorders>
            <w:tcMar>
              <w:top w:w="113" w:type="dxa"/>
              <w:left w:w="113" w:type="dxa"/>
              <w:bottom w:w="113" w:type="dxa"/>
              <w:right w:w="113" w:type="dxa"/>
            </w:tcMar>
            <w:vAlign w:val="center"/>
          </w:tcPr>
          <w:p w14:paraId="080AD969" w14:textId="77777777" w:rsidR="00154D35" w:rsidRPr="00154D35" w:rsidRDefault="00154D35" w:rsidP="00E10C2B">
            <w:pPr>
              <w:pStyle w:val="CDITable-RowCentre"/>
            </w:pPr>
            <w:r w:rsidRPr="00154D35">
              <w:t>26.3</w:t>
            </w:r>
          </w:p>
        </w:tc>
        <w:tc>
          <w:tcPr>
            <w:tcW w:w="1218" w:type="dxa"/>
            <w:tcBorders>
              <w:top w:val="single" w:sz="6" w:space="0" w:color="1E4496" w:themeColor="text2"/>
              <w:left w:val="single" w:sz="6" w:space="0" w:color="1E4496" w:themeColor="text2"/>
              <w:bottom w:val="single" w:sz="6" w:space="0" w:color="1E4496" w:themeColor="text2"/>
            </w:tcBorders>
            <w:tcMar>
              <w:top w:w="113" w:type="dxa"/>
              <w:left w:w="113" w:type="dxa"/>
              <w:bottom w:w="113" w:type="dxa"/>
              <w:right w:w="113" w:type="dxa"/>
            </w:tcMar>
            <w:vAlign w:val="center"/>
          </w:tcPr>
          <w:p w14:paraId="23434C91" w14:textId="77777777" w:rsidR="00154D35" w:rsidRPr="00154D35" w:rsidRDefault="00154D35" w:rsidP="00E10C2B">
            <w:pPr>
              <w:pStyle w:val="CDITable-RowCentre"/>
            </w:pPr>
            <w:r w:rsidRPr="00154D35">
              <w:t>432</w:t>
            </w:r>
          </w:p>
        </w:tc>
        <w:tc>
          <w:tcPr>
            <w:tcW w:w="1219"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7DD0BB9" w14:textId="77777777" w:rsidR="00154D35" w:rsidRPr="00154D35" w:rsidRDefault="00154D35" w:rsidP="00E10C2B">
            <w:pPr>
              <w:pStyle w:val="CDITable-RowCentre"/>
            </w:pPr>
            <w:r w:rsidRPr="00154D35">
              <w:t>24.8</w:t>
            </w:r>
          </w:p>
        </w:tc>
      </w:tr>
    </w:tbl>
    <w:p w14:paraId="0D79D82F" w14:textId="77777777" w:rsidR="00AA023A" w:rsidRPr="00AA023A" w:rsidRDefault="00AA023A" w:rsidP="00154D35">
      <w:pPr>
        <w:pStyle w:val="CDITable-FirstFootnote"/>
        <w:rPr>
          <w:lang w:val="en-GB"/>
        </w:rPr>
      </w:pPr>
      <w:proofErr w:type="spellStart"/>
      <w:r w:rsidRPr="00AA023A">
        <w:rPr>
          <w:lang w:val="en-GB"/>
        </w:rPr>
        <w:t>a</w:t>
      </w:r>
      <w:proofErr w:type="spellEnd"/>
      <w:r w:rsidRPr="00AA023A">
        <w:rPr>
          <w:lang w:val="en-GB"/>
        </w:rPr>
        <w:tab/>
      </w:r>
      <w:proofErr w:type="gramStart"/>
      <w:r w:rsidRPr="00AA023A">
        <w:rPr>
          <w:lang w:val="en-GB"/>
        </w:rPr>
        <w:t>The</w:t>
      </w:r>
      <w:proofErr w:type="gramEnd"/>
      <w:r w:rsidRPr="00AA023A">
        <w:rPr>
          <w:lang w:val="en-GB"/>
        </w:rPr>
        <w:t xml:space="preserve"> total column may not equate to the sum of each organism group, as some patients have polymicrobial bacteraemic episodes and are reported in each respective column to their episode but only counted once in the total number of patients.</w:t>
      </w:r>
    </w:p>
    <w:p w14:paraId="16672A44" w14:textId="77777777" w:rsidR="00AA023A" w:rsidRPr="00AA023A" w:rsidRDefault="00AA023A" w:rsidP="00AA023A">
      <w:pPr>
        <w:pStyle w:val="CDITable-Footnote"/>
        <w:rPr>
          <w:lang w:val="en-GB"/>
        </w:rPr>
      </w:pPr>
      <w:r w:rsidRPr="00AA023A">
        <w:rPr>
          <w:lang w:val="en-GB"/>
        </w:rPr>
        <w:t>b</w:t>
      </w:r>
      <w:r w:rsidRPr="00AA023A">
        <w:rPr>
          <w:lang w:val="en-GB"/>
        </w:rPr>
        <w:tab/>
        <w:t>IQR: interquartile range.</w:t>
      </w:r>
    </w:p>
    <w:p w14:paraId="0ECD261B" w14:textId="77777777" w:rsidR="00AA023A" w:rsidRPr="00AA023A" w:rsidRDefault="00AA023A" w:rsidP="00AA023A">
      <w:pPr>
        <w:pStyle w:val="CDITable-Footnote"/>
        <w:rPr>
          <w:lang w:val="en-GB"/>
        </w:rPr>
      </w:pPr>
      <w:r w:rsidRPr="00AA023A">
        <w:rPr>
          <w:lang w:val="en-GB"/>
        </w:rPr>
        <w:t>c</w:t>
      </w:r>
      <w:r w:rsidRPr="00AA023A">
        <w:rPr>
          <w:lang w:val="en-GB"/>
        </w:rPr>
        <w:tab/>
        <w:t>ACT: Australian Capital Territory; NSW: New South Wales; NT: Northern Territory; Qld: Queensland; SA: South Australia; Tas: Tasmania; Vic: Victoria; WA: Western Australia.</w:t>
      </w:r>
    </w:p>
    <w:p w14:paraId="122FD2B1" w14:textId="1321AA81" w:rsidR="00AA023A" w:rsidRDefault="00AA023A" w:rsidP="00AA023A">
      <w:pPr>
        <w:pStyle w:val="CDITable-Footnote"/>
        <w:rPr>
          <w:lang w:val="en-GB"/>
        </w:rPr>
      </w:pPr>
      <w:r w:rsidRPr="00AA023A">
        <w:rPr>
          <w:lang w:val="en-GB"/>
        </w:rPr>
        <w:t>d</w:t>
      </w:r>
      <w:r w:rsidRPr="00AA023A">
        <w:rPr>
          <w:lang w:val="en-GB"/>
        </w:rPr>
        <w:tab/>
        <w:t>BSI: bloodstream infection.</w:t>
      </w:r>
      <w:r>
        <w:rPr>
          <w:lang w:val="en-GB"/>
        </w:rPr>
        <w:br w:type="page"/>
      </w:r>
    </w:p>
    <w:p w14:paraId="04ABD3E0" w14:textId="77777777" w:rsidR="00AA023A" w:rsidRPr="00AA023A" w:rsidRDefault="00AA023A" w:rsidP="00AA023A">
      <w:pPr>
        <w:pStyle w:val="CDITable-Title"/>
        <w:rPr>
          <w:lang w:val="en-GB"/>
        </w:rPr>
      </w:pPr>
      <w:bookmarkStart w:id="26" w:name="_Toc213076654"/>
      <w:r w:rsidRPr="00AA023A">
        <w:rPr>
          <w:lang w:val="en-GB"/>
        </w:rPr>
        <w:lastRenderedPageBreak/>
        <w:t xml:space="preserve">Table 2: Characteristics of patients aged &lt; 18 years with a bacteraemic event reported to the Australian Group on Antimicrobial Resistance for which one or more isolate was multidrug resistant, </w:t>
      </w:r>
      <w:r w:rsidRPr="00AA023A">
        <w:rPr>
          <w:i/>
          <w:iCs/>
          <w:lang w:val="en-GB"/>
        </w:rPr>
        <w:t>Enterobacterales</w:t>
      </w:r>
      <w:r w:rsidRPr="00AA023A">
        <w:rPr>
          <w:lang w:val="en-GB"/>
        </w:rPr>
        <w:t xml:space="preserve"> isolates that produced extended-spectrum β-lactamases, or </w:t>
      </w:r>
      <w:r w:rsidRPr="00AA023A">
        <w:rPr>
          <w:i/>
          <w:iCs/>
          <w:lang w:val="en-GB"/>
        </w:rPr>
        <w:t>Staphylococcus aureus</w:t>
      </w:r>
      <w:r w:rsidRPr="00AA023A">
        <w:rPr>
          <w:lang w:val="en-GB"/>
        </w:rPr>
        <w:t xml:space="preserve"> isolates that were methicillin-resistant, January 2022 – December 2023</w:t>
      </w:r>
      <w:bookmarkEnd w:id="26"/>
    </w:p>
    <w:tbl>
      <w:tblPr>
        <w:tblpPr w:leftFromText="180" w:rightFromText="180" w:vertAnchor="text" w:tblpY="1"/>
        <w:tblOverlap w:val="never"/>
        <w:tblW w:w="0" w:type="auto"/>
        <w:tblLayout w:type="fixed"/>
        <w:tblCellMar>
          <w:left w:w="0" w:type="dxa"/>
          <w:right w:w="0" w:type="dxa"/>
        </w:tblCellMar>
        <w:tblLook w:val="0000" w:firstRow="0" w:lastRow="0" w:firstColumn="0" w:lastColumn="0" w:noHBand="0" w:noVBand="0"/>
        <w:tblCaption w:val="Table 2: Characteristics of patients aged &lt; 18 years with a bacteraemic event reported to the Australian Group on Antimicrobial Resistance for which one or more isolate was multidrug resistant, Enterobacterales isolates that produced extended-spectrum β-lactamases, or Staphylococcus aureus isolates that were methicillin-resistant, January 2022 – December 2023"/>
        <w:tblDescription w:val="Table 2 presents the differences in characteristics of patients aged &lt;18 years with a bloodstream infection reported to AGAR with a bloodstream infection involving a multi-drug resistant (MDR) isolate or not, an Enterobacterales that is extended-spectrum beta-lactamase (ESBL) producing or not, or a Staphylococcus aureus that is methicillin-resistant (MRSA) or not (MSSA). Descriptive variables include median age and length of stay, and proportions for age group, sex, state/territory, outcomes at 30-days (dead, alive, unknown), infection onset type and infections related to devices."/>
      </w:tblPr>
      <w:tblGrid>
        <w:gridCol w:w="1361"/>
        <w:gridCol w:w="1417"/>
        <w:gridCol w:w="590"/>
        <w:gridCol w:w="566"/>
        <w:gridCol w:w="590"/>
        <w:gridCol w:w="567"/>
        <w:gridCol w:w="590"/>
        <w:gridCol w:w="567"/>
        <w:gridCol w:w="589"/>
        <w:gridCol w:w="567"/>
        <w:gridCol w:w="595"/>
        <w:gridCol w:w="567"/>
        <w:gridCol w:w="590"/>
        <w:gridCol w:w="567"/>
        <w:gridCol w:w="589"/>
        <w:gridCol w:w="567"/>
        <w:gridCol w:w="590"/>
        <w:gridCol w:w="567"/>
        <w:gridCol w:w="590"/>
        <w:gridCol w:w="566"/>
        <w:gridCol w:w="590"/>
        <w:gridCol w:w="567"/>
      </w:tblGrid>
      <w:tr w:rsidR="00FA4BF1" w:rsidRPr="00FA4BF1" w14:paraId="4E9E27AE" w14:textId="77777777" w:rsidTr="00B6546F">
        <w:trPr>
          <w:trHeight w:val="60"/>
          <w:tblHeader/>
        </w:trPr>
        <w:tc>
          <w:tcPr>
            <w:tcW w:w="1361" w:type="dxa"/>
            <w:vMerge w:val="restart"/>
            <w:shd w:val="clear" w:color="auto" w:fill="1E4496" w:themeFill="text2"/>
            <w:tcMar>
              <w:top w:w="113" w:type="dxa"/>
              <w:left w:w="113" w:type="dxa"/>
              <w:bottom w:w="113" w:type="dxa"/>
              <w:right w:w="113" w:type="dxa"/>
            </w:tcMar>
            <w:vAlign w:val="bottom"/>
          </w:tcPr>
          <w:p w14:paraId="1A52629C" w14:textId="77777777" w:rsidR="00FA4BF1" w:rsidRPr="00EA076F" w:rsidRDefault="00FA4BF1" w:rsidP="00EA076F">
            <w:pPr>
              <w:pStyle w:val="CDITable-HeaderRowLeft"/>
              <w:rPr>
                <w:sz w:val="16"/>
                <w:szCs w:val="16"/>
              </w:rPr>
            </w:pPr>
            <w:r w:rsidRPr="00EA076F">
              <w:rPr>
                <w:sz w:val="16"/>
                <w:szCs w:val="16"/>
              </w:rPr>
              <w:t>Category</w:t>
            </w:r>
          </w:p>
        </w:tc>
        <w:tc>
          <w:tcPr>
            <w:tcW w:w="1417" w:type="dxa"/>
            <w:vMerge w:val="restart"/>
            <w:shd w:val="clear" w:color="auto" w:fill="1E4496" w:themeFill="text2"/>
            <w:tcMar>
              <w:top w:w="113" w:type="dxa"/>
              <w:left w:w="113" w:type="dxa"/>
              <w:bottom w:w="113" w:type="dxa"/>
              <w:right w:w="113" w:type="dxa"/>
            </w:tcMar>
            <w:vAlign w:val="bottom"/>
          </w:tcPr>
          <w:p w14:paraId="659DB676" w14:textId="77777777" w:rsidR="00FA4BF1" w:rsidRPr="00EA076F" w:rsidRDefault="00FA4BF1" w:rsidP="00EA076F">
            <w:pPr>
              <w:pStyle w:val="CDITable-HeaderRowLeft"/>
              <w:rPr>
                <w:sz w:val="16"/>
              </w:rPr>
            </w:pPr>
            <w:r w:rsidRPr="00EA076F">
              <w:rPr>
                <w:sz w:val="16"/>
              </w:rPr>
              <w:t>Characteristic</w:t>
            </w:r>
          </w:p>
        </w:tc>
        <w:tc>
          <w:tcPr>
            <w:tcW w:w="4626" w:type="dxa"/>
            <w:gridSpan w:val="8"/>
            <w:tcBorders>
              <w:right w:val="single" w:sz="6" w:space="0" w:color="FFFFFF" w:themeColor="background1"/>
            </w:tcBorders>
            <w:shd w:val="clear" w:color="auto" w:fill="1E4496" w:themeFill="text2"/>
            <w:tcMar>
              <w:top w:w="113" w:type="dxa"/>
              <w:left w:w="113" w:type="dxa"/>
              <w:bottom w:w="113" w:type="dxa"/>
              <w:right w:w="113" w:type="dxa"/>
            </w:tcMar>
            <w:vAlign w:val="bottom"/>
          </w:tcPr>
          <w:p w14:paraId="6E6DCB1E" w14:textId="77777777" w:rsidR="00FA4BF1" w:rsidRPr="00B6546F" w:rsidRDefault="00FA4BF1" w:rsidP="00B6546F">
            <w:pPr>
              <w:pStyle w:val="CDITable-HeaderRowCentre"/>
              <w:rPr>
                <w:bCs/>
                <w:sz w:val="16"/>
              </w:rPr>
            </w:pPr>
            <w:proofErr w:type="spellStart"/>
            <w:proofErr w:type="gramStart"/>
            <w:r w:rsidRPr="00B6546F">
              <w:rPr>
                <w:bCs/>
                <w:i/>
                <w:iCs/>
                <w:sz w:val="16"/>
              </w:rPr>
              <w:t>Enterobacterales</w:t>
            </w:r>
            <w:r w:rsidRPr="00B6546F">
              <w:rPr>
                <w:bCs/>
                <w:sz w:val="16"/>
                <w:vertAlign w:val="superscript"/>
              </w:rPr>
              <w:t>a,b</w:t>
            </w:r>
            <w:proofErr w:type="spellEnd"/>
            <w:proofErr w:type="gramEnd"/>
          </w:p>
        </w:tc>
        <w:tc>
          <w:tcPr>
            <w:tcW w:w="2319" w:type="dxa"/>
            <w:gridSpan w:val="4"/>
            <w:tcBorders>
              <w:left w:val="single" w:sz="6" w:space="0" w:color="FFFFFF" w:themeColor="background1"/>
              <w:right w:val="single" w:sz="6" w:space="0" w:color="FFFFFF" w:themeColor="background1"/>
            </w:tcBorders>
            <w:shd w:val="clear" w:color="auto" w:fill="1E4496" w:themeFill="text2"/>
            <w:tcMar>
              <w:top w:w="113" w:type="dxa"/>
              <w:left w:w="113" w:type="dxa"/>
              <w:bottom w:w="113" w:type="dxa"/>
              <w:right w:w="113" w:type="dxa"/>
            </w:tcMar>
            <w:vAlign w:val="bottom"/>
          </w:tcPr>
          <w:p w14:paraId="05164094" w14:textId="77777777" w:rsidR="00FA4BF1" w:rsidRPr="00B6546F" w:rsidRDefault="00FA4BF1" w:rsidP="00B6546F">
            <w:pPr>
              <w:pStyle w:val="CDITable-HeaderRowCentre"/>
              <w:rPr>
                <w:bCs/>
                <w:sz w:val="16"/>
              </w:rPr>
            </w:pPr>
            <w:proofErr w:type="spellStart"/>
            <w:r w:rsidRPr="00B6546F">
              <w:rPr>
                <w:bCs/>
                <w:i/>
                <w:iCs/>
                <w:sz w:val="16"/>
              </w:rPr>
              <w:t>Enterococcus</w:t>
            </w:r>
            <w:r w:rsidRPr="00B6546F">
              <w:rPr>
                <w:bCs/>
                <w:sz w:val="16"/>
                <w:vertAlign w:val="superscript"/>
              </w:rPr>
              <w:t>a</w:t>
            </w:r>
            <w:proofErr w:type="spellEnd"/>
          </w:p>
        </w:tc>
        <w:tc>
          <w:tcPr>
            <w:tcW w:w="4626" w:type="dxa"/>
            <w:gridSpan w:val="8"/>
            <w:tcBorders>
              <w:left w:val="single" w:sz="6" w:space="0" w:color="FFFFFF" w:themeColor="background1"/>
            </w:tcBorders>
            <w:shd w:val="clear" w:color="auto" w:fill="1E4496" w:themeFill="text2"/>
            <w:tcMar>
              <w:top w:w="113" w:type="dxa"/>
              <w:left w:w="113" w:type="dxa"/>
              <w:bottom w:w="113" w:type="dxa"/>
              <w:right w:w="113" w:type="dxa"/>
            </w:tcMar>
            <w:vAlign w:val="bottom"/>
          </w:tcPr>
          <w:p w14:paraId="41B818DA" w14:textId="77777777" w:rsidR="00FA4BF1" w:rsidRPr="00B6546F" w:rsidRDefault="00FA4BF1" w:rsidP="00B6546F">
            <w:pPr>
              <w:pStyle w:val="CDITable-HeaderRowCentre"/>
              <w:rPr>
                <w:bCs/>
                <w:sz w:val="16"/>
              </w:rPr>
            </w:pPr>
            <w:r w:rsidRPr="00B6546F">
              <w:rPr>
                <w:bCs/>
                <w:i/>
                <w:iCs/>
                <w:sz w:val="16"/>
              </w:rPr>
              <w:t xml:space="preserve">Staphylococcus </w:t>
            </w:r>
            <w:proofErr w:type="spellStart"/>
            <w:proofErr w:type="gramStart"/>
            <w:r w:rsidRPr="00B6546F">
              <w:rPr>
                <w:bCs/>
                <w:i/>
                <w:iCs/>
                <w:sz w:val="16"/>
              </w:rPr>
              <w:t>aureus</w:t>
            </w:r>
            <w:r w:rsidRPr="00B6546F">
              <w:rPr>
                <w:bCs/>
                <w:sz w:val="16"/>
                <w:vertAlign w:val="superscript"/>
              </w:rPr>
              <w:t>a,c</w:t>
            </w:r>
            <w:proofErr w:type="spellEnd"/>
            <w:proofErr w:type="gramEnd"/>
          </w:p>
        </w:tc>
      </w:tr>
      <w:tr w:rsidR="00FA4BF1" w:rsidRPr="00FA4BF1" w14:paraId="22F311B9" w14:textId="77777777" w:rsidTr="00B6546F">
        <w:trPr>
          <w:trHeight w:val="60"/>
          <w:tblHeader/>
        </w:trPr>
        <w:tc>
          <w:tcPr>
            <w:tcW w:w="1361" w:type="dxa"/>
            <w:vMerge/>
            <w:shd w:val="clear" w:color="auto" w:fill="1E4496" w:themeFill="text2"/>
          </w:tcPr>
          <w:p w14:paraId="246518CD" w14:textId="77777777" w:rsidR="00FA4BF1" w:rsidRPr="00FA4BF1" w:rsidRDefault="00FA4BF1" w:rsidP="00EA076F"/>
        </w:tc>
        <w:tc>
          <w:tcPr>
            <w:tcW w:w="1417" w:type="dxa"/>
            <w:vMerge/>
            <w:shd w:val="clear" w:color="auto" w:fill="1E4496" w:themeFill="text2"/>
          </w:tcPr>
          <w:p w14:paraId="55753B1A" w14:textId="77777777" w:rsidR="00FA4BF1" w:rsidRPr="00FA4BF1" w:rsidRDefault="00FA4BF1" w:rsidP="00EA076F"/>
        </w:tc>
        <w:tc>
          <w:tcPr>
            <w:tcW w:w="1156" w:type="dxa"/>
            <w:gridSpan w:val="2"/>
            <w:tcBorders>
              <w:bottom w:val="single" w:sz="6" w:space="0" w:color="FFFFFF" w:themeColor="background1"/>
            </w:tcBorders>
            <w:shd w:val="clear" w:color="auto" w:fill="1E4496" w:themeFill="text2"/>
            <w:tcMar>
              <w:top w:w="113" w:type="dxa"/>
              <w:left w:w="113" w:type="dxa"/>
              <w:bottom w:w="113" w:type="dxa"/>
              <w:right w:w="113" w:type="dxa"/>
            </w:tcMar>
            <w:vAlign w:val="bottom"/>
          </w:tcPr>
          <w:p w14:paraId="0D692AFE" w14:textId="77777777" w:rsidR="00FA4BF1" w:rsidRPr="00EA076F" w:rsidRDefault="00FA4BF1" w:rsidP="00EA076F">
            <w:pPr>
              <w:pStyle w:val="CDITable-HeaderRowCentre"/>
              <w:rPr>
                <w:bCs/>
                <w:sz w:val="16"/>
              </w:rPr>
            </w:pPr>
            <w:r w:rsidRPr="00EA076F">
              <w:rPr>
                <w:bCs/>
                <w:sz w:val="16"/>
              </w:rPr>
              <w:t>MDR</w:t>
            </w:r>
          </w:p>
        </w:tc>
        <w:tc>
          <w:tcPr>
            <w:tcW w:w="1157" w:type="dxa"/>
            <w:gridSpan w:val="2"/>
            <w:tcBorders>
              <w:bottom w:val="single" w:sz="6" w:space="0" w:color="FFFFFF" w:themeColor="background1"/>
            </w:tcBorders>
            <w:shd w:val="clear" w:color="auto" w:fill="1E4496" w:themeFill="text2"/>
            <w:tcMar>
              <w:top w:w="113" w:type="dxa"/>
              <w:left w:w="113" w:type="dxa"/>
              <w:bottom w:w="113" w:type="dxa"/>
              <w:right w:w="113" w:type="dxa"/>
            </w:tcMar>
            <w:vAlign w:val="bottom"/>
          </w:tcPr>
          <w:p w14:paraId="16A2FDE2" w14:textId="77777777" w:rsidR="00FA4BF1" w:rsidRPr="00EA076F" w:rsidRDefault="00FA4BF1" w:rsidP="00EA076F">
            <w:pPr>
              <w:pStyle w:val="CDITable-HeaderRowCentre"/>
              <w:rPr>
                <w:bCs/>
                <w:sz w:val="16"/>
              </w:rPr>
            </w:pPr>
            <w:r w:rsidRPr="00EA076F">
              <w:rPr>
                <w:bCs/>
                <w:sz w:val="16"/>
              </w:rPr>
              <w:t>Not MDR</w:t>
            </w:r>
          </w:p>
        </w:tc>
        <w:tc>
          <w:tcPr>
            <w:tcW w:w="1157" w:type="dxa"/>
            <w:gridSpan w:val="2"/>
            <w:tcBorders>
              <w:bottom w:val="single" w:sz="6" w:space="0" w:color="FFFFFF" w:themeColor="background1"/>
            </w:tcBorders>
            <w:shd w:val="clear" w:color="auto" w:fill="1E4496" w:themeFill="text2"/>
            <w:tcMar>
              <w:top w:w="113" w:type="dxa"/>
              <w:left w:w="113" w:type="dxa"/>
              <w:bottom w:w="113" w:type="dxa"/>
              <w:right w:w="113" w:type="dxa"/>
            </w:tcMar>
            <w:vAlign w:val="bottom"/>
          </w:tcPr>
          <w:p w14:paraId="05F29601" w14:textId="77777777" w:rsidR="00FA4BF1" w:rsidRPr="00EA076F" w:rsidRDefault="00FA4BF1" w:rsidP="00EA076F">
            <w:pPr>
              <w:pStyle w:val="CDITable-HeaderRowCentre"/>
              <w:rPr>
                <w:bCs/>
                <w:sz w:val="16"/>
              </w:rPr>
            </w:pPr>
            <w:r w:rsidRPr="00EA076F">
              <w:rPr>
                <w:bCs/>
                <w:sz w:val="16"/>
              </w:rPr>
              <w:t>ESBL</w:t>
            </w:r>
          </w:p>
        </w:tc>
        <w:tc>
          <w:tcPr>
            <w:tcW w:w="1156" w:type="dxa"/>
            <w:gridSpan w:val="2"/>
            <w:tcBorders>
              <w:bottom w:val="single" w:sz="6" w:space="0" w:color="FFFFFF" w:themeColor="background1"/>
              <w:right w:val="single" w:sz="6" w:space="0" w:color="FFFFFF" w:themeColor="background1"/>
            </w:tcBorders>
            <w:shd w:val="clear" w:color="auto" w:fill="1E4496" w:themeFill="text2"/>
            <w:tcMar>
              <w:top w:w="113" w:type="dxa"/>
              <w:left w:w="113" w:type="dxa"/>
              <w:bottom w:w="113" w:type="dxa"/>
              <w:right w:w="113" w:type="dxa"/>
            </w:tcMar>
            <w:vAlign w:val="bottom"/>
          </w:tcPr>
          <w:p w14:paraId="4671621B" w14:textId="77777777" w:rsidR="00FA4BF1" w:rsidRPr="00EA076F" w:rsidRDefault="00FA4BF1" w:rsidP="00EA076F">
            <w:pPr>
              <w:pStyle w:val="CDITable-HeaderRowCentre"/>
              <w:rPr>
                <w:bCs/>
                <w:sz w:val="16"/>
              </w:rPr>
            </w:pPr>
            <w:r w:rsidRPr="00EA076F">
              <w:rPr>
                <w:bCs/>
                <w:sz w:val="16"/>
              </w:rPr>
              <w:t>Not ESBL</w:t>
            </w:r>
          </w:p>
        </w:tc>
        <w:tc>
          <w:tcPr>
            <w:tcW w:w="1162" w:type="dxa"/>
            <w:gridSpan w:val="2"/>
            <w:tcBorders>
              <w:left w:val="single" w:sz="6" w:space="0" w:color="FFFFFF" w:themeColor="background1"/>
              <w:bottom w:val="single" w:sz="6" w:space="0" w:color="FFFFFF" w:themeColor="background1"/>
            </w:tcBorders>
            <w:shd w:val="clear" w:color="auto" w:fill="1E4496" w:themeFill="text2"/>
            <w:tcMar>
              <w:top w:w="113" w:type="dxa"/>
              <w:left w:w="113" w:type="dxa"/>
              <w:bottom w:w="113" w:type="dxa"/>
              <w:right w:w="113" w:type="dxa"/>
            </w:tcMar>
            <w:vAlign w:val="bottom"/>
          </w:tcPr>
          <w:p w14:paraId="06CD7310" w14:textId="77777777" w:rsidR="00FA4BF1" w:rsidRPr="00EA076F" w:rsidRDefault="00FA4BF1" w:rsidP="00EA076F">
            <w:pPr>
              <w:pStyle w:val="CDITable-HeaderRowCentre"/>
              <w:rPr>
                <w:bCs/>
                <w:sz w:val="16"/>
              </w:rPr>
            </w:pPr>
            <w:r w:rsidRPr="00EA076F">
              <w:rPr>
                <w:bCs/>
                <w:sz w:val="16"/>
              </w:rPr>
              <w:t>MDR</w:t>
            </w:r>
          </w:p>
        </w:tc>
        <w:tc>
          <w:tcPr>
            <w:tcW w:w="1157" w:type="dxa"/>
            <w:gridSpan w:val="2"/>
            <w:tcBorders>
              <w:bottom w:val="single" w:sz="6" w:space="0" w:color="FFFFFF" w:themeColor="background1"/>
              <w:right w:val="single" w:sz="6" w:space="0" w:color="FFFFFF" w:themeColor="background1"/>
            </w:tcBorders>
            <w:shd w:val="clear" w:color="auto" w:fill="1E4496" w:themeFill="text2"/>
            <w:tcMar>
              <w:top w:w="113" w:type="dxa"/>
              <w:left w:w="113" w:type="dxa"/>
              <w:bottom w:w="113" w:type="dxa"/>
              <w:right w:w="113" w:type="dxa"/>
            </w:tcMar>
            <w:vAlign w:val="bottom"/>
          </w:tcPr>
          <w:p w14:paraId="12C3EAB5" w14:textId="77777777" w:rsidR="00FA4BF1" w:rsidRPr="00EA076F" w:rsidRDefault="00FA4BF1" w:rsidP="00EA076F">
            <w:pPr>
              <w:pStyle w:val="CDITable-HeaderRowCentre"/>
              <w:rPr>
                <w:bCs/>
                <w:sz w:val="16"/>
              </w:rPr>
            </w:pPr>
            <w:r w:rsidRPr="00EA076F">
              <w:rPr>
                <w:bCs/>
                <w:sz w:val="16"/>
              </w:rPr>
              <w:t>Not MDR</w:t>
            </w:r>
          </w:p>
        </w:tc>
        <w:tc>
          <w:tcPr>
            <w:tcW w:w="1156" w:type="dxa"/>
            <w:gridSpan w:val="2"/>
            <w:tcBorders>
              <w:left w:val="single" w:sz="6" w:space="0" w:color="FFFFFF" w:themeColor="background1"/>
              <w:bottom w:val="single" w:sz="6" w:space="0" w:color="FFFFFF" w:themeColor="background1"/>
            </w:tcBorders>
            <w:shd w:val="clear" w:color="auto" w:fill="1E4496" w:themeFill="text2"/>
            <w:tcMar>
              <w:top w:w="113" w:type="dxa"/>
              <w:left w:w="113" w:type="dxa"/>
              <w:bottom w:w="113" w:type="dxa"/>
              <w:right w:w="113" w:type="dxa"/>
            </w:tcMar>
            <w:vAlign w:val="bottom"/>
          </w:tcPr>
          <w:p w14:paraId="010FD695" w14:textId="77777777" w:rsidR="00FA4BF1" w:rsidRPr="00EA076F" w:rsidRDefault="00FA4BF1" w:rsidP="00EA076F">
            <w:pPr>
              <w:pStyle w:val="CDITable-HeaderRowCentre"/>
              <w:rPr>
                <w:bCs/>
                <w:sz w:val="16"/>
              </w:rPr>
            </w:pPr>
            <w:r w:rsidRPr="00EA076F">
              <w:rPr>
                <w:bCs/>
                <w:sz w:val="16"/>
              </w:rPr>
              <w:t>MRSA</w:t>
            </w:r>
          </w:p>
        </w:tc>
        <w:tc>
          <w:tcPr>
            <w:tcW w:w="1157" w:type="dxa"/>
            <w:gridSpan w:val="2"/>
            <w:tcBorders>
              <w:bottom w:val="single" w:sz="6" w:space="0" w:color="FFFFFF" w:themeColor="background1"/>
            </w:tcBorders>
            <w:shd w:val="clear" w:color="auto" w:fill="1E4496" w:themeFill="text2"/>
            <w:tcMar>
              <w:top w:w="113" w:type="dxa"/>
              <w:left w:w="113" w:type="dxa"/>
              <w:bottom w:w="113" w:type="dxa"/>
              <w:right w:w="113" w:type="dxa"/>
            </w:tcMar>
            <w:vAlign w:val="bottom"/>
          </w:tcPr>
          <w:p w14:paraId="57A7C7C7" w14:textId="77777777" w:rsidR="00FA4BF1" w:rsidRPr="00EA076F" w:rsidRDefault="00FA4BF1" w:rsidP="00EA076F">
            <w:pPr>
              <w:pStyle w:val="CDITable-HeaderRowCentre"/>
              <w:rPr>
                <w:bCs/>
                <w:sz w:val="16"/>
              </w:rPr>
            </w:pPr>
            <w:r w:rsidRPr="00EA076F">
              <w:rPr>
                <w:bCs/>
                <w:sz w:val="16"/>
              </w:rPr>
              <w:t>MSSA</w:t>
            </w:r>
          </w:p>
        </w:tc>
        <w:tc>
          <w:tcPr>
            <w:tcW w:w="1156" w:type="dxa"/>
            <w:gridSpan w:val="2"/>
            <w:tcBorders>
              <w:bottom w:val="single" w:sz="6" w:space="0" w:color="FFFFFF" w:themeColor="background1"/>
            </w:tcBorders>
            <w:shd w:val="clear" w:color="auto" w:fill="1E4496" w:themeFill="text2"/>
            <w:tcMar>
              <w:top w:w="113" w:type="dxa"/>
              <w:left w:w="113" w:type="dxa"/>
              <w:bottom w:w="113" w:type="dxa"/>
              <w:right w:w="113" w:type="dxa"/>
            </w:tcMar>
            <w:vAlign w:val="bottom"/>
          </w:tcPr>
          <w:p w14:paraId="5AA7F93B" w14:textId="77777777" w:rsidR="00FA4BF1" w:rsidRPr="00EA076F" w:rsidRDefault="00FA4BF1" w:rsidP="00EA076F">
            <w:pPr>
              <w:pStyle w:val="CDITable-HeaderRowCentre"/>
              <w:rPr>
                <w:bCs/>
                <w:sz w:val="16"/>
              </w:rPr>
            </w:pPr>
            <w:r w:rsidRPr="00EA076F">
              <w:rPr>
                <w:bCs/>
                <w:sz w:val="16"/>
              </w:rPr>
              <w:t>MDR</w:t>
            </w:r>
          </w:p>
        </w:tc>
        <w:tc>
          <w:tcPr>
            <w:tcW w:w="1157" w:type="dxa"/>
            <w:gridSpan w:val="2"/>
            <w:tcBorders>
              <w:bottom w:val="single" w:sz="6" w:space="0" w:color="FFFFFF" w:themeColor="background1"/>
            </w:tcBorders>
            <w:shd w:val="clear" w:color="auto" w:fill="1E4496" w:themeFill="text2"/>
            <w:tcMar>
              <w:top w:w="113" w:type="dxa"/>
              <w:left w:w="113" w:type="dxa"/>
              <w:bottom w:w="113" w:type="dxa"/>
              <w:right w:w="113" w:type="dxa"/>
            </w:tcMar>
            <w:vAlign w:val="bottom"/>
          </w:tcPr>
          <w:p w14:paraId="79112CDD" w14:textId="77777777" w:rsidR="00FA4BF1" w:rsidRPr="00EA076F" w:rsidRDefault="00FA4BF1" w:rsidP="00EA076F">
            <w:pPr>
              <w:pStyle w:val="CDITable-HeaderRowCentre"/>
              <w:rPr>
                <w:bCs/>
                <w:sz w:val="16"/>
              </w:rPr>
            </w:pPr>
            <w:r w:rsidRPr="00EA076F">
              <w:rPr>
                <w:bCs/>
                <w:sz w:val="16"/>
              </w:rPr>
              <w:t>Not MDR</w:t>
            </w:r>
          </w:p>
        </w:tc>
      </w:tr>
      <w:tr w:rsidR="00B73263" w:rsidRPr="00FA4BF1" w14:paraId="33338688" w14:textId="77777777" w:rsidTr="00B6546F">
        <w:trPr>
          <w:trHeight w:val="60"/>
          <w:tblHeader/>
        </w:trPr>
        <w:tc>
          <w:tcPr>
            <w:tcW w:w="1361" w:type="dxa"/>
            <w:vMerge/>
            <w:shd w:val="clear" w:color="auto" w:fill="1E4496" w:themeFill="text2"/>
          </w:tcPr>
          <w:p w14:paraId="61FBAE5C" w14:textId="77777777" w:rsidR="00FA4BF1" w:rsidRPr="00FA4BF1" w:rsidRDefault="00FA4BF1" w:rsidP="00EA076F"/>
        </w:tc>
        <w:tc>
          <w:tcPr>
            <w:tcW w:w="1417" w:type="dxa"/>
            <w:vMerge/>
            <w:shd w:val="clear" w:color="auto" w:fill="1E4496" w:themeFill="text2"/>
          </w:tcPr>
          <w:p w14:paraId="0F5CFC8E" w14:textId="77777777" w:rsidR="00FA4BF1" w:rsidRPr="00FA4BF1" w:rsidRDefault="00FA4BF1" w:rsidP="00EA076F"/>
        </w:tc>
        <w:tc>
          <w:tcPr>
            <w:tcW w:w="590" w:type="dxa"/>
            <w:tcBorders>
              <w:top w:val="single" w:sz="6" w:space="0" w:color="FFFFFF" w:themeColor="background1"/>
            </w:tcBorders>
            <w:shd w:val="clear" w:color="auto" w:fill="1E4496" w:themeFill="text2"/>
            <w:tcMar>
              <w:top w:w="113" w:type="dxa"/>
              <w:left w:w="113" w:type="dxa"/>
              <w:bottom w:w="113" w:type="dxa"/>
              <w:right w:w="113" w:type="dxa"/>
            </w:tcMar>
            <w:vAlign w:val="bottom"/>
          </w:tcPr>
          <w:p w14:paraId="7D519419" w14:textId="77777777" w:rsidR="00FA4BF1" w:rsidRPr="00EA076F" w:rsidRDefault="00FA4BF1" w:rsidP="00EA076F">
            <w:pPr>
              <w:pStyle w:val="CDITable-HeaderRowCentre"/>
              <w:rPr>
                <w:sz w:val="16"/>
                <w:szCs w:val="16"/>
              </w:rPr>
            </w:pPr>
            <w:r w:rsidRPr="00EA076F">
              <w:rPr>
                <w:sz w:val="16"/>
                <w:szCs w:val="16"/>
              </w:rPr>
              <w:t>n</w:t>
            </w:r>
          </w:p>
        </w:tc>
        <w:tc>
          <w:tcPr>
            <w:tcW w:w="566" w:type="dxa"/>
            <w:tcBorders>
              <w:top w:val="single" w:sz="6" w:space="0" w:color="FFFFFF" w:themeColor="background1"/>
            </w:tcBorders>
            <w:shd w:val="clear" w:color="auto" w:fill="1E4496" w:themeFill="text2"/>
            <w:tcMar>
              <w:top w:w="113" w:type="dxa"/>
              <w:left w:w="113" w:type="dxa"/>
              <w:bottom w:w="113" w:type="dxa"/>
              <w:right w:w="113" w:type="dxa"/>
            </w:tcMar>
            <w:vAlign w:val="bottom"/>
          </w:tcPr>
          <w:p w14:paraId="3DAB6BFB" w14:textId="77777777" w:rsidR="00FA4BF1" w:rsidRPr="00EA076F" w:rsidRDefault="00FA4BF1" w:rsidP="00EA076F">
            <w:pPr>
              <w:pStyle w:val="CDITable-HeaderRowCentre"/>
              <w:rPr>
                <w:sz w:val="16"/>
                <w:szCs w:val="16"/>
              </w:rPr>
            </w:pPr>
            <w:r w:rsidRPr="00EA076F">
              <w:rPr>
                <w:sz w:val="16"/>
                <w:szCs w:val="16"/>
              </w:rPr>
              <w:t>%</w:t>
            </w:r>
          </w:p>
        </w:tc>
        <w:tc>
          <w:tcPr>
            <w:tcW w:w="590" w:type="dxa"/>
            <w:tcBorders>
              <w:top w:val="single" w:sz="6" w:space="0" w:color="FFFFFF" w:themeColor="background1"/>
            </w:tcBorders>
            <w:shd w:val="clear" w:color="auto" w:fill="1E4496" w:themeFill="text2"/>
            <w:tcMar>
              <w:top w:w="113" w:type="dxa"/>
              <w:left w:w="113" w:type="dxa"/>
              <w:bottom w:w="113" w:type="dxa"/>
              <w:right w:w="113" w:type="dxa"/>
            </w:tcMar>
            <w:vAlign w:val="bottom"/>
          </w:tcPr>
          <w:p w14:paraId="745A6169" w14:textId="77777777" w:rsidR="00FA4BF1" w:rsidRPr="00EA076F" w:rsidRDefault="00FA4BF1" w:rsidP="00EA076F">
            <w:pPr>
              <w:pStyle w:val="CDITable-HeaderRowCentre"/>
              <w:rPr>
                <w:bCs/>
                <w:sz w:val="16"/>
              </w:rPr>
            </w:pPr>
            <w:r w:rsidRPr="00EA076F">
              <w:rPr>
                <w:bCs/>
                <w:sz w:val="16"/>
              </w:rPr>
              <w:t>n</w:t>
            </w:r>
          </w:p>
        </w:tc>
        <w:tc>
          <w:tcPr>
            <w:tcW w:w="567" w:type="dxa"/>
            <w:tcBorders>
              <w:top w:val="single" w:sz="6" w:space="0" w:color="FFFFFF" w:themeColor="background1"/>
              <w:right w:val="single" w:sz="6" w:space="0" w:color="FFFFFF" w:themeColor="background1"/>
            </w:tcBorders>
            <w:shd w:val="clear" w:color="auto" w:fill="1E4496" w:themeFill="text2"/>
            <w:tcMar>
              <w:top w:w="113" w:type="dxa"/>
              <w:left w:w="113" w:type="dxa"/>
              <w:bottom w:w="113" w:type="dxa"/>
              <w:right w:w="113" w:type="dxa"/>
            </w:tcMar>
            <w:vAlign w:val="bottom"/>
          </w:tcPr>
          <w:p w14:paraId="4A57E232" w14:textId="77777777" w:rsidR="00FA4BF1" w:rsidRPr="00EA076F" w:rsidRDefault="00FA4BF1" w:rsidP="00EA076F">
            <w:pPr>
              <w:pStyle w:val="CDITable-HeaderRowCentre"/>
              <w:rPr>
                <w:bCs/>
                <w:sz w:val="16"/>
              </w:rPr>
            </w:pPr>
            <w:r w:rsidRPr="00EA076F">
              <w:rPr>
                <w:bCs/>
                <w:sz w:val="16"/>
              </w:rPr>
              <w:t>%</w:t>
            </w:r>
          </w:p>
        </w:tc>
        <w:tc>
          <w:tcPr>
            <w:tcW w:w="590" w:type="dxa"/>
            <w:tcBorders>
              <w:top w:val="single" w:sz="6" w:space="0" w:color="FFFFFF" w:themeColor="background1"/>
              <w:left w:val="single" w:sz="6" w:space="0" w:color="FFFFFF" w:themeColor="background1"/>
            </w:tcBorders>
            <w:shd w:val="clear" w:color="auto" w:fill="1E4496" w:themeFill="text2"/>
            <w:tcMar>
              <w:top w:w="113" w:type="dxa"/>
              <w:left w:w="113" w:type="dxa"/>
              <w:bottom w:w="113" w:type="dxa"/>
              <w:right w:w="113" w:type="dxa"/>
            </w:tcMar>
            <w:vAlign w:val="bottom"/>
          </w:tcPr>
          <w:p w14:paraId="288D651E" w14:textId="77777777" w:rsidR="00FA4BF1" w:rsidRPr="00EA076F" w:rsidRDefault="00FA4BF1" w:rsidP="00EA076F">
            <w:pPr>
              <w:pStyle w:val="CDITable-HeaderRowCentre"/>
              <w:rPr>
                <w:bCs/>
                <w:sz w:val="16"/>
              </w:rPr>
            </w:pPr>
            <w:r w:rsidRPr="00EA076F">
              <w:rPr>
                <w:bCs/>
                <w:sz w:val="16"/>
              </w:rPr>
              <w:t>n</w:t>
            </w:r>
          </w:p>
        </w:tc>
        <w:tc>
          <w:tcPr>
            <w:tcW w:w="567" w:type="dxa"/>
            <w:tcBorders>
              <w:top w:val="single" w:sz="6" w:space="0" w:color="FFFFFF" w:themeColor="background1"/>
            </w:tcBorders>
            <w:shd w:val="clear" w:color="auto" w:fill="1E4496" w:themeFill="text2"/>
            <w:tcMar>
              <w:top w:w="113" w:type="dxa"/>
              <w:left w:w="113" w:type="dxa"/>
              <w:bottom w:w="113" w:type="dxa"/>
              <w:right w:w="113" w:type="dxa"/>
            </w:tcMar>
            <w:vAlign w:val="bottom"/>
          </w:tcPr>
          <w:p w14:paraId="536CF847" w14:textId="77777777" w:rsidR="00FA4BF1" w:rsidRPr="00EA076F" w:rsidRDefault="00FA4BF1" w:rsidP="00EA076F">
            <w:pPr>
              <w:pStyle w:val="CDITable-HeaderRowCentre"/>
              <w:rPr>
                <w:bCs/>
                <w:sz w:val="16"/>
              </w:rPr>
            </w:pPr>
            <w:r w:rsidRPr="00EA076F">
              <w:rPr>
                <w:bCs/>
                <w:sz w:val="16"/>
              </w:rPr>
              <w:t>%</w:t>
            </w:r>
          </w:p>
        </w:tc>
        <w:tc>
          <w:tcPr>
            <w:tcW w:w="589" w:type="dxa"/>
            <w:tcBorders>
              <w:top w:val="single" w:sz="6" w:space="0" w:color="FFFFFF" w:themeColor="background1"/>
            </w:tcBorders>
            <w:shd w:val="clear" w:color="auto" w:fill="1E4496" w:themeFill="text2"/>
            <w:tcMar>
              <w:top w:w="113" w:type="dxa"/>
              <w:left w:w="113" w:type="dxa"/>
              <w:bottom w:w="113" w:type="dxa"/>
              <w:right w:w="113" w:type="dxa"/>
            </w:tcMar>
            <w:vAlign w:val="bottom"/>
          </w:tcPr>
          <w:p w14:paraId="167DA778" w14:textId="77777777" w:rsidR="00FA4BF1" w:rsidRPr="00EA076F" w:rsidRDefault="00FA4BF1" w:rsidP="00EA076F">
            <w:pPr>
              <w:pStyle w:val="CDITable-HeaderRowCentre"/>
              <w:rPr>
                <w:bCs/>
                <w:sz w:val="16"/>
              </w:rPr>
            </w:pPr>
            <w:r w:rsidRPr="00EA076F">
              <w:rPr>
                <w:bCs/>
                <w:sz w:val="16"/>
              </w:rPr>
              <w:t>n</w:t>
            </w:r>
          </w:p>
        </w:tc>
        <w:tc>
          <w:tcPr>
            <w:tcW w:w="567" w:type="dxa"/>
            <w:tcBorders>
              <w:top w:val="single" w:sz="6" w:space="0" w:color="FFFFFF" w:themeColor="background1"/>
              <w:right w:val="single" w:sz="6" w:space="0" w:color="FFFFFF" w:themeColor="background1"/>
            </w:tcBorders>
            <w:shd w:val="clear" w:color="auto" w:fill="1E4496" w:themeFill="text2"/>
            <w:tcMar>
              <w:top w:w="113" w:type="dxa"/>
              <w:left w:w="113" w:type="dxa"/>
              <w:bottom w:w="113" w:type="dxa"/>
              <w:right w:w="113" w:type="dxa"/>
            </w:tcMar>
            <w:vAlign w:val="bottom"/>
          </w:tcPr>
          <w:p w14:paraId="6D8E5ABE" w14:textId="77777777" w:rsidR="00FA4BF1" w:rsidRPr="00EA076F" w:rsidRDefault="00FA4BF1" w:rsidP="00EA076F">
            <w:pPr>
              <w:pStyle w:val="CDITable-HeaderRowCentre"/>
              <w:rPr>
                <w:bCs/>
                <w:sz w:val="16"/>
              </w:rPr>
            </w:pPr>
            <w:r w:rsidRPr="00EA076F">
              <w:rPr>
                <w:bCs/>
                <w:sz w:val="16"/>
              </w:rPr>
              <w:t>%</w:t>
            </w:r>
          </w:p>
        </w:tc>
        <w:tc>
          <w:tcPr>
            <w:tcW w:w="595" w:type="dxa"/>
            <w:tcBorders>
              <w:top w:val="single" w:sz="6" w:space="0" w:color="FFFFFF" w:themeColor="background1"/>
              <w:left w:val="single" w:sz="6" w:space="0" w:color="FFFFFF" w:themeColor="background1"/>
            </w:tcBorders>
            <w:shd w:val="clear" w:color="auto" w:fill="1E4496" w:themeFill="text2"/>
            <w:tcMar>
              <w:top w:w="113" w:type="dxa"/>
              <w:left w:w="113" w:type="dxa"/>
              <w:bottom w:w="113" w:type="dxa"/>
              <w:right w:w="113" w:type="dxa"/>
            </w:tcMar>
            <w:vAlign w:val="bottom"/>
          </w:tcPr>
          <w:p w14:paraId="093C150D" w14:textId="77777777" w:rsidR="00FA4BF1" w:rsidRPr="00EA076F" w:rsidRDefault="00FA4BF1" w:rsidP="00EA076F">
            <w:pPr>
              <w:pStyle w:val="CDITable-HeaderRowCentre"/>
              <w:rPr>
                <w:bCs/>
                <w:sz w:val="16"/>
              </w:rPr>
            </w:pPr>
            <w:r w:rsidRPr="00EA076F">
              <w:rPr>
                <w:bCs/>
                <w:sz w:val="16"/>
              </w:rPr>
              <w:t>n</w:t>
            </w:r>
          </w:p>
        </w:tc>
        <w:tc>
          <w:tcPr>
            <w:tcW w:w="567" w:type="dxa"/>
            <w:tcBorders>
              <w:top w:val="single" w:sz="6" w:space="0" w:color="FFFFFF" w:themeColor="background1"/>
            </w:tcBorders>
            <w:shd w:val="clear" w:color="auto" w:fill="1E4496" w:themeFill="text2"/>
            <w:tcMar>
              <w:top w:w="113" w:type="dxa"/>
              <w:left w:w="113" w:type="dxa"/>
              <w:bottom w:w="113" w:type="dxa"/>
              <w:right w:w="113" w:type="dxa"/>
            </w:tcMar>
            <w:vAlign w:val="bottom"/>
          </w:tcPr>
          <w:p w14:paraId="61004819" w14:textId="77777777" w:rsidR="00FA4BF1" w:rsidRPr="00EA076F" w:rsidRDefault="00FA4BF1" w:rsidP="00EA076F">
            <w:pPr>
              <w:pStyle w:val="CDITable-HeaderRowCentre"/>
              <w:rPr>
                <w:bCs/>
                <w:sz w:val="16"/>
              </w:rPr>
            </w:pPr>
            <w:r w:rsidRPr="00EA076F">
              <w:rPr>
                <w:bCs/>
                <w:sz w:val="16"/>
              </w:rPr>
              <w:t>%</w:t>
            </w:r>
          </w:p>
        </w:tc>
        <w:tc>
          <w:tcPr>
            <w:tcW w:w="590" w:type="dxa"/>
            <w:tcBorders>
              <w:top w:val="single" w:sz="6" w:space="0" w:color="FFFFFF" w:themeColor="background1"/>
            </w:tcBorders>
            <w:shd w:val="clear" w:color="auto" w:fill="1E4496" w:themeFill="text2"/>
            <w:tcMar>
              <w:top w:w="113" w:type="dxa"/>
              <w:left w:w="113" w:type="dxa"/>
              <w:bottom w:w="113" w:type="dxa"/>
              <w:right w:w="113" w:type="dxa"/>
            </w:tcMar>
            <w:vAlign w:val="bottom"/>
          </w:tcPr>
          <w:p w14:paraId="62DABFA5" w14:textId="77777777" w:rsidR="00FA4BF1" w:rsidRPr="00EA076F" w:rsidRDefault="00FA4BF1" w:rsidP="00EA076F">
            <w:pPr>
              <w:pStyle w:val="CDITable-HeaderRowCentre"/>
              <w:rPr>
                <w:bCs/>
                <w:sz w:val="16"/>
              </w:rPr>
            </w:pPr>
            <w:r w:rsidRPr="00EA076F">
              <w:rPr>
                <w:bCs/>
                <w:sz w:val="16"/>
              </w:rPr>
              <w:t>n</w:t>
            </w:r>
          </w:p>
        </w:tc>
        <w:tc>
          <w:tcPr>
            <w:tcW w:w="567" w:type="dxa"/>
            <w:tcBorders>
              <w:top w:val="single" w:sz="6" w:space="0" w:color="FFFFFF" w:themeColor="background1"/>
              <w:right w:val="single" w:sz="6" w:space="0" w:color="FFFFFF" w:themeColor="background1"/>
            </w:tcBorders>
            <w:shd w:val="clear" w:color="auto" w:fill="1E4496" w:themeFill="text2"/>
            <w:tcMar>
              <w:top w:w="113" w:type="dxa"/>
              <w:left w:w="113" w:type="dxa"/>
              <w:bottom w:w="113" w:type="dxa"/>
              <w:right w:w="113" w:type="dxa"/>
            </w:tcMar>
            <w:vAlign w:val="bottom"/>
          </w:tcPr>
          <w:p w14:paraId="7CF7119A" w14:textId="77777777" w:rsidR="00FA4BF1" w:rsidRPr="00EA076F" w:rsidRDefault="00FA4BF1" w:rsidP="00EA076F">
            <w:pPr>
              <w:pStyle w:val="CDITable-HeaderRowCentre"/>
              <w:rPr>
                <w:bCs/>
                <w:sz w:val="16"/>
              </w:rPr>
            </w:pPr>
            <w:r w:rsidRPr="00EA076F">
              <w:rPr>
                <w:bCs/>
                <w:sz w:val="16"/>
              </w:rPr>
              <w:t>%</w:t>
            </w:r>
          </w:p>
        </w:tc>
        <w:tc>
          <w:tcPr>
            <w:tcW w:w="589" w:type="dxa"/>
            <w:tcBorders>
              <w:top w:val="single" w:sz="6" w:space="0" w:color="FFFFFF" w:themeColor="background1"/>
              <w:left w:val="single" w:sz="6" w:space="0" w:color="FFFFFF" w:themeColor="background1"/>
            </w:tcBorders>
            <w:shd w:val="clear" w:color="auto" w:fill="1E4496" w:themeFill="text2"/>
            <w:tcMar>
              <w:top w:w="113" w:type="dxa"/>
              <w:left w:w="113" w:type="dxa"/>
              <w:bottom w:w="113" w:type="dxa"/>
              <w:right w:w="113" w:type="dxa"/>
            </w:tcMar>
            <w:vAlign w:val="bottom"/>
          </w:tcPr>
          <w:p w14:paraId="2D6B3A08" w14:textId="77777777" w:rsidR="00FA4BF1" w:rsidRPr="00EA076F" w:rsidRDefault="00FA4BF1" w:rsidP="00EA076F">
            <w:pPr>
              <w:pStyle w:val="CDITable-HeaderRowCentre"/>
              <w:rPr>
                <w:bCs/>
                <w:sz w:val="16"/>
              </w:rPr>
            </w:pPr>
            <w:r w:rsidRPr="00EA076F">
              <w:rPr>
                <w:bCs/>
                <w:sz w:val="16"/>
              </w:rPr>
              <w:t>n</w:t>
            </w:r>
          </w:p>
        </w:tc>
        <w:tc>
          <w:tcPr>
            <w:tcW w:w="567" w:type="dxa"/>
            <w:tcBorders>
              <w:top w:val="single" w:sz="6" w:space="0" w:color="FFFFFF" w:themeColor="background1"/>
            </w:tcBorders>
            <w:shd w:val="clear" w:color="auto" w:fill="1E4496" w:themeFill="text2"/>
            <w:tcMar>
              <w:top w:w="113" w:type="dxa"/>
              <w:left w:w="113" w:type="dxa"/>
              <w:bottom w:w="113" w:type="dxa"/>
              <w:right w:w="113" w:type="dxa"/>
            </w:tcMar>
            <w:vAlign w:val="bottom"/>
          </w:tcPr>
          <w:p w14:paraId="059E0CC4" w14:textId="77777777" w:rsidR="00FA4BF1" w:rsidRPr="00EA076F" w:rsidRDefault="00FA4BF1" w:rsidP="00EA076F">
            <w:pPr>
              <w:pStyle w:val="CDITable-HeaderRowCentre"/>
              <w:rPr>
                <w:bCs/>
                <w:sz w:val="16"/>
              </w:rPr>
            </w:pPr>
            <w:r w:rsidRPr="00EA076F">
              <w:rPr>
                <w:bCs/>
                <w:sz w:val="16"/>
              </w:rPr>
              <w:t>%</w:t>
            </w:r>
          </w:p>
        </w:tc>
        <w:tc>
          <w:tcPr>
            <w:tcW w:w="590" w:type="dxa"/>
            <w:tcBorders>
              <w:top w:val="single" w:sz="6" w:space="0" w:color="FFFFFF" w:themeColor="background1"/>
            </w:tcBorders>
            <w:shd w:val="clear" w:color="auto" w:fill="1E4496" w:themeFill="text2"/>
            <w:tcMar>
              <w:top w:w="113" w:type="dxa"/>
              <w:left w:w="113" w:type="dxa"/>
              <w:bottom w:w="113" w:type="dxa"/>
              <w:right w:w="113" w:type="dxa"/>
            </w:tcMar>
            <w:vAlign w:val="bottom"/>
          </w:tcPr>
          <w:p w14:paraId="1B5C7619" w14:textId="77777777" w:rsidR="00FA4BF1" w:rsidRPr="00EA076F" w:rsidRDefault="00FA4BF1" w:rsidP="00EA076F">
            <w:pPr>
              <w:pStyle w:val="CDITable-HeaderRowCentre"/>
              <w:rPr>
                <w:bCs/>
                <w:sz w:val="16"/>
              </w:rPr>
            </w:pPr>
            <w:r w:rsidRPr="00EA076F">
              <w:rPr>
                <w:bCs/>
                <w:sz w:val="16"/>
              </w:rPr>
              <w:t>n</w:t>
            </w:r>
          </w:p>
        </w:tc>
        <w:tc>
          <w:tcPr>
            <w:tcW w:w="567" w:type="dxa"/>
            <w:tcBorders>
              <w:top w:val="single" w:sz="6" w:space="0" w:color="FFFFFF" w:themeColor="background1"/>
              <w:right w:val="single" w:sz="6" w:space="0" w:color="FFFFFF" w:themeColor="background1"/>
            </w:tcBorders>
            <w:shd w:val="clear" w:color="auto" w:fill="1E4496" w:themeFill="text2"/>
            <w:tcMar>
              <w:top w:w="113" w:type="dxa"/>
              <w:left w:w="113" w:type="dxa"/>
              <w:bottom w:w="113" w:type="dxa"/>
              <w:right w:w="113" w:type="dxa"/>
            </w:tcMar>
            <w:vAlign w:val="bottom"/>
          </w:tcPr>
          <w:p w14:paraId="452B6E14" w14:textId="77777777" w:rsidR="00FA4BF1" w:rsidRPr="00EA076F" w:rsidRDefault="00FA4BF1" w:rsidP="00EA076F">
            <w:pPr>
              <w:pStyle w:val="CDITable-HeaderRowCentre"/>
              <w:rPr>
                <w:bCs/>
                <w:sz w:val="16"/>
              </w:rPr>
            </w:pPr>
            <w:r w:rsidRPr="00EA076F">
              <w:rPr>
                <w:bCs/>
                <w:sz w:val="16"/>
              </w:rPr>
              <w:t>%</w:t>
            </w:r>
          </w:p>
        </w:tc>
        <w:tc>
          <w:tcPr>
            <w:tcW w:w="590" w:type="dxa"/>
            <w:tcBorders>
              <w:top w:val="single" w:sz="6" w:space="0" w:color="FFFFFF" w:themeColor="background1"/>
              <w:left w:val="single" w:sz="6" w:space="0" w:color="FFFFFF" w:themeColor="background1"/>
            </w:tcBorders>
            <w:shd w:val="clear" w:color="auto" w:fill="1E4496" w:themeFill="text2"/>
            <w:tcMar>
              <w:top w:w="113" w:type="dxa"/>
              <w:left w:w="113" w:type="dxa"/>
              <w:bottom w:w="113" w:type="dxa"/>
              <w:right w:w="113" w:type="dxa"/>
            </w:tcMar>
            <w:vAlign w:val="bottom"/>
          </w:tcPr>
          <w:p w14:paraId="2E2ADCAB" w14:textId="77777777" w:rsidR="00FA4BF1" w:rsidRPr="00EA076F" w:rsidRDefault="00FA4BF1" w:rsidP="00EA076F">
            <w:pPr>
              <w:pStyle w:val="CDITable-HeaderRowCentre"/>
              <w:rPr>
                <w:bCs/>
                <w:sz w:val="16"/>
              </w:rPr>
            </w:pPr>
            <w:r w:rsidRPr="00EA076F">
              <w:rPr>
                <w:bCs/>
                <w:sz w:val="16"/>
              </w:rPr>
              <w:t>n</w:t>
            </w:r>
          </w:p>
        </w:tc>
        <w:tc>
          <w:tcPr>
            <w:tcW w:w="566" w:type="dxa"/>
            <w:tcBorders>
              <w:top w:val="single" w:sz="6" w:space="0" w:color="FFFFFF" w:themeColor="background1"/>
            </w:tcBorders>
            <w:shd w:val="clear" w:color="auto" w:fill="1E4496" w:themeFill="text2"/>
            <w:tcMar>
              <w:top w:w="113" w:type="dxa"/>
              <w:left w:w="113" w:type="dxa"/>
              <w:bottom w:w="113" w:type="dxa"/>
              <w:right w:w="113" w:type="dxa"/>
            </w:tcMar>
            <w:vAlign w:val="bottom"/>
          </w:tcPr>
          <w:p w14:paraId="3D605913" w14:textId="77777777" w:rsidR="00FA4BF1" w:rsidRPr="00EA076F" w:rsidRDefault="00FA4BF1" w:rsidP="00EA076F">
            <w:pPr>
              <w:pStyle w:val="CDITable-HeaderRowCentre"/>
              <w:rPr>
                <w:bCs/>
                <w:sz w:val="16"/>
              </w:rPr>
            </w:pPr>
            <w:r w:rsidRPr="00EA076F">
              <w:rPr>
                <w:bCs/>
                <w:sz w:val="16"/>
              </w:rPr>
              <w:t>%</w:t>
            </w:r>
          </w:p>
        </w:tc>
        <w:tc>
          <w:tcPr>
            <w:tcW w:w="590" w:type="dxa"/>
            <w:tcBorders>
              <w:top w:val="single" w:sz="6" w:space="0" w:color="FFFFFF" w:themeColor="background1"/>
            </w:tcBorders>
            <w:shd w:val="clear" w:color="auto" w:fill="1E4496" w:themeFill="text2"/>
            <w:tcMar>
              <w:top w:w="113" w:type="dxa"/>
              <w:left w:w="113" w:type="dxa"/>
              <w:bottom w:w="113" w:type="dxa"/>
              <w:right w:w="113" w:type="dxa"/>
            </w:tcMar>
            <w:vAlign w:val="bottom"/>
          </w:tcPr>
          <w:p w14:paraId="3445F649" w14:textId="77777777" w:rsidR="00FA4BF1" w:rsidRPr="00EA076F" w:rsidRDefault="00FA4BF1" w:rsidP="00EA076F">
            <w:pPr>
              <w:pStyle w:val="CDITable-HeaderRowCentre"/>
              <w:rPr>
                <w:bCs/>
                <w:sz w:val="16"/>
              </w:rPr>
            </w:pPr>
            <w:r w:rsidRPr="00EA076F">
              <w:rPr>
                <w:bCs/>
                <w:sz w:val="16"/>
              </w:rPr>
              <w:t>n</w:t>
            </w:r>
          </w:p>
        </w:tc>
        <w:tc>
          <w:tcPr>
            <w:tcW w:w="567" w:type="dxa"/>
            <w:tcBorders>
              <w:top w:val="single" w:sz="6" w:space="0" w:color="FFFFFF" w:themeColor="background1"/>
            </w:tcBorders>
            <w:shd w:val="clear" w:color="auto" w:fill="1E4496" w:themeFill="text2"/>
            <w:tcMar>
              <w:top w:w="113" w:type="dxa"/>
              <w:left w:w="113" w:type="dxa"/>
              <w:bottom w:w="113" w:type="dxa"/>
              <w:right w:w="113" w:type="dxa"/>
            </w:tcMar>
            <w:vAlign w:val="bottom"/>
          </w:tcPr>
          <w:p w14:paraId="7B0613D3" w14:textId="77777777" w:rsidR="00FA4BF1" w:rsidRPr="00EA076F" w:rsidRDefault="00FA4BF1" w:rsidP="00EA076F">
            <w:pPr>
              <w:pStyle w:val="CDITable-HeaderRowCentre"/>
              <w:rPr>
                <w:bCs/>
                <w:sz w:val="16"/>
              </w:rPr>
            </w:pPr>
            <w:r w:rsidRPr="00EA076F">
              <w:rPr>
                <w:bCs/>
                <w:sz w:val="16"/>
              </w:rPr>
              <w:t>%</w:t>
            </w:r>
          </w:p>
        </w:tc>
      </w:tr>
      <w:tr w:rsidR="00B73263" w:rsidRPr="00FA4BF1" w14:paraId="0B4CDA87" w14:textId="77777777" w:rsidTr="00B6546F">
        <w:trPr>
          <w:trHeight w:val="60"/>
        </w:trPr>
        <w:tc>
          <w:tcPr>
            <w:tcW w:w="1361" w:type="dxa"/>
            <w:tcBorders>
              <w:bottom w:val="single" w:sz="6" w:space="0" w:color="1E4496" w:themeColor="text2"/>
            </w:tcBorders>
            <w:shd w:val="clear" w:color="auto" w:fill="DCF4FC" w:themeFill="background2" w:themeFillTint="33"/>
            <w:tcMar>
              <w:top w:w="96" w:type="dxa"/>
              <w:left w:w="113" w:type="dxa"/>
              <w:bottom w:w="96" w:type="dxa"/>
              <w:right w:w="113" w:type="dxa"/>
            </w:tcMar>
            <w:vAlign w:val="center"/>
          </w:tcPr>
          <w:p w14:paraId="5ABCD311" w14:textId="77777777" w:rsidR="00FA4BF1" w:rsidRPr="00FA4BF1" w:rsidRDefault="00FA4BF1" w:rsidP="00EA076F">
            <w:pPr>
              <w:pStyle w:val="CDITable-RowLeft"/>
              <w:rPr>
                <w:sz w:val="16"/>
                <w:szCs w:val="16"/>
              </w:rPr>
            </w:pPr>
            <w:r w:rsidRPr="00FA4BF1">
              <w:rPr>
                <w:sz w:val="16"/>
                <w:szCs w:val="16"/>
              </w:rPr>
              <w:t>Overall</w:t>
            </w:r>
          </w:p>
        </w:tc>
        <w:tc>
          <w:tcPr>
            <w:tcW w:w="1417" w:type="dxa"/>
            <w:tcBorders>
              <w:bottom w:val="single" w:sz="6" w:space="0" w:color="1E4496" w:themeColor="text2"/>
            </w:tcBorders>
            <w:tcMar>
              <w:top w:w="96" w:type="dxa"/>
              <w:left w:w="113" w:type="dxa"/>
              <w:bottom w:w="96" w:type="dxa"/>
              <w:right w:w="113" w:type="dxa"/>
            </w:tcMar>
            <w:vAlign w:val="center"/>
          </w:tcPr>
          <w:p w14:paraId="18FA0DD7" w14:textId="77777777" w:rsidR="00FA4BF1" w:rsidRPr="00FA4BF1" w:rsidRDefault="00FA4BF1" w:rsidP="00EA076F">
            <w:pPr>
              <w:pStyle w:val="CDITable-RowLeft"/>
              <w:rPr>
                <w:sz w:val="16"/>
              </w:rPr>
            </w:pPr>
            <w:r w:rsidRPr="00FA4BF1">
              <w:rPr>
                <w:sz w:val="16"/>
              </w:rPr>
              <w:t>—</w:t>
            </w:r>
          </w:p>
        </w:tc>
        <w:tc>
          <w:tcPr>
            <w:tcW w:w="590" w:type="dxa"/>
            <w:tcBorders>
              <w:bottom w:val="single" w:sz="6" w:space="0" w:color="1E4496" w:themeColor="text2"/>
            </w:tcBorders>
            <w:tcMar>
              <w:top w:w="96" w:type="dxa"/>
              <w:left w:w="113" w:type="dxa"/>
              <w:bottom w:w="96" w:type="dxa"/>
              <w:right w:w="113" w:type="dxa"/>
            </w:tcMar>
            <w:vAlign w:val="center"/>
          </w:tcPr>
          <w:p w14:paraId="4BF1C2B4" w14:textId="77777777" w:rsidR="00FA4BF1" w:rsidRPr="00FA4BF1" w:rsidRDefault="00FA4BF1" w:rsidP="00EA076F">
            <w:pPr>
              <w:pStyle w:val="CDITable-RowCentre"/>
              <w:rPr>
                <w:sz w:val="16"/>
                <w:szCs w:val="16"/>
              </w:rPr>
            </w:pPr>
            <w:r w:rsidRPr="00FA4BF1">
              <w:rPr>
                <w:sz w:val="16"/>
                <w:szCs w:val="16"/>
              </w:rPr>
              <w:t>172</w:t>
            </w:r>
          </w:p>
        </w:tc>
        <w:tc>
          <w:tcPr>
            <w:tcW w:w="566" w:type="dxa"/>
            <w:tcBorders>
              <w:bottom w:val="single" w:sz="6" w:space="0" w:color="1E4496" w:themeColor="text2"/>
            </w:tcBorders>
            <w:tcMar>
              <w:top w:w="96" w:type="dxa"/>
              <w:left w:w="113" w:type="dxa"/>
              <w:bottom w:w="96" w:type="dxa"/>
              <w:right w:w="113" w:type="dxa"/>
            </w:tcMar>
            <w:vAlign w:val="center"/>
          </w:tcPr>
          <w:p w14:paraId="14C745D1" w14:textId="77777777" w:rsidR="00FA4BF1" w:rsidRPr="00FA4BF1" w:rsidRDefault="00FA4BF1" w:rsidP="00EA076F">
            <w:pPr>
              <w:pStyle w:val="CDITable-RowCentre"/>
              <w:rPr>
                <w:sz w:val="16"/>
                <w:szCs w:val="16"/>
              </w:rPr>
            </w:pPr>
            <w:r w:rsidRPr="00FA4BF1">
              <w:rPr>
                <w:sz w:val="16"/>
                <w:szCs w:val="16"/>
              </w:rPr>
              <w:t>18.5</w:t>
            </w:r>
          </w:p>
        </w:tc>
        <w:tc>
          <w:tcPr>
            <w:tcW w:w="590" w:type="dxa"/>
            <w:tcBorders>
              <w:bottom w:val="single" w:sz="6" w:space="0" w:color="1E4496" w:themeColor="text2"/>
            </w:tcBorders>
            <w:tcMar>
              <w:top w:w="96" w:type="dxa"/>
              <w:left w:w="113" w:type="dxa"/>
              <w:bottom w:w="96" w:type="dxa"/>
              <w:right w:w="113" w:type="dxa"/>
            </w:tcMar>
            <w:vAlign w:val="center"/>
          </w:tcPr>
          <w:p w14:paraId="3BCE0EE9" w14:textId="77777777" w:rsidR="00FA4BF1" w:rsidRPr="00FA4BF1" w:rsidRDefault="00FA4BF1" w:rsidP="00EA076F">
            <w:pPr>
              <w:pStyle w:val="CDITable-RowCentre"/>
              <w:rPr>
                <w:sz w:val="16"/>
                <w:szCs w:val="16"/>
              </w:rPr>
            </w:pPr>
            <w:r w:rsidRPr="00FA4BF1">
              <w:rPr>
                <w:sz w:val="16"/>
                <w:szCs w:val="16"/>
              </w:rPr>
              <w:t>760</w:t>
            </w:r>
          </w:p>
        </w:tc>
        <w:tc>
          <w:tcPr>
            <w:tcW w:w="567" w:type="dxa"/>
            <w:tcBorders>
              <w:bottom w:val="single" w:sz="6" w:space="0" w:color="1E4496" w:themeColor="text2"/>
              <w:right w:val="single" w:sz="6" w:space="0" w:color="1E4496" w:themeColor="text2"/>
            </w:tcBorders>
            <w:tcMar>
              <w:top w:w="96" w:type="dxa"/>
              <w:left w:w="113" w:type="dxa"/>
              <w:bottom w:w="96" w:type="dxa"/>
              <w:right w:w="113" w:type="dxa"/>
            </w:tcMar>
            <w:vAlign w:val="center"/>
          </w:tcPr>
          <w:p w14:paraId="6B1ECC05" w14:textId="77777777" w:rsidR="00FA4BF1" w:rsidRPr="00FA4BF1" w:rsidRDefault="00FA4BF1" w:rsidP="00EA076F">
            <w:pPr>
              <w:pStyle w:val="CDITable-RowCentre"/>
              <w:rPr>
                <w:sz w:val="16"/>
                <w:szCs w:val="16"/>
              </w:rPr>
            </w:pPr>
            <w:r w:rsidRPr="00FA4BF1">
              <w:rPr>
                <w:sz w:val="16"/>
                <w:szCs w:val="16"/>
              </w:rPr>
              <w:t>81.5</w:t>
            </w:r>
          </w:p>
        </w:tc>
        <w:tc>
          <w:tcPr>
            <w:tcW w:w="590" w:type="dxa"/>
            <w:tcBorders>
              <w:left w:val="single" w:sz="6" w:space="0" w:color="1E4496" w:themeColor="text2"/>
              <w:bottom w:val="single" w:sz="6" w:space="0" w:color="1E4496" w:themeColor="text2"/>
            </w:tcBorders>
            <w:tcMar>
              <w:top w:w="96" w:type="dxa"/>
              <w:left w:w="113" w:type="dxa"/>
              <w:bottom w:w="96" w:type="dxa"/>
              <w:right w:w="113" w:type="dxa"/>
            </w:tcMar>
            <w:vAlign w:val="center"/>
          </w:tcPr>
          <w:p w14:paraId="1785D1AE" w14:textId="77777777" w:rsidR="00FA4BF1" w:rsidRPr="00FA4BF1" w:rsidRDefault="00FA4BF1" w:rsidP="00EA076F">
            <w:pPr>
              <w:pStyle w:val="CDITable-RowCentre"/>
              <w:rPr>
                <w:sz w:val="16"/>
                <w:szCs w:val="16"/>
              </w:rPr>
            </w:pPr>
            <w:r w:rsidRPr="00FA4BF1">
              <w:rPr>
                <w:sz w:val="16"/>
                <w:szCs w:val="16"/>
              </w:rPr>
              <w:t>125</w:t>
            </w:r>
          </w:p>
        </w:tc>
        <w:tc>
          <w:tcPr>
            <w:tcW w:w="567" w:type="dxa"/>
            <w:tcBorders>
              <w:bottom w:val="single" w:sz="6" w:space="0" w:color="1E4496" w:themeColor="text2"/>
            </w:tcBorders>
            <w:tcMar>
              <w:top w:w="96" w:type="dxa"/>
              <w:left w:w="113" w:type="dxa"/>
              <w:bottom w:w="96" w:type="dxa"/>
              <w:right w:w="113" w:type="dxa"/>
            </w:tcMar>
            <w:vAlign w:val="center"/>
          </w:tcPr>
          <w:p w14:paraId="03C9CF6A" w14:textId="77777777" w:rsidR="00FA4BF1" w:rsidRPr="00FA4BF1" w:rsidRDefault="00FA4BF1" w:rsidP="00EA076F">
            <w:pPr>
              <w:pStyle w:val="CDITable-RowCentre"/>
              <w:rPr>
                <w:sz w:val="16"/>
                <w:szCs w:val="16"/>
              </w:rPr>
            </w:pPr>
            <w:r w:rsidRPr="00FA4BF1">
              <w:rPr>
                <w:sz w:val="16"/>
                <w:szCs w:val="16"/>
              </w:rPr>
              <w:t>13.4</w:t>
            </w:r>
          </w:p>
        </w:tc>
        <w:tc>
          <w:tcPr>
            <w:tcW w:w="589" w:type="dxa"/>
            <w:tcBorders>
              <w:bottom w:val="single" w:sz="6" w:space="0" w:color="1E4496" w:themeColor="text2"/>
            </w:tcBorders>
            <w:tcMar>
              <w:top w:w="96" w:type="dxa"/>
              <w:left w:w="113" w:type="dxa"/>
              <w:bottom w:w="96" w:type="dxa"/>
              <w:right w:w="113" w:type="dxa"/>
            </w:tcMar>
            <w:vAlign w:val="center"/>
          </w:tcPr>
          <w:p w14:paraId="7026C8C2" w14:textId="77777777" w:rsidR="00FA4BF1" w:rsidRPr="00FA4BF1" w:rsidRDefault="00FA4BF1" w:rsidP="00EA076F">
            <w:pPr>
              <w:pStyle w:val="CDITable-RowCentre"/>
              <w:rPr>
                <w:sz w:val="16"/>
                <w:szCs w:val="16"/>
              </w:rPr>
            </w:pPr>
            <w:r w:rsidRPr="00FA4BF1">
              <w:rPr>
                <w:sz w:val="16"/>
                <w:szCs w:val="16"/>
              </w:rPr>
              <w:t>807</w:t>
            </w:r>
          </w:p>
        </w:tc>
        <w:tc>
          <w:tcPr>
            <w:tcW w:w="567" w:type="dxa"/>
            <w:tcBorders>
              <w:bottom w:val="single" w:sz="6" w:space="0" w:color="1E4496" w:themeColor="text2"/>
              <w:right w:val="single" w:sz="6" w:space="0" w:color="1E4496" w:themeColor="text2"/>
            </w:tcBorders>
            <w:tcMar>
              <w:top w:w="96" w:type="dxa"/>
              <w:left w:w="113" w:type="dxa"/>
              <w:bottom w:w="96" w:type="dxa"/>
              <w:right w:w="113" w:type="dxa"/>
            </w:tcMar>
            <w:vAlign w:val="center"/>
          </w:tcPr>
          <w:p w14:paraId="1AF09D9C" w14:textId="77777777" w:rsidR="00FA4BF1" w:rsidRPr="00FA4BF1" w:rsidRDefault="00FA4BF1" w:rsidP="00EA076F">
            <w:pPr>
              <w:pStyle w:val="CDITable-RowCentre"/>
              <w:rPr>
                <w:sz w:val="16"/>
                <w:szCs w:val="16"/>
              </w:rPr>
            </w:pPr>
            <w:r w:rsidRPr="00FA4BF1">
              <w:rPr>
                <w:sz w:val="16"/>
                <w:szCs w:val="16"/>
              </w:rPr>
              <w:t>86.6</w:t>
            </w:r>
          </w:p>
        </w:tc>
        <w:tc>
          <w:tcPr>
            <w:tcW w:w="595" w:type="dxa"/>
            <w:tcBorders>
              <w:left w:val="single" w:sz="6" w:space="0" w:color="1E4496" w:themeColor="text2"/>
              <w:bottom w:val="single" w:sz="6" w:space="0" w:color="1E4496" w:themeColor="text2"/>
            </w:tcBorders>
            <w:tcMar>
              <w:top w:w="96" w:type="dxa"/>
              <w:left w:w="113" w:type="dxa"/>
              <w:bottom w:w="96" w:type="dxa"/>
              <w:right w:w="113" w:type="dxa"/>
            </w:tcMar>
            <w:vAlign w:val="center"/>
          </w:tcPr>
          <w:p w14:paraId="1BDB2924" w14:textId="77777777" w:rsidR="00FA4BF1" w:rsidRPr="00FA4BF1" w:rsidRDefault="00FA4BF1" w:rsidP="00EA076F">
            <w:pPr>
              <w:pStyle w:val="CDITable-RowCentre"/>
              <w:rPr>
                <w:sz w:val="16"/>
                <w:szCs w:val="16"/>
              </w:rPr>
            </w:pPr>
            <w:r w:rsidRPr="00FA4BF1">
              <w:rPr>
                <w:sz w:val="16"/>
                <w:szCs w:val="16"/>
              </w:rPr>
              <w:t>33</w:t>
            </w:r>
          </w:p>
        </w:tc>
        <w:tc>
          <w:tcPr>
            <w:tcW w:w="567" w:type="dxa"/>
            <w:tcBorders>
              <w:bottom w:val="single" w:sz="6" w:space="0" w:color="1E4496" w:themeColor="text2"/>
            </w:tcBorders>
            <w:tcMar>
              <w:top w:w="96" w:type="dxa"/>
              <w:left w:w="113" w:type="dxa"/>
              <w:bottom w:w="96" w:type="dxa"/>
              <w:right w:w="113" w:type="dxa"/>
            </w:tcMar>
            <w:vAlign w:val="center"/>
          </w:tcPr>
          <w:p w14:paraId="41C5F7C9" w14:textId="77777777" w:rsidR="00FA4BF1" w:rsidRPr="00FA4BF1" w:rsidRDefault="00FA4BF1" w:rsidP="00EA076F">
            <w:pPr>
              <w:pStyle w:val="CDITable-RowCentre"/>
              <w:rPr>
                <w:sz w:val="16"/>
                <w:szCs w:val="16"/>
              </w:rPr>
            </w:pPr>
            <w:r w:rsidRPr="00FA4BF1">
              <w:rPr>
                <w:sz w:val="16"/>
                <w:szCs w:val="16"/>
              </w:rPr>
              <w:t>5.5</w:t>
            </w:r>
          </w:p>
        </w:tc>
        <w:tc>
          <w:tcPr>
            <w:tcW w:w="590" w:type="dxa"/>
            <w:tcBorders>
              <w:bottom w:val="single" w:sz="6" w:space="0" w:color="1E4496" w:themeColor="text2"/>
            </w:tcBorders>
            <w:tcMar>
              <w:top w:w="96" w:type="dxa"/>
              <w:left w:w="113" w:type="dxa"/>
              <w:bottom w:w="96" w:type="dxa"/>
              <w:right w:w="113" w:type="dxa"/>
            </w:tcMar>
            <w:vAlign w:val="center"/>
          </w:tcPr>
          <w:p w14:paraId="62BFAC37" w14:textId="77777777" w:rsidR="00FA4BF1" w:rsidRPr="00FA4BF1" w:rsidRDefault="00FA4BF1" w:rsidP="00EA076F">
            <w:pPr>
              <w:pStyle w:val="CDITable-RowCentre"/>
              <w:rPr>
                <w:sz w:val="16"/>
                <w:szCs w:val="16"/>
              </w:rPr>
            </w:pPr>
            <w:r w:rsidRPr="00FA4BF1">
              <w:rPr>
                <w:sz w:val="16"/>
                <w:szCs w:val="16"/>
              </w:rPr>
              <w:t>568</w:t>
            </w:r>
          </w:p>
        </w:tc>
        <w:tc>
          <w:tcPr>
            <w:tcW w:w="567" w:type="dxa"/>
            <w:tcBorders>
              <w:bottom w:val="single" w:sz="6" w:space="0" w:color="1E4496" w:themeColor="text2"/>
              <w:right w:val="single" w:sz="6" w:space="0" w:color="1E4496" w:themeColor="text2"/>
            </w:tcBorders>
            <w:tcMar>
              <w:top w:w="96" w:type="dxa"/>
              <w:left w:w="113" w:type="dxa"/>
              <w:bottom w:w="96" w:type="dxa"/>
              <w:right w:w="113" w:type="dxa"/>
            </w:tcMar>
            <w:vAlign w:val="center"/>
          </w:tcPr>
          <w:p w14:paraId="6E3E9DC8" w14:textId="77777777" w:rsidR="00FA4BF1" w:rsidRPr="00FA4BF1" w:rsidRDefault="00FA4BF1" w:rsidP="00EA076F">
            <w:pPr>
              <w:pStyle w:val="CDITable-RowCentre"/>
              <w:rPr>
                <w:sz w:val="16"/>
                <w:szCs w:val="16"/>
              </w:rPr>
            </w:pPr>
            <w:r w:rsidRPr="00FA4BF1">
              <w:rPr>
                <w:sz w:val="16"/>
                <w:szCs w:val="16"/>
              </w:rPr>
              <w:t>94.5</w:t>
            </w:r>
          </w:p>
        </w:tc>
        <w:tc>
          <w:tcPr>
            <w:tcW w:w="589" w:type="dxa"/>
            <w:tcBorders>
              <w:left w:val="single" w:sz="6" w:space="0" w:color="1E4496" w:themeColor="text2"/>
              <w:bottom w:val="single" w:sz="6" w:space="0" w:color="1E4496" w:themeColor="text2"/>
            </w:tcBorders>
            <w:tcMar>
              <w:top w:w="96" w:type="dxa"/>
              <w:left w:w="113" w:type="dxa"/>
              <w:bottom w:w="96" w:type="dxa"/>
              <w:right w:w="113" w:type="dxa"/>
            </w:tcMar>
            <w:vAlign w:val="center"/>
          </w:tcPr>
          <w:p w14:paraId="7337FFC2" w14:textId="77777777" w:rsidR="00FA4BF1" w:rsidRPr="00FA4BF1" w:rsidRDefault="00FA4BF1" w:rsidP="00EA076F">
            <w:pPr>
              <w:pStyle w:val="CDITable-RowCentre"/>
              <w:rPr>
                <w:sz w:val="16"/>
                <w:szCs w:val="16"/>
              </w:rPr>
            </w:pPr>
            <w:r w:rsidRPr="00FA4BF1">
              <w:rPr>
                <w:sz w:val="16"/>
                <w:szCs w:val="16"/>
              </w:rPr>
              <w:t>82</w:t>
            </w:r>
          </w:p>
        </w:tc>
        <w:tc>
          <w:tcPr>
            <w:tcW w:w="567" w:type="dxa"/>
            <w:tcBorders>
              <w:bottom w:val="single" w:sz="6" w:space="0" w:color="1E4496" w:themeColor="text2"/>
            </w:tcBorders>
            <w:tcMar>
              <w:top w:w="96" w:type="dxa"/>
              <w:left w:w="113" w:type="dxa"/>
              <w:bottom w:w="96" w:type="dxa"/>
              <w:right w:w="113" w:type="dxa"/>
            </w:tcMar>
            <w:vAlign w:val="center"/>
          </w:tcPr>
          <w:p w14:paraId="465BAA4A" w14:textId="77777777" w:rsidR="00FA4BF1" w:rsidRPr="00FA4BF1" w:rsidRDefault="00FA4BF1" w:rsidP="00EA076F">
            <w:pPr>
              <w:pStyle w:val="CDITable-RowCentre"/>
              <w:rPr>
                <w:sz w:val="16"/>
                <w:szCs w:val="16"/>
              </w:rPr>
            </w:pPr>
            <w:r w:rsidRPr="00FA4BF1">
              <w:rPr>
                <w:sz w:val="16"/>
                <w:szCs w:val="16"/>
              </w:rPr>
              <w:t>13.6</w:t>
            </w:r>
          </w:p>
        </w:tc>
        <w:tc>
          <w:tcPr>
            <w:tcW w:w="590" w:type="dxa"/>
            <w:tcBorders>
              <w:bottom w:val="single" w:sz="6" w:space="0" w:color="1E4496" w:themeColor="text2"/>
            </w:tcBorders>
            <w:tcMar>
              <w:top w:w="96" w:type="dxa"/>
              <w:left w:w="113" w:type="dxa"/>
              <w:bottom w:w="96" w:type="dxa"/>
              <w:right w:w="113" w:type="dxa"/>
            </w:tcMar>
            <w:vAlign w:val="center"/>
          </w:tcPr>
          <w:p w14:paraId="45A0B99D" w14:textId="77777777" w:rsidR="00FA4BF1" w:rsidRPr="00FA4BF1" w:rsidRDefault="00FA4BF1" w:rsidP="00EA076F">
            <w:pPr>
              <w:pStyle w:val="CDITable-RowCentre"/>
              <w:rPr>
                <w:sz w:val="16"/>
                <w:szCs w:val="16"/>
              </w:rPr>
            </w:pPr>
            <w:r w:rsidRPr="00FA4BF1">
              <w:rPr>
                <w:sz w:val="16"/>
                <w:szCs w:val="16"/>
              </w:rPr>
              <w:t>519</w:t>
            </w:r>
          </w:p>
        </w:tc>
        <w:tc>
          <w:tcPr>
            <w:tcW w:w="567" w:type="dxa"/>
            <w:tcBorders>
              <w:bottom w:val="single" w:sz="6" w:space="0" w:color="1E4496" w:themeColor="text2"/>
              <w:right w:val="single" w:sz="6" w:space="0" w:color="1E4496" w:themeColor="text2"/>
            </w:tcBorders>
            <w:tcMar>
              <w:top w:w="96" w:type="dxa"/>
              <w:left w:w="113" w:type="dxa"/>
              <w:bottom w:w="96" w:type="dxa"/>
              <w:right w:w="113" w:type="dxa"/>
            </w:tcMar>
            <w:vAlign w:val="center"/>
          </w:tcPr>
          <w:p w14:paraId="41FDA8FB" w14:textId="77777777" w:rsidR="00FA4BF1" w:rsidRPr="00FA4BF1" w:rsidRDefault="00FA4BF1" w:rsidP="00EA076F">
            <w:pPr>
              <w:pStyle w:val="CDITable-RowCentre"/>
              <w:rPr>
                <w:sz w:val="16"/>
                <w:szCs w:val="16"/>
              </w:rPr>
            </w:pPr>
            <w:r w:rsidRPr="00FA4BF1">
              <w:rPr>
                <w:sz w:val="16"/>
                <w:szCs w:val="16"/>
              </w:rPr>
              <w:t>86.4</w:t>
            </w:r>
          </w:p>
        </w:tc>
        <w:tc>
          <w:tcPr>
            <w:tcW w:w="590" w:type="dxa"/>
            <w:tcBorders>
              <w:left w:val="single" w:sz="6" w:space="0" w:color="1E4496" w:themeColor="text2"/>
              <w:bottom w:val="single" w:sz="6" w:space="0" w:color="1E4496" w:themeColor="text2"/>
            </w:tcBorders>
            <w:tcMar>
              <w:top w:w="96" w:type="dxa"/>
              <w:left w:w="113" w:type="dxa"/>
              <w:bottom w:w="96" w:type="dxa"/>
              <w:right w:w="113" w:type="dxa"/>
            </w:tcMar>
            <w:vAlign w:val="center"/>
          </w:tcPr>
          <w:p w14:paraId="3B488312" w14:textId="77777777" w:rsidR="00FA4BF1" w:rsidRPr="00FA4BF1" w:rsidRDefault="00FA4BF1" w:rsidP="00EA076F">
            <w:pPr>
              <w:pStyle w:val="CDITable-RowCentre"/>
              <w:rPr>
                <w:sz w:val="16"/>
                <w:szCs w:val="16"/>
              </w:rPr>
            </w:pPr>
            <w:r w:rsidRPr="00FA4BF1">
              <w:rPr>
                <w:sz w:val="16"/>
                <w:szCs w:val="16"/>
              </w:rPr>
              <w:t>15</w:t>
            </w:r>
          </w:p>
        </w:tc>
        <w:tc>
          <w:tcPr>
            <w:tcW w:w="566" w:type="dxa"/>
            <w:tcBorders>
              <w:bottom w:val="single" w:sz="6" w:space="0" w:color="1E4496" w:themeColor="text2"/>
            </w:tcBorders>
            <w:tcMar>
              <w:top w:w="96" w:type="dxa"/>
              <w:left w:w="113" w:type="dxa"/>
              <w:bottom w:w="96" w:type="dxa"/>
              <w:right w:w="113" w:type="dxa"/>
            </w:tcMar>
            <w:vAlign w:val="center"/>
          </w:tcPr>
          <w:p w14:paraId="67D913DE" w14:textId="77777777" w:rsidR="00FA4BF1" w:rsidRPr="00FA4BF1" w:rsidRDefault="00FA4BF1" w:rsidP="00EA076F">
            <w:pPr>
              <w:pStyle w:val="CDITable-RowCentre"/>
              <w:rPr>
                <w:sz w:val="16"/>
                <w:szCs w:val="16"/>
              </w:rPr>
            </w:pPr>
            <w:r w:rsidRPr="00FA4BF1">
              <w:rPr>
                <w:sz w:val="16"/>
                <w:szCs w:val="16"/>
              </w:rPr>
              <w:t>7.8</w:t>
            </w:r>
          </w:p>
        </w:tc>
        <w:tc>
          <w:tcPr>
            <w:tcW w:w="590" w:type="dxa"/>
            <w:tcBorders>
              <w:bottom w:val="single" w:sz="6" w:space="0" w:color="1E4496" w:themeColor="text2"/>
            </w:tcBorders>
            <w:tcMar>
              <w:top w:w="96" w:type="dxa"/>
              <w:left w:w="113" w:type="dxa"/>
              <w:bottom w:w="96" w:type="dxa"/>
              <w:right w:w="113" w:type="dxa"/>
            </w:tcMar>
            <w:vAlign w:val="center"/>
          </w:tcPr>
          <w:p w14:paraId="0DDC0CAF" w14:textId="77777777" w:rsidR="00FA4BF1" w:rsidRPr="00FA4BF1" w:rsidRDefault="00FA4BF1" w:rsidP="00EA076F">
            <w:pPr>
              <w:pStyle w:val="CDITable-RowCentre"/>
              <w:rPr>
                <w:sz w:val="16"/>
                <w:szCs w:val="16"/>
              </w:rPr>
            </w:pPr>
            <w:r w:rsidRPr="00FA4BF1">
              <w:rPr>
                <w:sz w:val="16"/>
                <w:szCs w:val="16"/>
              </w:rPr>
              <w:t>177</w:t>
            </w:r>
          </w:p>
        </w:tc>
        <w:tc>
          <w:tcPr>
            <w:tcW w:w="567" w:type="dxa"/>
            <w:tcBorders>
              <w:bottom w:val="single" w:sz="6" w:space="0" w:color="1E4496" w:themeColor="text2"/>
            </w:tcBorders>
            <w:tcMar>
              <w:top w:w="96" w:type="dxa"/>
              <w:left w:w="113" w:type="dxa"/>
              <w:bottom w:w="96" w:type="dxa"/>
              <w:right w:w="113" w:type="dxa"/>
            </w:tcMar>
            <w:vAlign w:val="center"/>
          </w:tcPr>
          <w:p w14:paraId="4DDF51AB" w14:textId="77777777" w:rsidR="00FA4BF1" w:rsidRPr="00FA4BF1" w:rsidRDefault="00FA4BF1" w:rsidP="00EA076F">
            <w:pPr>
              <w:pStyle w:val="CDITable-RowCentre"/>
              <w:rPr>
                <w:sz w:val="16"/>
                <w:szCs w:val="16"/>
              </w:rPr>
            </w:pPr>
            <w:r w:rsidRPr="00FA4BF1">
              <w:rPr>
                <w:sz w:val="16"/>
                <w:szCs w:val="16"/>
              </w:rPr>
              <w:t>92.2</w:t>
            </w:r>
          </w:p>
        </w:tc>
      </w:tr>
      <w:tr w:rsidR="00B73263" w:rsidRPr="00FA4BF1" w14:paraId="60ECB314" w14:textId="77777777" w:rsidTr="00B6546F">
        <w:trPr>
          <w:trHeight w:val="60"/>
        </w:trPr>
        <w:tc>
          <w:tcPr>
            <w:tcW w:w="1361" w:type="dxa"/>
            <w:vMerge w:val="restart"/>
            <w:tcBorders>
              <w:top w:val="single" w:sz="6" w:space="0" w:color="1E4496" w:themeColor="text2"/>
              <w:bottom w:val="single" w:sz="6" w:space="0" w:color="1E4496" w:themeColor="text2"/>
            </w:tcBorders>
            <w:shd w:val="clear" w:color="auto" w:fill="DCF4FC" w:themeFill="background2" w:themeFillTint="33"/>
            <w:tcMar>
              <w:top w:w="96" w:type="dxa"/>
              <w:left w:w="113" w:type="dxa"/>
              <w:bottom w:w="96" w:type="dxa"/>
              <w:right w:w="113" w:type="dxa"/>
            </w:tcMar>
            <w:vAlign w:val="center"/>
          </w:tcPr>
          <w:p w14:paraId="1E681282" w14:textId="77777777" w:rsidR="00FA4BF1" w:rsidRPr="00FA4BF1" w:rsidRDefault="00FA4BF1" w:rsidP="00EA076F">
            <w:pPr>
              <w:pStyle w:val="CDITable-RowLeft"/>
              <w:rPr>
                <w:sz w:val="16"/>
              </w:rPr>
            </w:pPr>
            <w:r w:rsidRPr="00FA4BF1">
              <w:rPr>
                <w:sz w:val="16"/>
              </w:rPr>
              <w:t>Age (years)</w:t>
            </w:r>
          </w:p>
        </w:tc>
        <w:tc>
          <w:tcPr>
            <w:tcW w:w="1417"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199AD82D" w14:textId="77777777" w:rsidR="00FA4BF1" w:rsidRPr="00FA4BF1" w:rsidRDefault="00FA4BF1" w:rsidP="00EA076F">
            <w:pPr>
              <w:pStyle w:val="CDITable-RowLeft"/>
              <w:rPr>
                <w:sz w:val="16"/>
              </w:rPr>
            </w:pPr>
            <w:r w:rsidRPr="00FA4BF1">
              <w:rPr>
                <w:sz w:val="16"/>
              </w:rPr>
              <w:t>Median</w:t>
            </w:r>
          </w:p>
        </w:tc>
        <w:tc>
          <w:tcPr>
            <w:tcW w:w="59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6463ECBE" w14:textId="77777777" w:rsidR="00FA4BF1" w:rsidRPr="00EA076F" w:rsidRDefault="00FA4BF1" w:rsidP="00EA076F">
            <w:pPr>
              <w:pStyle w:val="CDITable-RowCentre"/>
              <w:rPr>
                <w:sz w:val="16"/>
              </w:rPr>
            </w:pPr>
            <w:r w:rsidRPr="00EA076F">
              <w:rPr>
                <w:sz w:val="16"/>
              </w:rPr>
              <w:t>2</w:t>
            </w:r>
          </w:p>
        </w:tc>
        <w:tc>
          <w:tcPr>
            <w:tcW w:w="566"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687E3047" w14:textId="77777777" w:rsidR="00FA4BF1" w:rsidRPr="00EA076F" w:rsidRDefault="00FA4BF1" w:rsidP="00EA076F">
            <w:pPr>
              <w:pStyle w:val="CDITable-RowCentre"/>
              <w:rPr>
                <w:sz w:val="16"/>
              </w:rPr>
            </w:pPr>
            <w:r w:rsidRPr="00EA076F">
              <w:rPr>
                <w:sz w:val="16"/>
              </w:rPr>
              <w:t>—</w:t>
            </w:r>
          </w:p>
        </w:tc>
        <w:tc>
          <w:tcPr>
            <w:tcW w:w="59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4C0F0C47" w14:textId="77777777" w:rsidR="00FA4BF1" w:rsidRPr="00EA076F" w:rsidRDefault="00FA4BF1" w:rsidP="00EA076F">
            <w:pPr>
              <w:pStyle w:val="CDITable-RowCentre"/>
              <w:rPr>
                <w:sz w:val="16"/>
              </w:rPr>
            </w:pPr>
            <w:r w:rsidRPr="00EA076F">
              <w:rPr>
                <w:sz w:val="16"/>
              </w:rPr>
              <w:t>1</w:t>
            </w:r>
          </w:p>
        </w:tc>
        <w:tc>
          <w:tcPr>
            <w:tcW w:w="567" w:type="dxa"/>
            <w:tcBorders>
              <w:top w:val="single" w:sz="6" w:space="0" w:color="1E4496" w:themeColor="text2"/>
              <w:bottom w:val="single" w:sz="6" w:space="0" w:color="1E4496" w:themeColor="text2"/>
              <w:right w:val="single" w:sz="6" w:space="0" w:color="1E4496" w:themeColor="text2"/>
            </w:tcBorders>
            <w:tcMar>
              <w:top w:w="96" w:type="dxa"/>
              <w:left w:w="113" w:type="dxa"/>
              <w:bottom w:w="96" w:type="dxa"/>
              <w:right w:w="113" w:type="dxa"/>
            </w:tcMar>
            <w:vAlign w:val="center"/>
          </w:tcPr>
          <w:p w14:paraId="7856DCA0" w14:textId="77777777" w:rsidR="00FA4BF1" w:rsidRPr="00EA076F" w:rsidRDefault="00FA4BF1" w:rsidP="00EA076F">
            <w:pPr>
              <w:pStyle w:val="CDITable-RowCentre"/>
              <w:rPr>
                <w:sz w:val="16"/>
              </w:rPr>
            </w:pPr>
            <w:r w:rsidRPr="00EA076F">
              <w:rPr>
                <w:sz w:val="16"/>
              </w:rPr>
              <w:t>—</w:t>
            </w:r>
          </w:p>
        </w:tc>
        <w:tc>
          <w:tcPr>
            <w:tcW w:w="590" w:type="dxa"/>
            <w:tcBorders>
              <w:top w:val="single" w:sz="6" w:space="0" w:color="1E4496" w:themeColor="text2"/>
              <w:left w:val="single" w:sz="6" w:space="0" w:color="1E4496" w:themeColor="text2"/>
              <w:bottom w:val="single" w:sz="6" w:space="0" w:color="1E4496" w:themeColor="text2"/>
            </w:tcBorders>
            <w:tcMar>
              <w:top w:w="96" w:type="dxa"/>
              <w:left w:w="113" w:type="dxa"/>
              <w:bottom w:w="96" w:type="dxa"/>
              <w:right w:w="113" w:type="dxa"/>
            </w:tcMar>
            <w:vAlign w:val="center"/>
          </w:tcPr>
          <w:p w14:paraId="375AE85A" w14:textId="77777777" w:rsidR="00FA4BF1" w:rsidRPr="00EA076F" w:rsidRDefault="00FA4BF1" w:rsidP="00EA076F">
            <w:pPr>
              <w:pStyle w:val="CDITable-RowCentre"/>
              <w:rPr>
                <w:sz w:val="16"/>
              </w:rPr>
            </w:pPr>
            <w:r w:rsidRPr="00EA076F">
              <w:rPr>
                <w:sz w:val="16"/>
              </w:rPr>
              <w:t>1</w:t>
            </w:r>
          </w:p>
        </w:tc>
        <w:tc>
          <w:tcPr>
            <w:tcW w:w="567"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359092D9" w14:textId="77777777" w:rsidR="00FA4BF1" w:rsidRPr="00EA076F" w:rsidRDefault="00FA4BF1" w:rsidP="00EA076F">
            <w:pPr>
              <w:pStyle w:val="CDITable-RowCentre"/>
              <w:rPr>
                <w:sz w:val="16"/>
              </w:rPr>
            </w:pPr>
            <w:r w:rsidRPr="00EA076F">
              <w:rPr>
                <w:sz w:val="16"/>
              </w:rPr>
              <w:t>—</w:t>
            </w:r>
          </w:p>
        </w:tc>
        <w:tc>
          <w:tcPr>
            <w:tcW w:w="589"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065E539F" w14:textId="77777777" w:rsidR="00FA4BF1" w:rsidRPr="00EA076F" w:rsidRDefault="00FA4BF1" w:rsidP="00EA076F">
            <w:pPr>
              <w:pStyle w:val="CDITable-RowCentre"/>
              <w:rPr>
                <w:sz w:val="16"/>
              </w:rPr>
            </w:pPr>
            <w:r w:rsidRPr="00EA076F">
              <w:rPr>
                <w:sz w:val="16"/>
              </w:rPr>
              <w:t>1</w:t>
            </w:r>
          </w:p>
        </w:tc>
        <w:tc>
          <w:tcPr>
            <w:tcW w:w="567" w:type="dxa"/>
            <w:tcBorders>
              <w:top w:val="single" w:sz="6" w:space="0" w:color="1E4496" w:themeColor="text2"/>
              <w:bottom w:val="single" w:sz="6" w:space="0" w:color="1E4496" w:themeColor="text2"/>
              <w:right w:val="single" w:sz="6" w:space="0" w:color="1E4496" w:themeColor="text2"/>
            </w:tcBorders>
            <w:tcMar>
              <w:top w:w="96" w:type="dxa"/>
              <w:left w:w="113" w:type="dxa"/>
              <w:bottom w:w="96" w:type="dxa"/>
              <w:right w:w="113" w:type="dxa"/>
            </w:tcMar>
            <w:vAlign w:val="center"/>
          </w:tcPr>
          <w:p w14:paraId="6BBAA47F" w14:textId="77777777" w:rsidR="00FA4BF1" w:rsidRPr="00EA076F" w:rsidRDefault="00FA4BF1" w:rsidP="00EA076F">
            <w:pPr>
              <w:pStyle w:val="CDITable-RowCentre"/>
              <w:rPr>
                <w:sz w:val="16"/>
              </w:rPr>
            </w:pPr>
            <w:r w:rsidRPr="00EA076F">
              <w:rPr>
                <w:sz w:val="16"/>
              </w:rPr>
              <w:t>—</w:t>
            </w:r>
          </w:p>
        </w:tc>
        <w:tc>
          <w:tcPr>
            <w:tcW w:w="595" w:type="dxa"/>
            <w:tcBorders>
              <w:top w:val="single" w:sz="6" w:space="0" w:color="1E4496" w:themeColor="text2"/>
              <w:left w:val="single" w:sz="6" w:space="0" w:color="1E4496" w:themeColor="text2"/>
              <w:bottom w:val="single" w:sz="6" w:space="0" w:color="1E4496" w:themeColor="text2"/>
            </w:tcBorders>
            <w:tcMar>
              <w:top w:w="96" w:type="dxa"/>
              <w:left w:w="113" w:type="dxa"/>
              <w:bottom w:w="96" w:type="dxa"/>
              <w:right w:w="113" w:type="dxa"/>
            </w:tcMar>
            <w:vAlign w:val="center"/>
          </w:tcPr>
          <w:p w14:paraId="72457CA4" w14:textId="77777777" w:rsidR="00FA4BF1" w:rsidRPr="00EA076F" w:rsidRDefault="00FA4BF1" w:rsidP="00EA076F">
            <w:pPr>
              <w:pStyle w:val="CDITable-RowCentre"/>
              <w:rPr>
                <w:sz w:val="16"/>
              </w:rPr>
            </w:pPr>
            <w:r w:rsidRPr="00EA076F">
              <w:rPr>
                <w:sz w:val="16"/>
              </w:rPr>
              <w:t>1</w:t>
            </w:r>
          </w:p>
        </w:tc>
        <w:tc>
          <w:tcPr>
            <w:tcW w:w="567"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6ECB9DFB" w14:textId="77777777" w:rsidR="00FA4BF1" w:rsidRPr="00EA076F" w:rsidRDefault="00FA4BF1" w:rsidP="00EA076F">
            <w:pPr>
              <w:pStyle w:val="CDITable-RowCentre"/>
              <w:rPr>
                <w:sz w:val="16"/>
              </w:rPr>
            </w:pPr>
            <w:r w:rsidRPr="00EA076F">
              <w:rPr>
                <w:sz w:val="16"/>
              </w:rPr>
              <w:t>—</w:t>
            </w:r>
          </w:p>
        </w:tc>
        <w:tc>
          <w:tcPr>
            <w:tcW w:w="59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14789083" w14:textId="77777777" w:rsidR="00FA4BF1" w:rsidRPr="00EA076F" w:rsidRDefault="00FA4BF1" w:rsidP="00EA076F">
            <w:pPr>
              <w:pStyle w:val="CDITable-RowCentre"/>
              <w:rPr>
                <w:sz w:val="16"/>
              </w:rPr>
            </w:pPr>
            <w:r w:rsidRPr="00EA076F">
              <w:rPr>
                <w:sz w:val="16"/>
              </w:rPr>
              <w:t>6</w:t>
            </w:r>
          </w:p>
        </w:tc>
        <w:tc>
          <w:tcPr>
            <w:tcW w:w="567" w:type="dxa"/>
            <w:tcBorders>
              <w:top w:val="single" w:sz="6" w:space="0" w:color="1E4496" w:themeColor="text2"/>
              <w:bottom w:val="single" w:sz="6" w:space="0" w:color="1E4496" w:themeColor="text2"/>
              <w:right w:val="single" w:sz="6" w:space="0" w:color="1E4496" w:themeColor="text2"/>
            </w:tcBorders>
            <w:tcMar>
              <w:top w:w="96" w:type="dxa"/>
              <w:left w:w="113" w:type="dxa"/>
              <w:bottom w:w="96" w:type="dxa"/>
              <w:right w:w="113" w:type="dxa"/>
            </w:tcMar>
            <w:vAlign w:val="center"/>
          </w:tcPr>
          <w:p w14:paraId="704C9B79" w14:textId="77777777" w:rsidR="00FA4BF1" w:rsidRPr="00EA076F" w:rsidRDefault="00FA4BF1" w:rsidP="00EA076F">
            <w:pPr>
              <w:pStyle w:val="CDITable-RowCentre"/>
              <w:rPr>
                <w:sz w:val="16"/>
              </w:rPr>
            </w:pPr>
            <w:r w:rsidRPr="00EA076F">
              <w:rPr>
                <w:sz w:val="16"/>
              </w:rPr>
              <w:t>—</w:t>
            </w:r>
          </w:p>
        </w:tc>
        <w:tc>
          <w:tcPr>
            <w:tcW w:w="589" w:type="dxa"/>
            <w:tcBorders>
              <w:top w:val="single" w:sz="6" w:space="0" w:color="1E4496" w:themeColor="text2"/>
              <w:left w:val="single" w:sz="6" w:space="0" w:color="1E4496" w:themeColor="text2"/>
              <w:bottom w:val="single" w:sz="6" w:space="0" w:color="1E4496" w:themeColor="text2"/>
            </w:tcBorders>
            <w:tcMar>
              <w:top w:w="96" w:type="dxa"/>
              <w:left w:w="113" w:type="dxa"/>
              <w:bottom w:w="96" w:type="dxa"/>
              <w:right w:w="113" w:type="dxa"/>
            </w:tcMar>
            <w:vAlign w:val="center"/>
          </w:tcPr>
          <w:p w14:paraId="45F55F67" w14:textId="77777777" w:rsidR="00FA4BF1" w:rsidRPr="00EA076F" w:rsidRDefault="00FA4BF1" w:rsidP="00EA076F">
            <w:pPr>
              <w:pStyle w:val="CDITable-RowCentre"/>
              <w:rPr>
                <w:sz w:val="16"/>
              </w:rPr>
            </w:pPr>
            <w:r w:rsidRPr="00EA076F">
              <w:rPr>
                <w:sz w:val="16"/>
              </w:rPr>
              <w:t>5</w:t>
            </w:r>
          </w:p>
        </w:tc>
        <w:tc>
          <w:tcPr>
            <w:tcW w:w="567"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7159C25D" w14:textId="77777777" w:rsidR="00FA4BF1" w:rsidRPr="00EA076F" w:rsidRDefault="00FA4BF1" w:rsidP="00EA076F">
            <w:pPr>
              <w:pStyle w:val="CDITable-RowCentre"/>
              <w:rPr>
                <w:sz w:val="16"/>
              </w:rPr>
            </w:pPr>
            <w:r w:rsidRPr="00EA076F">
              <w:rPr>
                <w:sz w:val="16"/>
              </w:rPr>
              <w:t>—</w:t>
            </w:r>
          </w:p>
        </w:tc>
        <w:tc>
          <w:tcPr>
            <w:tcW w:w="59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1B8262B9" w14:textId="77777777" w:rsidR="00FA4BF1" w:rsidRPr="00EA076F" w:rsidRDefault="00FA4BF1" w:rsidP="00EA076F">
            <w:pPr>
              <w:pStyle w:val="CDITable-RowCentre"/>
              <w:rPr>
                <w:sz w:val="16"/>
              </w:rPr>
            </w:pPr>
            <w:r w:rsidRPr="00EA076F">
              <w:rPr>
                <w:sz w:val="16"/>
              </w:rPr>
              <w:t>6</w:t>
            </w:r>
          </w:p>
        </w:tc>
        <w:tc>
          <w:tcPr>
            <w:tcW w:w="567" w:type="dxa"/>
            <w:tcBorders>
              <w:top w:val="single" w:sz="6" w:space="0" w:color="1E4496" w:themeColor="text2"/>
              <w:bottom w:val="single" w:sz="6" w:space="0" w:color="1E4496" w:themeColor="text2"/>
              <w:right w:val="single" w:sz="6" w:space="0" w:color="1E4496" w:themeColor="text2"/>
            </w:tcBorders>
            <w:tcMar>
              <w:top w:w="96" w:type="dxa"/>
              <w:left w:w="113" w:type="dxa"/>
              <w:bottom w:w="96" w:type="dxa"/>
              <w:right w:w="113" w:type="dxa"/>
            </w:tcMar>
            <w:vAlign w:val="center"/>
          </w:tcPr>
          <w:p w14:paraId="74120D46" w14:textId="77777777" w:rsidR="00FA4BF1" w:rsidRPr="00EA076F" w:rsidRDefault="00FA4BF1" w:rsidP="00EA076F">
            <w:pPr>
              <w:pStyle w:val="CDITable-RowCentre"/>
              <w:rPr>
                <w:sz w:val="16"/>
              </w:rPr>
            </w:pPr>
            <w:r w:rsidRPr="00EA076F">
              <w:rPr>
                <w:sz w:val="16"/>
              </w:rPr>
              <w:t>—</w:t>
            </w:r>
          </w:p>
        </w:tc>
        <w:tc>
          <w:tcPr>
            <w:tcW w:w="590" w:type="dxa"/>
            <w:tcBorders>
              <w:top w:val="single" w:sz="6" w:space="0" w:color="1E4496" w:themeColor="text2"/>
              <w:left w:val="single" w:sz="6" w:space="0" w:color="1E4496" w:themeColor="text2"/>
              <w:bottom w:val="single" w:sz="6" w:space="0" w:color="1E4496" w:themeColor="text2"/>
            </w:tcBorders>
            <w:tcMar>
              <w:top w:w="96" w:type="dxa"/>
              <w:left w:w="113" w:type="dxa"/>
              <w:bottom w:w="96" w:type="dxa"/>
              <w:right w:w="113" w:type="dxa"/>
            </w:tcMar>
            <w:vAlign w:val="center"/>
          </w:tcPr>
          <w:p w14:paraId="73942DDD" w14:textId="77777777" w:rsidR="00FA4BF1" w:rsidRPr="00EA076F" w:rsidRDefault="00FA4BF1" w:rsidP="00EA076F">
            <w:pPr>
              <w:pStyle w:val="CDITable-RowCentre"/>
              <w:rPr>
                <w:sz w:val="16"/>
              </w:rPr>
            </w:pPr>
            <w:r w:rsidRPr="00EA076F">
              <w:rPr>
                <w:sz w:val="16"/>
              </w:rPr>
              <w:t>13</w:t>
            </w:r>
          </w:p>
        </w:tc>
        <w:tc>
          <w:tcPr>
            <w:tcW w:w="566"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16B065CF" w14:textId="77777777" w:rsidR="00FA4BF1" w:rsidRPr="00EA076F" w:rsidRDefault="00FA4BF1" w:rsidP="00EA076F">
            <w:pPr>
              <w:pStyle w:val="CDITable-RowCentre"/>
              <w:rPr>
                <w:sz w:val="16"/>
              </w:rPr>
            </w:pPr>
            <w:r w:rsidRPr="00EA076F">
              <w:rPr>
                <w:sz w:val="16"/>
              </w:rPr>
              <w:t>—</w:t>
            </w:r>
          </w:p>
        </w:tc>
        <w:tc>
          <w:tcPr>
            <w:tcW w:w="59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083E66AE" w14:textId="77777777" w:rsidR="00FA4BF1" w:rsidRPr="00EA076F" w:rsidRDefault="00FA4BF1" w:rsidP="00EA076F">
            <w:pPr>
              <w:pStyle w:val="CDITable-RowCentre"/>
              <w:rPr>
                <w:sz w:val="16"/>
              </w:rPr>
            </w:pPr>
            <w:r w:rsidRPr="00EA076F">
              <w:rPr>
                <w:sz w:val="16"/>
              </w:rPr>
              <w:t>&lt; 1</w:t>
            </w:r>
          </w:p>
        </w:tc>
        <w:tc>
          <w:tcPr>
            <w:tcW w:w="567"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5CF5E8B1" w14:textId="77777777" w:rsidR="00FA4BF1" w:rsidRPr="00EA076F" w:rsidRDefault="00FA4BF1" w:rsidP="00EA076F">
            <w:pPr>
              <w:pStyle w:val="CDITable-RowCentre"/>
              <w:rPr>
                <w:sz w:val="16"/>
              </w:rPr>
            </w:pPr>
            <w:r w:rsidRPr="00EA076F">
              <w:rPr>
                <w:sz w:val="16"/>
              </w:rPr>
              <w:t>—</w:t>
            </w:r>
          </w:p>
        </w:tc>
      </w:tr>
      <w:tr w:rsidR="00B73263" w:rsidRPr="00FA4BF1" w14:paraId="1C9EF065" w14:textId="77777777" w:rsidTr="00B6546F">
        <w:trPr>
          <w:trHeight w:val="60"/>
        </w:trPr>
        <w:tc>
          <w:tcPr>
            <w:tcW w:w="1361" w:type="dxa"/>
            <w:vMerge/>
            <w:tcBorders>
              <w:bottom w:val="single" w:sz="6" w:space="0" w:color="1E4496" w:themeColor="text2"/>
            </w:tcBorders>
            <w:shd w:val="clear" w:color="auto" w:fill="DCF4FC" w:themeFill="background2" w:themeFillTint="33"/>
            <w:tcMar>
              <w:top w:w="96" w:type="dxa"/>
              <w:bottom w:w="96" w:type="dxa"/>
            </w:tcMar>
          </w:tcPr>
          <w:p w14:paraId="739EEBDE" w14:textId="77777777" w:rsidR="00FA4BF1" w:rsidRPr="00FA4BF1" w:rsidRDefault="00FA4BF1" w:rsidP="00EA076F">
            <w:pPr>
              <w:pStyle w:val="CDITable-RowLeft"/>
              <w:rPr>
                <w:sz w:val="16"/>
              </w:rPr>
            </w:pPr>
          </w:p>
        </w:tc>
        <w:tc>
          <w:tcPr>
            <w:tcW w:w="1417"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32CB892D" w14:textId="77777777" w:rsidR="00FA4BF1" w:rsidRPr="00FA4BF1" w:rsidRDefault="00FA4BF1" w:rsidP="00EA076F">
            <w:pPr>
              <w:pStyle w:val="CDITable-RowLeft"/>
              <w:rPr>
                <w:sz w:val="16"/>
              </w:rPr>
            </w:pPr>
            <w:proofErr w:type="spellStart"/>
            <w:r w:rsidRPr="00FA4BF1">
              <w:rPr>
                <w:sz w:val="16"/>
              </w:rPr>
              <w:t>IQR</w:t>
            </w:r>
            <w:r w:rsidRPr="00B73263">
              <w:rPr>
                <w:sz w:val="16"/>
                <w:vertAlign w:val="superscript"/>
              </w:rPr>
              <w:t>d</w:t>
            </w:r>
            <w:proofErr w:type="spellEnd"/>
          </w:p>
        </w:tc>
        <w:tc>
          <w:tcPr>
            <w:tcW w:w="59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455A61FB" w14:textId="77777777" w:rsidR="00FA4BF1" w:rsidRPr="00EA076F" w:rsidRDefault="00FA4BF1" w:rsidP="00EA076F">
            <w:pPr>
              <w:pStyle w:val="CDITable-RowCentre"/>
              <w:rPr>
                <w:sz w:val="16"/>
              </w:rPr>
            </w:pPr>
            <w:r w:rsidRPr="00EA076F">
              <w:rPr>
                <w:sz w:val="16"/>
              </w:rPr>
              <w:t>0–11</w:t>
            </w:r>
          </w:p>
        </w:tc>
        <w:tc>
          <w:tcPr>
            <w:tcW w:w="566"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376DC3D5" w14:textId="77777777" w:rsidR="00FA4BF1" w:rsidRPr="00EA076F" w:rsidRDefault="00FA4BF1" w:rsidP="00EA076F">
            <w:pPr>
              <w:pStyle w:val="CDITable-RowCentre"/>
              <w:rPr>
                <w:sz w:val="16"/>
              </w:rPr>
            </w:pPr>
            <w:r w:rsidRPr="00EA076F">
              <w:rPr>
                <w:sz w:val="16"/>
              </w:rPr>
              <w:t>—</w:t>
            </w:r>
          </w:p>
        </w:tc>
        <w:tc>
          <w:tcPr>
            <w:tcW w:w="59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08FEA091" w14:textId="77777777" w:rsidR="00FA4BF1" w:rsidRPr="00EA076F" w:rsidRDefault="00FA4BF1" w:rsidP="00EA076F">
            <w:pPr>
              <w:pStyle w:val="CDITable-RowCentre"/>
              <w:rPr>
                <w:sz w:val="16"/>
              </w:rPr>
            </w:pPr>
            <w:r w:rsidRPr="00EA076F">
              <w:rPr>
                <w:sz w:val="16"/>
              </w:rPr>
              <w:t>0–8</w:t>
            </w:r>
          </w:p>
        </w:tc>
        <w:tc>
          <w:tcPr>
            <w:tcW w:w="567" w:type="dxa"/>
            <w:tcBorders>
              <w:top w:val="single" w:sz="6" w:space="0" w:color="1E4496" w:themeColor="text2"/>
              <w:bottom w:val="single" w:sz="6" w:space="0" w:color="1E4496" w:themeColor="text2"/>
              <w:right w:val="single" w:sz="6" w:space="0" w:color="1E4496" w:themeColor="text2"/>
            </w:tcBorders>
            <w:tcMar>
              <w:top w:w="96" w:type="dxa"/>
              <w:left w:w="113" w:type="dxa"/>
              <w:bottom w:w="96" w:type="dxa"/>
              <w:right w:w="113" w:type="dxa"/>
            </w:tcMar>
            <w:vAlign w:val="center"/>
          </w:tcPr>
          <w:p w14:paraId="2B629A84" w14:textId="77777777" w:rsidR="00FA4BF1" w:rsidRPr="00EA076F" w:rsidRDefault="00FA4BF1" w:rsidP="00EA076F">
            <w:pPr>
              <w:pStyle w:val="CDITable-RowCentre"/>
              <w:rPr>
                <w:sz w:val="16"/>
              </w:rPr>
            </w:pPr>
            <w:r w:rsidRPr="00EA076F">
              <w:rPr>
                <w:sz w:val="16"/>
              </w:rPr>
              <w:t>—</w:t>
            </w:r>
          </w:p>
        </w:tc>
        <w:tc>
          <w:tcPr>
            <w:tcW w:w="590" w:type="dxa"/>
            <w:tcBorders>
              <w:top w:val="single" w:sz="6" w:space="0" w:color="1E4496" w:themeColor="text2"/>
              <w:left w:val="single" w:sz="6" w:space="0" w:color="1E4496" w:themeColor="text2"/>
              <w:bottom w:val="single" w:sz="6" w:space="0" w:color="1E4496" w:themeColor="text2"/>
            </w:tcBorders>
            <w:tcMar>
              <w:top w:w="96" w:type="dxa"/>
              <w:left w:w="113" w:type="dxa"/>
              <w:bottom w:w="96" w:type="dxa"/>
              <w:right w:w="113" w:type="dxa"/>
            </w:tcMar>
            <w:vAlign w:val="center"/>
          </w:tcPr>
          <w:p w14:paraId="00CE8A81" w14:textId="77777777" w:rsidR="00FA4BF1" w:rsidRPr="00EA076F" w:rsidRDefault="00FA4BF1" w:rsidP="00EA076F">
            <w:pPr>
              <w:pStyle w:val="CDITable-RowCentre"/>
              <w:rPr>
                <w:sz w:val="16"/>
              </w:rPr>
            </w:pPr>
            <w:r w:rsidRPr="00EA076F">
              <w:rPr>
                <w:sz w:val="16"/>
              </w:rPr>
              <w:t>0–11</w:t>
            </w:r>
          </w:p>
        </w:tc>
        <w:tc>
          <w:tcPr>
            <w:tcW w:w="567"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0EA43475" w14:textId="77777777" w:rsidR="00FA4BF1" w:rsidRPr="00EA076F" w:rsidRDefault="00FA4BF1" w:rsidP="00EA076F">
            <w:pPr>
              <w:pStyle w:val="CDITable-RowCentre"/>
              <w:rPr>
                <w:sz w:val="16"/>
              </w:rPr>
            </w:pPr>
            <w:r w:rsidRPr="00EA076F">
              <w:rPr>
                <w:sz w:val="16"/>
              </w:rPr>
              <w:t>—</w:t>
            </w:r>
          </w:p>
        </w:tc>
        <w:tc>
          <w:tcPr>
            <w:tcW w:w="589"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4C7D2BD2" w14:textId="77777777" w:rsidR="00FA4BF1" w:rsidRPr="00EA076F" w:rsidRDefault="00FA4BF1" w:rsidP="00EA076F">
            <w:pPr>
              <w:pStyle w:val="CDITable-RowCentre"/>
              <w:rPr>
                <w:sz w:val="16"/>
              </w:rPr>
            </w:pPr>
            <w:r w:rsidRPr="00EA076F">
              <w:rPr>
                <w:sz w:val="16"/>
              </w:rPr>
              <w:t>0–8</w:t>
            </w:r>
          </w:p>
        </w:tc>
        <w:tc>
          <w:tcPr>
            <w:tcW w:w="567" w:type="dxa"/>
            <w:tcBorders>
              <w:top w:val="single" w:sz="6" w:space="0" w:color="1E4496" w:themeColor="text2"/>
              <w:bottom w:val="single" w:sz="6" w:space="0" w:color="1E4496" w:themeColor="text2"/>
              <w:right w:val="single" w:sz="6" w:space="0" w:color="1E4496" w:themeColor="text2"/>
            </w:tcBorders>
            <w:tcMar>
              <w:top w:w="96" w:type="dxa"/>
              <w:left w:w="113" w:type="dxa"/>
              <w:bottom w:w="96" w:type="dxa"/>
              <w:right w:w="113" w:type="dxa"/>
            </w:tcMar>
            <w:vAlign w:val="center"/>
          </w:tcPr>
          <w:p w14:paraId="7906E8EC" w14:textId="77777777" w:rsidR="00FA4BF1" w:rsidRPr="00EA076F" w:rsidRDefault="00FA4BF1" w:rsidP="00EA076F">
            <w:pPr>
              <w:pStyle w:val="CDITable-RowCentre"/>
              <w:rPr>
                <w:sz w:val="16"/>
              </w:rPr>
            </w:pPr>
            <w:r w:rsidRPr="00EA076F">
              <w:rPr>
                <w:sz w:val="16"/>
              </w:rPr>
              <w:t>—</w:t>
            </w:r>
          </w:p>
        </w:tc>
        <w:tc>
          <w:tcPr>
            <w:tcW w:w="595" w:type="dxa"/>
            <w:tcBorders>
              <w:top w:val="single" w:sz="6" w:space="0" w:color="1E4496" w:themeColor="text2"/>
              <w:left w:val="single" w:sz="6" w:space="0" w:color="1E4496" w:themeColor="text2"/>
              <w:bottom w:val="single" w:sz="6" w:space="0" w:color="1E4496" w:themeColor="text2"/>
            </w:tcBorders>
            <w:tcMar>
              <w:top w:w="96" w:type="dxa"/>
              <w:left w:w="113" w:type="dxa"/>
              <w:bottom w:w="96" w:type="dxa"/>
              <w:right w:w="113" w:type="dxa"/>
            </w:tcMar>
            <w:vAlign w:val="center"/>
          </w:tcPr>
          <w:p w14:paraId="19228EC9" w14:textId="77777777" w:rsidR="00FA4BF1" w:rsidRPr="00EA076F" w:rsidRDefault="00FA4BF1" w:rsidP="00EA076F">
            <w:pPr>
              <w:pStyle w:val="CDITable-RowCentre"/>
              <w:rPr>
                <w:sz w:val="16"/>
              </w:rPr>
            </w:pPr>
            <w:r w:rsidRPr="00EA076F">
              <w:rPr>
                <w:sz w:val="16"/>
              </w:rPr>
              <w:t>0–4</w:t>
            </w:r>
          </w:p>
        </w:tc>
        <w:tc>
          <w:tcPr>
            <w:tcW w:w="567"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5DCC81F8" w14:textId="77777777" w:rsidR="00FA4BF1" w:rsidRPr="00EA076F" w:rsidRDefault="00FA4BF1" w:rsidP="00EA076F">
            <w:pPr>
              <w:pStyle w:val="CDITable-RowCentre"/>
              <w:rPr>
                <w:sz w:val="16"/>
              </w:rPr>
            </w:pPr>
            <w:r w:rsidRPr="00EA076F">
              <w:rPr>
                <w:sz w:val="16"/>
              </w:rPr>
              <w:t>—</w:t>
            </w:r>
          </w:p>
        </w:tc>
        <w:tc>
          <w:tcPr>
            <w:tcW w:w="59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09A2F5D7" w14:textId="77777777" w:rsidR="00FA4BF1" w:rsidRPr="00EA076F" w:rsidRDefault="00FA4BF1" w:rsidP="00EA076F">
            <w:pPr>
              <w:pStyle w:val="CDITable-RowCentre"/>
              <w:rPr>
                <w:sz w:val="16"/>
              </w:rPr>
            </w:pPr>
            <w:r w:rsidRPr="00EA076F">
              <w:rPr>
                <w:sz w:val="16"/>
              </w:rPr>
              <w:t>0–12</w:t>
            </w:r>
          </w:p>
        </w:tc>
        <w:tc>
          <w:tcPr>
            <w:tcW w:w="567" w:type="dxa"/>
            <w:tcBorders>
              <w:top w:val="single" w:sz="6" w:space="0" w:color="1E4496" w:themeColor="text2"/>
              <w:bottom w:val="single" w:sz="6" w:space="0" w:color="1E4496" w:themeColor="text2"/>
              <w:right w:val="single" w:sz="6" w:space="0" w:color="1E4496" w:themeColor="text2"/>
            </w:tcBorders>
            <w:tcMar>
              <w:top w:w="96" w:type="dxa"/>
              <w:left w:w="113" w:type="dxa"/>
              <w:bottom w:w="96" w:type="dxa"/>
              <w:right w:w="113" w:type="dxa"/>
            </w:tcMar>
            <w:vAlign w:val="center"/>
          </w:tcPr>
          <w:p w14:paraId="4BBDFE6A" w14:textId="77777777" w:rsidR="00FA4BF1" w:rsidRPr="00EA076F" w:rsidRDefault="00FA4BF1" w:rsidP="00EA076F">
            <w:pPr>
              <w:pStyle w:val="CDITable-RowCentre"/>
              <w:rPr>
                <w:sz w:val="16"/>
              </w:rPr>
            </w:pPr>
            <w:r w:rsidRPr="00EA076F">
              <w:rPr>
                <w:sz w:val="16"/>
              </w:rPr>
              <w:t>—</w:t>
            </w:r>
          </w:p>
        </w:tc>
        <w:tc>
          <w:tcPr>
            <w:tcW w:w="589" w:type="dxa"/>
            <w:tcBorders>
              <w:top w:val="single" w:sz="6" w:space="0" w:color="1E4496" w:themeColor="text2"/>
              <w:left w:val="single" w:sz="6" w:space="0" w:color="1E4496" w:themeColor="text2"/>
              <w:bottom w:val="single" w:sz="6" w:space="0" w:color="1E4496" w:themeColor="text2"/>
            </w:tcBorders>
            <w:tcMar>
              <w:top w:w="96" w:type="dxa"/>
              <w:left w:w="113" w:type="dxa"/>
              <w:bottom w:w="96" w:type="dxa"/>
              <w:right w:w="113" w:type="dxa"/>
            </w:tcMar>
            <w:vAlign w:val="center"/>
          </w:tcPr>
          <w:p w14:paraId="52D60305" w14:textId="77777777" w:rsidR="00FA4BF1" w:rsidRPr="00EA076F" w:rsidRDefault="00FA4BF1" w:rsidP="00EA076F">
            <w:pPr>
              <w:pStyle w:val="CDITable-RowCentre"/>
              <w:rPr>
                <w:sz w:val="16"/>
              </w:rPr>
            </w:pPr>
            <w:r w:rsidRPr="00EA076F">
              <w:rPr>
                <w:sz w:val="16"/>
              </w:rPr>
              <w:t>1–10</w:t>
            </w:r>
          </w:p>
        </w:tc>
        <w:tc>
          <w:tcPr>
            <w:tcW w:w="567"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773EC0D6" w14:textId="77777777" w:rsidR="00FA4BF1" w:rsidRPr="00EA076F" w:rsidRDefault="00FA4BF1" w:rsidP="00EA076F">
            <w:pPr>
              <w:pStyle w:val="CDITable-RowCentre"/>
              <w:rPr>
                <w:sz w:val="16"/>
              </w:rPr>
            </w:pPr>
            <w:r w:rsidRPr="00EA076F">
              <w:rPr>
                <w:sz w:val="16"/>
              </w:rPr>
              <w:t>—</w:t>
            </w:r>
          </w:p>
        </w:tc>
        <w:tc>
          <w:tcPr>
            <w:tcW w:w="59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3D78D2C5" w14:textId="77777777" w:rsidR="00FA4BF1" w:rsidRPr="00EA076F" w:rsidRDefault="00FA4BF1" w:rsidP="00EA076F">
            <w:pPr>
              <w:pStyle w:val="CDITable-RowCentre"/>
              <w:rPr>
                <w:sz w:val="16"/>
              </w:rPr>
            </w:pPr>
            <w:r w:rsidRPr="00EA076F">
              <w:rPr>
                <w:sz w:val="16"/>
              </w:rPr>
              <w:t>0–12</w:t>
            </w:r>
          </w:p>
        </w:tc>
        <w:tc>
          <w:tcPr>
            <w:tcW w:w="567" w:type="dxa"/>
            <w:tcBorders>
              <w:top w:val="single" w:sz="6" w:space="0" w:color="1E4496" w:themeColor="text2"/>
              <w:bottom w:val="single" w:sz="6" w:space="0" w:color="1E4496" w:themeColor="text2"/>
              <w:right w:val="single" w:sz="6" w:space="0" w:color="1E4496" w:themeColor="text2"/>
            </w:tcBorders>
            <w:tcMar>
              <w:top w:w="96" w:type="dxa"/>
              <w:left w:w="113" w:type="dxa"/>
              <w:bottom w:w="96" w:type="dxa"/>
              <w:right w:w="113" w:type="dxa"/>
            </w:tcMar>
            <w:vAlign w:val="center"/>
          </w:tcPr>
          <w:p w14:paraId="5F3AA150" w14:textId="77777777" w:rsidR="00FA4BF1" w:rsidRPr="00EA076F" w:rsidRDefault="00FA4BF1" w:rsidP="00EA076F">
            <w:pPr>
              <w:pStyle w:val="CDITable-RowCentre"/>
              <w:rPr>
                <w:sz w:val="16"/>
              </w:rPr>
            </w:pPr>
            <w:r w:rsidRPr="00EA076F">
              <w:rPr>
                <w:sz w:val="16"/>
              </w:rPr>
              <w:t>—</w:t>
            </w:r>
          </w:p>
        </w:tc>
        <w:tc>
          <w:tcPr>
            <w:tcW w:w="590" w:type="dxa"/>
            <w:tcBorders>
              <w:top w:val="single" w:sz="6" w:space="0" w:color="1E4496" w:themeColor="text2"/>
              <w:left w:val="single" w:sz="6" w:space="0" w:color="1E4496" w:themeColor="text2"/>
              <w:bottom w:val="single" w:sz="6" w:space="0" w:color="1E4496" w:themeColor="text2"/>
            </w:tcBorders>
            <w:tcMar>
              <w:top w:w="96" w:type="dxa"/>
              <w:left w:w="113" w:type="dxa"/>
              <w:bottom w:w="96" w:type="dxa"/>
              <w:right w:w="113" w:type="dxa"/>
            </w:tcMar>
            <w:vAlign w:val="center"/>
          </w:tcPr>
          <w:p w14:paraId="674B5A6B" w14:textId="77777777" w:rsidR="00FA4BF1" w:rsidRPr="00EA076F" w:rsidRDefault="00FA4BF1" w:rsidP="00EA076F">
            <w:pPr>
              <w:pStyle w:val="CDITable-RowCentre"/>
              <w:rPr>
                <w:sz w:val="16"/>
              </w:rPr>
            </w:pPr>
            <w:r w:rsidRPr="00EA076F">
              <w:rPr>
                <w:sz w:val="16"/>
              </w:rPr>
              <w:t>1–15</w:t>
            </w:r>
          </w:p>
        </w:tc>
        <w:tc>
          <w:tcPr>
            <w:tcW w:w="566"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50D8AB56" w14:textId="77777777" w:rsidR="00FA4BF1" w:rsidRPr="00EA076F" w:rsidRDefault="00FA4BF1" w:rsidP="00EA076F">
            <w:pPr>
              <w:pStyle w:val="CDITable-RowCentre"/>
              <w:rPr>
                <w:sz w:val="16"/>
              </w:rPr>
            </w:pPr>
            <w:r w:rsidRPr="00EA076F">
              <w:rPr>
                <w:sz w:val="16"/>
              </w:rPr>
              <w:t>—</w:t>
            </w:r>
          </w:p>
        </w:tc>
        <w:tc>
          <w:tcPr>
            <w:tcW w:w="59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2331F4BC" w14:textId="77777777" w:rsidR="00FA4BF1" w:rsidRPr="00EA076F" w:rsidRDefault="00FA4BF1" w:rsidP="00EA076F">
            <w:pPr>
              <w:pStyle w:val="CDITable-RowCentre"/>
              <w:rPr>
                <w:sz w:val="16"/>
              </w:rPr>
            </w:pPr>
            <w:r w:rsidRPr="00EA076F">
              <w:rPr>
                <w:sz w:val="16"/>
              </w:rPr>
              <w:t>0–4</w:t>
            </w:r>
          </w:p>
        </w:tc>
        <w:tc>
          <w:tcPr>
            <w:tcW w:w="567"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4E8698C1" w14:textId="77777777" w:rsidR="00FA4BF1" w:rsidRPr="00EA076F" w:rsidRDefault="00FA4BF1" w:rsidP="00EA076F">
            <w:pPr>
              <w:pStyle w:val="CDITable-RowCentre"/>
              <w:rPr>
                <w:sz w:val="16"/>
              </w:rPr>
            </w:pPr>
            <w:r w:rsidRPr="00EA076F">
              <w:rPr>
                <w:sz w:val="16"/>
              </w:rPr>
              <w:t>—</w:t>
            </w:r>
          </w:p>
        </w:tc>
      </w:tr>
      <w:tr w:rsidR="00B73263" w:rsidRPr="00FA4BF1" w14:paraId="76337D6F" w14:textId="77777777" w:rsidTr="00B6546F">
        <w:trPr>
          <w:trHeight w:val="60"/>
        </w:trPr>
        <w:tc>
          <w:tcPr>
            <w:tcW w:w="1361" w:type="dxa"/>
            <w:vMerge w:val="restart"/>
            <w:tcBorders>
              <w:top w:val="single" w:sz="6" w:space="0" w:color="1E4496" w:themeColor="text2"/>
              <w:bottom w:val="single" w:sz="6" w:space="0" w:color="1E4496" w:themeColor="text2"/>
            </w:tcBorders>
            <w:shd w:val="clear" w:color="auto" w:fill="DCF4FC" w:themeFill="background2" w:themeFillTint="33"/>
            <w:tcMar>
              <w:top w:w="96" w:type="dxa"/>
              <w:left w:w="113" w:type="dxa"/>
              <w:bottom w:w="96" w:type="dxa"/>
              <w:right w:w="113" w:type="dxa"/>
            </w:tcMar>
            <w:vAlign w:val="center"/>
          </w:tcPr>
          <w:p w14:paraId="187902B9" w14:textId="77777777" w:rsidR="00FA4BF1" w:rsidRPr="00FA4BF1" w:rsidRDefault="00FA4BF1" w:rsidP="00EA076F">
            <w:pPr>
              <w:pStyle w:val="CDITable-RowLeft"/>
              <w:rPr>
                <w:sz w:val="16"/>
              </w:rPr>
            </w:pPr>
            <w:r w:rsidRPr="00FA4BF1">
              <w:rPr>
                <w:sz w:val="16"/>
              </w:rPr>
              <w:t>Age group</w:t>
            </w:r>
          </w:p>
        </w:tc>
        <w:tc>
          <w:tcPr>
            <w:tcW w:w="1417"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756A373D" w14:textId="77777777" w:rsidR="00FA4BF1" w:rsidRPr="00FA4BF1" w:rsidRDefault="00FA4BF1" w:rsidP="00EA076F">
            <w:pPr>
              <w:pStyle w:val="CDITable-RowLeft"/>
              <w:rPr>
                <w:sz w:val="16"/>
              </w:rPr>
            </w:pPr>
            <w:r w:rsidRPr="00FA4BF1">
              <w:rPr>
                <w:sz w:val="16"/>
              </w:rPr>
              <w:t>≤ 28 days</w:t>
            </w:r>
          </w:p>
        </w:tc>
        <w:tc>
          <w:tcPr>
            <w:tcW w:w="59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06D61CAB" w14:textId="77777777" w:rsidR="00FA4BF1" w:rsidRPr="00EA076F" w:rsidRDefault="00FA4BF1" w:rsidP="00EA076F">
            <w:pPr>
              <w:pStyle w:val="CDITable-RowCentre"/>
              <w:rPr>
                <w:sz w:val="16"/>
              </w:rPr>
            </w:pPr>
            <w:r w:rsidRPr="00EA076F">
              <w:rPr>
                <w:sz w:val="16"/>
              </w:rPr>
              <w:t>40</w:t>
            </w:r>
          </w:p>
        </w:tc>
        <w:tc>
          <w:tcPr>
            <w:tcW w:w="566"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5F168930" w14:textId="77777777" w:rsidR="00FA4BF1" w:rsidRPr="00EA076F" w:rsidRDefault="00FA4BF1" w:rsidP="00EA076F">
            <w:pPr>
              <w:pStyle w:val="CDITable-RowCentre"/>
              <w:rPr>
                <w:sz w:val="16"/>
              </w:rPr>
            </w:pPr>
            <w:r w:rsidRPr="00EA076F">
              <w:rPr>
                <w:sz w:val="16"/>
              </w:rPr>
              <w:t>20.7</w:t>
            </w:r>
          </w:p>
        </w:tc>
        <w:tc>
          <w:tcPr>
            <w:tcW w:w="59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7E99D1B2" w14:textId="77777777" w:rsidR="00FA4BF1" w:rsidRPr="00EA076F" w:rsidRDefault="00FA4BF1" w:rsidP="00EA076F">
            <w:pPr>
              <w:pStyle w:val="CDITable-RowCentre"/>
              <w:rPr>
                <w:sz w:val="16"/>
              </w:rPr>
            </w:pPr>
            <w:r w:rsidRPr="00EA076F">
              <w:rPr>
                <w:sz w:val="16"/>
              </w:rPr>
              <w:t>153</w:t>
            </w:r>
          </w:p>
        </w:tc>
        <w:tc>
          <w:tcPr>
            <w:tcW w:w="567" w:type="dxa"/>
            <w:tcBorders>
              <w:top w:val="single" w:sz="6" w:space="0" w:color="1E4496" w:themeColor="text2"/>
              <w:bottom w:val="single" w:sz="6" w:space="0" w:color="1E4496" w:themeColor="text2"/>
              <w:right w:val="single" w:sz="6" w:space="0" w:color="1E4496" w:themeColor="text2"/>
            </w:tcBorders>
            <w:tcMar>
              <w:top w:w="96" w:type="dxa"/>
              <w:left w:w="113" w:type="dxa"/>
              <w:bottom w:w="96" w:type="dxa"/>
              <w:right w:w="113" w:type="dxa"/>
            </w:tcMar>
            <w:vAlign w:val="center"/>
          </w:tcPr>
          <w:p w14:paraId="6E0EA301" w14:textId="77777777" w:rsidR="00FA4BF1" w:rsidRPr="00EA076F" w:rsidRDefault="00FA4BF1" w:rsidP="00EA076F">
            <w:pPr>
              <w:pStyle w:val="CDITable-RowCentre"/>
              <w:rPr>
                <w:sz w:val="16"/>
              </w:rPr>
            </w:pPr>
            <w:r w:rsidRPr="00EA076F">
              <w:rPr>
                <w:sz w:val="16"/>
              </w:rPr>
              <w:t>79.3</w:t>
            </w:r>
          </w:p>
        </w:tc>
        <w:tc>
          <w:tcPr>
            <w:tcW w:w="590" w:type="dxa"/>
            <w:tcBorders>
              <w:top w:val="single" w:sz="6" w:space="0" w:color="1E4496" w:themeColor="text2"/>
              <w:left w:val="single" w:sz="6" w:space="0" w:color="1E4496" w:themeColor="text2"/>
              <w:bottom w:val="single" w:sz="6" w:space="0" w:color="1E4496" w:themeColor="text2"/>
            </w:tcBorders>
            <w:tcMar>
              <w:top w:w="96" w:type="dxa"/>
              <w:left w:w="113" w:type="dxa"/>
              <w:bottom w:w="96" w:type="dxa"/>
              <w:right w:w="113" w:type="dxa"/>
            </w:tcMar>
            <w:vAlign w:val="center"/>
          </w:tcPr>
          <w:p w14:paraId="42905B9E" w14:textId="77777777" w:rsidR="00FA4BF1" w:rsidRPr="00EA076F" w:rsidRDefault="00FA4BF1" w:rsidP="00EA076F">
            <w:pPr>
              <w:pStyle w:val="CDITable-RowCentre"/>
              <w:rPr>
                <w:sz w:val="16"/>
              </w:rPr>
            </w:pPr>
            <w:r w:rsidRPr="00EA076F">
              <w:rPr>
                <w:sz w:val="16"/>
              </w:rPr>
              <w:t>32</w:t>
            </w:r>
          </w:p>
        </w:tc>
        <w:tc>
          <w:tcPr>
            <w:tcW w:w="567"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371798C9" w14:textId="77777777" w:rsidR="00FA4BF1" w:rsidRPr="00EA076F" w:rsidRDefault="00FA4BF1" w:rsidP="00EA076F">
            <w:pPr>
              <w:pStyle w:val="CDITable-RowCentre"/>
              <w:rPr>
                <w:sz w:val="16"/>
              </w:rPr>
            </w:pPr>
            <w:r w:rsidRPr="00EA076F">
              <w:rPr>
                <w:sz w:val="16"/>
              </w:rPr>
              <w:t>16.6</w:t>
            </w:r>
          </w:p>
        </w:tc>
        <w:tc>
          <w:tcPr>
            <w:tcW w:w="589"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1F4D2F70" w14:textId="77777777" w:rsidR="00FA4BF1" w:rsidRPr="00EA076F" w:rsidRDefault="00FA4BF1" w:rsidP="00EA076F">
            <w:pPr>
              <w:pStyle w:val="CDITable-RowCentre"/>
              <w:rPr>
                <w:sz w:val="16"/>
              </w:rPr>
            </w:pPr>
            <w:r w:rsidRPr="00EA076F">
              <w:rPr>
                <w:sz w:val="16"/>
              </w:rPr>
              <w:t>161</w:t>
            </w:r>
          </w:p>
        </w:tc>
        <w:tc>
          <w:tcPr>
            <w:tcW w:w="567" w:type="dxa"/>
            <w:tcBorders>
              <w:top w:val="single" w:sz="6" w:space="0" w:color="1E4496" w:themeColor="text2"/>
              <w:bottom w:val="single" w:sz="6" w:space="0" w:color="1E4496" w:themeColor="text2"/>
              <w:right w:val="single" w:sz="6" w:space="0" w:color="1E4496" w:themeColor="text2"/>
            </w:tcBorders>
            <w:tcMar>
              <w:top w:w="96" w:type="dxa"/>
              <w:left w:w="113" w:type="dxa"/>
              <w:bottom w:w="96" w:type="dxa"/>
              <w:right w:w="113" w:type="dxa"/>
            </w:tcMar>
            <w:vAlign w:val="center"/>
          </w:tcPr>
          <w:p w14:paraId="6F219C0C" w14:textId="77777777" w:rsidR="00FA4BF1" w:rsidRPr="00EA076F" w:rsidRDefault="00FA4BF1" w:rsidP="00EA076F">
            <w:pPr>
              <w:pStyle w:val="CDITable-RowCentre"/>
              <w:rPr>
                <w:sz w:val="16"/>
              </w:rPr>
            </w:pPr>
            <w:r w:rsidRPr="00EA076F">
              <w:rPr>
                <w:sz w:val="16"/>
              </w:rPr>
              <w:t>83.4</w:t>
            </w:r>
          </w:p>
        </w:tc>
        <w:tc>
          <w:tcPr>
            <w:tcW w:w="595" w:type="dxa"/>
            <w:tcBorders>
              <w:top w:val="single" w:sz="6" w:space="0" w:color="1E4496" w:themeColor="text2"/>
              <w:left w:val="single" w:sz="6" w:space="0" w:color="1E4496" w:themeColor="text2"/>
              <w:bottom w:val="single" w:sz="6" w:space="0" w:color="1E4496" w:themeColor="text2"/>
            </w:tcBorders>
            <w:tcMar>
              <w:top w:w="96" w:type="dxa"/>
              <w:left w:w="113" w:type="dxa"/>
              <w:bottom w:w="96" w:type="dxa"/>
              <w:right w:w="113" w:type="dxa"/>
            </w:tcMar>
            <w:vAlign w:val="center"/>
          </w:tcPr>
          <w:p w14:paraId="776C79AF" w14:textId="77777777" w:rsidR="00FA4BF1" w:rsidRPr="00EA076F" w:rsidRDefault="00FA4BF1" w:rsidP="00EA076F">
            <w:pPr>
              <w:pStyle w:val="CDITable-RowCentre"/>
              <w:rPr>
                <w:sz w:val="16"/>
              </w:rPr>
            </w:pPr>
            <w:r w:rsidRPr="00EA076F">
              <w:rPr>
                <w:sz w:val="16"/>
              </w:rPr>
              <w:t>9</w:t>
            </w:r>
          </w:p>
        </w:tc>
        <w:tc>
          <w:tcPr>
            <w:tcW w:w="567"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17851C32" w14:textId="77777777" w:rsidR="00FA4BF1" w:rsidRPr="00EA076F" w:rsidRDefault="00FA4BF1" w:rsidP="00EA076F">
            <w:pPr>
              <w:pStyle w:val="CDITable-RowCentre"/>
              <w:rPr>
                <w:sz w:val="16"/>
              </w:rPr>
            </w:pPr>
            <w:r w:rsidRPr="00EA076F">
              <w:rPr>
                <w:sz w:val="16"/>
              </w:rPr>
              <w:t>17.3</w:t>
            </w:r>
          </w:p>
        </w:tc>
        <w:tc>
          <w:tcPr>
            <w:tcW w:w="59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68977A1C" w14:textId="77777777" w:rsidR="00FA4BF1" w:rsidRPr="00EA076F" w:rsidRDefault="00FA4BF1" w:rsidP="00EA076F">
            <w:pPr>
              <w:pStyle w:val="CDITable-RowCentre"/>
              <w:rPr>
                <w:sz w:val="16"/>
              </w:rPr>
            </w:pPr>
            <w:r w:rsidRPr="00EA076F">
              <w:rPr>
                <w:sz w:val="16"/>
              </w:rPr>
              <w:t>43</w:t>
            </w:r>
          </w:p>
        </w:tc>
        <w:tc>
          <w:tcPr>
            <w:tcW w:w="567" w:type="dxa"/>
            <w:tcBorders>
              <w:top w:val="single" w:sz="6" w:space="0" w:color="1E4496" w:themeColor="text2"/>
              <w:bottom w:val="single" w:sz="6" w:space="0" w:color="1E4496" w:themeColor="text2"/>
              <w:right w:val="single" w:sz="6" w:space="0" w:color="1E4496" w:themeColor="text2"/>
            </w:tcBorders>
            <w:tcMar>
              <w:top w:w="96" w:type="dxa"/>
              <w:left w:w="113" w:type="dxa"/>
              <w:bottom w:w="96" w:type="dxa"/>
              <w:right w:w="113" w:type="dxa"/>
            </w:tcMar>
            <w:vAlign w:val="center"/>
          </w:tcPr>
          <w:p w14:paraId="16347D1C" w14:textId="77777777" w:rsidR="00FA4BF1" w:rsidRPr="00EA076F" w:rsidRDefault="00FA4BF1" w:rsidP="00EA076F">
            <w:pPr>
              <w:pStyle w:val="CDITable-RowCentre"/>
              <w:rPr>
                <w:sz w:val="16"/>
              </w:rPr>
            </w:pPr>
            <w:r w:rsidRPr="00EA076F">
              <w:rPr>
                <w:sz w:val="16"/>
              </w:rPr>
              <w:t>82.7</w:t>
            </w:r>
          </w:p>
        </w:tc>
        <w:tc>
          <w:tcPr>
            <w:tcW w:w="589" w:type="dxa"/>
            <w:tcBorders>
              <w:top w:val="single" w:sz="6" w:space="0" w:color="1E4496" w:themeColor="text2"/>
              <w:left w:val="single" w:sz="6" w:space="0" w:color="1E4496" w:themeColor="text2"/>
              <w:bottom w:val="single" w:sz="6" w:space="0" w:color="1E4496" w:themeColor="text2"/>
            </w:tcBorders>
            <w:tcMar>
              <w:top w:w="96" w:type="dxa"/>
              <w:left w:w="113" w:type="dxa"/>
              <w:bottom w:w="96" w:type="dxa"/>
              <w:right w:w="113" w:type="dxa"/>
            </w:tcMar>
            <w:vAlign w:val="center"/>
          </w:tcPr>
          <w:p w14:paraId="76B05517" w14:textId="77777777" w:rsidR="00FA4BF1" w:rsidRPr="00EA076F" w:rsidRDefault="00FA4BF1" w:rsidP="00EA076F">
            <w:pPr>
              <w:pStyle w:val="CDITable-RowCentre"/>
              <w:rPr>
                <w:sz w:val="16"/>
              </w:rPr>
            </w:pPr>
            <w:r w:rsidRPr="00EA076F">
              <w:rPr>
                <w:sz w:val="16"/>
              </w:rPr>
              <w:t>5</w:t>
            </w:r>
          </w:p>
        </w:tc>
        <w:tc>
          <w:tcPr>
            <w:tcW w:w="567"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65BD3CDA" w14:textId="77777777" w:rsidR="00FA4BF1" w:rsidRPr="00EA076F" w:rsidRDefault="00FA4BF1" w:rsidP="00EA076F">
            <w:pPr>
              <w:pStyle w:val="CDITable-RowCentre"/>
              <w:rPr>
                <w:sz w:val="16"/>
              </w:rPr>
            </w:pPr>
            <w:r w:rsidRPr="00EA076F">
              <w:rPr>
                <w:sz w:val="16"/>
              </w:rPr>
              <w:t>9.6</w:t>
            </w:r>
          </w:p>
        </w:tc>
        <w:tc>
          <w:tcPr>
            <w:tcW w:w="59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27D46DCF" w14:textId="77777777" w:rsidR="00FA4BF1" w:rsidRPr="00EA076F" w:rsidRDefault="00FA4BF1" w:rsidP="00EA076F">
            <w:pPr>
              <w:pStyle w:val="CDITable-RowCentre"/>
              <w:rPr>
                <w:sz w:val="16"/>
              </w:rPr>
            </w:pPr>
            <w:r w:rsidRPr="00EA076F">
              <w:rPr>
                <w:sz w:val="16"/>
              </w:rPr>
              <w:t>47</w:t>
            </w:r>
          </w:p>
        </w:tc>
        <w:tc>
          <w:tcPr>
            <w:tcW w:w="567" w:type="dxa"/>
            <w:tcBorders>
              <w:top w:val="single" w:sz="6" w:space="0" w:color="1E4496" w:themeColor="text2"/>
              <w:bottom w:val="single" w:sz="6" w:space="0" w:color="1E4496" w:themeColor="text2"/>
              <w:right w:val="single" w:sz="6" w:space="0" w:color="1E4496" w:themeColor="text2"/>
            </w:tcBorders>
            <w:tcMar>
              <w:top w:w="96" w:type="dxa"/>
              <w:left w:w="113" w:type="dxa"/>
              <w:bottom w:w="96" w:type="dxa"/>
              <w:right w:w="113" w:type="dxa"/>
            </w:tcMar>
            <w:vAlign w:val="center"/>
          </w:tcPr>
          <w:p w14:paraId="1B856648" w14:textId="77777777" w:rsidR="00FA4BF1" w:rsidRPr="00EA076F" w:rsidRDefault="00FA4BF1" w:rsidP="00EA076F">
            <w:pPr>
              <w:pStyle w:val="CDITable-RowCentre"/>
              <w:rPr>
                <w:sz w:val="16"/>
              </w:rPr>
            </w:pPr>
            <w:r w:rsidRPr="00EA076F">
              <w:rPr>
                <w:sz w:val="16"/>
              </w:rPr>
              <w:t>90.4</w:t>
            </w:r>
          </w:p>
        </w:tc>
        <w:tc>
          <w:tcPr>
            <w:tcW w:w="590" w:type="dxa"/>
            <w:tcBorders>
              <w:top w:val="single" w:sz="6" w:space="0" w:color="1E4496" w:themeColor="text2"/>
              <w:left w:val="single" w:sz="6" w:space="0" w:color="1E4496" w:themeColor="text2"/>
              <w:bottom w:val="single" w:sz="6" w:space="0" w:color="1E4496" w:themeColor="text2"/>
            </w:tcBorders>
            <w:tcMar>
              <w:top w:w="96" w:type="dxa"/>
              <w:left w:w="113" w:type="dxa"/>
              <w:bottom w:w="96" w:type="dxa"/>
              <w:right w:w="113" w:type="dxa"/>
            </w:tcMar>
            <w:vAlign w:val="center"/>
          </w:tcPr>
          <w:p w14:paraId="67B1A7F4" w14:textId="77777777" w:rsidR="00FA4BF1" w:rsidRPr="00EA076F" w:rsidRDefault="00FA4BF1" w:rsidP="00EA076F">
            <w:pPr>
              <w:pStyle w:val="CDITable-RowCentre"/>
              <w:rPr>
                <w:sz w:val="16"/>
              </w:rPr>
            </w:pPr>
            <w:r w:rsidRPr="00EA076F">
              <w:rPr>
                <w:sz w:val="16"/>
              </w:rPr>
              <w:t>1</w:t>
            </w:r>
          </w:p>
        </w:tc>
        <w:tc>
          <w:tcPr>
            <w:tcW w:w="566"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258526A4" w14:textId="77777777" w:rsidR="00FA4BF1" w:rsidRPr="00EA076F" w:rsidRDefault="00FA4BF1" w:rsidP="00EA076F">
            <w:pPr>
              <w:pStyle w:val="CDITable-RowCentre"/>
              <w:rPr>
                <w:sz w:val="16"/>
              </w:rPr>
            </w:pPr>
            <w:r w:rsidRPr="00EA076F">
              <w:rPr>
                <w:sz w:val="16"/>
              </w:rPr>
              <w:t>2.1</w:t>
            </w:r>
          </w:p>
        </w:tc>
        <w:tc>
          <w:tcPr>
            <w:tcW w:w="59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002823BE" w14:textId="77777777" w:rsidR="00FA4BF1" w:rsidRPr="00EA076F" w:rsidRDefault="00FA4BF1" w:rsidP="00EA076F">
            <w:pPr>
              <w:pStyle w:val="CDITable-RowCentre"/>
              <w:rPr>
                <w:sz w:val="16"/>
              </w:rPr>
            </w:pPr>
            <w:r w:rsidRPr="00EA076F">
              <w:rPr>
                <w:sz w:val="16"/>
              </w:rPr>
              <w:t>46</w:t>
            </w:r>
          </w:p>
        </w:tc>
        <w:tc>
          <w:tcPr>
            <w:tcW w:w="567"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1EEFF26A" w14:textId="77777777" w:rsidR="00FA4BF1" w:rsidRPr="00EA076F" w:rsidRDefault="00FA4BF1" w:rsidP="00EA076F">
            <w:pPr>
              <w:pStyle w:val="CDITable-RowCentre"/>
              <w:rPr>
                <w:sz w:val="16"/>
              </w:rPr>
            </w:pPr>
            <w:r w:rsidRPr="00EA076F">
              <w:rPr>
                <w:sz w:val="16"/>
              </w:rPr>
              <w:t>97.9</w:t>
            </w:r>
          </w:p>
        </w:tc>
      </w:tr>
      <w:tr w:rsidR="00B73263" w:rsidRPr="00FA4BF1" w14:paraId="59E69A0B" w14:textId="77777777" w:rsidTr="00B6546F">
        <w:trPr>
          <w:trHeight w:val="60"/>
        </w:trPr>
        <w:tc>
          <w:tcPr>
            <w:tcW w:w="1361" w:type="dxa"/>
            <w:vMerge/>
            <w:tcBorders>
              <w:bottom w:val="single" w:sz="6" w:space="0" w:color="1E4496" w:themeColor="text2"/>
            </w:tcBorders>
            <w:shd w:val="clear" w:color="auto" w:fill="DCF4FC" w:themeFill="background2" w:themeFillTint="33"/>
            <w:tcMar>
              <w:top w:w="96" w:type="dxa"/>
              <w:bottom w:w="96" w:type="dxa"/>
            </w:tcMar>
          </w:tcPr>
          <w:p w14:paraId="30600B01" w14:textId="77777777" w:rsidR="00FA4BF1" w:rsidRPr="00FA4BF1" w:rsidRDefault="00FA4BF1" w:rsidP="00EA076F"/>
        </w:tc>
        <w:tc>
          <w:tcPr>
            <w:tcW w:w="1417"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6F92EC9E" w14:textId="77777777" w:rsidR="00FA4BF1" w:rsidRPr="00FA4BF1" w:rsidRDefault="00FA4BF1" w:rsidP="00EA076F">
            <w:pPr>
              <w:pStyle w:val="CDITable-RowLeft"/>
              <w:rPr>
                <w:sz w:val="16"/>
              </w:rPr>
            </w:pPr>
            <w:r w:rsidRPr="00FA4BF1">
              <w:rPr>
                <w:sz w:val="16"/>
              </w:rPr>
              <w:t>29–90 days</w:t>
            </w:r>
          </w:p>
        </w:tc>
        <w:tc>
          <w:tcPr>
            <w:tcW w:w="59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728C5FA2" w14:textId="77777777" w:rsidR="00FA4BF1" w:rsidRPr="00EA076F" w:rsidRDefault="00FA4BF1" w:rsidP="00EA076F">
            <w:pPr>
              <w:pStyle w:val="CDITable-RowCentre"/>
              <w:rPr>
                <w:sz w:val="16"/>
              </w:rPr>
            </w:pPr>
            <w:r w:rsidRPr="00EA076F">
              <w:rPr>
                <w:sz w:val="16"/>
              </w:rPr>
              <w:t>12</w:t>
            </w:r>
          </w:p>
        </w:tc>
        <w:tc>
          <w:tcPr>
            <w:tcW w:w="566"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0E3DBBF9" w14:textId="77777777" w:rsidR="00FA4BF1" w:rsidRPr="00EA076F" w:rsidRDefault="00FA4BF1" w:rsidP="00EA076F">
            <w:pPr>
              <w:pStyle w:val="CDITable-RowCentre"/>
              <w:rPr>
                <w:sz w:val="16"/>
              </w:rPr>
            </w:pPr>
            <w:r w:rsidRPr="00EA076F">
              <w:rPr>
                <w:sz w:val="16"/>
              </w:rPr>
              <w:t>11.1</w:t>
            </w:r>
          </w:p>
        </w:tc>
        <w:tc>
          <w:tcPr>
            <w:tcW w:w="59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7160E525" w14:textId="77777777" w:rsidR="00FA4BF1" w:rsidRPr="00EA076F" w:rsidRDefault="00FA4BF1" w:rsidP="00B73263">
            <w:pPr>
              <w:pStyle w:val="CDITable-RowCentre"/>
              <w:rPr>
                <w:sz w:val="16"/>
              </w:rPr>
            </w:pPr>
            <w:r w:rsidRPr="00EA076F">
              <w:rPr>
                <w:sz w:val="16"/>
              </w:rPr>
              <w:t>96</w:t>
            </w:r>
          </w:p>
        </w:tc>
        <w:tc>
          <w:tcPr>
            <w:tcW w:w="567" w:type="dxa"/>
            <w:tcBorders>
              <w:top w:val="single" w:sz="6" w:space="0" w:color="1E4496" w:themeColor="text2"/>
              <w:bottom w:val="single" w:sz="6" w:space="0" w:color="1E4496" w:themeColor="text2"/>
              <w:right w:val="single" w:sz="6" w:space="0" w:color="1E4496" w:themeColor="text2"/>
            </w:tcBorders>
            <w:tcMar>
              <w:top w:w="96" w:type="dxa"/>
              <w:left w:w="113" w:type="dxa"/>
              <w:bottom w:w="96" w:type="dxa"/>
              <w:right w:w="113" w:type="dxa"/>
            </w:tcMar>
            <w:vAlign w:val="center"/>
          </w:tcPr>
          <w:p w14:paraId="2D43A44B" w14:textId="77777777" w:rsidR="00FA4BF1" w:rsidRPr="00EA076F" w:rsidRDefault="00FA4BF1" w:rsidP="00EA076F">
            <w:pPr>
              <w:pStyle w:val="CDITable-RowCentre"/>
              <w:rPr>
                <w:sz w:val="16"/>
              </w:rPr>
            </w:pPr>
            <w:r w:rsidRPr="00EA076F">
              <w:rPr>
                <w:sz w:val="16"/>
              </w:rPr>
              <w:t>88.9</w:t>
            </w:r>
          </w:p>
        </w:tc>
        <w:tc>
          <w:tcPr>
            <w:tcW w:w="590" w:type="dxa"/>
            <w:tcBorders>
              <w:top w:val="single" w:sz="6" w:space="0" w:color="1E4496" w:themeColor="text2"/>
              <w:left w:val="single" w:sz="6" w:space="0" w:color="1E4496" w:themeColor="text2"/>
              <w:bottom w:val="single" w:sz="6" w:space="0" w:color="1E4496" w:themeColor="text2"/>
            </w:tcBorders>
            <w:tcMar>
              <w:top w:w="96" w:type="dxa"/>
              <w:left w:w="113" w:type="dxa"/>
              <w:bottom w:w="96" w:type="dxa"/>
              <w:right w:w="113" w:type="dxa"/>
            </w:tcMar>
            <w:vAlign w:val="center"/>
          </w:tcPr>
          <w:p w14:paraId="1702A1CC" w14:textId="77777777" w:rsidR="00FA4BF1" w:rsidRPr="00EA076F" w:rsidRDefault="00FA4BF1" w:rsidP="00EA076F">
            <w:pPr>
              <w:pStyle w:val="CDITable-RowCentre"/>
              <w:rPr>
                <w:sz w:val="16"/>
              </w:rPr>
            </w:pPr>
            <w:r w:rsidRPr="00EA076F">
              <w:rPr>
                <w:sz w:val="16"/>
              </w:rPr>
              <w:t>10</w:t>
            </w:r>
          </w:p>
        </w:tc>
        <w:tc>
          <w:tcPr>
            <w:tcW w:w="567"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5B05CCB3" w14:textId="77777777" w:rsidR="00FA4BF1" w:rsidRPr="00EA076F" w:rsidRDefault="00FA4BF1" w:rsidP="00EA076F">
            <w:pPr>
              <w:pStyle w:val="CDITable-RowCentre"/>
              <w:rPr>
                <w:sz w:val="16"/>
              </w:rPr>
            </w:pPr>
            <w:r w:rsidRPr="00EA076F">
              <w:rPr>
                <w:sz w:val="16"/>
              </w:rPr>
              <w:t>9.3</w:t>
            </w:r>
          </w:p>
        </w:tc>
        <w:tc>
          <w:tcPr>
            <w:tcW w:w="589"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088AD4B5" w14:textId="77777777" w:rsidR="00FA4BF1" w:rsidRPr="00EA076F" w:rsidRDefault="00FA4BF1" w:rsidP="00EA076F">
            <w:pPr>
              <w:pStyle w:val="CDITable-RowCentre"/>
              <w:rPr>
                <w:sz w:val="16"/>
              </w:rPr>
            </w:pPr>
            <w:r w:rsidRPr="00EA076F">
              <w:rPr>
                <w:sz w:val="16"/>
              </w:rPr>
              <w:t>98</w:t>
            </w:r>
          </w:p>
        </w:tc>
        <w:tc>
          <w:tcPr>
            <w:tcW w:w="567" w:type="dxa"/>
            <w:tcBorders>
              <w:top w:val="single" w:sz="6" w:space="0" w:color="1E4496" w:themeColor="text2"/>
              <w:bottom w:val="single" w:sz="6" w:space="0" w:color="1E4496" w:themeColor="text2"/>
              <w:right w:val="single" w:sz="6" w:space="0" w:color="1E4496" w:themeColor="text2"/>
            </w:tcBorders>
            <w:tcMar>
              <w:top w:w="96" w:type="dxa"/>
              <w:left w:w="113" w:type="dxa"/>
              <w:bottom w:w="96" w:type="dxa"/>
              <w:right w:w="113" w:type="dxa"/>
            </w:tcMar>
            <w:vAlign w:val="center"/>
          </w:tcPr>
          <w:p w14:paraId="510EE9E3" w14:textId="77777777" w:rsidR="00FA4BF1" w:rsidRPr="00EA076F" w:rsidRDefault="00FA4BF1" w:rsidP="00EA076F">
            <w:pPr>
              <w:pStyle w:val="CDITable-RowCentre"/>
              <w:rPr>
                <w:sz w:val="16"/>
              </w:rPr>
            </w:pPr>
            <w:r w:rsidRPr="00EA076F">
              <w:rPr>
                <w:sz w:val="16"/>
              </w:rPr>
              <w:t>90.7</w:t>
            </w:r>
          </w:p>
        </w:tc>
        <w:tc>
          <w:tcPr>
            <w:tcW w:w="595" w:type="dxa"/>
            <w:tcBorders>
              <w:top w:val="single" w:sz="6" w:space="0" w:color="1E4496" w:themeColor="text2"/>
              <w:left w:val="single" w:sz="6" w:space="0" w:color="1E4496" w:themeColor="text2"/>
              <w:bottom w:val="single" w:sz="6" w:space="0" w:color="1E4496" w:themeColor="text2"/>
            </w:tcBorders>
            <w:tcMar>
              <w:top w:w="96" w:type="dxa"/>
              <w:left w:w="113" w:type="dxa"/>
              <w:bottom w:w="96" w:type="dxa"/>
              <w:right w:w="113" w:type="dxa"/>
            </w:tcMar>
            <w:vAlign w:val="center"/>
          </w:tcPr>
          <w:p w14:paraId="442F83E7" w14:textId="77777777" w:rsidR="00FA4BF1" w:rsidRPr="00EA076F" w:rsidRDefault="00FA4BF1" w:rsidP="00EA076F">
            <w:pPr>
              <w:pStyle w:val="CDITable-RowCentre"/>
              <w:rPr>
                <w:sz w:val="16"/>
              </w:rPr>
            </w:pPr>
            <w:r w:rsidRPr="00EA076F">
              <w:rPr>
                <w:sz w:val="16"/>
              </w:rPr>
              <w:t>2</w:t>
            </w:r>
          </w:p>
        </w:tc>
        <w:tc>
          <w:tcPr>
            <w:tcW w:w="567"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6DE417F8" w14:textId="77777777" w:rsidR="00FA4BF1" w:rsidRPr="00EA076F" w:rsidRDefault="00FA4BF1" w:rsidP="00EA076F">
            <w:pPr>
              <w:pStyle w:val="CDITable-RowCentre"/>
              <w:rPr>
                <w:sz w:val="16"/>
              </w:rPr>
            </w:pPr>
            <w:r w:rsidRPr="00EA076F">
              <w:rPr>
                <w:sz w:val="16"/>
              </w:rPr>
              <w:t>4</w:t>
            </w:r>
          </w:p>
        </w:tc>
        <w:tc>
          <w:tcPr>
            <w:tcW w:w="59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62788A3D" w14:textId="77777777" w:rsidR="00FA4BF1" w:rsidRPr="00EA076F" w:rsidRDefault="00FA4BF1" w:rsidP="00EA076F">
            <w:pPr>
              <w:pStyle w:val="CDITable-RowCentre"/>
              <w:rPr>
                <w:sz w:val="16"/>
              </w:rPr>
            </w:pPr>
            <w:r w:rsidRPr="00EA076F">
              <w:rPr>
                <w:sz w:val="16"/>
              </w:rPr>
              <w:t>48</w:t>
            </w:r>
          </w:p>
        </w:tc>
        <w:tc>
          <w:tcPr>
            <w:tcW w:w="567" w:type="dxa"/>
            <w:tcBorders>
              <w:top w:val="single" w:sz="6" w:space="0" w:color="1E4496" w:themeColor="text2"/>
              <w:bottom w:val="single" w:sz="6" w:space="0" w:color="1E4496" w:themeColor="text2"/>
              <w:right w:val="single" w:sz="6" w:space="0" w:color="1E4496" w:themeColor="text2"/>
            </w:tcBorders>
            <w:tcMar>
              <w:top w:w="96" w:type="dxa"/>
              <w:left w:w="113" w:type="dxa"/>
              <w:bottom w:w="96" w:type="dxa"/>
              <w:right w:w="113" w:type="dxa"/>
            </w:tcMar>
            <w:vAlign w:val="center"/>
          </w:tcPr>
          <w:p w14:paraId="455C3DD2" w14:textId="77777777" w:rsidR="00FA4BF1" w:rsidRPr="00EA076F" w:rsidRDefault="00FA4BF1" w:rsidP="00EA076F">
            <w:pPr>
              <w:pStyle w:val="CDITable-RowCentre"/>
              <w:rPr>
                <w:sz w:val="16"/>
              </w:rPr>
            </w:pPr>
            <w:r w:rsidRPr="00EA076F">
              <w:rPr>
                <w:sz w:val="16"/>
              </w:rPr>
              <w:t>96</w:t>
            </w:r>
          </w:p>
        </w:tc>
        <w:tc>
          <w:tcPr>
            <w:tcW w:w="589" w:type="dxa"/>
            <w:tcBorders>
              <w:top w:val="single" w:sz="6" w:space="0" w:color="1E4496" w:themeColor="text2"/>
              <w:left w:val="single" w:sz="6" w:space="0" w:color="1E4496" w:themeColor="text2"/>
              <w:bottom w:val="single" w:sz="6" w:space="0" w:color="1E4496" w:themeColor="text2"/>
            </w:tcBorders>
            <w:tcMar>
              <w:top w:w="96" w:type="dxa"/>
              <w:left w:w="113" w:type="dxa"/>
              <w:bottom w:w="96" w:type="dxa"/>
              <w:right w:w="113" w:type="dxa"/>
            </w:tcMar>
            <w:vAlign w:val="center"/>
          </w:tcPr>
          <w:p w14:paraId="7EBC7E32" w14:textId="77777777" w:rsidR="00FA4BF1" w:rsidRPr="00EA076F" w:rsidRDefault="00FA4BF1" w:rsidP="00EA076F">
            <w:pPr>
              <w:pStyle w:val="CDITable-RowCentre"/>
              <w:rPr>
                <w:sz w:val="16"/>
              </w:rPr>
            </w:pPr>
            <w:r w:rsidRPr="00EA076F">
              <w:rPr>
                <w:sz w:val="16"/>
              </w:rPr>
              <w:t>5</w:t>
            </w:r>
          </w:p>
        </w:tc>
        <w:tc>
          <w:tcPr>
            <w:tcW w:w="567"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20424D5C" w14:textId="77777777" w:rsidR="00FA4BF1" w:rsidRPr="00EA076F" w:rsidRDefault="00FA4BF1" w:rsidP="00EA076F">
            <w:pPr>
              <w:pStyle w:val="CDITable-RowCentre"/>
              <w:rPr>
                <w:sz w:val="16"/>
              </w:rPr>
            </w:pPr>
            <w:r w:rsidRPr="00EA076F">
              <w:rPr>
                <w:sz w:val="16"/>
              </w:rPr>
              <w:t>10</w:t>
            </w:r>
          </w:p>
        </w:tc>
        <w:tc>
          <w:tcPr>
            <w:tcW w:w="59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2A9E8C61" w14:textId="77777777" w:rsidR="00FA4BF1" w:rsidRPr="00EA076F" w:rsidRDefault="00FA4BF1" w:rsidP="00EA076F">
            <w:pPr>
              <w:pStyle w:val="CDITable-RowCentre"/>
              <w:rPr>
                <w:sz w:val="16"/>
              </w:rPr>
            </w:pPr>
            <w:r w:rsidRPr="00EA076F">
              <w:rPr>
                <w:sz w:val="16"/>
              </w:rPr>
              <w:t>45</w:t>
            </w:r>
          </w:p>
        </w:tc>
        <w:tc>
          <w:tcPr>
            <w:tcW w:w="567" w:type="dxa"/>
            <w:tcBorders>
              <w:top w:val="single" w:sz="6" w:space="0" w:color="1E4496" w:themeColor="text2"/>
              <w:bottom w:val="single" w:sz="6" w:space="0" w:color="1E4496" w:themeColor="text2"/>
              <w:right w:val="single" w:sz="6" w:space="0" w:color="1E4496" w:themeColor="text2"/>
            </w:tcBorders>
            <w:tcMar>
              <w:top w:w="96" w:type="dxa"/>
              <w:left w:w="113" w:type="dxa"/>
              <w:bottom w:w="96" w:type="dxa"/>
              <w:right w:w="113" w:type="dxa"/>
            </w:tcMar>
            <w:vAlign w:val="center"/>
          </w:tcPr>
          <w:p w14:paraId="1F7C236E" w14:textId="77777777" w:rsidR="00FA4BF1" w:rsidRPr="00EA076F" w:rsidRDefault="00FA4BF1" w:rsidP="00EA076F">
            <w:pPr>
              <w:pStyle w:val="CDITable-RowCentre"/>
              <w:rPr>
                <w:sz w:val="16"/>
              </w:rPr>
            </w:pPr>
            <w:r w:rsidRPr="00EA076F">
              <w:rPr>
                <w:sz w:val="16"/>
              </w:rPr>
              <w:t>90</w:t>
            </w:r>
          </w:p>
        </w:tc>
        <w:tc>
          <w:tcPr>
            <w:tcW w:w="590" w:type="dxa"/>
            <w:tcBorders>
              <w:top w:val="single" w:sz="6" w:space="0" w:color="1E4496" w:themeColor="text2"/>
              <w:left w:val="single" w:sz="6" w:space="0" w:color="1E4496" w:themeColor="text2"/>
              <w:bottom w:val="single" w:sz="6" w:space="0" w:color="1E4496" w:themeColor="text2"/>
            </w:tcBorders>
            <w:tcMar>
              <w:top w:w="96" w:type="dxa"/>
              <w:left w:w="113" w:type="dxa"/>
              <w:bottom w:w="96" w:type="dxa"/>
              <w:right w:w="113" w:type="dxa"/>
            </w:tcMar>
            <w:vAlign w:val="center"/>
          </w:tcPr>
          <w:p w14:paraId="786803A8" w14:textId="77777777" w:rsidR="00FA4BF1" w:rsidRPr="00EA076F" w:rsidRDefault="00FA4BF1" w:rsidP="00EA076F">
            <w:pPr>
              <w:pStyle w:val="CDITable-RowCentre"/>
              <w:rPr>
                <w:sz w:val="16"/>
              </w:rPr>
            </w:pPr>
            <w:r w:rsidRPr="00EA076F">
              <w:rPr>
                <w:sz w:val="16"/>
              </w:rPr>
              <w:t>1</w:t>
            </w:r>
          </w:p>
        </w:tc>
        <w:tc>
          <w:tcPr>
            <w:tcW w:w="566"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496135EC" w14:textId="77777777" w:rsidR="00FA4BF1" w:rsidRPr="00EA076F" w:rsidRDefault="00FA4BF1" w:rsidP="00EA076F">
            <w:pPr>
              <w:pStyle w:val="CDITable-RowCentre"/>
              <w:rPr>
                <w:sz w:val="16"/>
              </w:rPr>
            </w:pPr>
            <w:r w:rsidRPr="00EA076F">
              <w:rPr>
                <w:sz w:val="16"/>
              </w:rPr>
              <w:t>3.4</w:t>
            </w:r>
          </w:p>
        </w:tc>
        <w:tc>
          <w:tcPr>
            <w:tcW w:w="59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315E7C2C" w14:textId="77777777" w:rsidR="00FA4BF1" w:rsidRPr="00EA076F" w:rsidRDefault="00FA4BF1" w:rsidP="00EA076F">
            <w:pPr>
              <w:pStyle w:val="CDITable-RowCentre"/>
              <w:rPr>
                <w:sz w:val="16"/>
              </w:rPr>
            </w:pPr>
            <w:r w:rsidRPr="00EA076F">
              <w:rPr>
                <w:sz w:val="16"/>
              </w:rPr>
              <w:t>28</w:t>
            </w:r>
          </w:p>
        </w:tc>
        <w:tc>
          <w:tcPr>
            <w:tcW w:w="567"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10CE6ADF" w14:textId="77777777" w:rsidR="00FA4BF1" w:rsidRPr="00EA076F" w:rsidRDefault="00FA4BF1" w:rsidP="00EA076F">
            <w:pPr>
              <w:pStyle w:val="CDITable-RowCentre"/>
              <w:rPr>
                <w:sz w:val="16"/>
              </w:rPr>
            </w:pPr>
            <w:r w:rsidRPr="00EA076F">
              <w:rPr>
                <w:sz w:val="16"/>
              </w:rPr>
              <w:t>96.6</w:t>
            </w:r>
          </w:p>
        </w:tc>
      </w:tr>
      <w:tr w:rsidR="00B73263" w:rsidRPr="00FA4BF1" w14:paraId="43CAAEB8" w14:textId="77777777" w:rsidTr="00B6546F">
        <w:trPr>
          <w:trHeight w:val="60"/>
        </w:trPr>
        <w:tc>
          <w:tcPr>
            <w:tcW w:w="1361" w:type="dxa"/>
            <w:vMerge/>
            <w:tcBorders>
              <w:bottom w:val="single" w:sz="6" w:space="0" w:color="1E4496" w:themeColor="text2"/>
            </w:tcBorders>
            <w:shd w:val="clear" w:color="auto" w:fill="DCF4FC" w:themeFill="background2" w:themeFillTint="33"/>
            <w:tcMar>
              <w:top w:w="96" w:type="dxa"/>
              <w:bottom w:w="96" w:type="dxa"/>
            </w:tcMar>
          </w:tcPr>
          <w:p w14:paraId="7EB07833" w14:textId="77777777" w:rsidR="00FA4BF1" w:rsidRPr="00FA4BF1" w:rsidRDefault="00FA4BF1" w:rsidP="00EA076F"/>
        </w:tc>
        <w:tc>
          <w:tcPr>
            <w:tcW w:w="1417"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5300456C" w14:textId="77777777" w:rsidR="00FA4BF1" w:rsidRPr="00FA4BF1" w:rsidRDefault="00FA4BF1" w:rsidP="00EA076F">
            <w:pPr>
              <w:pStyle w:val="CDITable-RowLeft"/>
              <w:rPr>
                <w:sz w:val="16"/>
              </w:rPr>
            </w:pPr>
            <w:r w:rsidRPr="00FA4BF1">
              <w:rPr>
                <w:sz w:val="16"/>
              </w:rPr>
              <w:t>91–364 days</w:t>
            </w:r>
          </w:p>
        </w:tc>
        <w:tc>
          <w:tcPr>
            <w:tcW w:w="59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4C7414AE" w14:textId="77777777" w:rsidR="00FA4BF1" w:rsidRPr="00EA076F" w:rsidRDefault="00FA4BF1" w:rsidP="00EA076F">
            <w:pPr>
              <w:pStyle w:val="CDITable-RowCentre"/>
              <w:rPr>
                <w:sz w:val="16"/>
              </w:rPr>
            </w:pPr>
            <w:r w:rsidRPr="00EA076F">
              <w:rPr>
                <w:sz w:val="16"/>
              </w:rPr>
              <w:t>20</w:t>
            </w:r>
          </w:p>
        </w:tc>
        <w:tc>
          <w:tcPr>
            <w:tcW w:w="566"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1C4A25E3" w14:textId="77777777" w:rsidR="00FA4BF1" w:rsidRPr="00EA076F" w:rsidRDefault="00FA4BF1" w:rsidP="00EA076F">
            <w:pPr>
              <w:pStyle w:val="CDITable-RowCentre"/>
              <w:rPr>
                <w:sz w:val="16"/>
              </w:rPr>
            </w:pPr>
            <w:r w:rsidRPr="00EA076F">
              <w:rPr>
                <w:sz w:val="16"/>
              </w:rPr>
              <w:t>14</w:t>
            </w:r>
          </w:p>
        </w:tc>
        <w:tc>
          <w:tcPr>
            <w:tcW w:w="59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639C44AA" w14:textId="77777777" w:rsidR="00FA4BF1" w:rsidRPr="00EA076F" w:rsidRDefault="00FA4BF1" w:rsidP="00EA076F">
            <w:pPr>
              <w:pStyle w:val="CDITable-RowCentre"/>
              <w:rPr>
                <w:sz w:val="16"/>
              </w:rPr>
            </w:pPr>
            <w:r w:rsidRPr="00EA076F">
              <w:rPr>
                <w:sz w:val="16"/>
              </w:rPr>
              <w:t>123</w:t>
            </w:r>
          </w:p>
        </w:tc>
        <w:tc>
          <w:tcPr>
            <w:tcW w:w="567" w:type="dxa"/>
            <w:tcBorders>
              <w:top w:val="single" w:sz="6" w:space="0" w:color="1E4496" w:themeColor="text2"/>
              <w:bottom w:val="single" w:sz="6" w:space="0" w:color="1E4496" w:themeColor="text2"/>
              <w:right w:val="single" w:sz="6" w:space="0" w:color="1E4496" w:themeColor="text2"/>
            </w:tcBorders>
            <w:tcMar>
              <w:top w:w="96" w:type="dxa"/>
              <w:left w:w="113" w:type="dxa"/>
              <w:bottom w:w="96" w:type="dxa"/>
              <w:right w:w="113" w:type="dxa"/>
            </w:tcMar>
            <w:vAlign w:val="center"/>
          </w:tcPr>
          <w:p w14:paraId="7D03075E" w14:textId="77777777" w:rsidR="00FA4BF1" w:rsidRPr="00EA076F" w:rsidRDefault="00FA4BF1" w:rsidP="00EA076F">
            <w:pPr>
              <w:pStyle w:val="CDITable-RowCentre"/>
              <w:rPr>
                <w:sz w:val="16"/>
              </w:rPr>
            </w:pPr>
            <w:r w:rsidRPr="00EA076F">
              <w:rPr>
                <w:sz w:val="16"/>
              </w:rPr>
              <w:t>86</w:t>
            </w:r>
          </w:p>
        </w:tc>
        <w:tc>
          <w:tcPr>
            <w:tcW w:w="590" w:type="dxa"/>
            <w:tcBorders>
              <w:top w:val="single" w:sz="6" w:space="0" w:color="1E4496" w:themeColor="text2"/>
              <w:left w:val="single" w:sz="6" w:space="0" w:color="1E4496" w:themeColor="text2"/>
              <w:bottom w:val="single" w:sz="6" w:space="0" w:color="1E4496" w:themeColor="text2"/>
            </w:tcBorders>
            <w:tcMar>
              <w:top w:w="96" w:type="dxa"/>
              <w:left w:w="113" w:type="dxa"/>
              <w:bottom w:w="96" w:type="dxa"/>
              <w:right w:w="113" w:type="dxa"/>
            </w:tcMar>
            <w:vAlign w:val="center"/>
          </w:tcPr>
          <w:p w14:paraId="783EAAA4" w14:textId="77777777" w:rsidR="00FA4BF1" w:rsidRPr="00EA076F" w:rsidRDefault="00FA4BF1" w:rsidP="00EA076F">
            <w:pPr>
              <w:pStyle w:val="CDITable-RowCentre"/>
              <w:rPr>
                <w:sz w:val="16"/>
              </w:rPr>
            </w:pPr>
            <w:r w:rsidRPr="00EA076F">
              <w:rPr>
                <w:sz w:val="16"/>
              </w:rPr>
              <w:t>18</w:t>
            </w:r>
          </w:p>
        </w:tc>
        <w:tc>
          <w:tcPr>
            <w:tcW w:w="567"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17253B69" w14:textId="77777777" w:rsidR="00FA4BF1" w:rsidRPr="00EA076F" w:rsidRDefault="00FA4BF1" w:rsidP="00EA076F">
            <w:pPr>
              <w:pStyle w:val="CDITable-RowCentre"/>
              <w:rPr>
                <w:sz w:val="16"/>
              </w:rPr>
            </w:pPr>
            <w:r w:rsidRPr="00EA076F">
              <w:rPr>
                <w:sz w:val="16"/>
              </w:rPr>
              <w:t>12.6</w:t>
            </w:r>
          </w:p>
        </w:tc>
        <w:tc>
          <w:tcPr>
            <w:tcW w:w="589"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0A64D8EE" w14:textId="77777777" w:rsidR="00FA4BF1" w:rsidRPr="00EA076F" w:rsidRDefault="00FA4BF1" w:rsidP="00EA076F">
            <w:pPr>
              <w:pStyle w:val="CDITable-RowCentre"/>
              <w:rPr>
                <w:sz w:val="16"/>
              </w:rPr>
            </w:pPr>
            <w:r w:rsidRPr="00EA076F">
              <w:rPr>
                <w:sz w:val="16"/>
              </w:rPr>
              <w:t>125</w:t>
            </w:r>
          </w:p>
        </w:tc>
        <w:tc>
          <w:tcPr>
            <w:tcW w:w="567" w:type="dxa"/>
            <w:tcBorders>
              <w:top w:val="single" w:sz="6" w:space="0" w:color="1E4496" w:themeColor="text2"/>
              <w:bottom w:val="single" w:sz="6" w:space="0" w:color="1E4496" w:themeColor="text2"/>
              <w:right w:val="single" w:sz="6" w:space="0" w:color="1E4496" w:themeColor="text2"/>
            </w:tcBorders>
            <w:tcMar>
              <w:top w:w="96" w:type="dxa"/>
              <w:left w:w="113" w:type="dxa"/>
              <w:bottom w:w="96" w:type="dxa"/>
              <w:right w:w="113" w:type="dxa"/>
            </w:tcMar>
            <w:vAlign w:val="center"/>
          </w:tcPr>
          <w:p w14:paraId="59E2D543" w14:textId="77777777" w:rsidR="00FA4BF1" w:rsidRPr="00EA076F" w:rsidRDefault="00FA4BF1" w:rsidP="00EA076F">
            <w:pPr>
              <w:pStyle w:val="CDITable-RowCentre"/>
              <w:rPr>
                <w:sz w:val="16"/>
              </w:rPr>
            </w:pPr>
            <w:r w:rsidRPr="00EA076F">
              <w:rPr>
                <w:sz w:val="16"/>
              </w:rPr>
              <w:t>87.4</w:t>
            </w:r>
          </w:p>
        </w:tc>
        <w:tc>
          <w:tcPr>
            <w:tcW w:w="595" w:type="dxa"/>
            <w:tcBorders>
              <w:top w:val="single" w:sz="6" w:space="0" w:color="1E4496" w:themeColor="text2"/>
              <w:left w:val="single" w:sz="6" w:space="0" w:color="1E4496" w:themeColor="text2"/>
              <w:bottom w:val="single" w:sz="6" w:space="0" w:color="1E4496" w:themeColor="text2"/>
            </w:tcBorders>
            <w:tcMar>
              <w:top w:w="96" w:type="dxa"/>
              <w:left w:w="113" w:type="dxa"/>
              <w:bottom w:w="96" w:type="dxa"/>
              <w:right w:w="113" w:type="dxa"/>
            </w:tcMar>
            <w:vAlign w:val="center"/>
          </w:tcPr>
          <w:p w14:paraId="6E1C4B05" w14:textId="77777777" w:rsidR="00FA4BF1" w:rsidRPr="00EA076F" w:rsidRDefault="00FA4BF1" w:rsidP="00EA076F">
            <w:pPr>
              <w:pStyle w:val="CDITable-RowCentre"/>
              <w:rPr>
                <w:sz w:val="16"/>
              </w:rPr>
            </w:pPr>
            <w:r w:rsidRPr="00EA076F">
              <w:rPr>
                <w:sz w:val="16"/>
              </w:rPr>
              <w:t>5</w:t>
            </w:r>
          </w:p>
        </w:tc>
        <w:tc>
          <w:tcPr>
            <w:tcW w:w="567"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4E76FD4B" w14:textId="77777777" w:rsidR="00FA4BF1" w:rsidRPr="00EA076F" w:rsidRDefault="00FA4BF1" w:rsidP="00EA076F">
            <w:pPr>
              <w:pStyle w:val="CDITable-RowCentre"/>
              <w:rPr>
                <w:sz w:val="16"/>
              </w:rPr>
            </w:pPr>
            <w:r w:rsidRPr="00EA076F">
              <w:rPr>
                <w:sz w:val="16"/>
              </w:rPr>
              <w:t>8.3</w:t>
            </w:r>
          </w:p>
        </w:tc>
        <w:tc>
          <w:tcPr>
            <w:tcW w:w="59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45E01776" w14:textId="77777777" w:rsidR="00FA4BF1" w:rsidRPr="00EA076F" w:rsidRDefault="00FA4BF1" w:rsidP="00EA076F">
            <w:pPr>
              <w:pStyle w:val="CDITable-RowCentre"/>
              <w:rPr>
                <w:sz w:val="16"/>
              </w:rPr>
            </w:pPr>
            <w:r w:rsidRPr="00EA076F">
              <w:rPr>
                <w:sz w:val="16"/>
              </w:rPr>
              <w:t>55</w:t>
            </w:r>
          </w:p>
        </w:tc>
        <w:tc>
          <w:tcPr>
            <w:tcW w:w="567" w:type="dxa"/>
            <w:tcBorders>
              <w:top w:val="single" w:sz="6" w:space="0" w:color="1E4496" w:themeColor="text2"/>
              <w:bottom w:val="single" w:sz="6" w:space="0" w:color="1E4496" w:themeColor="text2"/>
              <w:right w:val="single" w:sz="6" w:space="0" w:color="1E4496" w:themeColor="text2"/>
            </w:tcBorders>
            <w:tcMar>
              <w:top w:w="96" w:type="dxa"/>
              <w:left w:w="113" w:type="dxa"/>
              <w:bottom w:w="96" w:type="dxa"/>
              <w:right w:w="113" w:type="dxa"/>
            </w:tcMar>
            <w:vAlign w:val="center"/>
          </w:tcPr>
          <w:p w14:paraId="40F0F551" w14:textId="77777777" w:rsidR="00FA4BF1" w:rsidRPr="00EA076F" w:rsidRDefault="00FA4BF1" w:rsidP="00EA076F">
            <w:pPr>
              <w:pStyle w:val="CDITable-RowCentre"/>
              <w:rPr>
                <w:sz w:val="16"/>
              </w:rPr>
            </w:pPr>
            <w:r w:rsidRPr="00EA076F">
              <w:rPr>
                <w:sz w:val="16"/>
              </w:rPr>
              <w:t>91.7</w:t>
            </w:r>
          </w:p>
        </w:tc>
        <w:tc>
          <w:tcPr>
            <w:tcW w:w="589" w:type="dxa"/>
            <w:tcBorders>
              <w:top w:val="single" w:sz="6" w:space="0" w:color="1E4496" w:themeColor="text2"/>
              <w:left w:val="single" w:sz="6" w:space="0" w:color="1E4496" w:themeColor="text2"/>
              <w:bottom w:val="single" w:sz="6" w:space="0" w:color="1E4496" w:themeColor="text2"/>
            </w:tcBorders>
            <w:tcMar>
              <w:top w:w="96" w:type="dxa"/>
              <w:left w:w="113" w:type="dxa"/>
              <w:bottom w:w="96" w:type="dxa"/>
              <w:right w:w="113" w:type="dxa"/>
            </w:tcMar>
            <w:vAlign w:val="center"/>
          </w:tcPr>
          <w:p w14:paraId="76FFEA08" w14:textId="77777777" w:rsidR="00FA4BF1" w:rsidRPr="00EA076F" w:rsidRDefault="00FA4BF1" w:rsidP="00EA076F">
            <w:pPr>
              <w:pStyle w:val="CDITable-RowCentre"/>
              <w:rPr>
                <w:sz w:val="16"/>
              </w:rPr>
            </w:pPr>
            <w:r w:rsidRPr="00EA076F">
              <w:rPr>
                <w:sz w:val="16"/>
              </w:rPr>
              <w:t>8</w:t>
            </w:r>
          </w:p>
        </w:tc>
        <w:tc>
          <w:tcPr>
            <w:tcW w:w="567"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52C22B4B" w14:textId="77777777" w:rsidR="00FA4BF1" w:rsidRPr="00EA076F" w:rsidRDefault="00FA4BF1" w:rsidP="00EA076F">
            <w:pPr>
              <w:pStyle w:val="CDITable-RowCentre"/>
              <w:rPr>
                <w:sz w:val="16"/>
              </w:rPr>
            </w:pPr>
            <w:r w:rsidRPr="00EA076F">
              <w:rPr>
                <w:sz w:val="16"/>
              </w:rPr>
              <w:t>13.3</w:t>
            </w:r>
          </w:p>
        </w:tc>
        <w:tc>
          <w:tcPr>
            <w:tcW w:w="59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7E03B5C8" w14:textId="77777777" w:rsidR="00FA4BF1" w:rsidRPr="00EA076F" w:rsidRDefault="00FA4BF1" w:rsidP="00EA076F">
            <w:pPr>
              <w:pStyle w:val="CDITable-RowCentre"/>
              <w:rPr>
                <w:sz w:val="16"/>
              </w:rPr>
            </w:pPr>
            <w:r w:rsidRPr="00EA076F">
              <w:rPr>
                <w:sz w:val="16"/>
              </w:rPr>
              <w:t>52</w:t>
            </w:r>
          </w:p>
        </w:tc>
        <w:tc>
          <w:tcPr>
            <w:tcW w:w="567" w:type="dxa"/>
            <w:tcBorders>
              <w:top w:val="single" w:sz="6" w:space="0" w:color="1E4496" w:themeColor="text2"/>
              <w:bottom w:val="single" w:sz="6" w:space="0" w:color="1E4496" w:themeColor="text2"/>
              <w:right w:val="single" w:sz="6" w:space="0" w:color="1E4496" w:themeColor="text2"/>
            </w:tcBorders>
            <w:tcMar>
              <w:top w:w="96" w:type="dxa"/>
              <w:left w:w="113" w:type="dxa"/>
              <w:bottom w:w="96" w:type="dxa"/>
              <w:right w:w="113" w:type="dxa"/>
            </w:tcMar>
            <w:vAlign w:val="center"/>
          </w:tcPr>
          <w:p w14:paraId="6F61BC2E" w14:textId="77777777" w:rsidR="00FA4BF1" w:rsidRPr="00EA076F" w:rsidRDefault="00FA4BF1" w:rsidP="00EA076F">
            <w:pPr>
              <w:pStyle w:val="CDITable-RowCentre"/>
              <w:rPr>
                <w:sz w:val="16"/>
              </w:rPr>
            </w:pPr>
            <w:r w:rsidRPr="00EA076F">
              <w:rPr>
                <w:sz w:val="16"/>
              </w:rPr>
              <w:t>86.7</w:t>
            </w:r>
          </w:p>
        </w:tc>
        <w:tc>
          <w:tcPr>
            <w:tcW w:w="590" w:type="dxa"/>
            <w:tcBorders>
              <w:top w:val="single" w:sz="6" w:space="0" w:color="1E4496" w:themeColor="text2"/>
              <w:left w:val="single" w:sz="6" w:space="0" w:color="1E4496" w:themeColor="text2"/>
              <w:bottom w:val="single" w:sz="6" w:space="0" w:color="1E4496" w:themeColor="text2"/>
            </w:tcBorders>
            <w:tcMar>
              <w:top w:w="96" w:type="dxa"/>
              <w:left w:w="113" w:type="dxa"/>
              <w:bottom w:w="96" w:type="dxa"/>
              <w:right w:w="113" w:type="dxa"/>
            </w:tcMar>
            <w:vAlign w:val="center"/>
          </w:tcPr>
          <w:p w14:paraId="137D1ABD" w14:textId="77777777" w:rsidR="00FA4BF1" w:rsidRPr="00EA076F" w:rsidRDefault="00FA4BF1" w:rsidP="00EA076F">
            <w:pPr>
              <w:pStyle w:val="CDITable-RowCentre"/>
              <w:rPr>
                <w:sz w:val="16"/>
              </w:rPr>
            </w:pPr>
            <w:r w:rsidRPr="00EA076F">
              <w:rPr>
                <w:sz w:val="16"/>
              </w:rPr>
              <w:t>1</w:t>
            </w:r>
          </w:p>
        </w:tc>
        <w:tc>
          <w:tcPr>
            <w:tcW w:w="566"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41777909" w14:textId="77777777" w:rsidR="00FA4BF1" w:rsidRPr="00EA076F" w:rsidRDefault="00FA4BF1" w:rsidP="00EA076F">
            <w:pPr>
              <w:pStyle w:val="CDITable-RowCentre"/>
              <w:rPr>
                <w:sz w:val="16"/>
              </w:rPr>
            </w:pPr>
            <w:r w:rsidRPr="00EA076F">
              <w:rPr>
                <w:sz w:val="16"/>
              </w:rPr>
              <w:t>2.9</w:t>
            </w:r>
          </w:p>
        </w:tc>
        <w:tc>
          <w:tcPr>
            <w:tcW w:w="59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1F6B26D6" w14:textId="77777777" w:rsidR="00FA4BF1" w:rsidRPr="00EA076F" w:rsidRDefault="00FA4BF1" w:rsidP="00EA076F">
            <w:pPr>
              <w:pStyle w:val="CDITable-RowCentre"/>
              <w:rPr>
                <w:sz w:val="16"/>
              </w:rPr>
            </w:pPr>
            <w:r w:rsidRPr="00EA076F">
              <w:rPr>
                <w:sz w:val="16"/>
              </w:rPr>
              <w:t>33</w:t>
            </w:r>
          </w:p>
        </w:tc>
        <w:tc>
          <w:tcPr>
            <w:tcW w:w="567"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6CBDAE0A" w14:textId="77777777" w:rsidR="00FA4BF1" w:rsidRPr="00EA076F" w:rsidRDefault="00FA4BF1" w:rsidP="00EA076F">
            <w:pPr>
              <w:pStyle w:val="CDITable-RowCentre"/>
              <w:rPr>
                <w:sz w:val="16"/>
              </w:rPr>
            </w:pPr>
            <w:r w:rsidRPr="00EA076F">
              <w:rPr>
                <w:sz w:val="16"/>
              </w:rPr>
              <w:t>97.1</w:t>
            </w:r>
          </w:p>
        </w:tc>
      </w:tr>
      <w:tr w:rsidR="00B73263" w:rsidRPr="00FA4BF1" w14:paraId="3867BB4D" w14:textId="77777777" w:rsidTr="00B6546F">
        <w:trPr>
          <w:trHeight w:val="60"/>
        </w:trPr>
        <w:tc>
          <w:tcPr>
            <w:tcW w:w="1361" w:type="dxa"/>
            <w:vMerge/>
            <w:tcBorders>
              <w:bottom w:val="single" w:sz="6" w:space="0" w:color="1E4496" w:themeColor="text2"/>
            </w:tcBorders>
            <w:shd w:val="clear" w:color="auto" w:fill="DCF4FC" w:themeFill="background2" w:themeFillTint="33"/>
            <w:tcMar>
              <w:top w:w="96" w:type="dxa"/>
              <w:bottom w:w="96" w:type="dxa"/>
            </w:tcMar>
          </w:tcPr>
          <w:p w14:paraId="519D90B3" w14:textId="77777777" w:rsidR="00FA4BF1" w:rsidRPr="00FA4BF1" w:rsidRDefault="00FA4BF1" w:rsidP="00EA076F"/>
        </w:tc>
        <w:tc>
          <w:tcPr>
            <w:tcW w:w="1417"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24C50449" w14:textId="77777777" w:rsidR="00FA4BF1" w:rsidRPr="00FA4BF1" w:rsidRDefault="00FA4BF1" w:rsidP="00EA076F">
            <w:pPr>
              <w:pStyle w:val="CDITable-RowLeft"/>
              <w:rPr>
                <w:sz w:val="16"/>
              </w:rPr>
            </w:pPr>
            <w:r w:rsidRPr="00FA4BF1">
              <w:rPr>
                <w:sz w:val="16"/>
              </w:rPr>
              <w:t>1–4 years</w:t>
            </w:r>
          </w:p>
        </w:tc>
        <w:tc>
          <w:tcPr>
            <w:tcW w:w="59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35423585" w14:textId="77777777" w:rsidR="00FA4BF1" w:rsidRPr="00EA076F" w:rsidRDefault="00FA4BF1" w:rsidP="00EA076F">
            <w:pPr>
              <w:pStyle w:val="CDITable-RowCentre"/>
              <w:rPr>
                <w:sz w:val="16"/>
              </w:rPr>
            </w:pPr>
            <w:r w:rsidRPr="00EA076F">
              <w:rPr>
                <w:sz w:val="16"/>
              </w:rPr>
              <w:t>35</w:t>
            </w:r>
          </w:p>
        </w:tc>
        <w:tc>
          <w:tcPr>
            <w:tcW w:w="566"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480BF05B" w14:textId="77777777" w:rsidR="00FA4BF1" w:rsidRPr="00EA076F" w:rsidRDefault="00FA4BF1" w:rsidP="00EA076F">
            <w:pPr>
              <w:pStyle w:val="CDITable-RowCentre"/>
              <w:rPr>
                <w:sz w:val="16"/>
              </w:rPr>
            </w:pPr>
            <w:r w:rsidRPr="00EA076F">
              <w:rPr>
                <w:sz w:val="16"/>
              </w:rPr>
              <w:t>21</w:t>
            </w:r>
          </w:p>
        </w:tc>
        <w:tc>
          <w:tcPr>
            <w:tcW w:w="59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0D10A003" w14:textId="77777777" w:rsidR="00FA4BF1" w:rsidRPr="00EA076F" w:rsidRDefault="00FA4BF1" w:rsidP="00EA076F">
            <w:pPr>
              <w:pStyle w:val="CDITable-RowCentre"/>
              <w:rPr>
                <w:sz w:val="16"/>
              </w:rPr>
            </w:pPr>
            <w:r w:rsidRPr="00EA076F">
              <w:rPr>
                <w:sz w:val="16"/>
              </w:rPr>
              <w:t>132</w:t>
            </w:r>
          </w:p>
        </w:tc>
        <w:tc>
          <w:tcPr>
            <w:tcW w:w="567" w:type="dxa"/>
            <w:tcBorders>
              <w:top w:val="single" w:sz="6" w:space="0" w:color="1E4496" w:themeColor="text2"/>
              <w:bottom w:val="single" w:sz="6" w:space="0" w:color="1E4496" w:themeColor="text2"/>
              <w:right w:val="single" w:sz="6" w:space="0" w:color="1E4496" w:themeColor="text2"/>
            </w:tcBorders>
            <w:tcMar>
              <w:top w:w="96" w:type="dxa"/>
              <w:left w:w="113" w:type="dxa"/>
              <w:bottom w:w="96" w:type="dxa"/>
              <w:right w:w="113" w:type="dxa"/>
            </w:tcMar>
            <w:vAlign w:val="center"/>
          </w:tcPr>
          <w:p w14:paraId="51D75B78" w14:textId="77777777" w:rsidR="00FA4BF1" w:rsidRPr="00EA076F" w:rsidRDefault="00FA4BF1" w:rsidP="00EA076F">
            <w:pPr>
              <w:pStyle w:val="CDITable-RowCentre"/>
              <w:rPr>
                <w:sz w:val="16"/>
              </w:rPr>
            </w:pPr>
            <w:r w:rsidRPr="00EA076F">
              <w:rPr>
                <w:sz w:val="16"/>
              </w:rPr>
              <w:t>79</w:t>
            </w:r>
          </w:p>
        </w:tc>
        <w:tc>
          <w:tcPr>
            <w:tcW w:w="590" w:type="dxa"/>
            <w:tcBorders>
              <w:top w:val="single" w:sz="6" w:space="0" w:color="1E4496" w:themeColor="text2"/>
              <w:left w:val="single" w:sz="6" w:space="0" w:color="1E4496" w:themeColor="text2"/>
              <w:bottom w:val="single" w:sz="6" w:space="0" w:color="1E4496" w:themeColor="text2"/>
            </w:tcBorders>
            <w:tcMar>
              <w:top w:w="96" w:type="dxa"/>
              <w:left w:w="113" w:type="dxa"/>
              <w:bottom w:w="96" w:type="dxa"/>
              <w:right w:w="113" w:type="dxa"/>
            </w:tcMar>
            <w:vAlign w:val="center"/>
          </w:tcPr>
          <w:p w14:paraId="4DDCF644" w14:textId="77777777" w:rsidR="00FA4BF1" w:rsidRPr="00EA076F" w:rsidRDefault="00FA4BF1" w:rsidP="00EA076F">
            <w:pPr>
              <w:pStyle w:val="CDITable-RowCentre"/>
              <w:rPr>
                <w:sz w:val="16"/>
              </w:rPr>
            </w:pPr>
            <w:r w:rsidRPr="00EA076F">
              <w:rPr>
                <w:sz w:val="16"/>
              </w:rPr>
              <w:t>23</w:t>
            </w:r>
          </w:p>
        </w:tc>
        <w:tc>
          <w:tcPr>
            <w:tcW w:w="567"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30E06938" w14:textId="77777777" w:rsidR="00FA4BF1" w:rsidRPr="00EA076F" w:rsidRDefault="00FA4BF1" w:rsidP="00EA076F">
            <w:pPr>
              <w:pStyle w:val="CDITable-RowCentre"/>
              <w:rPr>
                <w:sz w:val="16"/>
              </w:rPr>
            </w:pPr>
            <w:r w:rsidRPr="00EA076F">
              <w:rPr>
                <w:sz w:val="16"/>
              </w:rPr>
              <w:t>13.8</w:t>
            </w:r>
          </w:p>
        </w:tc>
        <w:tc>
          <w:tcPr>
            <w:tcW w:w="589"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2C314D01" w14:textId="77777777" w:rsidR="00FA4BF1" w:rsidRPr="00EA076F" w:rsidRDefault="00FA4BF1" w:rsidP="00EA076F">
            <w:pPr>
              <w:pStyle w:val="CDITable-RowCentre"/>
              <w:rPr>
                <w:sz w:val="16"/>
              </w:rPr>
            </w:pPr>
            <w:r w:rsidRPr="00EA076F">
              <w:rPr>
                <w:sz w:val="16"/>
              </w:rPr>
              <w:t>144</w:t>
            </w:r>
          </w:p>
        </w:tc>
        <w:tc>
          <w:tcPr>
            <w:tcW w:w="567" w:type="dxa"/>
            <w:tcBorders>
              <w:top w:val="single" w:sz="6" w:space="0" w:color="1E4496" w:themeColor="text2"/>
              <w:bottom w:val="single" w:sz="6" w:space="0" w:color="1E4496" w:themeColor="text2"/>
              <w:right w:val="single" w:sz="6" w:space="0" w:color="1E4496" w:themeColor="text2"/>
            </w:tcBorders>
            <w:tcMar>
              <w:top w:w="96" w:type="dxa"/>
              <w:left w:w="113" w:type="dxa"/>
              <w:bottom w:w="96" w:type="dxa"/>
              <w:right w:w="113" w:type="dxa"/>
            </w:tcMar>
            <w:vAlign w:val="center"/>
          </w:tcPr>
          <w:p w14:paraId="7A63FA06" w14:textId="77777777" w:rsidR="00FA4BF1" w:rsidRPr="00EA076F" w:rsidRDefault="00FA4BF1" w:rsidP="00EA076F">
            <w:pPr>
              <w:pStyle w:val="CDITable-RowCentre"/>
              <w:rPr>
                <w:sz w:val="16"/>
              </w:rPr>
            </w:pPr>
            <w:r w:rsidRPr="00EA076F">
              <w:rPr>
                <w:sz w:val="16"/>
              </w:rPr>
              <w:t>86.2</w:t>
            </w:r>
          </w:p>
        </w:tc>
        <w:tc>
          <w:tcPr>
            <w:tcW w:w="595" w:type="dxa"/>
            <w:tcBorders>
              <w:top w:val="single" w:sz="6" w:space="0" w:color="1E4496" w:themeColor="text2"/>
              <w:left w:val="single" w:sz="6" w:space="0" w:color="1E4496" w:themeColor="text2"/>
              <w:bottom w:val="single" w:sz="6" w:space="0" w:color="1E4496" w:themeColor="text2"/>
            </w:tcBorders>
            <w:tcMar>
              <w:top w:w="96" w:type="dxa"/>
              <w:left w:w="113" w:type="dxa"/>
              <w:bottom w:w="96" w:type="dxa"/>
              <w:right w:w="113" w:type="dxa"/>
            </w:tcMar>
            <w:vAlign w:val="center"/>
          </w:tcPr>
          <w:p w14:paraId="687BB023" w14:textId="77777777" w:rsidR="00FA4BF1" w:rsidRPr="00EA076F" w:rsidRDefault="00FA4BF1" w:rsidP="00EA076F">
            <w:pPr>
              <w:pStyle w:val="CDITable-RowCentre"/>
              <w:rPr>
                <w:sz w:val="16"/>
              </w:rPr>
            </w:pPr>
            <w:r w:rsidRPr="00EA076F">
              <w:rPr>
                <w:sz w:val="16"/>
              </w:rPr>
              <w:t>9</w:t>
            </w:r>
          </w:p>
        </w:tc>
        <w:tc>
          <w:tcPr>
            <w:tcW w:w="567"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6C212792" w14:textId="77777777" w:rsidR="00FA4BF1" w:rsidRPr="00EA076F" w:rsidRDefault="00FA4BF1" w:rsidP="00EA076F">
            <w:pPr>
              <w:pStyle w:val="CDITable-RowCentre"/>
              <w:rPr>
                <w:sz w:val="16"/>
              </w:rPr>
            </w:pPr>
            <w:r w:rsidRPr="00EA076F">
              <w:rPr>
                <w:sz w:val="16"/>
              </w:rPr>
              <w:t>8.1</w:t>
            </w:r>
          </w:p>
        </w:tc>
        <w:tc>
          <w:tcPr>
            <w:tcW w:w="59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4EF80BB7" w14:textId="77777777" w:rsidR="00FA4BF1" w:rsidRPr="00EA076F" w:rsidRDefault="00FA4BF1" w:rsidP="00EA076F">
            <w:pPr>
              <w:pStyle w:val="CDITable-RowCentre"/>
              <w:rPr>
                <w:sz w:val="16"/>
              </w:rPr>
            </w:pPr>
            <w:r w:rsidRPr="00EA076F">
              <w:rPr>
                <w:sz w:val="16"/>
              </w:rPr>
              <w:t>102</w:t>
            </w:r>
          </w:p>
        </w:tc>
        <w:tc>
          <w:tcPr>
            <w:tcW w:w="567" w:type="dxa"/>
            <w:tcBorders>
              <w:top w:val="single" w:sz="6" w:space="0" w:color="1E4496" w:themeColor="text2"/>
              <w:bottom w:val="single" w:sz="6" w:space="0" w:color="1E4496" w:themeColor="text2"/>
              <w:right w:val="single" w:sz="6" w:space="0" w:color="1E4496" w:themeColor="text2"/>
            </w:tcBorders>
            <w:tcMar>
              <w:top w:w="96" w:type="dxa"/>
              <w:left w:w="113" w:type="dxa"/>
              <w:bottom w:w="96" w:type="dxa"/>
              <w:right w:w="113" w:type="dxa"/>
            </w:tcMar>
            <w:vAlign w:val="center"/>
          </w:tcPr>
          <w:p w14:paraId="1CE6591A" w14:textId="77777777" w:rsidR="00FA4BF1" w:rsidRPr="00EA076F" w:rsidRDefault="00FA4BF1" w:rsidP="00EA076F">
            <w:pPr>
              <w:pStyle w:val="CDITable-RowCentre"/>
              <w:rPr>
                <w:sz w:val="16"/>
              </w:rPr>
            </w:pPr>
            <w:r w:rsidRPr="00EA076F">
              <w:rPr>
                <w:sz w:val="16"/>
              </w:rPr>
              <w:t>91.9</w:t>
            </w:r>
          </w:p>
        </w:tc>
        <w:tc>
          <w:tcPr>
            <w:tcW w:w="589" w:type="dxa"/>
            <w:tcBorders>
              <w:top w:val="single" w:sz="6" w:space="0" w:color="1E4496" w:themeColor="text2"/>
              <w:left w:val="single" w:sz="6" w:space="0" w:color="1E4496" w:themeColor="text2"/>
              <w:bottom w:val="single" w:sz="6" w:space="0" w:color="1E4496" w:themeColor="text2"/>
            </w:tcBorders>
            <w:tcMar>
              <w:top w:w="96" w:type="dxa"/>
              <w:left w:w="113" w:type="dxa"/>
              <w:bottom w:w="96" w:type="dxa"/>
              <w:right w:w="113" w:type="dxa"/>
            </w:tcMar>
            <w:vAlign w:val="center"/>
          </w:tcPr>
          <w:p w14:paraId="4BF50A52" w14:textId="77777777" w:rsidR="00FA4BF1" w:rsidRPr="00EA076F" w:rsidRDefault="00FA4BF1" w:rsidP="00EA076F">
            <w:pPr>
              <w:pStyle w:val="CDITable-RowCentre"/>
              <w:rPr>
                <w:sz w:val="16"/>
              </w:rPr>
            </w:pPr>
            <w:r w:rsidRPr="00EA076F">
              <w:rPr>
                <w:sz w:val="16"/>
              </w:rPr>
              <w:t>23</w:t>
            </w:r>
          </w:p>
        </w:tc>
        <w:tc>
          <w:tcPr>
            <w:tcW w:w="567"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1299B765" w14:textId="77777777" w:rsidR="00FA4BF1" w:rsidRPr="00EA076F" w:rsidRDefault="00FA4BF1" w:rsidP="00EA076F">
            <w:pPr>
              <w:pStyle w:val="CDITable-RowCentre"/>
              <w:rPr>
                <w:sz w:val="16"/>
              </w:rPr>
            </w:pPr>
            <w:r w:rsidRPr="00EA076F">
              <w:rPr>
                <w:sz w:val="16"/>
              </w:rPr>
              <w:t>20.7</w:t>
            </w:r>
          </w:p>
        </w:tc>
        <w:tc>
          <w:tcPr>
            <w:tcW w:w="59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2E1D5BBC" w14:textId="77777777" w:rsidR="00FA4BF1" w:rsidRPr="00EA076F" w:rsidRDefault="00FA4BF1" w:rsidP="00EA076F">
            <w:pPr>
              <w:pStyle w:val="CDITable-RowCentre"/>
              <w:rPr>
                <w:sz w:val="16"/>
              </w:rPr>
            </w:pPr>
            <w:r w:rsidRPr="00EA076F">
              <w:rPr>
                <w:sz w:val="16"/>
              </w:rPr>
              <w:t>88</w:t>
            </w:r>
          </w:p>
        </w:tc>
        <w:tc>
          <w:tcPr>
            <w:tcW w:w="567" w:type="dxa"/>
            <w:tcBorders>
              <w:top w:val="single" w:sz="6" w:space="0" w:color="1E4496" w:themeColor="text2"/>
              <w:bottom w:val="single" w:sz="6" w:space="0" w:color="1E4496" w:themeColor="text2"/>
              <w:right w:val="single" w:sz="6" w:space="0" w:color="1E4496" w:themeColor="text2"/>
            </w:tcBorders>
            <w:tcMar>
              <w:top w:w="96" w:type="dxa"/>
              <w:left w:w="113" w:type="dxa"/>
              <w:bottom w:w="96" w:type="dxa"/>
              <w:right w:w="113" w:type="dxa"/>
            </w:tcMar>
            <w:vAlign w:val="center"/>
          </w:tcPr>
          <w:p w14:paraId="3754FE0F" w14:textId="77777777" w:rsidR="00FA4BF1" w:rsidRPr="00EA076F" w:rsidRDefault="00FA4BF1" w:rsidP="00EA076F">
            <w:pPr>
              <w:pStyle w:val="CDITable-RowCentre"/>
              <w:rPr>
                <w:sz w:val="16"/>
              </w:rPr>
            </w:pPr>
            <w:r w:rsidRPr="00EA076F">
              <w:rPr>
                <w:sz w:val="16"/>
              </w:rPr>
              <w:t>79.3</w:t>
            </w:r>
          </w:p>
        </w:tc>
        <w:tc>
          <w:tcPr>
            <w:tcW w:w="590" w:type="dxa"/>
            <w:tcBorders>
              <w:top w:val="single" w:sz="6" w:space="0" w:color="1E4496" w:themeColor="text2"/>
              <w:left w:val="single" w:sz="6" w:space="0" w:color="1E4496" w:themeColor="text2"/>
              <w:bottom w:val="single" w:sz="6" w:space="0" w:color="1E4496" w:themeColor="text2"/>
            </w:tcBorders>
            <w:tcMar>
              <w:top w:w="96" w:type="dxa"/>
              <w:left w:w="113" w:type="dxa"/>
              <w:bottom w:w="96" w:type="dxa"/>
              <w:right w:w="113" w:type="dxa"/>
            </w:tcMar>
            <w:vAlign w:val="center"/>
          </w:tcPr>
          <w:p w14:paraId="52A35938" w14:textId="77777777" w:rsidR="00FA4BF1" w:rsidRPr="00EA076F" w:rsidRDefault="00FA4BF1" w:rsidP="00EA076F">
            <w:pPr>
              <w:pStyle w:val="CDITable-RowCentre"/>
              <w:rPr>
                <w:sz w:val="16"/>
              </w:rPr>
            </w:pPr>
            <w:r w:rsidRPr="00EA076F">
              <w:rPr>
                <w:sz w:val="16"/>
              </w:rPr>
              <w:t>1</w:t>
            </w:r>
          </w:p>
        </w:tc>
        <w:tc>
          <w:tcPr>
            <w:tcW w:w="566"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5FA29607" w14:textId="77777777" w:rsidR="00FA4BF1" w:rsidRPr="00EA076F" w:rsidRDefault="00FA4BF1" w:rsidP="00EA076F">
            <w:pPr>
              <w:pStyle w:val="CDITable-RowCentre"/>
              <w:rPr>
                <w:sz w:val="16"/>
              </w:rPr>
            </w:pPr>
            <w:r w:rsidRPr="00EA076F">
              <w:rPr>
                <w:sz w:val="16"/>
              </w:rPr>
              <w:t>3.1</w:t>
            </w:r>
          </w:p>
        </w:tc>
        <w:tc>
          <w:tcPr>
            <w:tcW w:w="59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7B627ED4" w14:textId="77777777" w:rsidR="00FA4BF1" w:rsidRPr="00EA076F" w:rsidRDefault="00FA4BF1" w:rsidP="00EA076F">
            <w:pPr>
              <w:pStyle w:val="CDITable-RowCentre"/>
              <w:rPr>
                <w:sz w:val="16"/>
              </w:rPr>
            </w:pPr>
            <w:r w:rsidRPr="00EA076F">
              <w:rPr>
                <w:sz w:val="16"/>
              </w:rPr>
              <w:t>31</w:t>
            </w:r>
          </w:p>
        </w:tc>
        <w:tc>
          <w:tcPr>
            <w:tcW w:w="567"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0CA887A0" w14:textId="77777777" w:rsidR="00FA4BF1" w:rsidRPr="00EA076F" w:rsidRDefault="00FA4BF1" w:rsidP="00EA076F">
            <w:pPr>
              <w:pStyle w:val="CDITable-RowCentre"/>
              <w:rPr>
                <w:sz w:val="16"/>
              </w:rPr>
            </w:pPr>
            <w:r w:rsidRPr="00EA076F">
              <w:rPr>
                <w:sz w:val="16"/>
              </w:rPr>
              <w:t>96.9</w:t>
            </w:r>
          </w:p>
        </w:tc>
      </w:tr>
      <w:tr w:rsidR="00B73263" w:rsidRPr="00FA4BF1" w14:paraId="3F4406E6" w14:textId="77777777" w:rsidTr="00B6546F">
        <w:trPr>
          <w:trHeight w:val="60"/>
        </w:trPr>
        <w:tc>
          <w:tcPr>
            <w:tcW w:w="1361" w:type="dxa"/>
            <w:vMerge/>
            <w:tcBorders>
              <w:bottom w:val="single" w:sz="6" w:space="0" w:color="1E4496" w:themeColor="text2"/>
            </w:tcBorders>
            <w:shd w:val="clear" w:color="auto" w:fill="DCF4FC" w:themeFill="background2" w:themeFillTint="33"/>
            <w:tcMar>
              <w:top w:w="96" w:type="dxa"/>
              <w:bottom w:w="96" w:type="dxa"/>
            </w:tcMar>
          </w:tcPr>
          <w:p w14:paraId="7E8938F5" w14:textId="77777777" w:rsidR="00FA4BF1" w:rsidRPr="00FA4BF1" w:rsidRDefault="00FA4BF1" w:rsidP="00EA076F"/>
        </w:tc>
        <w:tc>
          <w:tcPr>
            <w:tcW w:w="1417"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715B13D9" w14:textId="77777777" w:rsidR="00FA4BF1" w:rsidRPr="00FA4BF1" w:rsidRDefault="00FA4BF1" w:rsidP="00EA076F">
            <w:pPr>
              <w:pStyle w:val="CDITable-RowLeft"/>
              <w:rPr>
                <w:sz w:val="16"/>
              </w:rPr>
            </w:pPr>
            <w:r w:rsidRPr="00FA4BF1">
              <w:rPr>
                <w:sz w:val="16"/>
              </w:rPr>
              <w:t>5–11 years</w:t>
            </w:r>
          </w:p>
        </w:tc>
        <w:tc>
          <w:tcPr>
            <w:tcW w:w="59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4E156DFB" w14:textId="77777777" w:rsidR="00FA4BF1" w:rsidRPr="00FA4BF1" w:rsidRDefault="00FA4BF1" w:rsidP="00EA076F">
            <w:pPr>
              <w:pStyle w:val="CDITable-RowCentre"/>
              <w:rPr>
                <w:sz w:val="16"/>
              </w:rPr>
            </w:pPr>
            <w:r w:rsidRPr="00FA4BF1">
              <w:rPr>
                <w:sz w:val="16"/>
              </w:rPr>
              <w:t>26</w:t>
            </w:r>
          </w:p>
        </w:tc>
        <w:tc>
          <w:tcPr>
            <w:tcW w:w="566"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272923A8" w14:textId="77777777" w:rsidR="00FA4BF1" w:rsidRPr="00FA4BF1" w:rsidRDefault="00FA4BF1" w:rsidP="00EA076F">
            <w:pPr>
              <w:pStyle w:val="CDITable-RowCentre"/>
              <w:rPr>
                <w:sz w:val="16"/>
              </w:rPr>
            </w:pPr>
            <w:r w:rsidRPr="00FA4BF1">
              <w:rPr>
                <w:sz w:val="16"/>
              </w:rPr>
              <w:t>17.1</w:t>
            </w:r>
          </w:p>
        </w:tc>
        <w:tc>
          <w:tcPr>
            <w:tcW w:w="59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7049A5F7" w14:textId="77777777" w:rsidR="00FA4BF1" w:rsidRPr="00FA4BF1" w:rsidRDefault="00FA4BF1" w:rsidP="00EA076F">
            <w:pPr>
              <w:pStyle w:val="CDITable-RowCentre"/>
              <w:rPr>
                <w:sz w:val="16"/>
              </w:rPr>
            </w:pPr>
            <w:r w:rsidRPr="00FA4BF1">
              <w:rPr>
                <w:sz w:val="16"/>
              </w:rPr>
              <w:t>126</w:t>
            </w:r>
          </w:p>
        </w:tc>
        <w:tc>
          <w:tcPr>
            <w:tcW w:w="567" w:type="dxa"/>
            <w:tcBorders>
              <w:top w:val="single" w:sz="6" w:space="0" w:color="1E4496" w:themeColor="text2"/>
              <w:bottom w:val="single" w:sz="6" w:space="0" w:color="1E4496" w:themeColor="text2"/>
              <w:right w:val="single" w:sz="6" w:space="0" w:color="1E4496" w:themeColor="text2"/>
            </w:tcBorders>
            <w:tcMar>
              <w:top w:w="96" w:type="dxa"/>
              <w:left w:w="113" w:type="dxa"/>
              <w:bottom w:w="96" w:type="dxa"/>
              <w:right w:w="113" w:type="dxa"/>
            </w:tcMar>
            <w:vAlign w:val="center"/>
          </w:tcPr>
          <w:p w14:paraId="5470EEF0" w14:textId="77777777" w:rsidR="00FA4BF1" w:rsidRPr="00FA4BF1" w:rsidRDefault="00FA4BF1" w:rsidP="00EA076F">
            <w:pPr>
              <w:pStyle w:val="CDITable-RowCentre"/>
              <w:rPr>
                <w:sz w:val="16"/>
              </w:rPr>
            </w:pPr>
            <w:r w:rsidRPr="00FA4BF1">
              <w:rPr>
                <w:sz w:val="16"/>
              </w:rPr>
              <w:t>82.9</w:t>
            </w:r>
          </w:p>
        </w:tc>
        <w:tc>
          <w:tcPr>
            <w:tcW w:w="590" w:type="dxa"/>
            <w:tcBorders>
              <w:top w:val="single" w:sz="6" w:space="0" w:color="1E4496" w:themeColor="text2"/>
              <w:left w:val="single" w:sz="6" w:space="0" w:color="1E4496" w:themeColor="text2"/>
              <w:bottom w:val="single" w:sz="6" w:space="0" w:color="1E4496" w:themeColor="text2"/>
            </w:tcBorders>
            <w:tcMar>
              <w:top w:w="96" w:type="dxa"/>
              <w:left w:w="113" w:type="dxa"/>
              <w:bottom w:w="96" w:type="dxa"/>
              <w:right w:w="113" w:type="dxa"/>
            </w:tcMar>
            <w:vAlign w:val="center"/>
          </w:tcPr>
          <w:p w14:paraId="0B8B50EC" w14:textId="77777777" w:rsidR="00FA4BF1" w:rsidRPr="00FA4BF1" w:rsidRDefault="00FA4BF1" w:rsidP="00EA076F">
            <w:pPr>
              <w:pStyle w:val="CDITable-RowCentre"/>
              <w:rPr>
                <w:sz w:val="16"/>
              </w:rPr>
            </w:pPr>
            <w:r w:rsidRPr="00FA4BF1">
              <w:rPr>
                <w:sz w:val="16"/>
              </w:rPr>
              <w:t>15</w:t>
            </w:r>
          </w:p>
        </w:tc>
        <w:tc>
          <w:tcPr>
            <w:tcW w:w="567"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7AAC1824" w14:textId="77777777" w:rsidR="00FA4BF1" w:rsidRPr="00FA4BF1" w:rsidRDefault="00FA4BF1" w:rsidP="00EA076F">
            <w:pPr>
              <w:pStyle w:val="CDITable-RowCentre"/>
              <w:rPr>
                <w:sz w:val="16"/>
              </w:rPr>
            </w:pPr>
            <w:r w:rsidRPr="00FA4BF1">
              <w:rPr>
                <w:sz w:val="16"/>
              </w:rPr>
              <w:t>9.9</w:t>
            </w:r>
          </w:p>
        </w:tc>
        <w:tc>
          <w:tcPr>
            <w:tcW w:w="589"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372715F0" w14:textId="77777777" w:rsidR="00FA4BF1" w:rsidRPr="00FA4BF1" w:rsidRDefault="00FA4BF1" w:rsidP="00EA076F">
            <w:pPr>
              <w:pStyle w:val="CDITable-RowCentre"/>
              <w:rPr>
                <w:sz w:val="16"/>
              </w:rPr>
            </w:pPr>
            <w:r w:rsidRPr="00FA4BF1">
              <w:rPr>
                <w:sz w:val="16"/>
              </w:rPr>
              <w:t>137</w:t>
            </w:r>
          </w:p>
        </w:tc>
        <w:tc>
          <w:tcPr>
            <w:tcW w:w="567" w:type="dxa"/>
            <w:tcBorders>
              <w:top w:val="single" w:sz="6" w:space="0" w:color="1E4496" w:themeColor="text2"/>
              <w:bottom w:val="single" w:sz="6" w:space="0" w:color="1E4496" w:themeColor="text2"/>
              <w:right w:val="single" w:sz="6" w:space="0" w:color="1E4496" w:themeColor="text2"/>
            </w:tcBorders>
            <w:tcMar>
              <w:top w:w="96" w:type="dxa"/>
              <w:left w:w="113" w:type="dxa"/>
              <w:bottom w:w="96" w:type="dxa"/>
              <w:right w:w="113" w:type="dxa"/>
            </w:tcMar>
            <w:vAlign w:val="center"/>
          </w:tcPr>
          <w:p w14:paraId="71817193" w14:textId="77777777" w:rsidR="00FA4BF1" w:rsidRPr="00FA4BF1" w:rsidRDefault="00FA4BF1" w:rsidP="00EA076F">
            <w:pPr>
              <w:pStyle w:val="CDITable-RowCentre"/>
              <w:rPr>
                <w:sz w:val="16"/>
              </w:rPr>
            </w:pPr>
            <w:r w:rsidRPr="00FA4BF1">
              <w:rPr>
                <w:sz w:val="16"/>
              </w:rPr>
              <w:t>90.1</w:t>
            </w:r>
          </w:p>
        </w:tc>
        <w:tc>
          <w:tcPr>
            <w:tcW w:w="595" w:type="dxa"/>
            <w:tcBorders>
              <w:top w:val="single" w:sz="6" w:space="0" w:color="1E4496" w:themeColor="text2"/>
              <w:left w:val="single" w:sz="6" w:space="0" w:color="1E4496" w:themeColor="text2"/>
              <w:bottom w:val="single" w:sz="6" w:space="0" w:color="1E4496" w:themeColor="text2"/>
            </w:tcBorders>
            <w:tcMar>
              <w:top w:w="96" w:type="dxa"/>
              <w:left w:w="113" w:type="dxa"/>
              <w:bottom w:w="96" w:type="dxa"/>
              <w:right w:w="113" w:type="dxa"/>
            </w:tcMar>
            <w:vAlign w:val="center"/>
          </w:tcPr>
          <w:p w14:paraId="0DEF08FF" w14:textId="77777777" w:rsidR="00FA4BF1" w:rsidRPr="00FA4BF1" w:rsidRDefault="00FA4BF1" w:rsidP="00EA076F">
            <w:pPr>
              <w:pStyle w:val="CDITable-RowCentre"/>
              <w:rPr>
                <w:sz w:val="16"/>
              </w:rPr>
            </w:pPr>
            <w:r w:rsidRPr="00FA4BF1">
              <w:rPr>
                <w:sz w:val="16"/>
              </w:rPr>
              <w:t>7</w:t>
            </w:r>
          </w:p>
        </w:tc>
        <w:tc>
          <w:tcPr>
            <w:tcW w:w="567"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2638C407" w14:textId="77777777" w:rsidR="00FA4BF1" w:rsidRPr="00FA4BF1" w:rsidRDefault="00FA4BF1" w:rsidP="00EA076F">
            <w:pPr>
              <w:pStyle w:val="CDITable-RowCentre"/>
              <w:rPr>
                <w:sz w:val="16"/>
              </w:rPr>
            </w:pPr>
            <w:r w:rsidRPr="00FA4BF1">
              <w:rPr>
                <w:sz w:val="16"/>
              </w:rPr>
              <w:t>4</w:t>
            </w:r>
          </w:p>
        </w:tc>
        <w:tc>
          <w:tcPr>
            <w:tcW w:w="59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6AC50C85" w14:textId="77777777" w:rsidR="00FA4BF1" w:rsidRPr="00FA4BF1" w:rsidRDefault="00FA4BF1" w:rsidP="00EA076F">
            <w:pPr>
              <w:pStyle w:val="CDITable-RowCentre"/>
              <w:rPr>
                <w:sz w:val="16"/>
              </w:rPr>
            </w:pPr>
            <w:r w:rsidRPr="00FA4BF1">
              <w:rPr>
                <w:sz w:val="16"/>
              </w:rPr>
              <w:t>167</w:t>
            </w:r>
          </w:p>
        </w:tc>
        <w:tc>
          <w:tcPr>
            <w:tcW w:w="567" w:type="dxa"/>
            <w:tcBorders>
              <w:top w:val="single" w:sz="6" w:space="0" w:color="1E4496" w:themeColor="text2"/>
              <w:bottom w:val="single" w:sz="6" w:space="0" w:color="1E4496" w:themeColor="text2"/>
              <w:right w:val="single" w:sz="6" w:space="0" w:color="1E4496" w:themeColor="text2"/>
            </w:tcBorders>
            <w:tcMar>
              <w:top w:w="96" w:type="dxa"/>
              <w:left w:w="113" w:type="dxa"/>
              <w:bottom w:w="96" w:type="dxa"/>
              <w:right w:w="113" w:type="dxa"/>
            </w:tcMar>
            <w:vAlign w:val="center"/>
          </w:tcPr>
          <w:p w14:paraId="247E2B33" w14:textId="77777777" w:rsidR="00FA4BF1" w:rsidRPr="00FA4BF1" w:rsidRDefault="00FA4BF1" w:rsidP="00EA076F">
            <w:pPr>
              <w:pStyle w:val="CDITable-RowCentre"/>
              <w:rPr>
                <w:sz w:val="16"/>
              </w:rPr>
            </w:pPr>
            <w:r w:rsidRPr="00FA4BF1">
              <w:rPr>
                <w:sz w:val="16"/>
              </w:rPr>
              <w:t>96</w:t>
            </w:r>
          </w:p>
        </w:tc>
        <w:tc>
          <w:tcPr>
            <w:tcW w:w="589" w:type="dxa"/>
            <w:tcBorders>
              <w:top w:val="single" w:sz="6" w:space="0" w:color="1E4496" w:themeColor="text2"/>
              <w:left w:val="single" w:sz="6" w:space="0" w:color="1E4496" w:themeColor="text2"/>
              <w:bottom w:val="single" w:sz="6" w:space="0" w:color="1E4496" w:themeColor="text2"/>
            </w:tcBorders>
            <w:tcMar>
              <w:top w:w="96" w:type="dxa"/>
              <w:left w:w="113" w:type="dxa"/>
              <w:bottom w:w="96" w:type="dxa"/>
              <w:right w:w="113" w:type="dxa"/>
            </w:tcMar>
            <w:vAlign w:val="center"/>
          </w:tcPr>
          <w:p w14:paraId="174C1820" w14:textId="77777777" w:rsidR="00FA4BF1" w:rsidRPr="00FA4BF1" w:rsidRDefault="00FA4BF1" w:rsidP="00EA076F">
            <w:pPr>
              <w:pStyle w:val="CDITable-RowCentre"/>
              <w:rPr>
                <w:sz w:val="16"/>
              </w:rPr>
            </w:pPr>
            <w:r w:rsidRPr="00FA4BF1">
              <w:rPr>
                <w:sz w:val="16"/>
              </w:rPr>
              <w:t>26</w:t>
            </w:r>
          </w:p>
        </w:tc>
        <w:tc>
          <w:tcPr>
            <w:tcW w:w="567"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5D4639DF" w14:textId="77777777" w:rsidR="00FA4BF1" w:rsidRPr="00FA4BF1" w:rsidRDefault="00FA4BF1" w:rsidP="00EA076F">
            <w:pPr>
              <w:pStyle w:val="CDITable-RowCentre"/>
              <w:rPr>
                <w:sz w:val="16"/>
              </w:rPr>
            </w:pPr>
            <w:r w:rsidRPr="00FA4BF1">
              <w:rPr>
                <w:sz w:val="16"/>
              </w:rPr>
              <w:t>14.9</w:t>
            </w:r>
          </w:p>
        </w:tc>
        <w:tc>
          <w:tcPr>
            <w:tcW w:w="59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6A270D54" w14:textId="77777777" w:rsidR="00FA4BF1" w:rsidRPr="00FA4BF1" w:rsidRDefault="00FA4BF1" w:rsidP="00EA076F">
            <w:pPr>
              <w:pStyle w:val="CDITable-RowCentre"/>
              <w:rPr>
                <w:sz w:val="16"/>
              </w:rPr>
            </w:pPr>
            <w:r w:rsidRPr="00FA4BF1">
              <w:rPr>
                <w:sz w:val="16"/>
              </w:rPr>
              <w:t>148</w:t>
            </w:r>
          </w:p>
        </w:tc>
        <w:tc>
          <w:tcPr>
            <w:tcW w:w="567" w:type="dxa"/>
            <w:tcBorders>
              <w:top w:val="single" w:sz="6" w:space="0" w:color="1E4496" w:themeColor="text2"/>
              <w:bottom w:val="single" w:sz="6" w:space="0" w:color="1E4496" w:themeColor="text2"/>
              <w:right w:val="single" w:sz="6" w:space="0" w:color="1E4496" w:themeColor="text2"/>
            </w:tcBorders>
            <w:tcMar>
              <w:top w:w="96" w:type="dxa"/>
              <w:left w:w="113" w:type="dxa"/>
              <w:bottom w:w="96" w:type="dxa"/>
              <w:right w:w="113" w:type="dxa"/>
            </w:tcMar>
            <w:vAlign w:val="center"/>
          </w:tcPr>
          <w:p w14:paraId="7737503D" w14:textId="77777777" w:rsidR="00FA4BF1" w:rsidRPr="00FA4BF1" w:rsidRDefault="00FA4BF1" w:rsidP="00EA076F">
            <w:pPr>
              <w:pStyle w:val="CDITable-RowCentre"/>
              <w:rPr>
                <w:sz w:val="16"/>
              </w:rPr>
            </w:pPr>
            <w:r w:rsidRPr="00FA4BF1">
              <w:rPr>
                <w:sz w:val="16"/>
              </w:rPr>
              <w:t>85.1</w:t>
            </w:r>
          </w:p>
        </w:tc>
        <w:tc>
          <w:tcPr>
            <w:tcW w:w="590" w:type="dxa"/>
            <w:tcBorders>
              <w:top w:val="single" w:sz="6" w:space="0" w:color="1E4496" w:themeColor="text2"/>
              <w:left w:val="single" w:sz="6" w:space="0" w:color="1E4496" w:themeColor="text2"/>
              <w:bottom w:val="single" w:sz="6" w:space="0" w:color="1E4496" w:themeColor="text2"/>
            </w:tcBorders>
            <w:tcMar>
              <w:top w:w="96" w:type="dxa"/>
              <w:left w:w="113" w:type="dxa"/>
              <w:bottom w:w="96" w:type="dxa"/>
              <w:right w:w="113" w:type="dxa"/>
            </w:tcMar>
            <w:vAlign w:val="center"/>
          </w:tcPr>
          <w:p w14:paraId="200E369D" w14:textId="77777777" w:rsidR="00FA4BF1" w:rsidRPr="00FA4BF1" w:rsidRDefault="00FA4BF1" w:rsidP="00EA076F">
            <w:pPr>
              <w:pStyle w:val="CDITable-RowCentre"/>
              <w:rPr>
                <w:sz w:val="16"/>
              </w:rPr>
            </w:pPr>
            <w:r w:rsidRPr="00FA4BF1">
              <w:rPr>
                <w:sz w:val="16"/>
              </w:rPr>
              <w:t>1</w:t>
            </w:r>
          </w:p>
        </w:tc>
        <w:tc>
          <w:tcPr>
            <w:tcW w:w="566"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5C51E1A7" w14:textId="77777777" w:rsidR="00FA4BF1" w:rsidRPr="00FA4BF1" w:rsidRDefault="00FA4BF1" w:rsidP="00EA076F">
            <w:pPr>
              <w:pStyle w:val="CDITable-RowCentre"/>
              <w:rPr>
                <w:sz w:val="16"/>
              </w:rPr>
            </w:pPr>
            <w:r w:rsidRPr="00FA4BF1">
              <w:rPr>
                <w:sz w:val="16"/>
              </w:rPr>
              <w:t>6.3</w:t>
            </w:r>
          </w:p>
        </w:tc>
        <w:tc>
          <w:tcPr>
            <w:tcW w:w="59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4C4A9B7C" w14:textId="77777777" w:rsidR="00FA4BF1" w:rsidRPr="00FA4BF1" w:rsidRDefault="00FA4BF1" w:rsidP="00EA076F">
            <w:pPr>
              <w:pStyle w:val="CDITable-RowCentre"/>
              <w:rPr>
                <w:sz w:val="16"/>
              </w:rPr>
            </w:pPr>
            <w:r w:rsidRPr="00FA4BF1">
              <w:rPr>
                <w:sz w:val="16"/>
              </w:rPr>
              <w:t>15</w:t>
            </w:r>
          </w:p>
        </w:tc>
        <w:tc>
          <w:tcPr>
            <w:tcW w:w="567"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653BB963" w14:textId="77777777" w:rsidR="00FA4BF1" w:rsidRPr="00FA4BF1" w:rsidRDefault="00FA4BF1" w:rsidP="00EA076F">
            <w:pPr>
              <w:pStyle w:val="CDITable-RowCentre"/>
              <w:rPr>
                <w:sz w:val="16"/>
              </w:rPr>
            </w:pPr>
            <w:r w:rsidRPr="00FA4BF1">
              <w:rPr>
                <w:sz w:val="16"/>
              </w:rPr>
              <w:t>93.7</w:t>
            </w:r>
          </w:p>
        </w:tc>
      </w:tr>
      <w:tr w:rsidR="00B73263" w:rsidRPr="00FA4BF1" w14:paraId="30119955" w14:textId="77777777" w:rsidTr="00B6546F">
        <w:trPr>
          <w:trHeight w:val="60"/>
        </w:trPr>
        <w:tc>
          <w:tcPr>
            <w:tcW w:w="1361" w:type="dxa"/>
            <w:vMerge/>
            <w:tcBorders>
              <w:bottom w:val="single" w:sz="6" w:space="0" w:color="1E4496" w:themeColor="text2"/>
            </w:tcBorders>
            <w:shd w:val="clear" w:color="auto" w:fill="DCF4FC" w:themeFill="background2" w:themeFillTint="33"/>
            <w:tcMar>
              <w:top w:w="96" w:type="dxa"/>
              <w:bottom w:w="96" w:type="dxa"/>
            </w:tcMar>
          </w:tcPr>
          <w:p w14:paraId="2FC969AA" w14:textId="77777777" w:rsidR="00FA4BF1" w:rsidRPr="00FA4BF1" w:rsidRDefault="00FA4BF1" w:rsidP="00EA076F"/>
        </w:tc>
        <w:tc>
          <w:tcPr>
            <w:tcW w:w="1417"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5CE77CDE" w14:textId="77777777" w:rsidR="00FA4BF1" w:rsidRPr="00FA4BF1" w:rsidRDefault="00FA4BF1" w:rsidP="00EA076F">
            <w:pPr>
              <w:pStyle w:val="CDITable-RowLeft"/>
              <w:rPr>
                <w:sz w:val="16"/>
              </w:rPr>
            </w:pPr>
            <w:r w:rsidRPr="00FA4BF1">
              <w:rPr>
                <w:sz w:val="16"/>
              </w:rPr>
              <w:t>12–17 years</w:t>
            </w:r>
          </w:p>
        </w:tc>
        <w:tc>
          <w:tcPr>
            <w:tcW w:w="59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37AE2FE2" w14:textId="77777777" w:rsidR="00FA4BF1" w:rsidRPr="00FA4BF1" w:rsidRDefault="00FA4BF1" w:rsidP="00EA076F">
            <w:pPr>
              <w:pStyle w:val="CDITable-RowCentre"/>
              <w:rPr>
                <w:sz w:val="16"/>
              </w:rPr>
            </w:pPr>
            <w:r w:rsidRPr="00FA4BF1">
              <w:rPr>
                <w:sz w:val="16"/>
              </w:rPr>
              <w:t>39</w:t>
            </w:r>
          </w:p>
        </w:tc>
        <w:tc>
          <w:tcPr>
            <w:tcW w:w="566"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306FC5C6" w14:textId="77777777" w:rsidR="00FA4BF1" w:rsidRPr="00FA4BF1" w:rsidRDefault="00FA4BF1" w:rsidP="00EA076F">
            <w:pPr>
              <w:pStyle w:val="CDITable-RowCentre"/>
              <w:rPr>
                <w:sz w:val="16"/>
              </w:rPr>
            </w:pPr>
            <w:r w:rsidRPr="00FA4BF1">
              <w:rPr>
                <w:sz w:val="16"/>
              </w:rPr>
              <w:t>23.1</w:t>
            </w:r>
          </w:p>
        </w:tc>
        <w:tc>
          <w:tcPr>
            <w:tcW w:w="59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4B02FA25" w14:textId="77777777" w:rsidR="00FA4BF1" w:rsidRPr="00FA4BF1" w:rsidRDefault="00FA4BF1" w:rsidP="00EA076F">
            <w:pPr>
              <w:pStyle w:val="CDITable-RowCentre"/>
              <w:rPr>
                <w:sz w:val="16"/>
              </w:rPr>
            </w:pPr>
            <w:r w:rsidRPr="00FA4BF1">
              <w:rPr>
                <w:sz w:val="16"/>
              </w:rPr>
              <w:t>130</w:t>
            </w:r>
          </w:p>
        </w:tc>
        <w:tc>
          <w:tcPr>
            <w:tcW w:w="567" w:type="dxa"/>
            <w:tcBorders>
              <w:top w:val="single" w:sz="6" w:space="0" w:color="1E4496" w:themeColor="text2"/>
              <w:bottom w:val="single" w:sz="6" w:space="0" w:color="1E4496" w:themeColor="text2"/>
              <w:right w:val="single" w:sz="6" w:space="0" w:color="1E4496" w:themeColor="text2"/>
            </w:tcBorders>
            <w:tcMar>
              <w:top w:w="96" w:type="dxa"/>
              <w:left w:w="113" w:type="dxa"/>
              <w:bottom w:w="96" w:type="dxa"/>
              <w:right w:w="113" w:type="dxa"/>
            </w:tcMar>
            <w:vAlign w:val="center"/>
          </w:tcPr>
          <w:p w14:paraId="4C4346A4" w14:textId="77777777" w:rsidR="00FA4BF1" w:rsidRPr="00FA4BF1" w:rsidRDefault="00FA4BF1" w:rsidP="00EA076F">
            <w:pPr>
              <w:pStyle w:val="CDITable-RowCentre"/>
              <w:rPr>
                <w:sz w:val="16"/>
              </w:rPr>
            </w:pPr>
            <w:r w:rsidRPr="00FA4BF1">
              <w:rPr>
                <w:sz w:val="16"/>
              </w:rPr>
              <w:t>76.9</w:t>
            </w:r>
          </w:p>
        </w:tc>
        <w:tc>
          <w:tcPr>
            <w:tcW w:w="590" w:type="dxa"/>
            <w:tcBorders>
              <w:top w:val="single" w:sz="6" w:space="0" w:color="1E4496" w:themeColor="text2"/>
              <w:left w:val="single" w:sz="6" w:space="0" w:color="1E4496" w:themeColor="text2"/>
              <w:bottom w:val="single" w:sz="6" w:space="0" w:color="1E4496" w:themeColor="text2"/>
            </w:tcBorders>
            <w:tcMar>
              <w:top w:w="96" w:type="dxa"/>
              <w:left w:w="113" w:type="dxa"/>
              <w:bottom w:w="96" w:type="dxa"/>
              <w:right w:w="113" w:type="dxa"/>
            </w:tcMar>
            <w:vAlign w:val="center"/>
          </w:tcPr>
          <w:p w14:paraId="4BF9DC51" w14:textId="77777777" w:rsidR="00FA4BF1" w:rsidRPr="00FA4BF1" w:rsidRDefault="00FA4BF1" w:rsidP="00EA076F">
            <w:pPr>
              <w:pStyle w:val="CDITable-RowCentre"/>
              <w:rPr>
                <w:sz w:val="16"/>
              </w:rPr>
            </w:pPr>
            <w:r w:rsidRPr="00FA4BF1">
              <w:rPr>
                <w:sz w:val="16"/>
              </w:rPr>
              <w:t>27</w:t>
            </w:r>
          </w:p>
        </w:tc>
        <w:tc>
          <w:tcPr>
            <w:tcW w:w="567"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4B85E7FE" w14:textId="77777777" w:rsidR="00FA4BF1" w:rsidRPr="00FA4BF1" w:rsidRDefault="00FA4BF1" w:rsidP="00EA076F">
            <w:pPr>
              <w:pStyle w:val="CDITable-RowCentre"/>
              <w:rPr>
                <w:sz w:val="16"/>
              </w:rPr>
            </w:pPr>
            <w:r w:rsidRPr="00FA4BF1">
              <w:rPr>
                <w:sz w:val="16"/>
              </w:rPr>
              <w:t>16</w:t>
            </w:r>
          </w:p>
        </w:tc>
        <w:tc>
          <w:tcPr>
            <w:tcW w:w="589"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6B21C992" w14:textId="77777777" w:rsidR="00FA4BF1" w:rsidRPr="00FA4BF1" w:rsidRDefault="00FA4BF1" w:rsidP="00EA076F">
            <w:pPr>
              <w:pStyle w:val="CDITable-RowCentre"/>
              <w:rPr>
                <w:sz w:val="16"/>
              </w:rPr>
            </w:pPr>
            <w:r w:rsidRPr="00FA4BF1">
              <w:rPr>
                <w:sz w:val="16"/>
              </w:rPr>
              <w:t>142</w:t>
            </w:r>
          </w:p>
        </w:tc>
        <w:tc>
          <w:tcPr>
            <w:tcW w:w="567" w:type="dxa"/>
            <w:tcBorders>
              <w:top w:val="single" w:sz="6" w:space="0" w:color="1E4496" w:themeColor="text2"/>
              <w:bottom w:val="single" w:sz="6" w:space="0" w:color="1E4496" w:themeColor="text2"/>
              <w:right w:val="single" w:sz="6" w:space="0" w:color="1E4496" w:themeColor="text2"/>
            </w:tcBorders>
            <w:tcMar>
              <w:top w:w="96" w:type="dxa"/>
              <w:left w:w="113" w:type="dxa"/>
              <w:bottom w:w="96" w:type="dxa"/>
              <w:right w:w="113" w:type="dxa"/>
            </w:tcMar>
            <w:vAlign w:val="center"/>
          </w:tcPr>
          <w:p w14:paraId="0A3EDF20" w14:textId="77777777" w:rsidR="00FA4BF1" w:rsidRPr="00FA4BF1" w:rsidRDefault="00FA4BF1" w:rsidP="00EA076F">
            <w:pPr>
              <w:pStyle w:val="CDITable-RowCentre"/>
              <w:rPr>
                <w:sz w:val="16"/>
              </w:rPr>
            </w:pPr>
            <w:r w:rsidRPr="00FA4BF1">
              <w:rPr>
                <w:sz w:val="16"/>
              </w:rPr>
              <w:t>84</w:t>
            </w:r>
          </w:p>
        </w:tc>
        <w:tc>
          <w:tcPr>
            <w:tcW w:w="595" w:type="dxa"/>
            <w:tcBorders>
              <w:top w:val="single" w:sz="6" w:space="0" w:color="1E4496" w:themeColor="text2"/>
              <w:left w:val="single" w:sz="6" w:space="0" w:color="1E4496" w:themeColor="text2"/>
              <w:bottom w:val="single" w:sz="6" w:space="0" w:color="1E4496" w:themeColor="text2"/>
            </w:tcBorders>
            <w:tcMar>
              <w:top w:w="96" w:type="dxa"/>
              <w:left w:w="113" w:type="dxa"/>
              <w:bottom w:w="96" w:type="dxa"/>
              <w:right w:w="113" w:type="dxa"/>
            </w:tcMar>
            <w:vAlign w:val="center"/>
          </w:tcPr>
          <w:p w14:paraId="2902967C" w14:textId="77777777" w:rsidR="00FA4BF1" w:rsidRPr="00FA4BF1" w:rsidRDefault="00FA4BF1" w:rsidP="00EA076F">
            <w:pPr>
              <w:pStyle w:val="CDITable-RowCentre"/>
              <w:rPr>
                <w:sz w:val="16"/>
              </w:rPr>
            </w:pPr>
            <w:r w:rsidRPr="00FA4BF1">
              <w:rPr>
                <w:sz w:val="16"/>
              </w:rPr>
              <w:t>1</w:t>
            </w:r>
          </w:p>
        </w:tc>
        <w:tc>
          <w:tcPr>
            <w:tcW w:w="567"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6353CDF0" w14:textId="77777777" w:rsidR="00FA4BF1" w:rsidRPr="00FA4BF1" w:rsidRDefault="00FA4BF1" w:rsidP="00EA076F">
            <w:pPr>
              <w:pStyle w:val="CDITable-RowCentre"/>
              <w:rPr>
                <w:sz w:val="16"/>
              </w:rPr>
            </w:pPr>
            <w:r w:rsidRPr="00FA4BF1">
              <w:rPr>
                <w:sz w:val="16"/>
              </w:rPr>
              <w:t>0.6</w:t>
            </w:r>
          </w:p>
        </w:tc>
        <w:tc>
          <w:tcPr>
            <w:tcW w:w="59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2110678D" w14:textId="77777777" w:rsidR="00FA4BF1" w:rsidRPr="00FA4BF1" w:rsidRDefault="00FA4BF1" w:rsidP="00EA076F">
            <w:pPr>
              <w:pStyle w:val="CDITable-RowCentre"/>
              <w:rPr>
                <w:sz w:val="16"/>
              </w:rPr>
            </w:pPr>
            <w:r w:rsidRPr="00FA4BF1">
              <w:rPr>
                <w:sz w:val="16"/>
              </w:rPr>
              <w:t>153</w:t>
            </w:r>
          </w:p>
        </w:tc>
        <w:tc>
          <w:tcPr>
            <w:tcW w:w="567" w:type="dxa"/>
            <w:tcBorders>
              <w:top w:val="single" w:sz="6" w:space="0" w:color="1E4496" w:themeColor="text2"/>
              <w:bottom w:val="single" w:sz="6" w:space="0" w:color="1E4496" w:themeColor="text2"/>
              <w:right w:val="single" w:sz="6" w:space="0" w:color="1E4496" w:themeColor="text2"/>
            </w:tcBorders>
            <w:tcMar>
              <w:top w:w="96" w:type="dxa"/>
              <w:left w:w="113" w:type="dxa"/>
              <w:bottom w:w="96" w:type="dxa"/>
              <w:right w:w="113" w:type="dxa"/>
            </w:tcMar>
            <w:vAlign w:val="center"/>
          </w:tcPr>
          <w:p w14:paraId="0D614D44" w14:textId="77777777" w:rsidR="00FA4BF1" w:rsidRPr="00FA4BF1" w:rsidRDefault="00FA4BF1" w:rsidP="00EA076F">
            <w:pPr>
              <w:pStyle w:val="CDITable-RowCentre"/>
              <w:rPr>
                <w:sz w:val="16"/>
              </w:rPr>
            </w:pPr>
            <w:r w:rsidRPr="00FA4BF1">
              <w:rPr>
                <w:sz w:val="16"/>
              </w:rPr>
              <w:t>99.4</w:t>
            </w:r>
          </w:p>
        </w:tc>
        <w:tc>
          <w:tcPr>
            <w:tcW w:w="589" w:type="dxa"/>
            <w:tcBorders>
              <w:top w:val="single" w:sz="6" w:space="0" w:color="1E4496" w:themeColor="text2"/>
              <w:left w:val="single" w:sz="6" w:space="0" w:color="1E4496" w:themeColor="text2"/>
              <w:bottom w:val="single" w:sz="6" w:space="0" w:color="1E4496" w:themeColor="text2"/>
            </w:tcBorders>
            <w:tcMar>
              <w:top w:w="96" w:type="dxa"/>
              <w:left w:w="113" w:type="dxa"/>
              <w:bottom w:w="96" w:type="dxa"/>
              <w:right w:w="113" w:type="dxa"/>
            </w:tcMar>
            <w:vAlign w:val="center"/>
          </w:tcPr>
          <w:p w14:paraId="68DDD04A" w14:textId="77777777" w:rsidR="00FA4BF1" w:rsidRPr="00FA4BF1" w:rsidRDefault="00FA4BF1" w:rsidP="00EA076F">
            <w:pPr>
              <w:pStyle w:val="CDITable-RowCentre"/>
              <w:rPr>
                <w:sz w:val="16"/>
              </w:rPr>
            </w:pPr>
            <w:r w:rsidRPr="00FA4BF1">
              <w:rPr>
                <w:sz w:val="16"/>
              </w:rPr>
              <w:t>15</w:t>
            </w:r>
          </w:p>
        </w:tc>
        <w:tc>
          <w:tcPr>
            <w:tcW w:w="567"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208C95A1" w14:textId="77777777" w:rsidR="00FA4BF1" w:rsidRPr="00FA4BF1" w:rsidRDefault="00FA4BF1" w:rsidP="00EA076F">
            <w:pPr>
              <w:pStyle w:val="CDITable-RowCentre"/>
              <w:rPr>
                <w:sz w:val="16"/>
              </w:rPr>
            </w:pPr>
            <w:r w:rsidRPr="00FA4BF1">
              <w:rPr>
                <w:sz w:val="16"/>
              </w:rPr>
              <w:t>9.7</w:t>
            </w:r>
          </w:p>
        </w:tc>
        <w:tc>
          <w:tcPr>
            <w:tcW w:w="59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4C5506CC" w14:textId="77777777" w:rsidR="00FA4BF1" w:rsidRPr="00FA4BF1" w:rsidRDefault="00FA4BF1" w:rsidP="00EA076F">
            <w:pPr>
              <w:pStyle w:val="CDITable-RowCentre"/>
              <w:rPr>
                <w:sz w:val="16"/>
              </w:rPr>
            </w:pPr>
            <w:r w:rsidRPr="00FA4BF1">
              <w:rPr>
                <w:sz w:val="16"/>
              </w:rPr>
              <w:t>139</w:t>
            </w:r>
          </w:p>
        </w:tc>
        <w:tc>
          <w:tcPr>
            <w:tcW w:w="567" w:type="dxa"/>
            <w:tcBorders>
              <w:top w:val="single" w:sz="6" w:space="0" w:color="1E4496" w:themeColor="text2"/>
              <w:bottom w:val="single" w:sz="6" w:space="0" w:color="1E4496" w:themeColor="text2"/>
              <w:right w:val="single" w:sz="6" w:space="0" w:color="1E4496" w:themeColor="text2"/>
            </w:tcBorders>
            <w:tcMar>
              <w:top w:w="96" w:type="dxa"/>
              <w:left w:w="113" w:type="dxa"/>
              <w:bottom w:w="96" w:type="dxa"/>
              <w:right w:w="113" w:type="dxa"/>
            </w:tcMar>
            <w:vAlign w:val="center"/>
          </w:tcPr>
          <w:p w14:paraId="74F29A9F" w14:textId="77777777" w:rsidR="00FA4BF1" w:rsidRPr="00FA4BF1" w:rsidRDefault="00FA4BF1" w:rsidP="00EA076F">
            <w:pPr>
              <w:pStyle w:val="CDITable-RowCentre"/>
              <w:rPr>
                <w:sz w:val="16"/>
              </w:rPr>
            </w:pPr>
            <w:r w:rsidRPr="00FA4BF1">
              <w:rPr>
                <w:sz w:val="16"/>
              </w:rPr>
              <w:t>90.3</w:t>
            </w:r>
          </w:p>
        </w:tc>
        <w:tc>
          <w:tcPr>
            <w:tcW w:w="590" w:type="dxa"/>
            <w:tcBorders>
              <w:top w:val="single" w:sz="6" w:space="0" w:color="1E4496" w:themeColor="text2"/>
              <w:left w:val="single" w:sz="6" w:space="0" w:color="1E4496" w:themeColor="text2"/>
              <w:bottom w:val="single" w:sz="6" w:space="0" w:color="1E4496" w:themeColor="text2"/>
            </w:tcBorders>
            <w:tcMar>
              <w:top w:w="96" w:type="dxa"/>
              <w:left w:w="113" w:type="dxa"/>
              <w:bottom w:w="96" w:type="dxa"/>
              <w:right w:w="113" w:type="dxa"/>
            </w:tcMar>
            <w:vAlign w:val="center"/>
          </w:tcPr>
          <w:p w14:paraId="1A22AFCA" w14:textId="77777777" w:rsidR="00FA4BF1" w:rsidRPr="00FA4BF1" w:rsidRDefault="00FA4BF1" w:rsidP="00EA076F">
            <w:pPr>
              <w:pStyle w:val="CDITable-RowCentre"/>
              <w:rPr>
                <w:sz w:val="16"/>
              </w:rPr>
            </w:pPr>
            <w:r w:rsidRPr="00FA4BF1">
              <w:rPr>
                <w:sz w:val="16"/>
              </w:rPr>
              <w:t>10</w:t>
            </w:r>
          </w:p>
        </w:tc>
        <w:tc>
          <w:tcPr>
            <w:tcW w:w="566"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3FBE8CC2" w14:textId="77777777" w:rsidR="00FA4BF1" w:rsidRPr="00FA4BF1" w:rsidRDefault="00FA4BF1" w:rsidP="00EA076F">
            <w:pPr>
              <w:pStyle w:val="CDITable-RowCentre"/>
              <w:rPr>
                <w:sz w:val="16"/>
              </w:rPr>
            </w:pPr>
            <w:r w:rsidRPr="00FA4BF1">
              <w:rPr>
                <w:sz w:val="16"/>
              </w:rPr>
              <w:t>29.4</w:t>
            </w:r>
          </w:p>
        </w:tc>
        <w:tc>
          <w:tcPr>
            <w:tcW w:w="59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0C2AC70C" w14:textId="77777777" w:rsidR="00FA4BF1" w:rsidRPr="00FA4BF1" w:rsidRDefault="00FA4BF1" w:rsidP="00EA076F">
            <w:pPr>
              <w:pStyle w:val="CDITable-RowCentre"/>
              <w:rPr>
                <w:sz w:val="16"/>
              </w:rPr>
            </w:pPr>
            <w:r w:rsidRPr="00FA4BF1">
              <w:rPr>
                <w:sz w:val="16"/>
              </w:rPr>
              <w:t>24</w:t>
            </w:r>
          </w:p>
        </w:tc>
        <w:tc>
          <w:tcPr>
            <w:tcW w:w="567"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6022BF4B" w14:textId="77777777" w:rsidR="00FA4BF1" w:rsidRPr="00FA4BF1" w:rsidRDefault="00FA4BF1" w:rsidP="00EA076F">
            <w:pPr>
              <w:pStyle w:val="CDITable-RowCentre"/>
              <w:rPr>
                <w:sz w:val="16"/>
              </w:rPr>
            </w:pPr>
            <w:r w:rsidRPr="00FA4BF1">
              <w:rPr>
                <w:sz w:val="16"/>
              </w:rPr>
              <w:t>70.6</w:t>
            </w:r>
          </w:p>
        </w:tc>
      </w:tr>
      <w:tr w:rsidR="00B73263" w:rsidRPr="00FA4BF1" w14:paraId="1B9CC6B8" w14:textId="77777777" w:rsidTr="00B6546F">
        <w:trPr>
          <w:trHeight w:val="60"/>
        </w:trPr>
        <w:tc>
          <w:tcPr>
            <w:tcW w:w="1361" w:type="dxa"/>
            <w:vMerge w:val="restart"/>
            <w:tcBorders>
              <w:top w:val="single" w:sz="6" w:space="0" w:color="1E4496" w:themeColor="text2"/>
              <w:bottom w:val="single" w:sz="6" w:space="0" w:color="1E4496" w:themeColor="text2"/>
            </w:tcBorders>
            <w:shd w:val="clear" w:color="auto" w:fill="DCF4FC" w:themeFill="background2" w:themeFillTint="33"/>
            <w:tcMar>
              <w:top w:w="96" w:type="dxa"/>
              <w:left w:w="113" w:type="dxa"/>
              <w:bottom w:w="96" w:type="dxa"/>
              <w:right w:w="113" w:type="dxa"/>
            </w:tcMar>
            <w:vAlign w:val="center"/>
          </w:tcPr>
          <w:p w14:paraId="2E3419BD" w14:textId="77777777" w:rsidR="00FA4BF1" w:rsidRPr="00FA4BF1" w:rsidRDefault="00FA4BF1" w:rsidP="00EA076F">
            <w:pPr>
              <w:pStyle w:val="CDITable-RowLeft"/>
              <w:rPr>
                <w:sz w:val="16"/>
              </w:rPr>
            </w:pPr>
            <w:r w:rsidRPr="00FA4BF1">
              <w:rPr>
                <w:sz w:val="16"/>
              </w:rPr>
              <w:t>Sex</w:t>
            </w:r>
          </w:p>
        </w:tc>
        <w:tc>
          <w:tcPr>
            <w:tcW w:w="1417"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1FCC228E" w14:textId="77777777" w:rsidR="00FA4BF1" w:rsidRPr="00FA4BF1" w:rsidRDefault="00FA4BF1" w:rsidP="00EA076F">
            <w:pPr>
              <w:pStyle w:val="CDITable-RowLeft"/>
              <w:rPr>
                <w:sz w:val="16"/>
              </w:rPr>
            </w:pPr>
            <w:r w:rsidRPr="00FA4BF1">
              <w:rPr>
                <w:sz w:val="16"/>
              </w:rPr>
              <w:t>Female</w:t>
            </w:r>
          </w:p>
        </w:tc>
        <w:tc>
          <w:tcPr>
            <w:tcW w:w="59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75567295" w14:textId="77777777" w:rsidR="00FA4BF1" w:rsidRPr="00FA4BF1" w:rsidRDefault="00FA4BF1" w:rsidP="00EA076F">
            <w:pPr>
              <w:pStyle w:val="CDITable-RowCentre"/>
              <w:rPr>
                <w:sz w:val="16"/>
              </w:rPr>
            </w:pPr>
            <w:r w:rsidRPr="00FA4BF1">
              <w:rPr>
                <w:sz w:val="16"/>
              </w:rPr>
              <w:t>62</w:t>
            </w:r>
          </w:p>
        </w:tc>
        <w:tc>
          <w:tcPr>
            <w:tcW w:w="566"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1076A588" w14:textId="77777777" w:rsidR="00FA4BF1" w:rsidRPr="00FA4BF1" w:rsidRDefault="00FA4BF1" w:rsidP="00EA076F">
            <w:pPr>
              <w:pStyle w:val="CDITable-RowCentre"/>
              <w:rPr>
                <w:sz w:val="16"/>
              </w:rPr>
            </w:pPr>
            <w:r w:rsidRPr="00FA4BF1">
              <w:rPr>
                <w:sz w:val="16"/>
              </w:rPr>
              <w:t>15.7</w:t>
            </w:r>
          </w:p>
        </w:tc>
        <w:tc>
          <w:tcPr>
            <w:tcW w:w="59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32B91F5C" w14:textId="77777777" w:rsidR="00FA4BF1" w:rsidRPr="00FA4BF1" w:rsidRDefault="00FA4BF1" w:rsidP="00EA076F">
            <w:pPr>
              <w:pStyle w:val="CDITable-RowCentre"/>
              <w:rPr>
                <w:sz w:val="16"/>
              </w:rPr>
            </w:pPr>
            <w:r w:rsidRPr="00FA4BF1">
              <w:rPr>
                <w:sz w:val="16"/>
              </w:rPr>
              <w:t>334</w:t>
            </w:r>
          </w:p>
        </w:tc>
        <w:tc>
          <w:tcPr>
            <w:tcW w:w="567" w:type="dxa"/>
            <w:tcBorders>
              <w:top w:val="single" w:sz="6" w:space="0" w:color="1E4496" w:themeColor="text2"/>
              <w:bottom w:val="single" w:sz="6" w:space="0" w:color="1E4496" w:themeColor="text2"/>
              <w:right w:val="single" w:sz="6" w:space="0" w:color="1E4496" w:themeColor="text2"/>
            </w:tcBorders>
            <w:tcMar>
              <w:top w:w="96" w:type="dxa"/>
              <w:left w:w="113" w:type="dxa"/>
              <w:bottom w:w="96" w:type="dxa"/>
              <w:right w:w="113" w:type="dxa"/>
            </w:tcMar>
            <w:vAlign w:val="center"/>
          </w:tcPr>
          <w:p w14:paraId="02F4D4CF" w14:textId="77777777" w:rsidR="00FA4BF1" w:rsidRPr="00FA4BF1" w:rsidRDefault="00FA4BF1" w:rsidP="00EA076F">
            <w:pPr>
              <w:pStyle w:val="CDITable-RowCentre"/>
              <w:rPr>
                <w:sz w:val="16"/>
              </w:rPr>
            </w:pPr>
            <w:r w:rsidRPr="00FA4BF1">
              <w:rPr>
                <w:sz w:val="16"/>
              </w:rPr>
              <w:t>84.3</w:t>
            </w:r>
          </w:p>
        </w:tc>
        <w:tc>
          <w:tcPr>
            <w:tcW w:w="590" w:type="dxa"/>
            <w:tcBorders>
              <w:top w:val="single" w:sz="6" w:space="0" w:color="1E4496" w:themeColor="text2"/>
              <w:left w:val="single" w:sz="6" w:space="0" w:color="1E4496" w:themeColor="text2"/>
              <w:bottom w:val="single" w:sz="6" w:space="0" w:color="1E4496" w:themeColor="text2"/>
            </w:tcBorders>
            <w:tcMar>
              <w:top w:w="96" w:type="dxa"/>
              <w:left w:w="113" w:type="dxa"/>
              <w:bottom w:w="96" w:type="dxa"/>
              <w:right w:w="113" w:type="dxa"/>
            </w:tcMar>
            <w:vAlign w:val="center"/>
          </w:tcPr>
          <w:p w14:paraId="0594A826" w14:textId="77777777" w:rsidR="00FA4BF1" w:rsidRPr="00FA4BF1" w:rsidRDefault="00FA4BF1" w:rsidP="00EA076F">
            <w:pPr>
              <w:pStyle w:val="CDITable-RowCentre"/>
              <w:rPr>
                <w:sz w:val="16"/>
              </w:rPr>
            </w:pPr>
            <w:r w:rsidRPr="00FA4BF1">
              <w:rPr>
                <w:sz w:val="16"/>
              </w:rPr>
              <w:t>47</w:t>
            </w:r>
          </w:p>
        </w:tc>
        <w:tc>
          <w:tcPr>
            <w:tcW w:w="567"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33036DF5" w14:textId="77777777" w:rsidR="00FA4BF1" w:rsidRPr="00FA4BF1" w:rsidRDefault="00FA4BF1" w:rsidP="00EA076F">
            <w:pPr>
              <w:pStyle w:val="CDITable-RowCentre"/>
              <w:rPr>
                <w:sz w:val="16"/>
              </w:rPr>
            </w:pPr>
            <w:r w:rsidRPr="00FA4BF1">
              <w:rPr>
                <w:sz w:val="16"/>
              </w:rPr>
              <w:t>11.9</w:t>
            </w:r>
          </w:p>
        </w:tc>
        <w:tc>
          <w:tcPr>
            <w:tcW w:w="589"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259E2AA9" w14:textId="77777777" w:rsidR="00FA4BF1" w:rsidRPr="00FA4BF1" w:rsidRDefault="00FA4BF1" w:rsidP="00EA076F">
            <w:pPr>
              <w:pStyle w:val="CDITable-RowCentre"/>
              <w:rPr>
                <w:sz w:val="16"/>
              </w:rPr>
            </w:pPr>
            <w:r w:rsidRPr="00FA4BF1">
              <w:rPr>
                <w:sz w:val="16"/>
              </w:rPr>
              <w:t>349</w:t>
            </w:r>
          </w:p>
        </w:tc>
        <w:tc>
          <w:tcPr>
            <w:tcW w:w="567" w:type="dxa"/>
            <w:tcBorders>
              <w:top w:val="single" w:sz="6" w:space="0" w:color="1E4496" w:themeColor="text2"/>
              <w:bottom w:val="single" w:sz="6" w:space="0" w:color="1E4496" w:themeColor="text2"/>
              <w:right w:val="single" w:sz="6" w:space="0" w:color="1E4496" w:themeColor="text2"/>
            </w:tcBorders>
            <w:tcMar>
              <w:top w:w="96" w:type="dxa"/>
              <w:left w:w="113" w:type="dxa"/>
              <w:bottom w:w="96" w:type="dxa"/>
              <w:right w:w="113" w:type="dxa"/>
            </w:tcMar>
            <w:vAlign w:val="center"/>
          </w:tcPr>
          <w:p w14:paraId="3FD757BE" w14:textId="77777777" w:rsidR="00FA4BF1" w:rsidRPr="00FA4BF1" w:rsidRDefault="00FA4BF1" w:rsidP="00EA076F">
            <w:pPr>
              <w:pStyle w:val="CDITable-RowCentre"/>
              <w:rPr>
                <w:sz w:val="16"/>
              </w:rPr>
            </w:pPr>
            <w:r w:rsidRPr="00FA4BF1">
              <w:rPr>
                <w:sz w:val="16"/>
              </w:rPr>
              <w:t>88.1</w:t>
            </w:r>
          </w:p>
        </w:tc>
        <w:tc>
          <w:tcPr>
            <w:tcW w:w="595" w:type="dxa"/>
            <w:tcBorders>
              <w:top w:val="single" w:sz="6" w:space="0" w:color="1E4496" w:themeColor="text2"/>
              <w:left w:val="single" w:sz="6" w:space="0" w:color="1E4496" w:themeColor="text2"/>
              <w:bottom w:val="single" w:sz="6" w:space="0" w:color="1E4496" w:themeColor="text2"/>
            </w:tcBorders>
            <w:tcMar>
              <w:top w:w="96" w:type="dxa"/>
              <w:left w:w="113" w:type="dxa"/>
              <w:bottom w:w="96" w:type="dxa"/>
              <w:right w:w="113" w:type="dxa"/>
            </w:tcMar>
            <w:vAlign w:val="center"/>
          </w:tcPr>
          <w:p w14:paraId="434DFB03" w14:textId="77777777" w:rsidR="00FA4BF1" w:rsidRPr="00FA4BF1" w:rsidRDefault="00FA4BF1" w:rsidP="00EA076F">
            <w:pPr>
              <w:pStyle w:val="CDITable-RowCentre"/>
              <w:rPr>
                <w:sz w:val="16"/>
              </w:rPr>
            </w:pPr>
            <w:r w:rsidRPr="00FA4BF1">
              <w:rPr>
                <w:sz w:val="16"/>
              </w:rPr>
              <w:t>16</w:t>
            </w:r>
          </w:p>
        </w:tc>
        <w:tc>
          <w:tcPr>
            <w:tcW w:w="567"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21A3824D" w14:textId="77777777" w:rsidR="00FA4BF1" w:rsidRPr="00FA4BF1" w:rsidRDefault="00FA4BF1" w:rsidP="00EA076F">
            <w:pPr>
              <w:pStyle w:val="CDITable-RowCentre"/>
              <w:rPr>
                <w:sz w:val="16"/>
              </w:rPr>
            </w:pPr>
            <w:r w:rsidRPr="00FA4BF1">
              <w:rPr>
                <w:sz w:val="16"/>
              </w:rPr>
              <w:t>6.6</w:t>
            </w:r>
          </w:p>
        </w:tc>
        <w:tc>
          <w:tcPr>
            <w:tcW w:w="59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18CA8025" w14:textId="77777777" w:rsidR="00FA4BF1" w:rsidRPr="00FA4BF1" w:rsidRDefault="00FA4BF1" w:rsidP="00EA076F">
            <w:pPr>
              <w:pStyle w:val="CDITable-RowCentre"/>
              <w:rPr>
                <w:sz w:val="16"/>
              </w:rPr>
            </w:pPr>
            <w:r w:rsidRPr="00FA4BF1">
              <w:rPr>
                <w:sz w:val="16"/>
              </w:rPr>
              <w:t>226</w:t>
            </w:r>
          </w:p>
        </w:tc>
        <w:tc>
          <w:tcPr>
            <w:tcW w:w="567" w:type="dxa"/>
            <w:tcBorders>
              <w:top w:val="single" w:sz="6" w:space="0" w:color="1E4496" w:themeColor="text2"/>
              <w:bottom w:val="single" w:sz="6" w:space="0" w:color="1E4496" w:themeColor="text2"/>
              <w:right w:val="single" w:sz="6" w:space="0" w:color="1E4496" w:themeColor="text2"/>
            </w:tcBorders>
            <w:tcMar>
              <w:top w:w="96" w:type="dxa"/>
              <w:left w:w="113" w:type="dxa"/>
              <w:bottom w:w="96" w:type="dxa"/>
              <w:right w:w="113" w:type="dxa"/>
            </w:tcMar>
            <w:vAlign w:val="center"/>
          </w:tcPr>
          <w:p w14:paraId="2BA2B973" w14:textId="77777777" w:rsidR="00FA4BF1" w:rsidRPr="00FA4BF1" w:rsidRDefault="00FA4BF1" w:rsidP="00EA076F">
            <w:pPr>
              <w:pStyle w:val="CDITable-RowCentre"/>
              <w:rPr>
                <w:sz w:val="16"/>
              </w:rPr>
            </w:pPr>
            <w:r w:rsidRPr="00FA4BF1">
              <w:rPr>
                <w:sz w:val="16"/>
              </w:rPr>
              <w:t>93.4</w:t>
            </w:r>
          </w:p>
        </w:tc>
        <w:tc>
          <w:tcPr>
            <w:tcW w:w="589" w:type="dxa"/>
            <w:tcBorders>
              <w:top w:val="single" w:sz="6" w:space="0" w:color="1E4496" w:themeColor="text2"/>
              <w:left w:val="single" w:sz="6" w:space="0" w:color="1E4496" w:themeColor="text2"/>
              <w:bottom w:val="single" w:sz="6" w:space="0" w:color="1E4496" w:themeColor="text2"/>
            </w:tcBorders>
            <w:tcMar>
              <w:top w:w="96" w:type="dxa"/>
              <w:left w:w="113" w:type="dxa"/>
              <w:bottom w:w="96" w:type="dxa"/>
              <w:right w:w="113" w:type="dxa"/>
            </w:tcMar>
            <w:vAlign w:val="center"/>
          </w:tcPr>
          <w:p w14:paraId="1CB1387C" w14:textId="77777777" w:rsidR="00FA4BF1" w:rsidRPr="00FA4BF1" w:rsidRDefault="00FA4BF1" w:rsidP="00EA076F">
            <w:pPr>
              <w:pStyle w:val="CDITable-RowCentre"/>
              <w:rPr>
                <w:sz w:val="16"/>
              </w:rPr>
            </w:pPr>
            <w:r w:rsidRPr="00FA4BF1">
              <w:rPr>
                <w:sz w:val="16"/>
              </w:rPr>
              <w:t>37</w:t>
            </w:r>
          </w:p>
        </w:tc>
        <w:tc>
          <w:tcPr>
            <w:tcW w:w="567"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55D0C05E" w14:textId="77777777" w:rsidR="00FA4BF1" w:rsidRPr="00FA4BF1" w:rsidRDefault="00FA4BF1" w:rsidP="00EA076F">
            <w:pPr>
              <w:pStyle w:val="CDITable-RowCentre"/>
              <w:rPr>
                <w:sz w:val="16"/>
              </w:rPr>
            </w:pPr>
            <w:r w:rsidRPr="00FA4BF1">
              <w:rPr>
                <w:sz w:val="16"/>
              </w:rPr>
              <w:t>15.3</w:t>
            </w:r>
          </w:p>
        </w:tc>
        <w:tc>
          <w:tcPr>
            <w:tcW w:w="59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4470AF63" w14:textId="77777777" w:rsidR="00FA4BF1" w:rsidRPr="00FA4BF1" w:rsidRDefault="00FA4BF1" w:rsidP="00EA076F">
            <w:pPr>
              <w:pStyle w:val="CDITable-RowCentre"/>
              <w:rPr>
                <w:sz w:val="16"/>
              </w:rPr>
            </w:pPr>
            <w:r w:rsidRPr="00FA4BF1">
              <w:rPr>
                <w:sz w:val="16"/>
              </w:rPr>
              <w:t>205</w:t>
            </w:r>
          </w:p>
        </w:tc>
        <w:tc>
          <w:tcPr>
            <w:tcW w:w="567" w:type="dxa"/>
            <w:tcBorders>
              <w:top w:val="single" w:sz="6" w:space="0" w:color="1E4496" w:themeColor="text2"/>
              <w:bottom w:val="single" w:sz="6" w:space="0" w:color="1E4496" w:themeColor="text2"/>
              <w:right w:val="single" w:sz="6" w:space="0" w:color="1E4496" w:themeColor="text2"/>
            </w:tcBorders>
            <w:tcMar>
              <w:top w:w="96" w:type="dxa"/>
              <w:left w:w="113" w:type="dxa"/>
              <w:bottom w:w="96" w:type="dxa"/>
              <w:right w:w="113" w:type="dxa"/>
            </w:tcMar>
            <w:vAlign w:val="center"/>
          </w:tcPr>
          <w:p w14:paraId="32054F9E" w14:textId="77777777" w:rsidR="00FA4BF1" w:rsidRPr="00FA4BF1" w:rsidRDefault="00FA4BF1" w:rsidP="00EA076F">
            <w:pPr>
              <w:pStyle w:val="CDITable-RowCentre"/>
              <w:rPr>
                <w:sz w:val="16"/>
              </w:rPr>
            </w:pPr>
            <w:r w:rsidRPr="00FA4BF1">
              <w:rPr>
                <w:sz w:val="16"/>
              </w:rPr>
              <w:t>84.7</w:t>
            </w:r>
          </w:p>
        </w:tc>
        <w:tc>
          <w:tcPr>
            <w:tcW w:w="590" w:type="dxa"/>
            <w:tcBorders>
              <w:top w:val="single" w:sz="6" w:space="0" w:color="1E4496" w:themeColor="text2"/>
              <w:left w:val="single" w:sz="6" w:space="0" w:color="1E4496" w:themeColor="text2"/>
              <w:bottom w:val="single" w:sz="6" w:space="0" w:color="1E4496" w:themeColor="text2"/>
            </w:tcBorders>
            <w:tcMar>
              <w:top w:w="96" w:type="dxa"/>
              <w:left w:w="113" w:type="dxa"/>
              <w:bottom w:w="96" w:type="dxa"/>
              <w:right w:w="113" w:type="dxa"/>
            </w:tcMar>
            <w:vAlign w:val="center"/>
          </w:tcPr>
          <w:p w14:paraId="10CC3465" w14:textId="77777777" w:rsidR="00FA4BF1" w:rsidRPr="00FA4BF1" w:rsidRDefault="00FA4BF1" w:rsidP="00EA076F">
            <w:pPr>
              <w:pStyle w:val="CDITable-RowCentre"/>
              <w:rPr>
                <w:sz w:val="16"/>
              </w:rPr>
            </w:pPr>
            <w:r w:rsidRPr="00FA4BF1">
              <w:rPr>
                <w:sz w:val="16"/>
              </w:rPr>
              <w:t>5</w:t>
            </w:r>
          </w:p>
        </w:tc>
        <w:tc>
          <w:tcPr>
            <w:tcW w:w="566"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0502D1EC" w14:textId="77777777" w:rsidR="00FA4BF1" w:rsidRPr="00FA4BF1" w:rsidRDefault="00FA4BF1" w:rsidP="00EA076F">
            <w:pPr>
              <w:pStyle w:val="CDITable-RowCentre"/>
              <w:rPr>
                <w:sz w:val="16"/>
              </w:rPr>
            </w:pPr>
            <w:r w:rsidRPr="00FA4BF1">
              <w:rPr>
                <w:sz w:val="16"/>
              </w:rPr>
              <w:t>6.4</w:t>
            </w:r>
          </w:p>
        </w:tc>
        <w:tc>
          <w:tcPr>
            <w:tcW w:w="59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583C0C4C" w14:textId="77777777" w:rsidR="00FA4BF1" w:rsidRPr="00FA4BF1" w:rsidRDefault="00FA4BF1" w:rsidP="00EA076F">
            <w:pPr>
              <w:pStyle w:val="CDITable-RowCentre"/>
              <w:rPr>
                <w:sz w:val="16"/>
              </w:rPr>
            </w:pPr>
            <w:r w:rsidRPr="00FA4BF1">
              <w:rPr>
                <w:sz w:val="16"/>
              </w:rPr>
              <w:t>73</w:t>
            </w:r>
          </w:p>
        </w:tc>
        <w:tc>
          <w:tcPr>
            <w:tcW w:w="567"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12B096FB" w14:textId="77777777" w:rsidR="00FA4BF1" w:rsidRPr="00FA4BF1" w:rsidRDefault="00FA4BF1" w:rsidP="00EA076F">
            <w:pPr>
              <w:pStyle w:val="CDITable-RowCentre"/>
              <w:rPr>
                <w:sz w:val="16"/>
              </w:rPr>
            </w:pPr>
            <w:r w:rsidRPr="00FA4BF1">
              <w:rPr>
                <w:sz w:val="16"/>
              </w:rPr>
              <w:t>93.6</w:t>
            </w:r>
          </w:p>
        </w:tc>
      </w:tr>
      <w:tr w:rsidR="00B73263" w:rsidRPr="00FA4BF1" w14:paraId="51BDD847" w14:textId="77777777" w:rsidTr="00B6546F">
        <w:trPr>
          <w:trHeight w:val="60"/>
        </w:trPr>
        <w:tc>
          <w:tcPr>
            <w:tcW w:w="1361" w:type="dxa"/>
            <w:vMerge/>
            <w:tcBorders>
              <w:bottom w:val="single" w:sz="6" w:space="0" w:color="1E4496" w:themeColor="text2"/>
            </w:tcBorders>
            <w:shd w:val="clear" w:color="auto" w:fill="DCF4FC" w:themeFill="background2" w:themeFillTint="33"/>
            <w:tcMar>
              <w:top w:w="96" w:type="dxa"/>
              <w:bottom w:w="96" w:type="dxa"/>
            </w:tcMar>
          </w:tcPr>
          <w:p w14:paraId="688048C6" w14:textId="77777777" w:rsidR="00FA4BF1" w:rsidRPr="00FA4BF1" w:rsidRDefault="00FA4BF1" w:rsidP="00EA076F">
            <w:pPr>
              <w:pStyle w:val="CDITable-RowLeft"/>
              <w:rPr>
                <w:sz w:val="16"/>
              </w:rPr>
            </w:pPr>
          </w:p>
        </w:tc>
        <w:tc>
          <w:tcPr>
            <w:tcW w:w="1417"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1C74BC28" w14:textId="77777777" w:rsidR="00FA4BF1" w:rsidRPr="00FA4BF1" w:rsidRDefault="00FA4BF1" w:rsidP="00EA076F">
            <w:pPr>
              <w:pStyle w:val="CDITable-RowLeft"/>
              <w:rPr>
                <w:sz w:val="16"/>
              </w:rPr>
            </w:pPr>
            <w:r w:rsidRPr="00FA4BF1">
              <w:rPr>
                <w:sz w:val="16"/>
              </w:rPr>
              <w:t>Male</w:t>
            </w:r>
          </w:p>
        </w:tc>
        <w:tc>
          <w:tcPr>
            <w:tcW w:w="59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45631768" w14:textId="77777777" w:rsidR="00FA4BF1" w:rsidRPr="00FA4BF1" w:rsidRDefault="00FA4BF1" w:rsidP="00EA076F">
            <w:pPr>
              <w:pStyle w:val="CDITable-RowCentre"/>
              <w:rPr>
                <w:sz w:val="16"/>
              </w:rPr>
            </w:pPr>
            <w:r w:rsidRPr="00FA4BF1">
              <w:rPr>
                <w:sz w:val="16"/>
              </w:rPr>
              <w:t>110</w:t>
            </w:r>
          </w:p>
        </w:tc>
        <w:tc>
          <w:tcPr>
            <w:tcW w:w="566"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0585D890" w14:textId="77777777" w:rsidR="00FA4BF1" w:rsidRPr="00FA4BF1" w:rsidRDefault="00FA4BF1" w:rsidP="00EA076F">
            <w:pPr>
              <w:pStyle w:val="CDITable-RowCentre"/>
              <w:rPr>
                <w:sz w:val="16"/>
              </w:rPr>
            </w:pPr>
            <w:r w:rsidRPr="00FA4BF1">
              <w:rPr>
                <w:sz w:val="16"/>
              </w:rPr>
              <w:t>20.5</w:t>
            </w:r>
          </w:p>
        </w:tc>
        <w:tc>
          <w:tcPr>
            <w:tcW w:w="59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7AD1AF60" w14:textId="77777777" w:rsidR="00FA4BF1" w:rsidRPr="00FA4BF1" w:rsidRDefault="00FA4BF1" w:rsidP="00EA076F">
            <w:pPr>
              <w:pStyle w:val="CDITable-RowCentre"/>
              <w:rPr>
                <w:sz w:val="16"/>
              </w:rPr>
            </w:pPr>
            <w:r w:rsidRPr="00FA4BF1">
              <w:rPr>
                <w:sz w:val="16"/>
              </w:rPr>
              <w:t>426</w:t>
            </w:r>
          </w:p>
        </w:tc>
        <w:tc>
          <w:tcPr>
            <w:tcW w:w="567" w:type="dxa"/>
            <w:tcBorders>
              <w:top w:val="single" w:sz="6" w:space="0" w:color="1E4496" w:themeColor="text2"/>
              <w:bottom w:val="single" w:sz="6" w:space="0" w:color="1E4496" w:themeColor="text2"/>
              <w:right w:val="single" w:sz="6" w:space="0" w:color="1E4496" w:themeColor="text2"/>
            </w:tcBorders>
            <w:tcMar>
              <w:top w:w="96" w:type="dxa"/>
              <w:left w:w="113" w:type="dxa"/>
              <w:bottom w:w="96" w:type="dxa"/>
              <w:right w:w="113" w:type="dxa"/>
            </w:tcMar>
            <w:vAlign w:val="center"/>
          </w:tcPr>
          <w:p w14:paraId="5941F660" w14:textId="77777777" w:rsidR="00FA4BF1" w:rsidRPr="00FA4BF1" w:rsidRDefault="00FA4BF1" w:rsidP="00EA076F">
            <w:pPr>
              <w:pStyle w:val="CDITable-RowCentre"/>
              <w:rPr>
                <w:sz w:val="16"/>
              </w:rPr>
            </w:pPr>
            <w:r w:rsidRPr="00FA4BF1">
              <w:rPr>
                <w:sz w:val="16"/>
              </w:rPr>
              <w:t>79.5</w:t>
            </w:r>
          </w:p>
        </w:tc>
        <w:tc>
          <w:tcPr>
            <w:tcW w:w="590" w:type="dxa"/>
            <w:tcBorders>
              <w:top w:val="single" w:sz="6" w:space="0" w:color="1E4496" w:themeColor="text2"/>
              <w:left w:val="single" w:sz="6" w:space="0" w:color="1E4496" w:themeColor="text2"/>
              <w:bottom w:val="single" w:sz="6" w:space="0" w:color="1E4496" w:themeColor="text2"/>
            </w:tcBorders>
            <w:tcMar>
              <w:top w:w="96" w:type="dxa"/>
              <w:left w:w="113" w:type="dxa"/>
              <w:bottom w:w="96" w:type="dxa"/>
              <w:right w:w="113" w:type="dxa"/>
            </w:tcMar>
            <w:vAlign w:val="center"/>
          </w:tcPr>
          <w:p w14:paraId="5295AE7F" w14:textId="77777777" w:rsidR="00FA4BF1" w:rsidRPr="00FA4BF1" w:rsidRDefault="00FA4BF1" w:rsidP="00EA076F">
            <w:pPr>
              <w:pStyle w:val="CDITable-RowCentre"/>
              <w:rPr>
                <w:sz w:val="16"/>
              </w:rPr>
            </w:pPr>
            <w:r w:rsidRPr="00FA4BF1">
              <w:rPr>
                <w:sz w:val="16"/>
              </w:rPr>
              <w:t>78</w:t>
            </w:r>
          </w:p>
        </w:tc>
        <w:tc>
          <w:tcPr>
            <w:tcW w:w="567"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53540E02" w14:textId="77777777" w:rsidR="00FA4BF1" w:rsidRPr="00FA4BF1" w:rsidRDefault="00FA4BF1" w:rsidP="00EA076F">
            <w:pPr>
              <w:pStyle w:val="CDITable-RowCentre"/>
              <w:rPr>
                <w:sz w:val="16"/>
              </w:rPr>
            </w:pPr>
            <w:r w:rsidRPr="00FA4BF1">
              <w:rPr>
                <w:sz w:val="16"/>
              </w:rPr>
              <w:t>14.6</w:t>
            </w:r>
          </w:p>
        </w:tc>
        <w:tc>
          <w:tcPr>
            <w:tcW w:w="589"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5AAA54B1" w14:textId="77777777" w:rsidR="00FA4BF1" w:rsidRPr="00FA4BF1" w:rsidRDefault="00FA4BF1" w:rsidP="00EA076F">
            <w:pPr>
              <w:pStyle w:val="CDITable-RowCentre"/>
              <w:rPr>
                <w:sz w:val="16"/>
              </w:rPr>
            </w:pPr>
            <w:r w:rsidRPr="00FA4BF1">
              <w:rPr>
                <w:sz w:val="16"/>
              </w:rPr>
              <w:t>458</w:t>
            </w:r>
          </w:p>
        </w:tc>
        <w:tc>
          <w:tcPr>
            <w:tcW w:w="567" w:type="dxa"/>
            <w:tcBorders>
              <w:top w:val="single" w:sz="6" w:space="0" w:color="1E4496" w:themeColor="text2"/>
              <w:bottom w:val="single" w:sz="6" w:space="0" w:color="1E4496" w:themeColor="text2"/>
              <w:right w:val="single" w:sz="6" w:space="0" w:color="1E4496" w:themeColor="text2"/>
            </w:tcBorders>
            <w:tcMar>
              <w:top w:w="96" w:type="dxa"/>
              <w:left w:w="113" w:type="dxa"/>
              <w:bottom w:w="96" w:type="dxa"/>
              <w:right w:w="113" w:type="dxa"/>
            </w:tcMar>
            <w:vAlign w:val="center"/>
          </w:tcPr>
          <w:p w14:paraId="537FEEB4" w14:textId="77777777" w:rsidR="00FA4BF1" w:rsidRPr="00FA4BF1" w:rsidRDefault="00FA4BF1" w:rsidP="00EA076F">
            <w:pPr>
              <w:pStyle w:val="CDITable-RowCentre"/>
              <w:rPr>
                <w:sz w:val="16"/>
              </w:rPr>
            </w:pPr>
            <w:r w:rsidRPr="00FA4BF1">
              <w:rPr>
                <w:sz w:val="16"/>
              </w:rPr>
              <w:t>85.4</w:t>
            </w:r>
          </w:p>
        </w:tc>
        <w:tc>
          <w:tcPr>
            <w:tcW w:w="595" w:type="dxa"/>
            <w:tcBorders>
              <w:top w:val="single" w:sz="6" w:space="0" w:color="1E4496" w:themeColor="text2"/>
              <w:left w:val="single" w:sz="6" w:space="0" w:color="1E4496" w:themeColor="text2"/>
              <w:bottom w:val="single" w:sz="6" w:space="0" w:color="1E4496" w:themeColor="text2"/>
            </w:tcBorders>
            <w:tcMar>
              <w:top w:w="96" w:type="dxa"/>
              <w:left w:w="113" w:type="dxa"/>
              <w:bottom w:w="96" w:type="dxa"/>
              <w:right w:w="113" w:type="dxa"/>
            </w:tcMar>
            <w:vAlign w:val="center"/>
          </w:tcPr>
          <w:p w14:paraId="6DF55883" w14:textId="77777777" w:rsidR="00FA4BF1" w:rsidRPr="00FA4BF1" w:rsidRDefault="00FA4BF1" w:rsidP="00EA076F">
            <w:pPr>
              <w:pStyle w:val="CDITable-RowCentre"/>
              <w:rPr>
                <w:sz w:val="16"/>
              </w:rPr>
            </w:pPr>
            <w:r w:rsidRPr="00FA4BF1">
              <w:rPr>
                <w:sz w:val="16"/>
              </w:rPr>
              <w:t>17</w:t>
            </w:r>
          </w:p>
        </w:tc>
        <w:tc>
          <w:tcPr>
            <w:tcW w:w="567"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785193B8" w14:textId="77777777" w:rsidR="00FA4BF1" w:rsidRPr="00FA4BF1" w:rsidRDefault="00FA4BF1" w:rsidP="00EA076F">
            <w:pPr>
              <w:pStyle w:val="CDITable-RowCentre"/>
              <w:rPr>
                <w:sz w:val="16"/>
              </w:rPr>
            </w:pPr>
            <w:r w:rsidRPr="00FA4BF1">
              <w:rPr>
                <w:sz w:val="16"/>
              </w:rPr>
              <w:t>4.7</w:t>
            </w:r>
          </w:p>
        </w:tc>
        <w:tc>
          <w:tcPr>
            <w:tcW w:w="59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6C9CFD0A" w14:textId="77777777" w:rsidR="00FA4BF1" w:rsidRPr="00FA4BF1" w:rsidRDefault="00FA4BF1" w:rsidP="00EA076F">
            <w:pPr>
              <w:pStyle w:val="CDITable-RowCentre"/>
              <w:rPr>
                <w:sz w:val="16"/>
              </w:rPr>
            </w:pPr>
            <w:r w:rsidRPr="00FA4BF1">
              <w:rPr>
                <w:sz w:val="16"/>
              </w:rPr>
              <w:t>342</w:t>
            </w:r>
          </w:p>
        </w:tc>
        <w:tc>
          <w:tcPr>
            <w:tcW w:w="567" w:type="dxa"/>
            <w:tcBorders>
              <w:top w:val="single" w:sz="6" w:space="0" w:color="1E4496" w:themeColor="text2"/>
              <w:bottom w:val="single" w:sz="6" w:space="0" w:color="1E4496" w:themeColor="text2"/>
              <w:right w:val="single" w:sz="6" w:space="0" w:color="1E4496" w:themeColor="text2"/>
            </w:tcBorders>
            <w:tcMar>
              <w:top w:w="96" w:type="dxa"/>
              <w:left w:w="113" w:type="dxa"/>
              <w:bottom w:w="96" w:type="dxa"/>
              <w:right w:w="113" w:type="dxa"/>
            </w:tcMar>
            <w:vAlign w:val="center"/>
          </w:tcPr>
          <w:p w14:paraId="5DA46AEE" w14:textId="77777777" w:rsidR="00FA4BF1" w:rsidRPr="00FA4BF1" w:rsidRDefault="00FA4BF1" w:rsidP="00EA076F">
            <w:pPr>
              <w:pStyle w:val="CDITable-RowCentre"/>
              <w:rPr>
                <w:sz w:val="16"/>
              </w:rPr>
            </w:pPr>
            <w:r w:rsidRPr="00FA4BF1">
              <w:rPr>
                <w:sz w:val="16"/>
              </w:rPr>
              <w:t>95.3</w:t>
            </w:r>
          </w:p>
        </w:tc>
        <w:tc>
          <w:tcPr>
            <w:tcW w:w="589" w:type="dxa"/>
            <w:tcBorders>
              <w:top w:val="single" w:sz="6" w:space="0" w:color="1E4496" w:themeColor="text2"/>
              <w:left w:val="single" w:sz="6" w:space="0" w:color="1E4496" w:themeColor="text2"/>
              <w:bottom w:val="single" w:sz="6" w:space="0" w:color="1E4496" w:themeColor="text2"/>
            </w:tcBorders>
            <w:tcMar>
              <w:top w:w="96" w:type="dxa"/>
              <w:left w:w="113" w:type="dxa"/>
              <w:bottom w:w="96" w:type="dxa"/>
              <w:right w:w="113" w:type="dxa"/>
            </w:tcMar>
            <w:vAlign w:val="center"/>
          </w:tcPr>
          <w:p w14:paraId="07A727DF" w14:textId="77777777" w:rsidR="00FA4BF1" w:rsidRPr="00FA4BF1" w:rsidRDefault="00FA4BF1" w:rsidP="00EA076F">
            <w:pPr>
              <w:pStyle w:val="CDITable-RowCentre"/>
              <w:rPr>
                <w:sz w:val="16"/>
              </w:rPr>
            </w:pPr>
            <w:r w:rsidRPr="00FA4BF1">
              <w:rPr>
                <w:sz w:val="16"/>
              </w:rPr>
              <w:t>45</w:t>
            </w:r>
          </w:p>
        </w:tc>
        <w:tc>
          <w:tcPr>
            <w:tcW w:w="567"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32B14FB5" w14:textId="77777777" w:rsidR="00FA4BF1" w:rsidRPr="00FA4BF1" w:rsidRDefault="00FA4BF1" w:rsidP="00EA076F">
            <w:pPr>
              <w:pStyle w:val="CDITable-RowCentre"/>
              <w:rPr>
                <w:sz w:val="16"/>
              </w:rPr>
            </w:pPr>
            <w:r w:rsidRPr="00FA4BF1">
              <w:rPr>
                <w:sz w:val="16"/>
              </w:rPr>
              <w:t>12.5</w:t>
            </w:r>
          </w:p>
        </w:tc>
        <w:tc>
          <w:tcPr>
            <w:tcW w:w="59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574BA759" w14:textId="77777777" w:rsidR="00FA4BF1" w:rsidRPr="00FA4BF1" w:rsidRDefault="00FA4BF1" w:rsidP="00EA076F">
            <w:pPr>
              <w:pStyle w:val="CDITable-RowCentre"/>
              <w:rPr>
                <w:sz w:val="16"/>
              </w:rPr>
            </w:pPr>
            <w:r w:rsidRPr="00FA4BF1">
              <w:rPr>
                <w:sz w:val="16"/>
              </w:rPr>
              <w:t>314</w:t>
            </w:r>
          </w:p>
        </w:tc>
        <w:tc>
          <w:tcPr>
            <w:tcW w:w="567" w:type="dxa"/>
            <w:tcBorders>
              <w:top w:val="single" w:sz="6" w:space="0" w:color="1E4496" w:themeColor="text2"/>
              <w:bottom w:val="single" w:sz="6" w:space="0" w:color="1E4496" w:themeColor="text2"/>
              <w:right w:val="single" w:sz="6" w:space="0" w:color="1E4496" w:themeColor="text2"/>
            </w:tcBorders>
            <w:tcMar>
              <w:top w:w="96" w:type="dxa"/>
              <w:left w:w="113" w:type="dxa"/>
              <w:bottom w:w="96" w:type="dxa"/>
              <w:right w:w="113" w:type="dxa"/>
            </w:tcMar>
            <w:vAlign w:val="center"/>
          </w:tcPr>
          <w:p w14:paraId="0C5FDDF2" w14:textId="77777777" w:rsidR="00FA4BF1" w:rsidRPr="00FA4BF1" w:rsidRDefault="00FA4BF1" w:rsidP="00EA076F">
            <w:pPr>
              <w:pStyle w:val="CDITable-RowCentre"/>
              <w:rPr>
                <w:sz w:val="16"/>
              </w:rPr>
            </w:pPr>
            <w:r w:rsidRPr="00FA4BF1">
              <w:rPr>
                <w:sz w:val="16"/>
              </w:rPr>
              <w:t>87.5</w:t>
            </w:r>
          </w:p>
        </w:tc>
        <w:tc>
          <w:tcPr>
            <w:tcW w:w="590" w:type="dxa"/>
            <w:tcBorders>
              <w:top w:val="single" w:sz="6" w:space="0" w:color="1E4496" w:themeColor="text2"/>
              <w:left w:val="single" w:sz="6" w:space="0" w:color="1E4496" w:themeColor="text2"/>
              <w:bottom w:val="single" w:sz="6" w:space="0" w:color="1E4496" w:themeColor="text2"/>
            </w:tcBorders>
            <w:tcMar>
              <w:top w:w="96" w:type="dxa"/>
              <w:left w:w="113" w:type="dxa"/>
              <w:bottom w:w="96" w:type="dxa"/>
              <w:right w:w="113" w:type="dxa"/>
            </w:tcMar>
            <w:vAlign w:val="center"/>
          </w:tcPr>
          <w:p w14:paraId="54D253DF" w14:textId="77777777" w:rsidR="00FA4BF1" w:rsidRPr="00FA4BF1" w:rsidRDefault="00FA4BF1" w:rsidP="00EA076F">
            <w:pPr>
              <w:pStyle w:val="CDITable-RowCentre"/>
              <w:rPr>
                <w:sz w:val="16"/>
              </w:rPr>
            </w:pPr>
            <w:r w:rsidRPr="00FA4BF1">
              <w:rPr>
                <w:sz w:val="16"/>
              </w:rPr>
              <w:t>10</w:t>
            </w:r>
          </w:p>
        </w:tc>
        <w:tc>
          <w:tcPr>
            <w:tcW w:w="566"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23E86C61" w14:textId="77777777" w:rsidR="00FA4BF1" w:rsidRPr="00FA4BF1" w:rsidRDefault="00FA4BF1" w:rsidP="00EA076F">
            <w:pPr>
              <w:pStyle w:val="CDITable-RowCentre"/>
              <w:rPr>
                <w:sz w:val="16"/>
              </w:rPr>
            </w:pPr>
            <w:r w:rsidRPr="00FA4BF1">
              <w:rPr>
                <w:sz w:val="16"/>
              </w:rPr>
              <w:t>8.8</w:t>
            </w:r>
          </w:p>
        </w:tc>
        <w:tc>
          <w:tcPr>
            <w:tcW w:w="59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26927AF7" w14:textId="77777777" w:rsidR="00FA4BF1" w:rsidRPr="00FA4BF1" w:rsidRDefault="00FA4BF1" w:rsidP="00EA076F">
            <w:pPr>
              <w:pStyle w:val="CDITable-RowCentre"/>
              <w:rPr>
                <w:sz w:val="16"/>
              </w:rPr>
            </w:pPr>
            <w:r w:rsidRPr="00FA4BF1">
              <w:rPr>
                <w:sz w:val="16"/>
              </w:rPr>
              <w:t>104</w:t>
            </w:r>
          </w:p>
        </w:tc>
        <w:tc>
          <w:tcPr>
            <w:tcW w:w="567"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5C841245" w14:textId="77777777" w:rsidR="00FA4BF1" w:rsidRPr="00FA4BF1" w:rsidRDefault="00FA4BF1" w:rsidP="00EA076F">
            <w:pPr>
              <w:pStyle w:val="CDITable-RowCentre"/>
              <w:rPr>
                <w:sz w:val="16"/>
              </w:rPr>
            </w:pPr>
            <w:r w:rsidRPr="00FA4BF1">
              <w:rPr>
                <w:sz w:val="16"/>
              </w:rPr>
              <w:t>91.2</w:t>
            </w:r>
          </w:p>
        </w:tc>
      </w:tr>
      <w:tr w:rsidR="00B73263" w:rsidRPr="00FA4BF1" w14:paraId="2280AF6A" w14:textId="77777777" w:rsidTr="00B6546F">
        <w:trPr>
          <w:trHeight w:val="60"/>
        </w:trPr>
        <w:tc>
          <w:tcPr>
            <w:tcW w:w="1361" w:type="dxa"/>
            <w:vMerge w:val="restart"/>
            <w:tcBorders>
              <w:top w:val="single" w:sz="6" w:space="0" w:color="1E4496" w:themeColor="text2"/>
              <w:bottom w:val="single" w:sz="6" w:space="0" w:color="1E4496" w:themeColor="text2"/>
            </w:tcBorders>
            <w:shd w:val="clear" w:color="auto" w:fill="DCF4FC" w:themeFill="background2" w:themeFillTint="33"/>
            <w:tcMar>
              <w:top w:w="96" w:type="dxa"/>
              <w:left w:w="113" w:type="dxa"/>
              <w:bottom w:w="96" w:type="dxa"/>
              <w:right w:w="113" w:type="dxa"/>
            </w:tcMar>
            <w:vAlign w:val="center"/>
          </w:tcPr>
          <w:p w14:paraId="7B1EF541" w14:textId="77777777" w:rsidR="00FA4BF1" w:rsidRPr="00FA4BF1" w:rsidRDefault="00FA4BF1" w:rsidP="00EA076F">
            <w:pPr>
              <w:pStyle w:val="CDITable-RowLeft"/>
              <w:rPr>
                <w:sz w:val="16"/>
              </w:rPr>
            </w:pPr>
            <w:proofErr w:type="spellStart"/>
            <w:r w:rsidRPr="00FA4BF1">
              <w:rPr>
                <w:sz w:val="16"/>
              </w:rPr>
              <w:t>Jurisdiction</w:t>
            </w:r>
            <w:r w:rsidRPr="00FA4BF1">
              <w:rPr>
                <w:sz w:val="16"/>
                <w:vertAlign w:val="superscript"/>
              </w:rPr>
              <w:t>e</w:t>
            </w:r>
            <w:proofErr w:type="spellEnd"/>
          </w:p>
        </w:tc>
        <w:tc>
          <w:tcPr>
            <w:tcW w:w="1417"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6DB3BA2B" w14:textId="77777777" w:rsidR="00FA4BF1" w:rsidRPr="00FA4BF1" w:rsidRDefault="00FA4BF1" w:rsidP="00EA076F">
            <w:pPr>
              <w:pStyle w:val="CDITable-RowLeft"/>
              <w:rPr>
                <w:sz w:val="16"/>
              </w:rPr>
            </w:pPr>
            <w:r w:rsidRPr="00FA4BF1">
              <w:rPr>
                <w:sz w:val="16"/>
              </w:rPr>
              <w:t>ACT</w:t>
            </w:r>
          </w:p>
        </w:tc>
        <w:tc>
          <w:tcPr>
            <w:tcW w:w="59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22F9F1B1" w14:textId="77777777" w:rsidR="00FA4BF1" w:rsidRPr="00FA4BF1" w:rsidRDefault="00FA4BF1" w:rsidP="00EA076F">
            <w:pPr>
              <w:pStyle w:val="CDITable-RowCentre"/>
              <w:rPr>
                <w:sz w:val="16"/>
              </w:rPr>
            </w:pPr>
            <w:r w:rsidRPr="00FA4BF1">
              <w:rPr>
                <w:sz w:val="16"/>
              </w:rPr>
              <w:t>6</w:t>
            </w:r>
          </w:p>
        </w:tc>
        <w:tc>
          <w:tcPr>
            <w:tcW w:w="566"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69B9E6B2" w14:textId="77777777" w:rsidR="00FA4BF1" w:rsidRPr="00FA4BF1" w:rsidRDefault="00FA4BF1" w:rsidP="00EA076F">
            <w:pPr>
              <w:pStyle w:val="CDITable-RowCentre"/>
              <w:rPr>
                <w:sz w:val="16"/>
              </w:rPr>
            </w:pPr>
            <w:r w:rsidRPr="00FA4BF1">
              <w:rPr>
                <w:sz w:val="16"/>
              </w:rPr>
              <w:t>18.8</w:t>
            </w:r>
          </w:p>
        </w:tc>
        <w:tc>
          <w:tcPr>
            <w:tcW w:w="59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1BD41AE0" w14:textId="77777777" w:rsidR="00FA4BF1" w:rsidRPr="00FA4BF1" w:rsidRDefault="00FA4BF1" w:rsidP="00EA076F">
            <w:pPr>
              <w:pStyle w:val="CDITable-RowCentre"/>
              <w:rPr>
                <w:sz w:val="16"/>
              </w:rPr>
            </w:pPr>
            <w:r w:rsidRPr="00FA4BF1">
              <w:rPr>
                <w:sz w:val="16"/>
              </w:rPr>
              <w:t>26</w:t>
            </w:r>
          </w:p>
        </w:tc>
        <w:tc>
          <w:tcPr>
            <w:tcW w:w="567" w:type="dxa"/>
            <w:tcBorders>
              <w:top w:val="single" w:sz="6" w:space="0" w:color="1E4496" w:themeColor="text2"/>
              <w:bottom w:val="single" w:sz="6" w:space="0" w:color="1E4496" w:themeColor="text2"/>
              <w:right w:val="single" w:sz="6" w:space="0" w:color="1E4496" w:themeColor="text2"/>
            </w:tcBorders>
            <w:tcMar>
              <w:top w:w="96" w:type="dxa"/>
              <w:left w:w="113" w:type="dxa"/>
              <w:bottom w:w="96" w:type="dxa"/>
              <w:right w:w="113" w:type="dxa"/>
            </w:tcMar>
            <w:vAlign w:val="center"/>
          </w:tcPr>
          <w:p w14:paraId="3317BF8B" w14:textId="77777777" w:rsidR="00FA4BF1" w:rsidRPr="00FA4BF1" w:rsidRDefault="00FA4BF1" w:rsidP="00EA076F">
            <w:pPr>
              <w:pStyle w:val="CDITable-RowCentre"/>
              <w:rPr>
                <w:sz w:val="16"/>
              </w:rPr>
            </w:pPr>
            <w:r w:rsidRPr="00FA4BF1">
              <w:rPr>
                <w:sz w:val="16"/>
              </w:rPr>
              <w:t>81.3</w:t>
            </w:r>
          </w:p>
        </w:tc>
        <w:tc>
          <w:tcPr>
            <w:tcW w:w="590" w:type="dxa"/>
            <w:tcBorders>
              <w:top w:val="single" w:sz="6" w:space="0" w:color="1E4496" w:themeColor="text2"/>
              <w:left w:val="single" w:sz="6" w:space="0" w:color="1E4496" w:themeColor="text2"/>
              <w:bottom w:val="single" w:sz="6" w:space="0" w:color="1E4496" w:themeColor="text2"/>
            </w:tcBorders>
            <w:tcMar>
              <w:top w:w="96" w:type="dxa"/>
              <w:left w:w="113" w:type="dxa"/>
              <w:bottom w:w="96" w:type="dxa"/>
              <w:right w:w="113" w:type="dxa"/>
            </w:tcMar>
            <w:vAlign w:val="center"/>
          </w:tcPr>
          <w:p w14:paraId="311C0BDE" w14:textId="77777777" w:rsidR="00FA4BF1" w:rsidRPr="00FA4BF1" w:rsidRDefault="00FA4BF1" w:rsidP="00EA076F">
            <w:pPr>
              <w:pStyle w:val="CDITable-RowCentre"/>
              <w:rPr>
                <w:sz w:val="16"/>
              </w:rPr>
            </w:pPr>
            <w:r w:rsidRPr="00FA4BF1">
              <w:rPr>
                <w:sz w:val="16"/>
              </w:rPr>
              <w:t>6</w:t>
            </w:r>
          </w:p>
        </w:tc>
        <w:tc>
          <w:tcPr>
            <w:tcW w:w="567"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1C000B5B" w14:textId="77777777" w:rsidR="00FA4BF1" w:rsidRPr="00FA4BF1" w:rsidRDefault="00FA4BF1" w:rsidP="00EA076F">
            <w:pPr>
              <w:pStyle w:val="CDITable-RowCentre"/>
              <w:rPr>
                <w:sz w:val="16"/>
              </w:rPr>
            </w:pPr>
            <w:r w:rsidRPr="00FA4BF1">
              <w:rPr>
                <w:sz w:val="16"/>
              </w:rPr>
              <w:t>18.8</w:t>
            </w:r>
          </w:p>
        </w:tc>
        <w:tc>
          <w:tcPr>
            <w:tcW w:w="589"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48C07561" w14:textId="77777777" w:rsidR="00FA4BF1" w:rsidRPr="00FA4BF1" w:rsidRDefault="00FA4BF1" w:rsidP="00EA076F">
            <w:pPr>
              <w:pStyle w:val="CDITable-RowCentre"/>
              <w:rPr>
                <w:sz w:val="16"/>
              </w:rPr>
            </w:pPr>
            <w:r w:rsidRPr="00FA4BF1">
              <w:rPr>
                <w:sz w:val="16"/>
              </w:rPr>
              <w:t>26</w:t>
            </w:r>
          </w:p>
        </w:tc>
        <w:tc>
          <w:tcPr>
            <w:tcW w:w="567" w:type="dxa"/>
            <w:tcBorders>
              <w:top w:val="single" w:sz="6" w:space="0" w:color="1E4496" w:themeColor="text2"/>
              <w:bottom w:val="single" w:sz="6" w:space="0" w:color="1E4496" w:themeColor="text2"/>
              <w:right w:val="single" w:sz="6" w:space="0" w:color="1E4496" w:themeColor="text2"/>
            </w:tcBorders>
            <w:tcMar>
              <w:top w:w="96" w:type="dxa"/>
              <w:left w:w="113" w:type="dxa"/>
              <w:bottom w:w="96" w:type="dxa"/>
              <w:right w:w="113" w:type="dxa"/>
            </w:tcMar>
            <w:vAlign w:val="center"/>
          </w:tcPr>
          <w:p w14:paraId="1A63E37B" w14:textId="77777777" w:rsidR="00FA4BF1" w:rsidRPr="00FA4BF1" w:rsidRDefault="00FA4BF1" w:rsidP="00EA076F">
            <w:pPr>
              <w:pStyle w:val="CDITable-RowCentre"/>
              <w:rPr>
                <w:sz w:val="16"/>
              </w:rPr>
            </w:pPr>
            <w:r w:rsidRPr="00FA4BF1">
              <w:rPr>
                <w:sz w:val="16"/>
              </w:rPr>
              <w:t>81.2</w:t>
            </w:r>
          </w:p>
        </w:tc>
        <w:tc>
          <w:tcPr>
            <w:tcW w:w="595" w:type="dxa"/>
            <w:tcBorders>
              <w:top w:val="single" w:sz="6" w:space="0" w:color="1E4496" w:themeColor="text2"/>
              <w:left w:val="single" w:sz="6" w:space="0" w:color="1E4496" w:themeColor="text2"/>
              <w:bottom w:val="single" w:sz="6" w:space="0" w:color="1E4496" w:themeColor="text2"/>
            </w:tcBorders>
            <w:tcMar>
              <w:top w:w="96" w:type="dxa"/>
              <w:left w:w="113" w:type="dxa"/>
              <w:bottom w:w="96" w:type="dxa"/>
              <w:right w:w="113" w:type="dxa"/>
            </w:tcMar>
            <w:vAlign w:val="center"/>
          </w:tcPr>
          <w:p w14:paraId="051AA5FA" w14:textId="77777777" w:rsidR="00FA4BF1" w:rsidRPr="00FA4BF1" w:rsidRDefault="00FA4BF1" w:rsidP="00EA076F">
            <w:pPr>
              <w:pStyle w:val="CDITable-RowCentre"/>
              <w:rPr>
                <w:sz w:val="16"/>
              </w:rPr>
            </w:pPr>
            <w:r w:rsidRPr="00FA4BF1">
              <w:rPr>
                <w:sz w:val="16"/>
              </w:rPr>
              <w:t>0</w:t>
            </w:r>
          </w:p>
        </w:tc>
        <w:tc>
          <w:tcPr>
            <w:tcW w:w="567"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6A5E1573" w14:textId="77777777" w:rsidR="00FA4BF1" w:rsidRPr="00FA4BF1" w:rsidRDefault="00FA4BF1" w:rsidP="00EA076F">
            <w:pPr>
              <w:pStyle w:val="CDITable-RowCentre"/>
              <w:rPr>
                <w:sz w:val="16"/>
              </w:rPr>
            </w:pPr>
            <w:r w:rsidRPr="00FA4BF1">
              <w:rPr>
                <w:sz w:val="16"/>
              </w:rPr>
              <w:t>—</w:t>
            </w:r>
          </w:p>
        </w:tc>
        <w:tc>
          <w:tcPr>
            <w:tcW w:w="59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3669CE5F" w14:textId="77777777" w:rsidR="00FA4BF1" w:rsidRPr="00FA4BF1" w:rsidRDefault="00FA4BF1" w:rsidP="00EA076F">
            <w:pPr>
              <w:pStyle w:val="CDITable-RowCentre"/>
              <w:rPr>
                <w:sz w:val="16"/>
              </w:rPr>
            </w:pPr>
            <w:r w:rsidRPr="00FA4BF1">
              <w:rPr>
                <w:sz w:val="16"/>
              </w:rPr>
              <w:t>19</w:t>
            </w:r>
          </w:p>
        </w:tc>
        <w:tc>
          <w:tcPr>
            <w:tcW w:w="567" w:type="dxa"/>
            <w:tcBorders>
              <w:top w:val="single" w:sz="6" w:space="0" w:color="1E4496" w:themeColor="text2"/>
              <w:bottom w:val="single" w:sz="6" w:space="0" w:color="1E4496" w:themeColor="text2"/>
              <w:right w:val="single" w:sz="6" w:space="0" w:color="1E4496" w:themeColor="text2"/>
            </w:tcBorders>
            <w:tcMar>
              <w:top w:w="96" w:type="dxa"/>
              <w:left w:w="113" w:type="dxa"/>
              <w:bottom w:w="96" w:type="dxa"/>
              <w:right w:w="113" w:type="dxa"/>
            </w:tcMar>
            <w:vAlign w:val="center"/>
          </w:tcPr>
          <w:p w14:paraId="141ED414" w14:textId="77777777" w:rsidR="00FA4BF1" w:rsidRPr="00FA4BF1" w:rsidRDefault="00FA4BF1" w:rsidP="00EA076F">
            <w:pPr>
              <w:pStyle w:val="CDITable-RowCentre"/>
              <w:rPr>
                <w:sz w:val="16"/>
              </w:rPr>
            </w:pPr>
            <w:r w:rsidRPr="00FA4BF1">
              <w:rPr>
                <w:sz w:val="16"/>
              </w:rPr>
              <w:t>100</w:t>
            </w:r>
          </w:p>
        </w:tc>
        <w:tc>
          <w:tcPr>
            <w:tcW w:w="589" w:type="dxa"/>
            <w:tcBorders>
              <w:top w:val="single" w:sz="6" w:space="0" w:color="1E4496" w:themeColor="text2"/>
              <w:left w:val="single" w:sz="6" w:space="0" w:color="1E4496" w:themeColor="text2"/>
              <w:bottom w:val="single" w:sz="6" w:space="0" w:color="1E4496" w:themeColor="text2"/>
            </w:tcBorders>
            <w:tcMar>
              <w:top w:w="96" w:type="dxa"/>
              <w:left w:w="113" w:type="dxa"/>
              <w:bottom w:w="96" w:type="dxa"/>
              <w:right w:w="113" w:type="dxa"/>
            </w:tcMar>
            <w:vAlign w:val="center"/>
          </w:tcPr>
          <w:p w14:paraId="7DBAB444" w14:textId="77777777" w:rsidR="00FA4BF1" w:rsidRPr="00FA4BF1" w:rsidRDefault="00FA4BF1" w:rsidP="00EA076F">
            <w:pPr>
              <w:pStyle w:val="CDITable-RowCentre"/>
              <w:rPr>
                <w:sz w:val="16"/>
              </w:rPr>
            </w:pPr>
            <w:r w:rsidRPr="00FA4BF1">
              <w:rPr>
                <w:sz w:val="16"/>
              </w:rPr>
              <w:t>1</w:t>
            </w:r>
          </w:p>
        </w:tc>
        <w:tc>
          <w:tcPr>
            <w:tcW w:w="567"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7EA28CF6" w14:textId="77777777" w:rsidR="00FA4BF1" w:rsidRPr="00FA4BF1" w:rsidRDefault="00FA4BF1" w:rsidP="00EA076F">
            <w:pPr>
              <w:pStyle w:val="CDITable-RowCentre"/>
              <w:rPr>
                <w:sz w:val="16"/>
              </w:rPr>
            </w:pPr>
            <w:r w:rsidRPr="00FA4BF1">
              <w:rPr>
                <w:sz w:val="16"/>
              </w:rPr>
              <w:t>5.3</w:t>
            </w:r>
          </w:p>
        </w:tc>
        <w:tc>
          <w:tcPr>
            <w:tcW w:w="59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3D06A7BD" w14:textId="77777777" w:rsidR="00FA4BF1" w:rsidRPr="00FA4BF1" w:rsidRDefault="00FA4BF1" w:rsidP="00EA076F">
            <w:pPr>
              <w:pStyle w:val="CDITable-RowCentre"/>
              <w:rPr>
                <w:sz w:val="16"/>
              </w:rPr>
            </w:pPr>
            <w:r w:rsidRPr="00FA4BF1">
              <w:rPr>
                <w:sz w:val="16"/>
              </w:rPr>
              <w:t>18</w:t>
            </w:r>
          </w:p>
        </w:tc>
        <w:tc>
          <w:tcPr>
            <w:tcW w:w="567" w:type="dxa"/>
            <w:tcBorders>
              <w:top w:val="single" w:sz="6" w:space="0" w:color="1E4496" w:themeColor="text2"/>
              <w:bottom w:val="single" w:sz="6" w:space="0" w:color="1E4496" w:themeColor="text2"/>
              <w:right w:val="single" w:sz="6" w:space="0" w:color="1E4496" w:themeColor="text2"/>
            </w:tcBorders>
            <w:tcMar>
              <w:top w:w="96" w:type="dxa"/>
              <w:left w:w="113" w:type="dxa"/>
              <w:bottom w:w="96" w:type="dxa"/>
              <w:right w:w="113" w:type="dxa"/>
            </w:tcMar>
            <w:vAlign w:val="center"/>
          </w:tcPr>
          <w:p w14:paraId="435DC691" w14:textId="77777777" w:rsidR="00FA4BF1" w:rsidRPr="00FA4BF1" w:rsidRDefault="00FA4BF1" w:rsidP="00EA076F">
            <w:pPr>
              <w:pStyle w:val="CDITable-RowCentre"/>
              <w:rPr>
                <w:sz w:val="16"/>
              </w:rPr>
            </w:pPr>
            <w:r w:rsidRPr="00FA4BF1">
              <w:rPr>
                <w:sz w:val="16"/>
              </w:rPr>
              <w:t>94.7</w:t>
            </w:r>
          </w:p>
        </w:tc>
        <w:tc>
          <w:tcPr>
            <w:tcW w:w="590" w:type="dxa"/>
            <w:tcBorders>
              <w:top w:val="single" w:sz="6" w:space="0" w:color="1E4496" w:themeColor="text2"/>
              <w:left w:val="single" w:sz="6" w:space="0" w:color="1E4496" w:themeColor="text2"/>
              <w:bottom w:val="single" w:sz="6" w:space="0" w:color="1E4496" w:themeColor="text2"/>
            </w:tcBorders>
            <w:tcMar>
              <w:top w:w="96" w:type="dxa"/>
              <w:left w:w="113" w:type="dxa"/>
              <w:bottom w:w="96" w:type="dxa"/>
              <w:right w:w="113" w:type="dxa"/>
            </w:tcMar>
            <w:vAlign w:val="center"/>
          </w:tcPr>
          <w:p w14:paraId="7F977865" w14:textId="77777777" w:rsidR="00FA4BF1" w:rsidRPr="00FA4BF1" w:rsidRDefault="00FA4BF1" w:rsidP="00EA076F">
            <w:pPr>
              <w:pStyle w:val="CDITable-RowCentre"/>
              <w:rPr>
                <w:sz w:val="16"/>
              </w:rPr>
            </w:pPr>
            <w:r w:rsidRPr="00FA4BF1">
              <w:rPr>
                <w:sz w:val="16"/>
              </w:rPr>
              <w:t>0</w:t>
            </w:r>
          </w:p>
        </w:tc>
        <w:tc>
          <w:tcPr>
            <w:tcW w:w="566"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70F2C515" w14:textId="77777777" w:rsidR="00FA4BF1" w:rsidRPr="00FA4BF1" w:rsidRDefault="00FA4BF1" w:rsidP="00EA076F">
            <w:pPr>
              <w:pStyle w:val="CDITable-RowCentre"/>
              <w:rPr>
                <w:sz w:val="16"/>
              </w:rPr>
            </w:pPr>
            <w:r w:rsidRPr="00FA4BF1">
              <w:rPr>
                <w:sz w:val="16"/>
              </w:rPr>
              <w:t>—</w:t>
            </w:r>
          </w:p>
        </w:tc>
        <w:tc>
          <w:tcPr>
            <w:tcW w:w="59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2C7FA35A" w14:textId="77777777" w:rsidR="00FA4BF1" w:rsidRPr="00FA4BF1" w:rsidRDefault="00FA4BF1" w:rsidP="00EA076F">
            <w:pPr>
              <w:pStyle w:val="CDITable-RowCentre"/>
              <w:rPr>
                <w:sz w:val="16"/>
              </w:rPr>
            </w:pPr>
            <w:r w:rsidRPr="00FA4BF1">
              <w:rPr>
                <w:sz w:val="16"/>
              </w:rPr>
              <w:t>5</w:t>
            </w:r>
          </w:p>
        </w:tc>
        <w:tc>
          <w:tcPr>
            <w:tcW w:w="567"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37AA7CC0" w14:textId="77777777" w:rsidR="00FA4BF1" w:rsidRPr="00FA4BF1" w:rsidRDefault="00FA4BF1" w:rsidP="00EA076F">
            <w:pPr>
              <w:pStyle w:val="CDITable-RowCentre"/>
              <w:rPr>
                <w:sz w:val="16"/>
              </w:rPr>
            </w:pPr>
            <w:r w:rsidRPr="00FA4BF1">
              <w:rPr>
                <w:sz w:val="16"/>
              </w:rPr>
              <w:t>—</w:t>
            </w:r>
          </w:p>
        </w:tc>
      </w:tr>
      <w:tr w:rsidR="00B73263" w:rsidRPr="00FA4BF1" w14:paraId="0DC94140" w14:textId="77777777" w:rsidTr="00B6546F">
        <w:trPr>
          <w:trHeight w:val="60"/>
        </w:trPr>
        <w:tc>
          <w:tcPr>
            <w:tcW w:w="1361" w:type="dxa"/>
            <w:vMerge/>
            <w:tcBorders>
              <w:bottom w:val="single" w:sz="6" w:space="0" w:color="1E4496" w:themeColor="text2"/>
            </w:tcBorders>
            <w:shd w:val="clear" w:color="auto" w:fill="DCF4FC" w:themeFill="background2" w:themeFillTint="33"/>
            <w:tcMar>
              <w:top w:w="96" w:type="dxa"/>
              <w:bottom w:w="96" w:type="dxa"/>
            </w:tcMar>
          </w:tcPr>
          <w:p w14:paraId="3DD62AEF" w14:textId="77777777" w:rsidR="00FA4BF1" w:rsidRPr="00FA4BF1" w:rsidRDefault="00FA4BF1" w:rsidP="00EA076F"/>
        </w:tc>
        <w:tc>
          <w:tcPr>
            <w:tcW w:w="1417"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5C39D9DB" w14:textId="77777777" w:rsidR="00FA4BF1" w:rsidRPr="00FA4BF1" w:rsidRDefault="00FA4BF1" w:rsidP="00EA076F">
            <w:pPr>
              <w:pStyle w:val="CDITable-RowLeft"/>
              <w:rPr>
                <w:sz w:val="16"/>
              </w:rPr>
            </w:pPr>
            <w:r w:rsidRPr="00FA4BF1">
              <w:rPr>
                <w:sz w:val="16"/>
              </w:rPr>
              <w:t>NSW</w:t>
            </w:r>
          </w:p>
        </w:tc>
        <w:tc>
          <w:tcPr>
            <w:tcW w:w="59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326787E4" w14:textId="77777777" w:rsidR="00FA4BF1" w:rsidRPr="00FA4BF1" w:rsidRDefault="00FA4BF1" w:rsidP="00EA076F">
            <w:pPr>
              <w:pStyle w:val="CDITable-RowCentre"/>
              <w:rPr>
                <w:sz w:val="16"/>
              </w:rPr>
            </w:pPr>
            <w:r w:rsidRPr="00FA4BF1">
              <w:rPr>
                <w:sz w:val="16"/>
              </w:rPr>
              <w:t>69</w:t>
            </w:r>
          </w:p>
        </w:tc>
        <w:tc>
          <w:tcPr>
            <w:tcW w:w="566"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48D50DCB" w14:textId="77777777" w:rsidR="00FA4BF1" w:rsidRPr="00FA4BF1" w:rsidRDefault="00FA4BF1" w:rsidP="00EA076F">
            <w:pPr>
              <w:pStyle w:val="CDITable-RowCentre"/>
              <w:rPr>
                <w:sz w:val="16"/>
              </w:rPr>
            </w:pPr>
            <w:r w:rsidRPr="00FA4BF1">
              <w:rPr>
                <w:sz w:val="16"/>
              </w:rPr>
              <w:t>21.3</w:t>
            </w:r>
          </w:p>
        </w:tc>
        <w:tc>
          <w:tcPr>
            <w:tcW w:w="59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307F0807" w14:textId="77777777" w:rsidR="00FA4BF1" w:rsidRPr="00FA4BF1" w:rsidRDefault="00FA4BF1" w:rsidP="00EA076F">
            <w:pPr>
              <w:pStyle w:val="CDITable-RowCentre"/>
              <w:rPr>
                <w:sz w:val="16"/>
              </w:rPr>
            </w:pPr>
            <w:r w:rsidRPr="00FA4BF1">
              <w:rPr>
                <w:sz w:val="16"/>
              </w:rPr>
              <w:t>255</w:t>
            </w:r>
          </w:p>
        </w:tc>
        <w:tc>
          <w:tcPr>
            <w:tcW w:w="567" w:type="dxa"/>
            <w:tcBorders>
              <w:top w:val="single" w:sz="6" w:space="0" w:color="1E4496" w:themeColor="text2"/>
              <w:bottom w:val="single" w:sz="6" w:space="0" w:color="1E4496" w:themeColor="text2"/>
              <w:right w:val="single" w:sz="6" w:space="0" w:color="1E4496" w:themeColor="text2"/>
            </w:tcBorders>
            <w:tcMar>
              <w:top w:w="96" w:type="dxa"/>
              <w:left w:w="113" w:type="dxa"/>
              <w:bottom w:w="96" w:type="dxa"/>
              <w:right w:w="113" w:type="dxa"/>
            </w:tcMar>
            <w:vAlign w:val="center"/>
          </w:tcPr>
          <w:p w14:paraId="1463C1DF" w14:textId="77777777" w:rsidR="00FA4BF1" w:rsidRPr="00FA4BF1" w:rsidRDefault="00FA4BF1" w:rsidP="00EA076F">
            <w:pPr>
              <w:pStyle w:val="CDITable-RowCentre"/>
              <w:rPr>
                <w:sz w:val="16"/>
              </w:rPr>
            </w:pPr>
            <w:r w:rsidRPr="00FA4BF1">
              <w:rPr>
                <w:sz w:val="16"/>
              </w:rPr>
              <w:t>78.7</w:t>
            </w:r>
          </w:p>
        </w:tc>
        <w:tc>
          <w:tcPr>
            <w:tcW w:w="590" w:type="dxa"/>
            <w:tcBorders>
              <w:top w:val="single" w:sz="6" w:space="0" w:color="1E4496" w:themeColor="text2"/>
              <w:left w:val="single" w:sz="6" w:space="0" w:color="1E4496" w:themeColor="text2"/>
              <w:bottom w:val="single" w:sz="6" w:space="0" w:color="1E4496" w:themeColor="text2"/>
            </w:tcBorders>
            <w:tcMar>
              <w:top w:w="96" w:type="dxa"/>
              <w:left w:w="113" w:type="dxa"/>
              <w:bottom w:w="96" w:type="dxa"/>
              <w:right w:w="113" w:type="dxa"/>
            </w:tcMar>
            <w:vAlign w:val="center"/>
          </w:tcPr>
          <w:p w14:paraId="52114CDF" w14:textId="77777777" w:rsidR="00FA4BF1" w:rsidRPr="00FA4BF1" w:rsidRDefault="00FA4BF1" w:rsidP="00EA076F">
            <w:pPr>
              <w:pStyle w:val="CDITable-RowCentre"/>
              <w:rPr>
                <w:sz w:val="16"/>
              </w:rPr>
            </w:pPr>
            <w:r w:rsidRPr="00FA4BF1">
              <w:rPr>
                <w:sz w:val="16"/>
              </w:rPr>
              <w:t>60</w:t>
            </w:r>
          </w:p>
        </w:tc>
        <w:tc>
          <w:tcPr>
            <w:tcW w:w="567"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7CBEDE13" w14:textId="77777777" w:rsidR="00FA4BF1" w:rsidRPr="00FA4BF1" w:rsidRDefault="00FA4BF1" w:rsidP="00EA076F">
            <w:pPr>
              <w:pStyle w:val="CDITable-RowCentre"/>
              <w:rPr>
                <w:sz w:val="16"/>
              </w:rPr>
            </w:pPr>
            <w:r w:rsidRPr="00FA4BF1">
              <w:rPr>
                <w:sz w:val="16"/>
              </w:rPr>
              <w:t>18.5</w:t>
            </w:r>
          </w:p>
        </w:tc>
        <w:tc>
          <w:tcPr>
            <w:tcW w:w="589"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415A81A7" w14:textId="77777777" w:rsidR="00FA4BF1" w:rsidRPr="00FA4BF1" w:rsidRDefault="00FA4BF1" w:rsidP="00EA076F">
            <w:pPr>
              <w:pStyle w:val="CDITable-RowCentre"/>
              <w:rPr>
                <w:sz w:val="16"/>
              </w:rPr>
            </w:pPr>
            <w:r w:rsidRPr="00FA4BF1">
              <w:rPr>
                <w:sz w:val="16"/>
              </w:rPr>
              <w:t>264</w:t>
            </w:r>
          </w:p>
        </w:tc>
        <w:tc>
          <w:tcPr>
            <w:tcW w:w="567" w:type="dxa"/>
            <w:tcBorders>
              <w:top w:val="single" w:sz="6" w:space="0" w:color="1E4496" w:themeColor="text2"/>
              <w:bottom w:val="single" w:sz="6" w:space="0" w:color="1E4496" w:themeColor="text2"/>
              <w:right w:val="single" w:sz="6" w:space="0" w:color="1E4496" w:themeColor="text2"/>
            </w:tcBorders>
            <w:tcMar>
              <w:top w:w="96" w:type="dxa"/>
              <w:left w:w="113" w:type="dxa"/>
              <w:bottom w:w="96" w:type="dxa"/>
              <w:right w:w="113" w:type="dxa"/>
            </w:tcMar>
            <w:vAlign w:val="center"/>
          </w:tcPr>
          <w:p w14:paraId="482CBC28" w14:textId="77777777" w:rsidR="00FA4BF1" w:rsidRPr="00FA4BF1" w:rsidRDefault="00FA4BF1" w:rsidP="00EA076F">
            <w:pPr>
              <w:pStyle w:val="CDITable-RowCentre"/>
              <w:rPr>
                <w:sz w:val="16"/>
              </w:rPr>
            </w:pPr>
            <w:r w:rsidRPr="00FA4BF1">
              <w:rPr>
                <w:sz w:val="16"/>
              </w:rPr>
              <w:t>81.5</w:t>
            </w:r>
          </w:p>
        </w:tc>
        <w:tc>
          <w:tcPr>
            <w:tcW w:w="595" w:type="dxa"/>
            <w:tcBorders>
              <w:top w:val="single" w:sz="6" w:space="0" w:color="1E4496" w:themeColor="text2"/>
              <w:left w:val="single" w:sz="6" w:space="0" w:color="1E4496" w:themeColor="text2"/>
              <w:bottom w:val="single" w:sz="6" w:space="0" w:color="1E4496" w:themeColor="text2"/>
            </w:tcBorders>
            <w:tcMar>
              <w:top w:w="96" w:type="dxa"/>
              <w:left w:w="113" w:type="dxa"/>
              <w:bottom w:w="96" w:type="dxa"/>
              <w:right w:w="113" w:type="dxa"/>
            </w:tcMar>
            <w:vAlign w:val="center"/>
          </w:tcPr>
          <w:p w14:paraId="773B3839" w14:textId="77777777" w:rsidR="00FA4BF1" w:rsidRPr="00FA4BF1" w:rsidRDefault="00FA4BF1" w:rsidP="00EA076F">
            <w:pPr>
              <w:pStyle w:val="CDITable-RowCentre"/>
              <w:rPr>
                <w:sz w:val="16"/>
              </w:rPr>
            </w:pPr>
            <w:r w:rsidRPr="00FA4BF1">
              <w:rPr>
                <w:sz w:val="16"/>
              </w:rPr>
              <w:t>12</w:t>
            </w:r>
          </w:p>
        </w:tc>
        <w:tc>
          <w:tcPr>
            <w:tcW w:w="567"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35E8DFEA" w14:textId="77777777" w:rsidR="00FA4BF1" w:rsidRPr="00FA4BF1" w:rsidRDefault="00FA4BF1" w:rsidP="00EA076F">
            <w:pPr>
              <w:pStyle w:val="CDITable-RowCentre"/>
              <w:rPr>
                <w:sz w:val="16"/>
              </w:rPr>
            </w:pPr>
            <w:r w:rsidRPr="00FA4BF1">
              <w:rPr>
                <w:sz w:val="16"/>
              </w:rPr>
              <w:t>5.7</w:t>
            </w:r>
          </w:p>
        </w:tc>
        <w:tc>
          <w:tcPr>
            <w:tcW w:w="59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41E2DB91" w14:textId="77777777" w:rsidR="00FA4BF1" w:rsidRPr="00FA4BF1" w:rsidRDefault="00FA4BF1" w:rsidP="00EA076F">
            <w:pPr>
              <w:pStyle w:val="CDITable-RowCentre"/>
              <w:rPr>
                <w:sz w:val="16"/>
              </w:rPr>
            </w:pPr>
            <w:r w:rsidRPr="00FA4BF1">
              <w:rPr>
                <w:sz w:val="16"/>
              </w:rPr>
              <w:t>200</w:t>
            </w:r>
          </w:p>
        </w:tc>
        <w:tc>
          <w:tcPr>
            <w:tcW w:w="567" w:type="dxa"/>
            <w:tcBorders>
              <w:top w:val="single" w:sz="6" w:space="0" w:color="1E4496" w:themeColor="text2"/>
              <w:bottom w:val="single" w:sz="6" w:space="0" w:color="1E4496" w:themeColor="text2"/>
              <w:right w:val="single" w:sz="6" w:space="0" w:color="1E4496" w:themeColor="text2"/>
            </w:tcBorders>
            <w:tcMar>
              <w:top w:w="96" w:type="dxa"/>
              <w:left w:w="113" w:type="dxa"/>
              <w:bottom w:w="96" w:type="dxa"/>
              <w:right w:w="113" w:type="dxa"/>
            </w:tcMar>
            <w:vAlign w:val="center"/>
          </w:tcPr>
          <w:p w14:paraId="370E0F0F" w14:textId="77777777" w:rsidR="00FA4BF1" w:rsidRPr="00FA4BF1" w:rsidRDefault="00FA4BF1" w:rsidP="00EA076F">
            <w:pPr>
              <w:pStyle w:val="CDITable-RowCentre"/>
              <w:rPr>
                <w:sz w:val="16"/>
              </w:rPr>
            </w:pPr>
            <w:r w:rsidRPr="00FA4BF1">
              <w:rPr>
                <w:sz w:val="16"/>
              </w:rPr>
              <w:t>94.3</w:t>
            </w:r>
          </w:p>
        </w:tc>
        <w:tc>
          <w:tcPr>
            <w:tcW w:w="589" w:type="dxa"/>
            <w:tcBorders>
              <w:top w:val="single" w:sz="6" w:space="0" w:color="1E4496" w:themeColor="text2"/>
              <w:left w:val="single" w:sz="6" w:space="0" w:color="1E4496" w:themeColor="text2"/>
              <w:bottom w:val="single" w:sz="6" w:space="0" w:color="1E4496" w:themeColor="text2"/>
            </w:tcBorders>
            <w:tcMar>
              <w:top w:w="96" w:type="dxa"/>
              <w:left w:w="113" w:type="dxa"/>
              <w:bottom w:w="96" w:type="dxa"/>
              <w:right w:w="113" w:type="dxa"/>
            </w:tcMar>
            <w:vAlign w:val="center"/>
          </w:tcPr>
          <w:p w14:paraId="316493EF" w14:textId="77777777" w:rsidR="00FA4BF1" w:rsidRPr="00FA4BF1" w:rsidRDefault="00FA4BF1" w:rsidP="00EA076F">
            <w:pPr>
              <w:pStyle w:val="CDITable-RowCentre"/>
              <w:rPr>
                <w:sz w:val="16"/>
              </w:rPr>
            </w:pPr>
            <w:r w:rsidRPr="00FA4BF1">
              <w:rPr>
                <w:sz w:val="16"/>
              </w:rPr>
              <w:t>22</w:t>
            </w:r>
          </w:p>
        </w:tc>
        <w:tc>
          <w:tcPr>
            <w:tcW w:w="567"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7A8BF75C" w14:textId="77777777" w:rsidR="00FA4BF1" w:rsidRPr="00FA4BF1" w:rsidRDefault="00FA4BF1" w:rsidP="00EA076F">
            <w:pPr>
              <w:pStyle w:val="CDITable-RowCentre"/>
              <w:rPr>
                <w:sz w:val="16"/>
              </w:rPr>
            </w:pPr>
            <w:r w:rsidRPr="00FA4BF1">
              <w:rPr>
                <w:sz w:val="16"/>
              </w:rPr>
              <w:t>10.4</w:t>
            </w:r>
          </w:p>
        </w:tc>
        <w:tc>
          <w:tcPr>
            <w:tcW w:w="59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669D85D2" w14:textId="77777777" w:rsidR="00FA4BF1" w:rsidRPr="00FA4BF1" w:rsidRDefault="00FA4BF1" w:rsidP="00EA076F">
            <w:pPr>
              <w:pStyle w:val="CDITable-RowCentre"/>
              <w:rPr>
                <w:sz w:val="16"/>
              </w:rPr>
            </w:pPr>
            <w:r w:rsidRPr="00FA4BF1">
              <w:rPr>
                <w:sz w:val="16"/>
              </w:rPr>
              <w:t>190</w:t>
            </w:r>
          </w:p>
        </w:tc>
        <w:tc>
          <w:tcPr>
            <w:tcW w:w="567" w:type="dxa"/>
            <w:tcBorders>
              <w:top w:val="single" w:sz="6" w:space="0" w:color="1E4496" w:themeColor="text2"/>
              <w:bottom w:val="single" w:sz="6" w:space="0" w:color="1E4496" w:themeColor="text2"/>
              <w:right w:val="single" w:sz="6" w:space="0" w:color="1E4496" w:themeColor="text2"/>
            </w:tcBorders>
            <w:tcMar>
              <w:top w:w="96" w:type="dxa"/>
              <w:left w:w="113" w:type="dxa"/>
              <w:bottom w:w="96" w:type="dxa"/>
              <w:right w:w="113" w:type="dxa"/>
            </w:tcMar>
            <w:vAlign w:val="center"/>
          </w:tcPr>
          <w:p w14:paraId="4423BDCD" w14:textId="77777777" w:rsidR="00FA4BF1" w:rsidRPr="00FA4BF1" w:rsidRDefault="00FA4BF1" w:rsidP="00EA076F">
            <w:pPr>
              <w:pStyle w:val="CDITable-RowCentre"/>
              <w:rPr>
                <w:sz w:val="16"/>
              </w:rPr>
            </w:pPr>
            <w:r w:rsidRPr="00FA4BF1">
              <w:rPr>
                <w:sz w:val="16"/>
              </w:rPr>
              <w:t>89.6</w:t>
            </w:r>
          </w:p>
        </w:tc>
        <w:tc>
          <w:tcPr>
            <w:tcW w:w="590" w:type="dxa"/>
            <w:tcBorders>
              <w:top w:val="single" w:sz="6" w:space="0" w:color="1E4496" w:themeColor="text2"/>
              <w:left w:val="single" w:sz="6" w:space="0" w:color="1E4496" w:themeColor="text2"/>
              <w:bottom w:val="single" w:sz="6" w:space="0" w:color="1E4496" w:themeColor="text2"/>
            </w:tcBorders>
            <w:tcMar>
              <w:top w:w="96" w:type="dxa"/>
              <w:left w:w="113" w:type="dxa"/>
              <w:bottom w:w="96" w:type="dxa"/>
              <w:right w:w="113" w:type="dxa"/>
            </w:tcMar>
            <w:vAlign w:val="center"/>
          </w:tcPr>
          <w:p w14:paraId="2A354C9F" w14:textId="77777777" w:rsidR="00FA4BF1" w:rsidRPr="00FA4BF1" w:rsidRDefault="00FA4BF1" w:rsidP="00EA076F">
            <w:pPr>
              <w:pStyle w:val="CDITable-RowCentre"/>
              <w:rPr>
                <w:sz w:val="16"/>
              </w:rPr>
            </w:pPr>
            <w:r w:rsidRPr="00FA4BF1">
              <w:rPr>
                <w:sz w:val="16"/>
              </w:rPr>
              <w:t>6</w:t>
            </w:r>
          </w:p>
        </w:tc>
        <w:tc>
          <w:tcPr>
            <w:tcW w:w="566"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59C93FDC" w14:textId="77777777" w:rsidR="00FA4BF1" w:rsidRPr="00FA4BF1" w:rsidRDefault="00FA4BF1" w:rsidP="00EA076F">
            <w:pPr>
              <w:pStyle w:val="CDITable-RowCentre"/>
              <w:rPr>
                <w:sz w:val="16"/>
              </w:rPr>
            </w:pPr>
            <w:r w:rsidRPr="00FA4BF1">
              <w:rPr>
                <w:sz w:val="16"/>
              </w:rPr>
              <w:t>8.1</w:t>
            </w:r>
          </w:p>
        </w:tc>
        <w:tc>
          <w:tcPr>
            <w:tcW w:w="59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18A3BB6F" w14:textId="77777777" w:rsidR="00FA4BF1" w:rsidRPr="00FA4BF1" w:rsidRDefault="00FA4BF1" w:rsidP="00EA076F">
            <w:pPr>
              <w:pStyle w:val="CDITable-RowCentre"/>
              <w:rPr>
                <w:sz w:val="16"/>
              </w:rPr>
            </w:pPr>
            <w:r w:rsidRPr="00FA4BF1">
              <w:rPr>
                <w:sz w:val="16"/>
              </w:rPr>
              <w:t>68</w:t>
            </w:r>
          </w:p>
        </w:tc>
        <w:tc>
          <w:tcPr>
            <w:tcW w:w="567"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5C5A4300" w14:textId="77777777" w:rsidR="00FA4BF1" w:rsidRPr="00FA4BF1" w:rsidRDefault="00FA4BF1" w:rsidP="00EA076F">
            <w:pPr>
              <w:pStyle w:val="CDITable-RowCentre"/>
              <w:rPr>
                <w:sz w:val="16"/>
              </w:rPr>
            </w:pPr>
            <w:r w:rsidRPr="00FA4BF1">
              <w:rPr>
                <w:sz w:val="16"/>
              </w:rPr>
              <w:t>91.9</w:t>
            </w:r>
          </w:p>
        </w:tc>
      </w:tr>
      <w:tr w:rsidR="00B73263" w:rsidRPr="00FA4BF1" w14:paraId="1ED0ACAC" w14:textId="77777777" w:rsidTr="00B6546F">
        <w:trPr>
          <w:trHeight w:val="60"/>
        </w:trPr>
        <w:tc>
          <w:tcPr>
            <w:tcW w:w="1361" w:type="dxa"/>
            <w:vMerge/>
            <w:tcBorders>
              <w:bottom w:val="single" w:sz="6" w:space="0" w:color="1E4496" w:themeColor="text2"/>
            </w:tcBorders>
            <w:shd w:val="clear" w:color="auto" w:fill="DCF4FC" w:themeFill="background2" w:themeFillTint="33"/>
            <w:tcMar>
              <w:top w:w="96" w:type="dxa"/>
              <w:bottom w:w="96" w:type="dxa"/>
            </w:tcMar>
          </w:tcPr>
          <w:p w14:paraId="7CD8FD74" w14:textId="77777777" w:rsidR="00FA4BF1" w:rsidRPr="00FA4BF1" w:rsidRDefault="00FA4BF1" w:rsidP="00EA076F"/>
        </w:tc>
        <w:tc>
          <w:tcPr>
            <w:tcW w:w="1417"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2B8036BD" w14:textId="77777777" w:rsidR="00FA4BF1" w:rsidRPr="00FA4BF1" w:rsidRDefault="00FA4BF1" w:rsidP="00EA076F">
            <w:pPr>
              <w:pStyle w:val="CDITable-RowLeft"/>
              <w:rPr>
                <w:sz w:val="16"/>
              </w:rPr>
            </w:pPr>
            <w:r w:rsidRPr="00FA4BF1">
              <w:rPr>
                <w:sz w:val="16"/>
              </w:rPr>
              <w:t>NT</w:t>
            </w:r>
          </w:p>
        </w:tc>
        <w:tc>
          <w:tcPr>
            <w:tcW w:w="59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70C0C434" w14:textId="77777777" w:rsidR="00FA4BF1" w:rsidRPr="00FA4BF1" w:rsidRDefault="00FA4BF1" w:rsidP="00EA076F">
            <w:pPr>
              <w:pStyle w:val="CDITable-RowCentre"/>
              <w:rPr>
                <w:sz w:val="16"/>
              </w:rPr>
            </w:pPr>
            <w:r w:rsidRPr="00FA4BF1">
              <w:rPr>
                <w:sz w:val="16"/>
              </w:rPr>
              <w:t>5</w:t>
            </w:r>
          </w:p>
        </w:tc>
        <w:tc>
          <w:tcPr>
            <w:tcW w:w="566"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2E33ED09" w14:textId="77777777" w:rsidR="00FA4BF1" w:rsidRPr="00FA4BF1" w:rsidRDefault="00FA4BF1" w:rsidP="00EA076F">
            <w:pPr>
              <w:pStyle w:val="CDITable-RowCentre"/>
              <w:rPr>
                <w:sz w:val="16"/>
              </w:rPr>
            </w:pPr>
            <w:r w:rsidRPr="00FA4BF1">
              <w:rPr>
                <w:sz w:val="16"/>
              </w:rPr>
              <w:t>16.1</w:t>
            </w:r>
          </w:p>
        </w:tc>
        <w:tc>
          <w:tcPr>
            <w:tcW w:w="59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19194CB6" w14:textId="77777777" w:rsidR="00FA4BF1" w:rsidRPr="00FA4BF1" w:rsidRDefault="00FA4BF1" w:rsidP="00EA076F">
            <w:pPr>
              <w:pStyle w:val="CDITable-RowCentre"/>
              <w:rPr>
                <w:sz w:val="16"/>
              </w:rPr>
            </w:pPr>
            <w:r w:rsidRPr="00FA4BF1">
              <w:rPr>
                <w:sz w:val="16"/>
              </w:rPr>
              <w:t>26</w:t>
            </w:r>
          </w:p>
        </w:tc>
        <w:tc>
          <w:tcPr>
            <w:tcW w:w="567" w:type="dxa"/>
            <w:tcBorders>
              <w:top w:val="single" w:sz="6" w:space="0" w:color="1E4496" w:themeColor="text2"/>
              <w:bottom w:val="single" w:sz="6" w:space="0" w:color="1E4496" w:themeColor="text2"/>
              <w:right w:val="single" w:sz="6" w:space="0" w:color="1E4496" w:themeColor="text2"/>
            </w:tcBorders>
            <w:tcMar>
              <w:top w:w="96" w:type="dxa"/>
              <w:left w:w="113" w:type="dxa"/>
              <w:bottom w:w="96" w:type="dxa"/>
              <w:right w:w="113" w:type="dxa"/>
            </w:tcMar>
            <w:vAlign w:val="center"/>
          </w:tcPr>
          <w:p w14:paraId="7AA09ECE" w14:textId="77777777" w:rsidR="00FA4BF1" w:rsidRPr="00FA4BF1" w:rsidRDefault="00FA4BF1" w:rsidP="00EA076F">
            <w:pPr>
              <w:pStyle w:val="CDITable-RowCentre"/>
              <w:rPr>
                <w:sz w:val="16"/>
              </w:rPr>
            </w:pPr>
            <w:r w:rsidRPr="00FA4BF1">
              <w:rPr>
                <w:sz w:val="16"/>
              </w:rPr>
              <w:t>83.9</w:t>
            </w:r>
          </w:p>
        </w:tc>
        <w:tc>
          <w:tcPr>
            <w:tcW w:w="590" w:type="dxa"/>
            <w:tcBorders>
              <w:top w:val="single" w:sz="6" w:space="0" w:color="1E4496" w:themeColor="text2"/>
              <w:left w:val="single" w:sz="6" w:space="0" w:color="1E4496" w:themeColor="text2"/>
              <w:bottom w:val="single" w:sz="6" w:space="0" w:color="1E4496" w:themeColor="text2"/>
            </w:tcBorders>
            <w:tcMar>
              <w:top w:w="96" w:type="dxa"/>
              <w:left w:w="113" w:type="dxa"/>
              <w:bottom w:w="96" w:type="dxa"/>
              <w:right w:w="113" w:type="dxa"/>
            </w:tcMar>
            <w:vAlign w:val="center"/>
          </w:tcPr>
          <w:p w14:paraId="7EF949FB" w14:textId="77777777" w:rsidR="00FA4BF1" w:rsidRPr="00FA4BF1" w:rsidRDefault="00FA4BF1" w:rsidP="00EA076F">
            <w:pPr>
              <w:pStyle w:val="CDITable-RowCentre"/>
              <w:rPr>
                <w:sz w:val="16"/>
              </w:rPr>
            </w:pPr>
            <w:r w:rsidRPr="00FA4BF1">
              <w:rPr>
                <w:sz w:val="16"/>
              </w:rPr>
              <w:t>3</w:t>
            </w:r>
          </w:p>
        </w:tc>
        <w:tc>
          <w:tcPr>
            <w:tcW w:w="567"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3C9819D8" w14:textId="77777777" w:rsidR="00FA4BF1" w:rsidRPr="00FA4BF1" w:rsidRDefault="00FA4BF1" w:rsidP="00EA076F">
            <w:pPr>
              <w:pStyle w:val="CDITable-RowCentre"/>
              <w:rPr>
                <w:sz w:val="16"/>
              </w:rPr>
            </w:pPr>
            <w:r w:rsidRPr="00FA4BF1">
              <w:rPr>
                <w:sz w:val="16"/>
              </w:rPr>
              <w:t>9.7</w:t>
            </w:r>
          </w:p>
        </w:tc>
        <w:tc>
          <w:tcPr>
            <w:tcW w:w="589"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32245075" w14:textId="77777777" w:rsidR="00FA4BF1" w:rsidRPr="00FA4BF1" w:rsidRDefault="00FA4BF1" w:rsidP="00EA076F">
            <w:pPr>
              <w:pStyle w:val="CDITable-RowCentre"/>
              <w:rPr>
                <w:sz w:val="16"/>
              </w:rPr>
            </w:pPr>
            <w:r w:rsidRPr="00FA4BF1">
              <w:rPr>
                <w:sz w:val="16"/>
              </w:rPr>
              <w:t>28</w:t>
            </w:r>
          </w:p>
        </w:tc>
        <w:tc>
          <w:tcPr>
            <w:tcW w:w="567" w:type="dxa"/>
            <w:tcBorders>
              <w:top w:val="single" w:sz="6" w:space="0" w:color="1E4496" w:themeColor="text2"/>
              <w:bottom w:val="single" w:sz="6" w:space="0" w:color="1E4496" w:themeColor="text2"/>
              <w:right w:val="single" w:sz="6" w:space="0" w:color="1E4496" w:themeColor="text2"/>
            </w:tcBorders>
            <w:tcMar>
              <w:top w:w="96" w:type="dxa"/>
              <w:left w:w="113" w:type="dxa"/>
              <w:bottom w:w="96" w:type="dxa"/>
              <w:right w:w="113" w:type="dxa"/>
            </w:tcMar>
            <w:vAlign w:val="center"/>
          </w:tcPr>
          <w:p w14:paraId="362F5BF1" w14:textId="77777777" w:rsidR="00FA4BF1" w:rsidRPr="00FA4BF1" w:rsidRDefault="00FA4BF1" w:rsidP="00EA076F">
            <w:pPr>
              <w:pStyle w:val="CDITable-RowCentre"/>
              <w:rPr>
                <w:sz w:val="16"/>
              </w:rPr>
            </w:pPr>
            <w:r w:rsidRPr="00FA4BF1">
              <w:rPr>
                <w:sz w:val="16"/>
              </w:rPr>
              <w:t>90.3</w:t>
            </w:r>
          </w:p>
        </w:tc>
        <w:tc>
          <w:tcPr>
            <w:tcW w:w="595" w:type="dxa"/>
            <w:tcBorders>
              <w:top w:val="single" w:sz="6" w:space="0" w:color="1E4496" w:themeColor="text2"/>
              <w:left w:val="single" w:sz="6" w:space="0" w:color="1E4496" w:themeColor="text2"/>
              <w:bottom w:val="single" w:sz="6" w:space="0" w:color="1E4496" w:themeColor="text2"/>
            </w:tcBorders>
            <w:tcMar>
              <w:top w:w="96" w:type="dxa"/>
              <w:left w:w="113" w:type="dxa"/>
              <w:bottom w:w="96" w:type="dxa"/>
              <w:right w:w="113" w:type="dxa"/>
            </w:tcMar>
            <w:vAlign w:val="center"/>
          </w:tcPr>
          <w:p w14:paraId="51E6F24F" w14:textId="77777777" w:rsidR="00FA4BF1" w:rsidRPr="00FA4BF1" w:rsidRDefault="00FA4BF1" w:rsidP="00EA076F">
            <w:pPr>
              <w:pStyle w:val="CDITable-RowCentre"/>
              <w:rPr>
                <w:sz w:val="16"/>
              </w:rPr>
            </w:pPr>
            <w:r w:rsidRPr="00FA4BF1">
              <w:rPr>
                <w:sz w:val="16"/>
              </w:rPr>
              <w:t>4</w:t>
            </w:r>
          </w:p>
        </w:tc>
        <w:tc>
          <w:tcPr>
            <w:tcW w:w="567"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23EA9EA9" w14:textId="77777777" w:rsidR="00FA4BF1" w:rsidRPr="00FA4BF1" w:rsidRDefault="00FA4BF1" w:rsidP="00EA076F">
            <w:pPr>
              <w:pStyle w:val="CDITable-RowCentre"/>
              <w:rPr>
                <w:sz w:val="16"/>
              </w:rPr>
            </w:pPr>
            <w:r w:rsidRPr="00FA4BF1">
              <w:rPr>
                <w:sz w:val="16"/>
              </w:rPr>
              <w:t>11.1</w:t>
            </w:r>
          </w:p>
        </w:tc>
        <w:tc>
          <w:tcPr>
            <w:tcW w:w="59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7AD58AB0" w14:textId="77777777" w:rsidR="00FA4BF1" w:rsidRPr="00FA4BF1" w:rsidRDefault="00FA4BF1" w:rsidP="00EA076F">
            <w:pPr>
              <w:pStyle w:val="CDITable-RowCentre"/>
              <w:rPr>
                <w:sz w:val="16"/>
              </w:rPr>
            </w:pPr>
            <w:r w:rsidRPr="00FA4BF1">
              <w:rPr>
                <w:sz w:val="16"/>
              </w:rPr>
              <w:t>32</w:t>
            </w:r>
          </w:p>
        </w:tc>
        <w:tc>
          <w:tcPr>
            <w:tcW w:w="567" w:type="dxa"/>
            <w:tcBorders>
              <w:top w:val="single" w:sz="6" w:space="0" w:color="1E4496" w:themeColor="text2"/>
              <w:bottom w:val="single" w:sz="6" w:space="0" w:color="1E4496" w:themeColor="text2"/>
              <w:right w:val="single" w:sz="6" w:space="0" w:color="1E4496" w:themeColor="text2"/>
            </w:tcBorders>
            <w:tcMar>
              <w:top w:w="96" w:type="dxa"/>
              <w:left w:w="113" w:type="dxa"/>
              <w:bottom w:w="96" w:type="dxa"/>
              <w:right w:w="113" w:type="dxa"/>
            </w:tcMar>
            <w:vAlign w:val="center"/>
          </w:tcPr>
          <w:p w14:paraId="6D368536" w14:textId="77777777" w:rsidR="00FA4BF1" w:rsidRPr="00FA4BF1" w:rsidRDefault="00FA4BF1" w:rsidP="00EA076F">
            <w:pPr>
              <w:pStyle w:val="CDITable-RowCentre"/>
              <w:rPr>
                <w:sz w:val="16"/>
              </w:rPr>
            </w:pPr>
            <w:r w:rsidRPr="00FA4BF1">
              <w:rPr>
                <w:sz w:val="16"/>
              </w:rPr>
              <w:t>88.9</w:t>
            </w:r>
          </w:p>
        </w:tc>
        <w:tc>
          <w:tcPr>
            <w:tcW w:w="589" w:type="dxa"/>
            <w:tcBorders>
              <w:top w:val="single" w:sz="6" w:space="0" w:color="1E4496" w:themeColor="text2"/>
              <w:left w:val="single" w:sz="6" w:space="0" w:color="1E4496" w:themeColor="text2"/>
              <w:bottom w:val="single" w:sz="6" w:space="0" w:color="1E4496" w:themeColor="text2"/>
            </w:tcBorders>
            <w:tcMar>
              <w:top w:w="96" w:type="dxa"/>
              <w:left w:w="113" w:type="dxa"/>
              <w:bottom w:w="96" w:type="dxa"/>
              <w:right w:w="113" w:type="dxa"/>
            </w:tcMar>
            <w:vAlign w:val="center"/>
          </w:tcPr>
          <w:p w14:paraId="5FA14B72" w14:textId="77777777" w:rsidR="00FA4BF1" w:rsidRPr="00FA4BF1" w:rsidRDefault="00FA4BF1" w:rsidP="00EA076F">
            <w:pPr>
              <w:pStyle w:val="CDITable-RowCentre"/>
              <w:rPr>
                <w:sz w:val="16"/>
              </w:rPr>
            </w:pPr>
            <w:r w:rsidRPr="00FA4BF1">
              <w:rPr>
                <w:sz w:val="16"/>
              </w:rPr>
              <w:t>19</w:t>
            </w:r>
          </w:p>
        </w:tc>
        <w:tc>
          <w:tcPr>
            <w:tcW w:w="567"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49D844BB" w14:textId="77777777" w:rsidR="00FA4BF1" w:rsidRPr="00FA4BF1" w:rsidRDefault="00FA4BF1" w:rsidP="00EA076F">
            <w:pPr>
              <w:pStyle w:val="CDITable-RowCentre"/>
              <w:rPr>
                <w:sz w:val="16"/>
              </w:rPr>
            </w:pPr>
            <w:r w:rsidRPr="00FA4BF1">
              <w:rPr>
                <w:sz w:val="16"/>
              </w:rPr>
              <w:t>52.8</w:t>
            </w:r>
          </w:p>
        </w:tc>
        <w:tc>
          <w:tcPr>
            <w:tcW w:w="59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08D19E7E" w14:textId="77777777" w:rsidR="00FA4BF1" w:rsidRPr="00FA4BF1" w:rsidRDefault="00FA4BF1" w:rsidP="00EA076F">
            <w:pPr>
              <w:pStyle w:val="CDITable-RowCentre"/>
              <w:rPr>
                <w:sz w:val="16"/>
              </w:rPr>
            </w:pPr>
            <w:r w:rsidRPr="00FA4BF1">
              <w:rPr>
                <w:sz w:val="16"/>
              </w:rPr>
              <w:t>17</w:t>
            </w:r>
          </w:p>
        </w:tc>
        <w:tc>
          <w:tcPr>
            <w:tcW w:w="567" w:type="dxa"/>
            <w:tcBorders>
              <w:top w:val="single" w:sz="6" w:space="0" w:color="1E4496" w:themeColor="text2"/>
              <w:bottom w:val="single" w:sz="6" w:space="0" w:color="1E4496" w:themeColor="text2"/>
              <w:right w:val="single" w:sz="6" w:space="0" w:color="1E4496" w:themeColor="text2"/>
            </w:tcBorders>
            <w:tcMar>
              <w:top w:w="96" w:type="dxa"/>
              <w:left w:w="113" w:type="dxa"/>
              <w:bottom w:w="96" w:type="dxa"/>
              <w:right w:w="113" w:type="dxa"/>
            </w:tcMar>
            <w:vAlign w:val="center"/>
          </w:tcPr>
          <w:p w14:paraId="6CB9F21B" w14:textId="77777777" w:rsidR="00FA4BF1" w:rsidRPr="00FA4BF1" w:rsidRDefault="00FA4BF1" w:rsidP="00EA076F">
            <w:pPr>
              <w:pStyle w:val="CDITable-RowCentre"/>
              <w:rPr>
                <w:sz w:val="16"/>
              </w:rPr>
            </w:pPr>
            <w:r w:rsidRPr="00FA4BF1">
              <w:rPr>
                <w:sz w:val="16"/>
              </w:rPr>
              <w:t>47.2</w:t>
            </w:r>
          </w:p>
        </w:tc>
        <w:tc>
          <w:tcPr>
            <w:tcW w:w="590" w:type="dxa"/>
            <w:tcBorders>
              <w:top w:val="single" w:sz="6" w:space="0" w:color="1E4496" w:themeColor="text2"/>
              <w:left w:val="single" w:sz="6" w:space="0" w:color="1E4496" w:themeColor="text2"/>
              <w:bottom w:val="single" w:sz="6" w:space="0" w:color="1E4496" w:themeColor="text2"/>
            </w:tcBorders>
            <w:tcMar>
              <w:top w:w="96" w:type="dxa"/>
              <w:left w:w="113" w:type="dxa"/>
              <w:bottom w:w="96" w:type="dxa"/>
              <w:right w:w="113" w:type="dxa"/>
            </w:tcMar>
            <w:vAlign w:val="center"/>
          </w:tcPr>
          <w:p w14:paraId="3489E7B3" w14:textId="77777777" w:rsidR="00FA4BF1" w:rsidRPr="00FA4BF1" w:rsidRDefault="00FA4BF1" w:rsidP="00EA076F">
            <w:pPr>
              <w:pStyle w:val="CDITable-RowCentre"/>
              <w:rPr>
                <w:sz w:val="16"/>
              </w:rPr>
            </w:pPr>
            <w:r w:rsidRPr="00FA4BF1">
              <w:rPr>
                <w:sz w:val="16"/>
              </w:rPr>
              <w:t>1</w:t>
            </w:r>
          </w:p>
        </w:tc>
        <w:tc>
          <w:tcPr>
            <w:tcW w:w="566"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298A9B77" w14:textId="77777777" w:rsidR="00FA4BF1" w:rsidRPr="00FA4BF1" w:rsidRDefault="00FA4BF1" w:rsidP="00EA076F">
            <w:pPr>
              <w:pStyle w:val="CDITable-RowCentre"/>
              <w:rPr>
                <w:sz w:val="16"/>
              </w:rPr>
            </w:pPr>
            <w:r w:rsidRPr="00FA4BF1">
              <w:rPr>
                <w:sz w:val="16"/>
              </w:rPr>
              <w:t>—</w:t>
            </w:r>
          </w:p>
        </w:tc>
        <w:tc>
          <w:tcPr>
            <w:tcW w:w="59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457AEB1D" w14:textId="77777777" w:rsidR="00FA4BF1" w:rsidRPr="00FA4BF1" w:rsidRDefault="00FA4BF1" w:rsidP="00EA076F">
            <w:pPr>
              <w:pStyle w:val="CDITable-RowCentre"/>
              <w:rPr>
                <w:sz w:val="16"/>
              </w:rPr>
            </w:pPr>
            <w:r w:rsidRPr="00FA4BF1">
              <w:rPr>
                <w:sz w:val="16"/>
              </w:rPr>
              <w:t>3</w:t>
            </w:r>
          </w:p>
        </w:tc>
        <w:tc>
          <w:tcPr>
            <w:tcW w:w="567"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179A8AEF" w14:textId="77777777" w:rsidR="00FA4BF1" w:rsidRPr="00FA4BF1" w:rsidRDefault="00FA4BF1" w:rsidP="00EA076F">
            <w:pPr>
              <w:pStyle w:val="CDITable-RowCentre"/>
              <w:rPr>
                <w:sz w:val="16"/>
              </w:rPr>
            </w:pPr>
            <w:r w:rsidRPr="00FA4BF1">
              <w:rPr>
                <w:sz w:val="16"/>
              </w:rPr>
              <w:t>—</w:t>
            </w:r>
          </w:p>
        </w:tc>
      </w:tr>
      <w:tr w:rsidR="00B73263" w:rsidRPr="00FA4BF1" w14:paraId="7F1D58AB" w14:textId="77777777" w:rsidTr="00B6546F">
        <w:trPr>
          <w:trHeight w:val="60"/>
        </w:trPr>
        <w:tc>
          <w:tcPr>
            <w:tcW w:w="1361" w:type="dxa"/>
            <w:vMerge/>
            <w:tcBorders>
              <w:bottom w:val="single" w:sz="6" w:space="0" w:color="1E4496" w:themeColor="text2"/>
            </w:tcBorders>
            <w:shd w:val="clear" w:color="auto" w:fill="DCF4FC" w:themeFill="background2" w:themeFillTint="33"/>
            <w:tcMar>
              <w:top w:w="96" w:type="dxa"/>
              <w:bottom w:w="96" w:type="dxa"/>
            </w:tcMar>
          </w:tcPr>
          <w:p w14:paraId="467CFEA7" w14:textId="77777777" w:rsidR="00FA4BF1" w:rsidRPr="00FA4BF1" w:rsidRDefault="00FA4BF1" w:rsidP="00EA076F"/>
        </w:tc>
        <w:tc>
          <w:tcPr>
            <w:tcW w:w="1417"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4442210A" w14:textId="77777777" w:rsidR="00FA4BF1" w:rsidRPr="00FA4BF1" w:rsidRDefault="00FA4BF1" w:rsidP="00EA076F">
            <w:pPr>
              <w:pStyle w:val="CDITable-RowLeft"/>
              <w:rPr>
                <w:sz w:val="16"/>
              </w:rPr>
            </w:pPr>
            <w:r w:rsidRPr="00FA4BF1">
              <w:rPr>
                <w:sz w:val="16"/>
              </w:rPr>
              <w:t>Qld</w:t>
            </w:r>
          </w:p>
        </w:tc>
        <w:tc>
          <w:tcPr>
            <w:tcW w:w="59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37FA4457" w14:textId="77777777" w:rsidR="00FA4BF1" w:rsidRPr="00FA4BF1" w:rsidRDefault="00FA4BF1" w:rsidP="00EA076F">
            <w:pPr>
              <w:pStyle w:val="CDITable-RowCentre"/>
              <w:rPr>
                <w:sz w:val="16"/>
              </w:rPr>
            </w:pPr>
            <w:r w:rsidRPr="00FA4BF1">
              <w:rPr>
                <w:sz w:val="16"/>
              </w:rPr>
              <w:t>6</w:t>
            </w:r>
          </w:p>
        </w:tc>
        <w:tc>
          <w:tcPr>
            <w:tcW w:w="566"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171C90EE" w14:textId="77777777" w:rsidR="00FA4BF1" w:rsidRPr="00FA4BF1" w:rsidRDefault="00FA4BF1" w:rsidP="00EA076F">
            <w:pPr>
              <w:pStyle w:val="CDITable-RowCentre"/>
              <w:rPr>
                <w:sz w:val="16"/>
              </w:rPr>
            </w:pPr>
            <w:r w:rsidRPr="00FA4BF1">
              <w:rPr>
                <w:sz w:val="16"/>
              </w:rPr>
              <w:t>6.1</w:t>
            </w:r>
          </w:p>
        </w:tc>
        <w:tc>
          <w:tcPr>
            <w:tcW w:w="59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3DF0AD56" w14:textId="77777777" w:rsidR="00FA4BF1" w:rsidRPr="00FA4BF1" w:rsidRDefault="00FA4BF1" w:rsidP="00EA076F">
            <w:pPr>
              <w:pStyle w:val="CDITable-RowCentre"/>
              <w:rPr>
                <w:sz w:val="16"/>
              </w:rPr>
            </w:pPr>
            <w:r w:rsidRPr="00FA4BF1">
              <w:rPr>
                <w:sz w:val="16"/>
              </w:rPr>
              <w:t>92</w:t>
            </w:r>
          </w:p>
        </w:tc>
        <w:tc>
          <w:tcPr>
            <w:tcW w:w="567" w:type="dxa"/>
            <w:tcBorders>
              <w:top w:val="single" w:sz="6" w:space="0" w:color="1E4496" w:themeColor="text2"/>
              <w:bottom w:val="single" w:sz="6" w:space="0" w:color="1E4496" w:themeColor="text2"/>
              <w:right w:val="single" w:sz="6" w:space="0" w:color="1E4496" w:themeColor="text2"/>
            </w:tcBorders>
            <w:tcMar>
              <w:top w:w="96" w:type="dxa"/>
              <w:left w:w="113" w:type="dxa"/>
              <w:bottom w:w="96" w:type="dxa"/>
              <w:right w:w="113" w:type="dxa"/>
            </w:tcMar>
            <w:vAlign w:val="center"/>
          </w:tcPr>
          <w:p w14:paraId="5536A2E5" w14:textId="77777777" w:rsidR="00FA4BF1" w:rsidRPr="00FA4BF1" w:rsidRDefault="00FA4BF1" w:rsidP="00EA076F">
            <w:pPr>
              <w:pStyle w:val="CDITable-RowCentre"/>
              <w:rPr>
                <w:sz w:val="16"/>
              </w:rPr>
            </w:pPr>
            <w:r w:rsidRPr="00FA4BF1">
              <w:rPr>
                <w:sz w:val="16"/>
              </w:rPr>
              <w:t>93.9</w:t>
            </w:r>
          </w:p>
        </w:tc>
        <w:tc>
          <w:tcPr>
            <w:tcW w:w="590" w:type="dxa"/>
            <w:tcBorders>
              <w:top w:val="single" w:sz="6" w:space="0" w:color="1E4496" w:themeColor="text2"/>
              <w:left w:val="single" w:sz="6" w:space="0" w:color="1E4496" w:themeColor="text2"/>
              <w:bottom w:val="single" w:sz="6" w:space="0" w:color="1E4496" w:themeColor="text2"/>
            </w:tcBorders>
            <w:tcMar>
              <w:top w:w="96" w:type="dxa"/>
              <w:left w:w="113" w:type="dxa"/>
              <w:bottom w:w="96" w:type="dxa"/>
              <w:right w:w="113" w:type="dxa"/>
            </w:tcMar>
            <w:vAlign w:val="center"/>
          </w:tcPr>
          <w:p w14:paraId="2C13FF30" w14:textId="77777777" w:rsidR="00FA4BF1" w:rsidRPr="00FA4BF1" w:rsidRDefault="00FA4BF1" w:rsidP="00EA076F">
            <w:pPr>
              <w:pStyle w:val="CDITable-RowCentre"/>
              <w:rPr>
                <w:sz w:val="16"/>
              </w:rPr>
            </w:pPr>
            <w:r w:rsidRPr="00FA4BF1">
              <w:rPr>
                <w:sz w:val="16"/>
              </w:rPr>
              <w:t>4</w:t>
            </w:r>
          </w:p>
        </w:tc>
        <w:tc>
          <w:tcPr>
            <w:tcW w:w="567"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16319FAB" w14:textId="77777777" w:rsidR="00FA4BF1" w:rsidRPr="00FA4BF1" w:rsidRDefault="00FA4BF1" w:rsidP="00EA076F">
            <w:pPr>
              <w:pStyle w:val="CDITable-RowCentre"/>
              <w:rPr>
                <w:sz w:val="16"/>
              </w:rPr>
            </w:pPr>
            <w:r w:rsidRPr="00FA4BF1">
              <w:rPr>
                <w:sz w:val="16"/>
              </w:rPr>
              <w:t>4.1</w:t>
            </w:r>
          </w:p>
        </w:tc>
        <w:tc>
          <w:tcPr>
            <w:tcW w:w="589"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08C724B0" w14:textId="77777777" w:rsidR="00FA4BF1" w:rsidRPr="00FA4BF1" w:rsidRDefault="00FA4BF1" w:rsidP="00EA076F">
            <w:pPr>
              <w:pStyle w:val="CDITable-RowCentre"/>
              <w:rPr>
                <w:sz w:val="16"/>
              </w:rPr>
            </w:pPr>
            <w:r w:rsidRPr="00FA4BF1">
              <w:rPr>
                <w:sz w:val="16"/>
              </w:rPr>
              <w:t>94</w:t>
            </w:r>
          </w:p>
        </w:tc>
        <w:tc>
          <w:tcPr>
            <w:tcW w:w="567" w:type="dxa"/>
            <w:tcBorders>
              <w:top w:val="single" w:sz="6" w:space="0" w:color="1E4496" w:themeColor="text2"/>
              <w:bottom w:val="single" w:sz="6" w:space="0" w:color="1E4496" w:themeColor="text2"/>
              <w:right w:val="single" w:sz="6" w:space="0" w:color="1E4496" w:themeColor="text2"/>
            </w:tcBorders>
            <w:tcMar>
              <w:top w:w="96" w:type="dxa"/>
              <w:left w:w="113" w:type="dxa"/>
              <w:bottom w:w="96" w:type="dxa"/>
              <w:right w:w="113" w:type="dxa"/>
            </w:tcMar>
            <w:vAlign w:val="center"/>
          </w:tcPr>
          <w:p w14:paraId="5AD724F0" w14:textId="77777777" w:rsidR="00FA4BF1" w:rsidRPr="00FA4BF1" w:rsidRDefault="00FA4BF1" w:rsidP="00EA076F">
            <w:pPr>
              <w:pStyle w:val="CDITable-RowCentre"/>
              <w:rPr>
                <w:sz w:val="16"/>
              </w:rPr>
            </w:pPr>
            <w:r w:rsidRPr="00FA4BF1">
              <w:rPr>
                <w:sz w:val="16"/>
              </w:rPr>
              <w:t>95.9</w:t>
            </w:r>
          </w:p>
        </w:tc>
        <w:tc>
          <w:tcPr>
            <w:tcW w:w="595" w:type="dxa"/>
            <w:tcBorders>
              <w:top w:val="single" w:sz="6" w:space="0" w:color="1E4496" w:themeColor="text2"/>
              <w:left w:val="single" w:sz="6" w:space="0" w:color="1E4496" w:themeColor="text2"/>
              <w:bottom w:val="single" w:sz="6" w:space="0" w:color="1E4496" w:themeColor="text2"/>
            </w:tcBorders>
            <w:tcMar>
              <w:top w:w="96" w:type="dxa"/>
              <w:left w:w="113" w:type="dxa"/>
              <w:bottom w:w="96" w:type="dxa"/>
              <w:right w:w="113" w:type="dxa"/>
            </w:tcMar>
            <w:vAlign w:val="center"/>
          </w:tcPr>
          <w:p w14:paraId="0AB10373" w14:textId="77777777" w:rsidR="00FA4BF1" w:rsidRPr="00FA4BF1" w:rsidRDefault="00FA4BF1" w:rsidP="00EA076F">
            <w:pPr>
              <w:pStyle w:val="CDITable-RowCentre"/>
              <w:rPr>
                <w:sz w:val="16"/>
              </w:rPr>
            </w:pPr>
            <w:r w:rsidRPr="00FA4BF1">
              <w:rPr>
                <w:sz w:val="16"/>
              </w:rPr>
              <w:t>3</w:t>
            </w:r>
          </w:p>
        </w:tc>
        <w:tc>
          <w:tcPr>
            <w:tcW w:w="567"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43DE1AB5" w14:textId="77777777" w:rsidR="00FA4BF1" w:rsidRPr="00FA4BF1" w:rsidRDefault="00FA4BF1" w:rsidP="00EA076F">
            <w:pPr>
              <w:pStyle w:val="CDITable-RowCentre"/>
              <w:rPr>
                <w:sz w:val="16"/>
              </w:rPr>
            </w:pPr>
            <w:r w:rsidRPr="00FA4BF1">
              <w:rPr>
                <w:sz w:val="16"/>
              </w:rPr>
              <w:t>4.3</w:t>
            </w:r>
          </w:p>
        </w:tc>
        <w:tc>
          <w:tcPr>
            <w:tcW w:w="59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3AB379FB" w14:textId="77777777" w:rsidR="00FA4BF1" w:rsidRPr="00FA4BF1" w:rsidRDefault="00FA4BF1" w:rsidP="00EA076F">
            <w:pPr>
              <w:pStyle w:val="CDITable-RowCentre"/>
              <w:rPr>
                <w:sz w:val="16"/>
              </w:rPr>
            </w:pPr>
            <w:r w:rsidRPr="00FA4BF1">
              <w:rPr>
                <w:sz w:val="16"/>
              </w:rPr>
              <w:t>67</w:t>
            </w:r>
          </w:p>
        </w:tc>
        <w:tc>
          <w:tcPr>
            <w:tcW w:w="567" w:type="dxa"/>
            <w:tcBorders>
              <w:top w:val="single" w:sz="6" w:space="0" w:color="1E4496" w:themeColor="text2"/>
              <w:bottom w:val="single" w:sz="6" w:space="0" w:color="1E4496" w:themeColor="text2"/>
              <w:right w:val="single" w:sz="6" w:space="0" w:color="1E4496" w:themeColor="text2"/>
            </w:tcBorders>
            <w:tcMar>
              <w:top w:w="96" w:type="dxa"/>
              <w:left w:w="113" w:type="dxa"/>
              <w:bottom w:w="96" w:type="dxa"/>
              <w:right w:w="113" w:type="dxa"/>
            </w:tcMar>
            <w:vAlign w:val="center"/>
          </w:tcPr>
          <w:p w14:paraId="125B5F10" w14:textId="77777777" w:rsidR="00FA4BF1" w:rsidRPr="00FA4BF1" w:rsidRDefault="00FA4BF1" w:rsidP="00EA076F">
            <w:pPr>
              <w:pStyle w:val="CDITable-RowCentre"/>
              <w:rPr>
                <w:sz w:val="16"/>
              </w:rPr>
            </w:pPr>
            <w:r w:rsidRPr="00FA4BF1">
              <w:rPr>
                <w:sz w:val="16"/>
              </w:rPr>
              <w:t>95.7</w:t>
            </w:r>
          </w:p>
        </w:tc>
        <w:tc>
          <w:tcPr>
            <w:tcW w:w="589" w:type="dxa"/>
            <w:tcBorders>
              <w:top w:val="single" w:sz="6" w:space="0" w:color="1E4496" w:themeColor="text2"/>
              <w:left w:val="single" w:sz="6" w:space="0" w:color="1E4496" w:themeColor="text2"/>
              <w:bottom w:val="single" w:sz="6" w:space="0" w:color="1E4496" w:themeColor="text2"/>
            </w:tcBorders>
            <w:tcMar>
              <w:top w:w="96" w:type="dxa"/>
              <w:left w:w="113" w:type="dxa"/>
              <w:bottom w:w="96" w:type="dxa"/>
              <w:right w:w="113" w:type="dxa"/>
            </w:tcMar>
            <w:vAlign w:val="center"/>
          </w:tcPr>
          <w:p w14:paraId="565AAA39" w14:textId="77777777" w:rsidR="00FA4BF1" w:rsidRPr="00FA4BF1" w:rsidRDefault="00FA4BF1" w:rsidP="00EA076F">
            <w:pPr>
              <w:pStyle w:val="CDITable-RowCentre"/>
              <w:rPr>
                <w:sz w:val="16"/>
              </w:rPr>
            </w:pPr>
            <w:r w:rsidRPr="00FA4BF1">
              <w:rPr>
                <w:sz w:val="16"/>
              </w:rPr>
              <w:t>4</w:t>
            </w:r>
          </w:p>
        </w:tc>
        <w:tc>
          <w:tcPr>
            <w:tcW w:w="567"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6F413C7F" w14:textId="77777777" w:rsidR="00FA4BF1" w:rsidRPr="00FA4BF1" w:rsidRDefault="00FA4BF1" w:rsidP="00EA076F">
            <w:pPr>
              <w:pStyle w:val="CDITable-RowCentre"/>
              <w:rPr>
                <w:sz w:val="16"/>
              </w:rPr>
            </w:pPr>
            <w:r w:rsidRPr="00FA4BF1">
              <w:rPr>
                <w:sz w:val="16"/>
              </w:rPr>
              <w:t>5.7</w:t>
            </w:r>
          </w:p>
        </w:tc>
        <w:tc>
          <w:tcPr>
            <w:tcW w:w="59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34BAD4A4" w14:textId="77777777" w:rsidR="00FA4BF1" w:rsidRPr="00FA4BF1" w:rsidRDefault="00FA4BF1" w:rsidP="00EA076F">
            <w:pPr>
              <w:pStyle w:val="CDITable-RowCentre"/>
              <w:rPr>
                <w:sz w:val="16"/>
              </w:rPr>
            </w:pPr>
            <w:r w:rsidRPr="00FA4BF1">
              <w:rPr>
                <w:sz w:val="16"/>
              </w:rPr>
              <w:t>66</w:t>
            </w:r>
          </w:p>
        </w:tc>
        <w:tc>
          <w:tcPr>
            <w:tcW w:w="567" w:type="dxa"/>
            <w:tcBorders>
              <w:top w:val="single" w:sz="6" w:space="0" w:color="1E4496" w:themeColor="text2"/>
              <w:bottom w:val="single" w:sz="6" w:space="0" w:color="1E4496" w:themeColor="text2"/>
              <w:right w:val="single" w:sz="6" w:space="0" w:color="1E4496" w:themeColor="text2"/>
            </w:tcBorders>
            <w:tcMar>
              <w:top w:w="96" w:type="dxa"/>
              <w:left w:w="113" w:type="dxa"/>
              <w:bottom w:w="96" w:type="dxa"/>
              <w:right w:w="113" w:type="dxa"/>
            </w:tcMar>
            <w:vAlign w:val="center"/>
          </w:tcPr>
          <w:p w14:paraId="7E7C5ED5" w14:textId="77777777" w:rsidR="00FA4BF1" w:rsidRPr="00FA4BF1" w:rsidRDefault="00FA4BF1" w:rsidP="00EA076F">
            <w:pPr>
              <w:pStyle w:val="CDITable-RowCentre"/>
              <w:rPr>
                <w:sz w:val="16"/>
              </w:rPr>
            </w:pPr>
            <w:r w:rsidRPr="00FA4BF1">
              <w:rPr>
                <w:sz w:val="16"/>
              </w:rPr>
              <w:t>94.3</w:t>
            </w:r>
          </w:p>
        </w:tc>
        <w:tc>
          <w:tcPr>
            <w:tcW w:w="590" w:type="dxa"/>
            <w:tcBorders>
              <w:top w:val="single" w:sz="6" w:space="0" w:color="1E4496" w:themeColor="text2"/>
              <w:left w:val="single" w:sz="6" w:space="0" w:color="1E4496" w:themeColor="text2"/>
              <w:bottom w:val="single" w:sz="6" w:space="0" w:color="1E4496" w:themeColor="text2"/>
            </w:tcBorders>
            <w:tcMar>
              <w:top w:w="96" w:type="dxa"/>
              <w:left w:w="113" w:type="dxa"/>
              <w:bottom w:w="96" w:type="dxa"/>
              <w:right w:w="113" w:type="dxa"/>
            </w:tcMar>
            <w:vAlign w:val="center"/>
          </w:tcPr>
          <w:p w14:paraId="044F079F" w14:textId="77777777" w:rsidR="00FA4BF1" w:rsidRPr="00FA4BF1" w:rsidRDefault="00FA4BF1" w:rsidP="00EA076F">
            <w:pPr>
              <w:pStyle w:val="CDITable-RowCentre"/>
              <w:rPr>
                <w:sz w:val="16"/>
              </w:rPr>
            </w:pPr>
            <w:r w:rsidRPr="00FA4BF1">
              <w:rPr>
                <w:sz w:val="16"/>
              </w:rPr>
              <w:t>1</w:t>
            </w:r>
          </w:p>
        </w:tc>
        <w:tc>
          <w:tcPr>
            <w:tcW w:w="566"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66E40426" w14:textId="77777777" w:rsidR="00FA4BF1" w:rsidRPr="00FA4BF1" w:rsidRDefault="00FA4BF1" w:rsidP="00EA076F">
            <w:pPr>
              <w:pStyle w:val="CDITable-RowCentre"/>
              <w:rPr>
                <w:sz w:val="16"/>
              </w:rPr>
            </w:pPr>
            <w:r w:rsidRPr="00FA4BF1">
              <w:rPr>
                <w:sz w:val="16"/>
              </w:rPr>
              <w:t>10</w:t>
            </w:r>
          </w:p>
        </w:tc>
        <w:tc>
          <w:tcPr>
            <w:tcW w:w="59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54801825" w14:textId="77777777" w:rsidR="00FA4BF1" w:rsidRPr="00FA4BF1" w:rsidRDefault="00FA4BF1" w:rsidP="00EA076F">
            <w:pPr>
              <w:pStyle w:val="CDITable-RowCentre"/>
              <w:rPr>
                <w:sz w:val="16"/>
              </w:rPr>
            </w:pPr>
            <w:r w:rsidRPr="00FA4BF1">
              <w:rPr>
                <w:sz w:val="16"/>
              </w:rPr>
              <w:t>18</w:t>
            </w:r>
          </w:p>
        </w:tc>
        <w:tc>
          <w:tcPr>
            <w:tcW w:w="567"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512B2453" w14:textId="77777777" w:rsidR="00FA4BF1" w:rsidRPr="00FA4BF1" w:rsidRDefault="00FA4BF1" w:rsidP="00EA076F">
            <w:pPr>
              <w:pStyle w:val="CDITable-RowCentre"/>
              <w:rPr>
                <w:sz w:val="16"/>
              </w:rPr>
            </w:pPr>
            <w:r w:rsidRPr="00FA4BF1">
              <w:rPr>
                <w:sz w:val="16"/>
              </w:rPr>
              <w:t>90</w:t>
            </w:r>
          </w:p>
        </w:tc>
      </w:tr>
      <w:tr w:rsidR="00B73263" w:rsidRPr="00FA4BF1" w14:paraId="2D6E3B1D" w14:textId="77777777" w:rsidTr="00B6546F">
        <w:trPr>
          <w:trHeight w:val="60"/>
        </w:trPr>
        <w:tc>
          <w:tcPr>
            <w:tcW w:w="1361" w:type="dxa"/>
            <w:vMerge/>
            <w:tcBorders>
              <w:bottom w:val="single" w:sz="6" w:space="0" w:color="1E4496" w:themeColor="text2"/>
            </w:tcBorders>
            <w:shd w:val="clear" w:color="auto" w:fill="DCF4FC" w:themeFill="background2" w:themeFillTint="33"/>
            <w:tcMar>
              <w:top w:w="96" w:type="dxa"/>
              <w:bottom w:w="96" w:type="dxa"/>
            </w:tcMar>
          </w:tcPr>
          <w:p w14:paraId="23DF9421" w14:textId="77777777" w:rsidR="00FA4BF1" w:rsidRPr="00FA4BF1" w:rsidRDefault="00FA4BF1" w:rsidP="00EA076F"/>
        </w:tc>
        <w:tc>
          <w:tcPr>
            <w:tcW w:w="1417"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53428124" w14:textId="77777777" w:rsidR="00FA4BF1" w:rsidRPr="00FA4BF1" w:rsidRDefault="00FA4BF1" w:rsidP="00EA076F">
            <w:pPr>
              <w:pStyle w:val="CDITable-RowLeft"/>
              <w:rPr>
                <w:sz w:val="16"/>
              </w:rPr>
            </w:pPr>
            <w:r w:rsidRPr="00FA4BF1">
              <w:rPr>
                <w:sz w:val="16"/>
              </w:rPr>
              <w:t>SA</w:t>
            </w:r>
          </w:p>
        </w:tc>
        <w:tc>
          <w:tcPr>
            <w:tcW w:w="59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39612309" w14:textId="77777777" w:rsidR="00FA4BF1" w:rsidRPr="00FA4BF1" w:rsidRDefault="00FA4BF1" w:rsidP="00EA076F">
            <w:pPr>
              <w:pStyle w:val="CDITable-RowCentre"/>
              <w:rPr>
                <w:sz w:val="16"/>
              </w:rPr>
            </w:pPr>
            <w:r w:rsidRPr="00FA4BF1">
              <w:rPr>
                <w:sz w:val="16"/>
              </w:rPr>
              <w:t>14</w:t>
            </w:r>
          </w:p>
        </w:tc>
        <w:tc>
          <w:tcPr>
            <w:tcW w:w="566"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5E89EBC1" w14:textId="77777777" w:rsidR="00FA4BF1" w:rsidRPr="00FA4BF1" w:rsidRDefault="00FA4BF1" w:rsidP="00EA076F">
            <w:pPr>
              <w:pStyle w:val="CDITable-RowCentre"/>
              <w:rPr>
                <w:sz w:val="16"/>
              </w:rPr>
            </w:pPr>
            <w:r w:rsidRPr="00FA4BF1">
              <w:rPr>
                <w:sz w:val="16"/>
              </w:rPr>
              <w:t>23</w:t>
            </w:r>
          </w:p>
        </w:tc>
        <w:tc>
          <w:tcPr>
            <w:tcW w:w="59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6C2642FF" w14:textId="77777777" w:rsidR="00FA4BF1" w:rsidRPr="00FA4BF1" w:rsidRDefault="00FA4BF1" w:rsidP="00EA076F">
            <w:pPr>
              <w:pStyle w:val="CDITable-RowCentre"/>
              <w:rPr>
                <w:sz w:val="16"/>
              </w:rPr>
            </w:pPr>
            <w:r w:rsidRPr="00FA4BF1">
              <w:rPr>
                <w:sz w:val="16"/>
              </w:rPr>
              <w:t>47</w:t>
            </w:r>
          </w:p>
        </w:tc>
        <w:tc>
          <w:tcPr>
            <w:tcW w:w="567" w:type="dxa"/>
            <w:tcBorders>
              <w:top w:val="single" w:sz="6" w:space="0" w:color="1E4496" w:themeColor="text2"/>
              <w:bottom w:val="single" w:sz="6" w:space="0" w:color="1E4496" w:themeColor="text2"/>
              <w:right w:val="single" w:sz="6" w:space="0" w:color="1E4496" w:themeColor="text2"/>
            </w:tcBorders>
            <w:tcMar>
              <w:top w:w="96" w:type="dxa"/>
              <w:left w:w="113" w:type="dxa"/>
              <w:bottom w:w="96" w:type="dxa"/>
              <w:right w:w="113" w:type="dxa"/>
            </w:tcMar>
            <w:vAlign w:val="center"/>
          </w:tcPr>
          <w:p w14:paraId="12E52275" w14:textId="77777777" w:rsidR="00FA4BF1" w:rsidRPr="00FA4BF1" w:rsidRDefault="00FA4BF1" w:rsidP="00EA076F">
            <w:pPr>
              <w:pStyle w:val="CDITable-RowCentre"/>
              <w:rPr>
                <w:sz w:val="16"/>
              </w:rPr>
            </w:pPr>
            <w:r w:rsidRPr="00FA4BF1">
              <w:rPr>
                <w:sz w:val="16"/>
              </w:rPr>
              <w:t>77</w:t>
            </w:r>
          </w:p>
        </w:tc>
        <w:tc>
          <w:tcPr>
            <w:tcW w:w="590" w:type="dxa"/>
            <w:tcBorders>
              <w:top w:val="single" w:sz="6" w:space="0" w:color="1E4496" w:themeColor="text2"/>
              <w:left w:val="single" w:sz="6" w:space="0" w:color="1E4496" w:themeColor="text2"/>
              <w:bottom w:val="single" w:sz="6" w:space="0" w:color="1E4496" w:themeColor="text2"/>
            </w:tcBorders>
            <w:tcMar>
              <w:top w:w="96" w:type="dxa"/>
              <w:left w:w="113" w:type="dxa"/>
              <w:bottom w:w="96" w:type="dxa"/>
              <w:right w:w="113" w:type="dxa"/>
            </w:tcMar>
            <w:vAlign w:val="center"/>
          </w:tcPr>
          <w:p w14:paraId="7B6792AE" w14:textId="77777777" w:rsidR="00FA4BF1" w:rsidRPr="00FA4BF1" w:rsidRDefault="00FA4BF1" w:rsidP="00EA076F">
            <w:pPr>
              <w:pStyle w:val="CDITable-RowCentre"/>
              <w:rPr>
                <w:sz w:val="16"/>
              </w:rPr>
            </w:pPr>
            <w:r w:rsidRPr="00FA4BF1">
              <w:rPr>
                <w:sz w:val="16"/>
              </w:rPr>
              <w:t>10</w:t>
            </w:r>
          </w:p>
        </w:tc>
        <w:tc>
          <w:tcPr>
            <w:tcW w:w="567"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4F73158C" w14:textId="77777777" w:rsidR="00FA4BF1" w:rsidRPr="00FA4BF1" w:rsidRDefault="00FA4BF1" w:rsidP="00EA076F">
            <w:pPr>
              <w:pStyle w:val="CDITable-RowCentre"/>
              <w:rPr>
                <w:sz w:val="16"/>
              </w:rPr>
            </w:pPr>
            <w:r w:rsidRPr="00FA4BF1">
              <w:rPr>
                <w:sz w:val="16"/>
              </w:rPr>
              <w:t>16.4</w:t>
            </w:r>
          </w:p>
        </w:tc>
        <w:tc>
          <w:tcPr>
            <w:tcW w:w="589"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0D0E6AEA" w14:textId="77777777" w:rsidR="00FA4BF1" w:rsidRPr="00FA4BF1" w:rsidRDefault="00FA4BF1" w:rsidP="00EA076F">
            <w:pPr>
              <w:pStyle w:val="CDITable-RowCentre"/>
              <w:rPr>
                <w:sz w:val="16"/>
              </w:rPr>
            </w:pPr>
            <w:r w:rsidRPr="00FA4BF1">
              <w:rPr>
                <w:sz w:val="16"/>
              </w:rPr>
              <w:t>51</w:t>
            </w:r>
          </w:p>
        </w:tc>
        <w:tc>
          <w:tcPr>
            <w:tcW w:w="567" w:type="dxa"/>
            <w:tcBorders>
              <w:top w:val="single" w:sz="6" w:space="0" w:color="1E4496" w:themeColor="text2"/>
              <w:bottom w:val="single" w:sz="6" w:space="0" w:color="1E4496" w:themeColor="text2"/>
              <w:right w:val="single" w:sz="6" w:space="0" w:color="1E4496" w:themeColor="text2"/>
            </w:tcBorders>
            <w:tcMar>
              <w:top w:w="96" w:type="dxa"/>
              <w:left w:w="113" w:type="dxa"/>
              <w:bottom w:w="96" w:type="dxa"/>
              <w:right w:w="113" w:type="dxa"/>
            </w:tcMar>
            <w:vAlign w:val="center"/>
          </w:tcPr>
          <w:p w14:paraId="7D283852" w14:textId="77777777" w:rsidR="00FA4BF1" w:rsidRPr="00FA4BF1" w:rsidRDefault="00FA4BF1" w:rsidP="00EA076F">
            <w:pPr>
              <w:pStyle w:val="CDITable-RowCentre"/>
              <w:rPr>
                <w:sz w:val="16"/>
              </w:rPr>
            </w:pPr>
            <w:r w:rsidRPr="00FA4BF1">
              <w:rPr>
                <w:sz w:val="16"/>
              </w:rPr>
              <w:t>83.6</w:t>
            </w:r>
          </w:p>
        </w:tc>
        <w:tc>
          <w:tcPr>
            <w:tcW w:w="595" w:type="dxa"/>
            <w:tcBorders>
              <w:top w:val="single" w:sz="6" w:space="0" w:color="1E4496" w:themeColor="text2"/>
              <w:left w:val="single" w:sz="6" w:space="0" w:color="1E4496" w:themeColor="text2"/>
              <w:bottom w:val="single" w:sz="6" w:space="0" w:color="1E4496" w:themeColor="text2"/>
            </w:tcBorders>
            <w:tcMar>
              <w:top w:w="96" w:type="dxa"/>
              <w:left w:w="113" w:type="dxa"/>
              <w:bottom w:w="96" w:type="dxa"/>
              <w:right w:w="113" w:type="dxa"/>
            </w:tcMar>
            <w:vAlign w:val="center"/>
          </w:tcPr>
          <w:p w14:paraId="0B058D2A" w14:textId="77777777" w:rsidR="00FA4BF1" w:rsidRPr="00FA4BF1" w:rsidRDefault="00FA4BF1" w:rsidP="00EA076F">
            <w:pPr>
              <w:pStyle w:val="CDITable-RowCentre"/>
              <w:rPr>
                <w:sz w:val="16"/>
              </w:rPr>
            </w:pPr>
            <w:r w:rsidRPr="00FA4BF1">
              <w:rPr>
                <w:sz w:val="16"/>
              </w:rPr>
              <w:t>1</w:t>
            </w:r>
          </w:p>
        </w:tc>
        <w:tc>
          <w:tcPr>
            <w:tcW w:w="567"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6F0542F8" w14:textId="77777777" w:rsidR="00FA4BF1" w:rsidRPr="00FA4BF1" w:rsidRDefault="00FA4BF1" w:rsidP="00EA076F">
            <w:pPr>
              <w:pStyle w:val="CDITable-RowCentre"/>
              <w:rPr>
                <w:sz w:val="16"/>
              </w:rPr>
            </w:pPr>
            <w:r w:rsidRPr="00FA4BF1">
              <w:rPr>
                <w:sz w:val="16"/>
              </w:rPr>
              <w:t>2.6</w:t>
            </w:r>
          </w:p>
        </w:tc>
        <w:tc>
          <w:tcPr>
            <w:tcW w:w="59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37E72592" w14:textId="77777777" w:rsidR="00FA4BF1" w:rsidRPr="00FA4BF1" w:rsidRDefault="00FA4BF1" w:rsidP="00EA076F">
            <w:pPr>
              <w:pStyle w:val="CDITable-RowCentre"/>
              <w:rPr>
                <w:sz w:val="16"/>
              </w:rPr>
            </w:pPr>
            <w:r w:rsidRPr="00FA4BF1">
              <w:rPr>
                <w:sz w:val="16"/>
              </w:rPr>
              <w:t>38</w:t>
            </w:r>
          </w:p>
        </w:tc>
        <w:tc>
          <w:tcPr>
            <w:tcW w:w="567" w:type="dxa"/>
            <w:tcBorders>
              <w:top w:val="single" w:sz="6" w:space="0" w:color="1E4496" w:themeColor="text2"/>
              <w:bottom w:val="single" w:sz="6" w:space="0" w:color="1E4496" w:themeColor="text2"/>
              <w:right w:val="single" w:sz="6" w:space="0" w:color="1E4496" w:themeColor="text2"/>
            </w:tcBorders>
            <w:tcMar>
              <w:top w:w="96" w:type="dxa"/>
              <w:left w:w="113" w:type="dxa"/>
              <w:bottom w:w="96" w:type="dxa"/>
              <w:right w:w="113" w:type="dxa"/>
            </w:tcMar>
            <w:vAlign w:val="center"/>
          </w:tcPr>
          <w:p w14:paraId="39992715" w14:textId="77777777" w:rsidR="00FA4BF1" w:rsidRPr="00FA4BF1" w:rsidRDefault="00FA4BF1" w:rsidP="00EA076F">
            <w:pPr>
              <w:pStyle w:val="CDITable-RowCentre"/>
              <w:rPr>
                <w:sz w:val="16"/>
              </w:rPr>
            </w:pPr>
            <w:r w:rsidRPr="00FA4BF1">
              <w:rPr>
                <w:sz w:val="16"/>
              </w:rPr>
              <w:t>97.4</w:t>
            </w:r>
          </w:p>
        </w:tc>
        <w:tc>
          <w:tcPr>
            <w:tcW w:w="589" w:type="dxa"/>
            <w:tcBorders>
              <w:top w:val="single" w:sz="6" w:space="0" w:color="1E4496" w:themeColor="text2"/>
              <w:left w:val="single" w:sz="6" w:space="0" w:color="1E4496" w:themeColor="text2"/>
              <w:bottom w:val="single" w:sz="6" w:space="0" w:color="1E4496" w:themeColor="text2"/>
            </w:tcBorders>
            <w:tcMar>
              <w:top w:w="96" w:type="dxa"/>
              <w:left w:w="113" w:type="dxa"/>
              <w:bottom w:w="96" w:type="dxa"/>
              <w:right w:w="113" w:type="dxa"/>
            </w:tcMar>
            <w:vAlign w:val="center"/>
          </w:tcPr>
          <w:p w14:paraId="437D30B0" w14:textId="77777777" w:rsidR="00FA4BF1" w:rsidRPr="00FA4BF1" w:rsidRDefault="00FA4BF1" w:rsidP="00EA076F">
            <w:pPr>
              <w:pStyle w:val="CDITable-RowCentre"/>
              <w:rPr>
                <w:sz w:val="16"/>
              </w:rPr>
            </w:pPr>
            <w:r w:rsidRPr="00FA4BF1">
              <w:rPr>
                <w:sz w:val="16"/>
              </w:rPr>
              <w:t>4</w:t>
            </w:r>
          </w:p>
        </w:tc>
        <w:tc>
          <w:tcPr>
            <w:tcW w:w="567"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34C1A488" w14:textId="77777777" w:rsidR="00FA4BF1" w:rsidRPr="00FA4BF1" w:rsidRDefault="00FA4BF1" w:rsidP="00EA076F">
            <w:pPr>
              <w:pStyle w:val="CDITable-RowCentre"/>
              <w:rPr>
                <w:sz w:val="16"/>
              </w:rPr>
            </w:pPr>
            <w:r w:rsidRPr="00FA4BF1">
              <w:rPr>
                <w:sz w:val="16"/>
              </w:rPr>
              <w:t>10.3</w:t>
            </w:r>
          </w:p>
        </w:tc>
        <w:tc>
          <w:tcPr>
            <w:tcW w:w="59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03D1D206" w14:textId="77777777" w:rsidR="00FA4BF1" w:rsidRPr="00FA4BF1" w:rsidRDefault="00FA4BF1" w:rsidP="00EA076F">
            <w:pPr>
              <w:pStyle w:val="CDITable-RowCentre"/>
              <w:rPr>
                <w:sz w:val="16"/>
              </w:rPr>
            </w:pPr>
            <w:r w:rsidRPr="00FA4BF1">
              <w:rPr>
                <w:sz w:val="16"/>
              </w:rPr>
              <w:t>35</w:t>
            </w:r>
          </w:p>
        </w:tc>
        <w:tc>
          <w:tcPr>
            <w:tcW w:w="567" w:type="dxa"/>
            <w:tcBorders>
              <w:top w:val="single" w:sz="6" w:space="0" w:color="1E4496" w:themeColor="text2"/>
              <w:bottom w:val="single" w:sz="6" w:space="0" w:color="1E4496" w:themeColor="text2"/>
              <w:right w:val="single" w:sz="6" w:space="0" w:color="1E4496" w:themeColor="text2"/>
            </w:tcBorders>
            <w:tcMar>
              <w:top w:w="96" w:type="dxa"/>
              <w:left w:w="113" w:type="dxa"/>
              <w:bottom w:w="96" w:type="dxa"/>
              <w:right w:w="113" w:type="dxa"/>
            </w:tcMar>
            <w:vAlign w:val="center"/>
          </w:tcPr>
          <w:p w14:paraId="2372D0C7" w14:textId="77777777" w:rsidR="00FA4BF1" w:rsidRPr="00FA4BF1" w:rsidRDefault="00FA4BF1" w:rsidP="00EA076F">
            <w:pPr>
              <w:pStyle w:val="CDITable-RowCentre"/>
              <w:rPr>
                <w:sz w:val="16"/>
              </w:rPr>
            </w:pPr>
            <w:r w:rsidRPr="00FA4BF1">
              <w:rPr>
                <w:sz w:val="16"/>
              </w:rPr>
              <w:t>89.7</w:t>
            </w:r>
          </w:p>
        </w:tc>
        <w:tc>
          <w:tcPr>
            <w:tcW w:w="590" w:type="dxa"/>
            <w:tcBorders>
              <w:top w:val="single" w:sz="6" w:space="0" w:color="1E4496" w:themeColor="text2"/>
              <w:left w:val="single" w:sz="6" w:space="0" w:color="1E4496" w:themeColor="text2"/>
              <w:bottom w:val="single" w:sz="6" w:space="0" w:color="1E4496" w:themeColor="text2"/>
            </w:tcBorders>
            <w:tcMar>
              <w:top w:w="96" w:type="dxa"/>
              <w:left w:w="113" w:type="dxa"/>
              <w:bottom w:w="96" w:type="dxa"/>
              <w:right w:w="113" w:type="dxa"/>
            </w:tcMar>
            <w:vAlign w:val="center"/>
          </w:tcPr>
          <w:p w14:paraId="06C0164C" w14:textId="77777777" w:rsidR="00FA4BF1" w:rsidRPr="00FA4BF1" w:rsidRDefault="00FA4BF1" w:rsidP="00EA076F">
            <w:pPr>
              <w:pStyle w:val="CDITable-RowCentre"/>
              <w:rPr>
                <w:sz w:val="16"/>
              </w:rPr>
            </w:pPr>
            <w:r w:rsidRPr="00FA4BF1">
              <w:rPr>
                <w:sz w:val="16"/>
              </w:rPr>
              <w:t>0</w:t>
            </w:r>
          </w:p>
        </w:tc>
        <w:tc>
          <w:tcPr>
            <w:tcW w:w="566"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12241756" w14:textId="77777777" w:rsidR="00FA4BF1" w:rsidRPr="00FA4BF1" w:rsidRDefault="00FA4BF1" w:rsidP="00EA076F">
            <w:pPr>
              <w:pStyle w:val="CDITable-RowCentre"/>
              <w:rPr>
                <w:sz w:val="16"/>
              </w:rPr>
            </w:pPr>
            <w:r w:rsidRPr="00FA4BF1">
              <w:rPr>
                <w:sz w:val="16"/>
              </w:rPr>
              <w:t>—</w:t>
            </w:r>
          </w:p>
        </w:tc>
        <w:tc>
          <w:tcPr>
            <w:tcW w:w="59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0D9FFACA" w14:textId="77777777" w:rsidR="00FA4BF1" w:rsidRPr="00FA4BF1" w:rsidRDefault="00FA4BF1" w:rsidP="00EA076F">
            <w:pPr>
              <w:pStyle w:val="CDITable-RowCentre"/>
              <w:rPr>
                <w:sz w:val="16"/>
              </w:rPr>
            </w:pPr>
            <w:r w:rsidRPr="00FA4BF1">
              <w:rPr>
                <w:sz w:val="16"/>
              </w:rPr>
              <w:t>5</w:t>
            </w:r>
          </w:p>
        </w:tc>
        <w:tc>
          <w:tcPr>
            <w:tcW w:w="567"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4D64C1DE" w14:textId="77777777" w:rsidR="00FA4BF1" w:rsidRPr="00FA4BF1" w:rsidRDefault="00FA4BF1" w:rsidP="00EA076F">
            <w:pPr>
              <w:pStyle w:val="CDITable-RowCentre"/>
              <w:rPr>
                <w:sz w:val="16"/>
              </w:rPr>
            </w:pPr>
            <w:r w:rsidRPr="00FA4BF1">
              <w:rPr>
                <w:sz w:val="16"/>
              </w:rPr>
              <w:t>—</w:t>
            </w:r>
          </w:p>
        </w:tc>
      </w:tr>
      <w:tr w:rsidR="00B73263" w:rsidRPr="00FA4BF1" w14:paraId="01A19F15" w14:textId="77777777" w:rsidTr="00B6546F">
        <w:trPr>
          <w:trHeight w:val="60"/>
        </w:trPr>
        <w:tc>
          <w:tcPr>
            <w:tcW w:w="1361" w:type="dxa"/>
            <w:vMerge/>
            <w:tcBorders>
              <w:bottom w:val="single" w:sz="6" w:space="0" w:color="1E4496" w:themeColor="text2"/>
            </w:tcBorders>
            <w:shd w:val="clear" w:color="auto" w:fill="DCF4FC" w:themeFill="background2" w:themeFillTint="33"/>
            <w:tcMar>
              <w:top w:w="96" w:type="dxa"/>
              <w:bottom w:w="96" w:type="dxa"/>
            </w:tcMar>
          </w:tcPr>
          <w:p w14:paraId="78DE9CBA" w14:textId="77777777" w:rsidR="00FA4BF1" w:rsidRPr="00FA4BF1" w:rsidRDefault="00FA4BF1" w:rsidP="00EA076F"/>
        </w:tc>
        <w:tc>
          <w:tcPr>
            <w:tcW w:w="1417"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0F2F7991" w14:textId="77777777" w:rsidR="00FA4BF1" w:rsidRPr="00FA4BF1" w:rsidRDefault="00FA4BF1" w:rsidP="00EA076F">
            <w:pPr>
              <w:pStyle w:val="CDITable-RowLeft"/>
              <w:rPr>
                <w:sz w:val="16"/>
              </w:rPr>
            </w:pPr>
            <w:r w:rsidRPr="00FA4BF1">
              <w:rPr>
                <w:sz w:val="16"/>
              </w:rPr>
              <w:t>Tas.</w:t>
            </w:r>
          </w:p>
        </w:tc>
        <w:tc>
          <w:tcPr>
            <w:tcW w:w="59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2B577C08" w14:textId="77777777" w:rsidR="00FA4BF1" w:rsidRPr="00FA4BF1" w:rsidRDefault="00FA4BF1" w:rsidP="00EA076F">
            <w:pPr>
              <w:pStyle w:val="CDITable-RowCentre"/>
              <w:rPr>
                <w:sz w:val="16"/>
              </w:rPr>
            </w:pPr>
            <w:r w:rsidRPr="00FA4BF1">
              <w:rPr>
                <w:sz w:val="16"/>
              </w:rPr>
              <w:t>4</w:t>
            </w:r>
          </w:p>
        </w:tc>
        <w:tc>
          <w:tcPr>
            <w:tcW w:w="566"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563DF5E7" w14:textId="77777777" w:rsidR="00FA4BF1" w:rsidRPr="00FA4BF1" w:rsidRDefault="00FA4BF1" w:rsidP="00EA076F">
            <w:pPr>
              <w:pStyle w:val="CDITable-RowCentre"/>
              <w:rPr>
                <w:sz w:val="16"/>
              </w:rPr>
            </w:pPr>
            <w:r w:rsidRPr="00FA4BF1">
              <w:rPr>
                <w:sz w:val="16"/>
              </w:rPr>
              <w:t>13.3</w:t>
            </w:r>
          </w:p>
        </w:tc>
        <w:tc>
          <w:tcPr>
            <w:tcW w:w="59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220F8532" w14:textId="77777777" w:rsidR="00FA4BF1" w:rsidRPr="00FA4BF1" w:rsidRDefault="00FA4BF1" w:rsidP="00EA076F">
            <w:pPr>
              <w:pStyle w:val="CDITable-RowCentre"/>
              <w:rPr>
                <w:sz w:val="16"/>
              </w:rPr>
            </w:pPr>
            <w:r w:rsidRPr="00FA4BF1">
              <w:rPr>
                <w:sz w:val="16"/>
              </w:rPr>
              <w:t>26</w:t>
            </w:r>
          </w:p>
        </w:tc>
        <w:tc>
          <w:tcPr>
            <w:tcW w:w="567" w:type="dxa"/>
            <w:tcBorders>
              <w:top w:val="single" w:sz="6" w:space="0" w:color="1E4496" w:themeColor="text2"/>
              <w:bottom w:val="single" w:sz="6" w:space="0" w:color="1E4496" w:themeColor="text2"/>
              <w:right w:val="single" w:sz="6" w:space="0" w:color="1E4496" w:themeColor="text2"/>
            </w:tcBorders>
            <w:tcMar>
              <w:top w:w="96" w:type="dxa"/>
              <w:left w:w="113" w:type="dxa"/>
              <w:bottom w:w="96" w:type="dxa"/>
              <w:right w:w="113" w:type="dxa"/>
            </w:tcMar>
            <w:vAlign w:val="center"/>
          </w:tcPr>
          <w:p w14:paraId="4875A6AE" w14:textId="77777777" w:rsidR="00FA4BF1" w:rsidRPr="00FA4BF1" w:rsidRDefault="00FA4BF1" w:rsidP="00EA076F">
            <w:pPr>
              <w:pStyle w:val="CDITable-RowCentre"/>
              <w:rPr>
                <w:sz w:val="16"/>
              </w:rPr>
            </w:pPr>
            <w:r w:rsidRPr="00FA4BF1">
              <w:rPr>
                <w:sz w:val="16"/>
              </w:rPr>
              <w:t>86.7</w:t>
            </w:r>
          </w:p>
        </w:tc>
        <w:tc>
          <w:tcPr>
            <w:tcW w:w="590" w:type="dxa"/>
            <w:tcBorders>
              <w:top w:val="single" w:sz="6" w:space="0" w:color="1E4496" w:themeColor="text2"/>
              <w:left w:val="single" w:sz="6" w:space="0" w:color="1E4496" w:themeColor="text2"/>
              <w:bottom w:val="single" w:sz="6" w:space="0" w:color="1E4496" w:themeColor="text2"/>
            </w:tcBorders>
            <w:tcMar>
              <w:top w:w="96" w:type="dxa"/>
              <w:left w:w="113" w:type="dxa"/>
              <w:bottom w:w="96" w:type="dxa"/>
              <w:right w:w="113" w:type="dxa"/>
            </w:tcMar>
            <w:vAlign w:val="center"/>
          </w:tcPr>
          <w:p w14:paraId="6488410B" w14:textId="77777777" w:rsidR="00FA4BF1" w:rsidRPr="00FA4BF1" w:rsidRDefault="00FA4BF1" w:rsidP="00EA076F">
            <w:pPr>
              <w:pStyle w:val="CDITable-RowCentre"/>
              <w:rPr>
                <w:sz w:val="16"/>
              </w:rPr>
            </w:pPr>
            <w:r w:rsidRPr="00FA4BF1">
              <w:rPr>
                <w:sz w:val="16"/>
              </w:rPr>
              <w:t>2</w:t>
            </w:r>
          </w:p>
        </w:tc>
        <w:tc>
          <w:tcPr>
            <w:tcW w:w="567"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5A34290C" w14:textId="77777777" w:rsidR="00FA4BF1" w:rsidRPr="00FA4BF1" w:rsidRDefault="00FA4BF1" w:rsidP="00EA076F">
            <w:pPr>
              <w:pStyle w:val="CDITable-RowCentre"/>
              <w:rPr>
                <w:sz w:val="16"/>
              </w:rPr>
            </w:pPr>
            <w:r w:rsidRPr="00FA4BF1">
              <w:rPr>
                <w:sz w:val="16"/>
              </w:rPr>
              <w:t>6.7</w:t>
            </w:r>
          </w:p>
        </w:tc>
        <w:tc>
          <w:tcPr>
            <w:tcW w:w="589"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1E179A56" w14:textId="77777777" w:rsidR="00FA4BF1" w:rsidRPr="00FA4BF1" w:rsidRDefault="00FA4BF1" w:rsidP="00EA076F">
            <w:pPr>
              <w:pStyle w:val="CDITable-RowCentre"/>
              <w:rPr>
                <w:sz w:val="16"/>
              </w:rPr>
            </w:pPr>
            <w:r w:rsidRPr="00FA4BF1">
              <w:rPr>
                <w:sz w:val="16"/>
              </w:rPr>
              <w:t>28</w:t>
            </w:r>
          </w:p>
        </w:tc>
        <w:tc>
          <w:tcPr>
            <w:tcW w:w="567" w:type="dxa"/>
            <w:tcBorders>
              <w:top w:val="single" w:sz="6" w:space="0" w:color="1E4496" w:themeColor="text2"/>
              <w:bottom w:val="single" w:sz="6" w:space="0" w:color="1E4496" w:themeColor="text2"/>
              <w:right w:val="single" w:sz="6" w:space="0" w:color="1E4496" w:themeColor="text2"/>
            </w:tcBorders>
            <w:tcMar>
              <w:top w:w="96" w:type="dxa"/>
              <w:left w:w="113" w:type="dxa"/>
              <w:bottom w:w="96" w:type="dxa"/>
              <w:right w:w="113" w:type="dxa"/>
            </w:tcMar>
            <w:vAlign w:val="center"/>
          </w:tcPr>
          <w:p w14:paraId="0A889B14" w14:textId="77777777" w:rsidR="00FA4BF1" w:rsidRPr="00FA4BF1" w:rsidRDefault="00FA4BF1" w:rsidP="00EA076F">
            <w:pPr>
              <w:pStyle w:val="CDITable-RowCentre"/>
              <w:rPr>
                <w:sz w:val="16"/>
              </w:rPr>
            </w:pPr>
            <w:r w:rsidRPr="00FA4BF1">
              <w:rPr>
                <w:sz w:val="16"/>
              </w:rPr>
              <w:t>93.3</w:t>
            </w:r>
          </w:p>
        </w:tc>
        <w:tc>
          <w:tcPr>
            <w:tcW w:w="595" w:type="dxa"/>
            <w:tcBorders>
              <w:top w:val="single" w:sz="6" w:space="0" w:color="1E4496" w:themeColor="text2"/>
              <w:left w:val="single" w:sz="6" w:space="0" w:color="1E4496" w:themeColor="text2"/>
              <w:bottom w:val="single" w:sz="6" w:space="0" w:color="1E4496" w:themeColor="text2"/>
            </w:tcBorders>
            <w:tcMar>
              <w:top w:w="96" w:type="dxa"/>
              <w:left w:w="113" w:type="dxa"/>
              <w:bottom w:w="96" w:type="dxa"/>
              <w:right w:w="113" w:type="dxa"/>
            </w:tcMar>
            <w:vAlign w:val="center"/>
          </w:tcPr>
          <w:p w14:paraId="35B20CD5" w14:textId="77777777" w:rsidR="00FA4BF1" w:rsidRPr="00FA4BF1" w:rsidRDefault="00FA4BF1" w:rsidP="00EA076F">
            <w:pPr>
              <w:pStyle w:val="CDITable-RowCentre"/>
              <w:rPr>
                <w:sz w:val="16"/>
              </w:rPr>
            </w:pPr>
            <w:r w:rsidRPr="00FA4BF1">
              <w:rPr>
                <w:sz w:val="16"/>
              </w:rPr>
              <w:t>0</w:t>
            </w:r>
          </w:p>
        </w:tc>
        <w:tc>
          <w:tcPr>
            <w:tcW w:w="567"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0AA3148F" w14:textId="77777777" w:rsidR="00FA4BF1" w:rsidRPr="00FA4BF1" w:rsidRDefault="00FA4BF1" w:rsidP="00EA076F">
            <w:pPr>
              <w:pStyle w:val="CDITable-RowCentre"/>
              <w:rPr>
                <w:sz w:val="16"/>
              </w:rPr>
            </w:pPr>
            <w:r w:rsidRPr="00FA4BF1">
              <w:rPr>
                <w:sz w:val="16"/>
              </w:rPr>
              <w:t>—</w:t>
            </w:r>
          </w:p>
        </w:tc>
        <w:tc>
          <w:tcPr>
            <w:tcW w:w="59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2D5868E0" w14:textId="77777777" w:rsidR="00FA4BF1" w:rsidRPr="00FA4BF1" w:rsidRDefault="00FA4BF1" w:rsidP="00EA076F">
            <w:pPr>
              <w:pStyle w:val="CDITable-RowCentre"/>
              <w:rPr>
                <w:sz w:val="16"/>
              </w:rPr>
            </w:pPr>
            <w:r w:rsidRPr="00FA4BF1">
              <w:rPr>
                <w:sz w:val="16"/>
              </w:rPr>
              <w:t>16</w:t>
            </w:r>
          </w:p>
        </w:tc>
        <w:tc>
          <w:tcPr>
            <w:tcW w:w="567" w:type="dxa"/>
            <w:tcBorders>
              <w:top w:val="single" w:sz="6" w:space="0" w:color="1E4496" w:themeColor="text2"/>
              <w:bottom w:val="single" w:sz="6" w:space="0" w:color="1E4496" w:themeColor="text2"/>
              <w:right w:val="single" w:sz="6" w:space="0" w:color="1E4496" w:themeColor="text2"/>
            </w:tcBorders>
            <w:tcMar>
              <w:top w:w="96" w:type="dxa"/>
              <w:left w:w="113" w:type="dxa"/>
              <w:bottom w:w="96" w:type="dxa"/>
              <w:right w:w="113" w:type="dxa"/>
            </w:tcMar>
            <w:vAlign w:val="center"/>
          </w:tcPr>
          <w:p w14:paraId="33BC1252" w14:textId="77777777" w:rsidR="00FA4BF1" w:rsidRPr="00FA4BF1" w:rsidRDefault="00FA4BF1" w:rsidP="00EA076F">
            <w:pPr>
              <w:pStyle w:val="CDITable-RowCentre"/>
              <w:rPr>
                <w:sz w:val="16"/>
              </w:rPr>
            </w:pPr>
            <w:r w:rsidRPr="00FA4BF1">
              <w:rPr>
                <w:sz w:val="16"/>
              </w:rPr>
              <w:t>100</w:t>
            </w:r>
          </w:p>
        </w:tc>
        <w:tc>
          <w:tcPr>
            <w:tcW w:w="589" w:type="dxa"/>
            <w:tcBorders>
              <w:top w:val="single" w:sz="6" w:space="0" w:color="1E4496" w:themeColor="text2"/>
              <w:left w:val="single" w:sz="6" w:space="0" w:color="1E4496" w:themeColor="text2"/>
              <w:bottom w:val="single" w:sz="6" w:space="0" w:color="1E4496" w:themeColor="text2"/>
            </w:tcBorders>
            <w:tcMar>
              <w:top w:w="96" w:type="dxa"/>
              <w:left w:w="113" w:type="dxa"/>
              <w:bottom w:w="96" w:type="dxa"/>
              <w:right w:w="113" w:type="dxa"/>
            </w:tcMar>
            <w:vAlign w:val="center"/>
          </w:tcPr>
          <w:p w14:paraId="5117AF6D" w14:textId="77777777" w:rsidR="00FA4BF1" w:rsidRPr="00FA4BF1" w:rsidRDefault="00FA4BF1" w:rsidP="00EA076F">
            <w:pPr>
              <w:pStyle w:val="CDITable-RowCentre"/>
              <w:rPr>
                <w:sz w:val="16"/>
              </w:rPr>
            </w:pPr>
            <w:r w:rsidRPr="00FA4BF1">
              <w:rPr>
                <w:sz w:val="16"/>
              </w:rPr>
              <w:t>0</w:t>
            </w:r>
          </w:p>
        </w:tc>
        <w:tc>
          <w:tcPr>
            <w:tcW w:w="567"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14B1C80F" w14:textId="77777777" w:rsidR="00FA4BF1" w:rsidRPr="00FA4BF1" w:rsidRDefault="00FA4BF1" w:rsidP="00EA076F">
            <w:pPr>
              <w:pStyle w:val="CDITable-RowCentre"/>
              <w:rPr>
                <w:sz w:val="16"/>
              </w:rPr>
            </w:pPr>
            <w:r w:rsidRPr="00FA4BF1">
              <w:rPr>
                <w:sz w:val="16"/>
              </w:rPr>
              <w:t>—</w:t>
            </w:r>
          </w:p>
        </w:tc>
        <w:tc>
          <w:tcPr>
            <w:tcW w:w="59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0354AAAA" w14:textId="77777777" w:rsidR="00FA4BF1" w:rsidRPr="00FA4BF1" w:rsidRDefault="00FA4BF1" w:rsidP="00EA076F">
            <w:pPr>
              <w:pStyle w:val="CDITable-RowCentre"/>
              <w:rPr>
                <w:sz w:val="16"/>
              </w:rPr>
            </w:pPr>
            <w:r w:rsidRPr="00FA4BF1">
              <w:rPr>
                <w:sz w:val="16"/>
              </w:rPr>
              <w:t>16</w:t>
            </w:r>
          </w:p>
        </w:tc>
        <w:tc>
          <w:tcPr>
            <w:tcW w:w="567" w:type="dxa"/>
            <w:tcBorders>
              <w:top w:val="single" w:sz="6" w:space="0" w:color="1E4496" w:themeColor="text2"/>
              <w:bottom w:val="single" w:sz="6" w:space="0" w:color="1E4496" w:themeColor="text2"/>
              <w:right w:val="single" w:sz="6" w:space="0" w:color="1E4496" w:themeColor="text2"/>
            </w:tcBorders>
            <w:tcMar>
              <w:top w:w="96" w:type="dxa"/>
              <w:left w:w="113" w:type="dxa"/>
              <w:bottom w:w="96" w:type="dxa"/>
              <w:right w:w="113" w:type="dxa"/>
            </w:tcMar>
            <w:vAlign w:val="center"/>
          </w:tcPr>
          <w:p w14:paraId="6223EC9C" w14:textId="77777777" w:rsidR="00FA4BF1" w:rsidRPr="00FA4BF1" w:rsidRDefault="00FA4BF1" w:rsidP="00EA076F">
            <w:pPr>
              <w:pStyle w:val="CDITable-RowCentre"/>
              <w:rPr>
                <w:sz w:val="16"/>
              </w:rPr>
            </w:pPr>
            <w:r w:rsidRPr="00FA4BF1">
              <w:rPr>
                <w:sz w:val="16"/>
              </w:rPr>
              <w:t>100</w:t>
            </w:r>
          </w:p>
        </w:tc>
        <w:tc>
          <w:tcPr>
            <w:tcW w:w="590" w:type="dxa"/>
            <w:tcBorders>
              <w:top w:val="single" w:sz="6" w:space="0" w:color="1E4496" w:themeColor="text2"/>
              <w:left w:val="single" w:sz="6" w:space="0" w:color="1E4496" w:themeColor="text2"/>
              <w:bottom w:val="single" w:sz="6" w:space="0" w:color="1E4496" w:themeColor="text2"/>
            </w:tcBorders>
            <w:tcMar>
              <w:top w:w="96" w:type="dxa"/>
              <w:left w:w="113" w:type="dxa"/>
              <w:bottom w:w="96" w:type="dxa"/>
              <w:right w:w="113" w:type="dxa"/>
            </w:tcMar>
            <w:vAlign w:val="center"/>
          </w:tcPr>
          <w:p w14:paraId="17390700" w14:textId="77777777" w:rsidR="00FA4BF1" w:rsidRPr="00FA4BF1" w:rsidRDefault="00FA4BF1" w:rsidP="00EA076F">
            <w:pPr>
              <w:pStyle w:val="CDITable-RowCentre"/>
              <w:rPr>
                <w:sz w:val="16"/>
              </w:rPr>
            </w:pPr>
            <w:r w:rsidRPr="00FA4BF1">
              <w:rPr>
                <w:sz w:val="16"/>
              </w:rPr>
              <w:t>0</w:t>
            </w:r>
          </w:p>
        </w:tc>
        <w:tc>
          <w:tcPr>
            <w:tcW w:w="566"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01CE4BD1" w14:textId="77777777" w:rsidR="00FA4BF1" w:rsidRPr="00FA4BF1" w:rsidRDefault="00FA4BF1" w:rsidP="00EA076F">
            <w:pPr>
              <w:pStyle w:val="CDITable-RowCentre"/>
              <w:rPr>
                <w:sz w:val="16"/>
              </w:rPr>
            </w:pPr>
            <w:r w:rsidRPr="00FA4BF1">
              <w:rPr>
                <w:sz w:val="16"/>
              </w:rPr>
              <w:t>—</w:t>
            </w:r>
          </w:p>
        </w:tc>
        <w:tc>
          <w:tcPr>
            <w:tcW w:w="59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623F48F8" w14:textId="77777777" w:rsidR="00FA4BF1" w:rsidRPr="00FA4BF1" w:rsidRDefault="00FA4BF1" w:rsidP="00EA076F">
            <w:pPr>
              <w:pStyle w:val="CDITable-RowCentre"/>
              <w:rPr>
                <w:sz w:val="16"/>
              </w:rPr>
            </w:pPr>
            <w:r w:rsidRPr="00FA4BF1">
              <w:rPr>
                <w:sz w:val="16"/>
              </w:rPr>
              <w:t>46</w:t>
            </w:r>
          </w:p>
        </w:tc>
        <w:tc>
          <w:tcPr>
            <w:tcW w:w="567"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30DF4D34" w14:textId="77777777" w:rsidR="00FA4BF1" w:rsidRPr="00FA4BF1" w:rsidRDefault="00FA4BF1" w:rsidP="00EA076F">
            <w:pPr>
              <w:pStyle w:val="CDITable-RowCentre"/>
              <w:rPr>
                <w:sz w:val="16"/>
              </w:rPr>
            </w:pPr>
            <w:r w:rsidRPr="00FA4BF1">
              <w:rPr>
                <w:sz w:val="16"/>
              </w:rPr>
              <w:t>100</w:t>
            </w:r>
          </w:p>
        </w:tc>
      </w:tr>
      <w:tr w:rsidR="00B73263" w:rsidRPr="00FA4BF1" w14:paraId="495AAF53" w14:textId="77777777" w:rsidTr="00B6546F">
        <w:trPr>
          <w:trHeight w:val="60"/>
        </w:trPr>
        <w:tc>
          <w:tcPr>
            <w:tcW w:w="1361" w:type="dxa"/>
            <w:vMerge/>
            <w:tcBorders>
              <w:bottom w:val="single" w:sz="6" w:space="0" w:color="1E4496" w:themeColor="text2"/>
            </w:tcBorders>
            <w:shd w:val="clear" w:color="auto" w:fill="DCF4FC" w:themeFill="background2" w:themeFillTint="33"/>
            <w:tcMar>
              <w:top w:w="96" w:type="dxa"/>
              <w:bottom w:w="96" w:type="dxa"/>
            </w:tcMar>
          </w:tcPr>
          <w:p w14:paraId="30609E47" w14:textId="77777777" w:rsidR="00FA4BF1" w:rsidRPr="00FA4BF1" w:rsidRDefault="00FA4BF1" w:rsidP="00EA076F"/>
        </w:tc>
        <w:tc>
          <w:tcPr>
            <w:tcW w:w="1417"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05A4E5BC" w14:textId="77777777" w:rsidR="00FA4BF1" w:rsidRPr="00FA4BF1" w:rsidRDefault="00FA4BF1" w:rsidP="00EA076F">
            <w:pPr>
              <w:pStyle w:val="CDITable-RowLeft"/>
              <w:rPr>
                <w:sz w:val="16"/>
              </w:rPr>
            </w:pPr>
            <w:r w:rsidRPr="00FA4BF1">
              <w:rPr>
                <w:sz w:val="16"/>
              </w:rPr>
              <w:t>Vic.</w:t>
            </w:r>
          </w:p>
        </w:tc>
        <w:tc>
          <w:tcPr>
            <w:tcW w:w="59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220E1768" w14:textId="77777777" w:rsidR="00FA4BF1" w:rsidRPr="00FA4BF1" w:rsidRDefault="00FA4BF1" w:rsidP="00EA076F">
            <w:pPr>
              <w:pStyle w:val="CDITable-RowCentre"/>
              <w:rPr>
                <w:sz w:val="16"/>
              </w:rPr>
            </w:pPr>
            <w:r w:rsidRPr="00FA4BF1">
              <w:rPr>
                <w:sz w:val="16"/>
              </w:rPr>
              <w:t>53</w:t>
            </w:r>
          </w:p>
        </w:tc>
        <w:tc>
          <w:tcPr>
            <w:tcW w:w="566"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11A4B229" w14:textId="77777777" w:rsidR="00FA4BF1" w:rsidRPr="00FA4BF1" w:rsidRDefault="00FA4BF1" w:rsidP="00EA076F">
            <w:pPr>
              <w:pStyle w:val="CDITable-RowCentre"/>
              <w:rPr>
                <w:sz w:val="16"/>
              </w:rPr>
            </w:pPr>
            <w:r w:rsidRPr="00FA4BF1">
              <w:rPr>
                <w:sz w:val="16"/>
              </w:rPr>
              <w:t>21</w:t>
            </w:r>
          </w:p>
        </w:tc>
        <w:tc>
          <w:tcPr>
            <w:tcW w:w="59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765381A8" w14:textId="77777777" w:rsidR="00FA4BF1" w:rsidRPr="00FA4BF1" w:rsidRDefault="00FA4BF1" w:rsidP="00EA076F">
            <w:pPr>
              <w:pStyle w:val="CDITable-RowCentre"/>
              <w:rPr>
                <w:sz w:val="16"/>
              </w:rPr>
            </w:pPr>
            <w:r w:rsidRPr="00FA4BF1">
              <w:rPr>
                <w:sz w:val="16"/>
              </w:rPr>
              <w:t>199</w:t>
            </w:r>
          </w:p>
        </w:tc>
        <w:tc>
          <w:tcPr>
            <w:tcW w:w="567" w:type="dxa"/>
            <w:tcBorders>
              <w:top w:val="single" w:sz="6" w:space="0" w:color="1E4496" w:themeColor="text2"/>
              <w:bottom w:val="single" w:sz="6" w:space="0" w:color="1E4496" w:themeColor="text2"/>
              <w:right w:val="single" w:sz="6" w:space="0" w:color="1E4496" w:themeColor="text2"/>
            </w:tcBorders>
            <w:tcMar>
              <w:top w:w="96" w:type="dxa"/>
              <w:left w:w="113" w:type="dxa"/>
              <w:bottom w:w="96" w:type="dxa"/>
              <w:right w:w="113" w:type="dxa"/>
            </w:tcMar>
            <w:vAlign w:val="center"/>
          </w:tcPr>
          <w:p w14:paraId="7CA1F969" w14:textId="77777777" w:rsidR="00FA4BF1" w:rsidRPr="00FA4BF1" w:rsidRDefault="00FA4BF1" w:rsidP="00EA076F">
            <w:pPr>
              <w:pStyle w:val="CDITable-RowCentre"/>
              <w:rPr>
                <w:sz w:val="16"/>
              </w:rPr>
            </w:pPr>
            <w:r w:rsidRPr="00FA4BF1">
              <w:rPr>
                <w:sz w:val="16"/>
              </w:rPr>
              <w:t>79</w:t>
            </w:r>
          </w:p>
        </w:tc>
        <w:tc>
          <w:tcPr>
            <w:tcW w:w="590" w:type="dxa"/>
            <w:tcBorders>
              <w:top w:val="single" w:sz="6" w:space="0" w:color="1E4496" w:themeColor="text2"/>
              <w:left w:val="single" w:sz="6" w:space="0" w:color="1E4496" w:themeColor="text2"/>
              <w:bottom w:val="single" w:sz="6" w:space="0" w:color="1E4496" w:themeColor="text2"/>
            </w:tcBorders>
            <w:tcMar>
              <w:top w:w="96" w:type="dxa"/>
              <w:left w:w="113" w:type="dxa"/>
              <w:bottom w:w="96" w:type="dxa"/>
              <w:right w:w="113" w:type="dxa"/>
            </w:tcMar>
            <w:vAlign w:val="center"/>
          </w:tcPr>
          <w:p w14:paraId="6CEA1E9D" w14:textId="77777777" w:rsidR="00FA4BF1" w:rsidRPr="00FA4BF1" w:rsidRDefault="00FA4BF1" w:rsidP="00EA076F">
            <w:pPr>
              <w:pStyle w:val="CDITable-RowCentre"/>
              <w:rPr>
                <w:sz w:val="16"/>
              </w:rPr>
            </w:pPr>
            <w:r w:rsidRPr="00FA4BF1">
              <w:rPr>
                <w:sz w:val="16"/>
              </w:rPr>
              <w:t>33</w:t>
            </w:r>
          </w:p>
        </w:tc>
        <w:tc>
          <w:tcPr>
            <w:tcW w:w="567"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6CA55568" w14:textId="77777777" w:rsidR="00FA4BF1" w:rsidRPr="00FA4BF1" w:rsidRDefault="00FA4BF1" w:rsidP="00EA076F">
            <w:pPr>
              <w:pStyle w:val="CDITable-RowCentre"/>
              <w:rPr>
                <w:sz w:val="16"/>
              </w:rPr>
            </w:pPr>
            <w:r w:rsidRPr="00FA4BF1">
              <w:rPr>
                <w:sz w:val="16"/>
              </w:rPr>
              <w:t>13.1</w:t>
            </w:r>
          </w:p>
        </w:tc>
        <w:tc>
          <w:tcPr>
            <w:tcW w:w="589"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1DCA7809" w14:textId="77777777" w:rsidR="00FA4BF1" w:rsidRPr="00FA4BF1" w:rsidRDefault="00FA4BF1" w:rsidP="00EA076F">
            <w:pPr>
              <w:pStyle w:val="CDITable-RowCentre"/>
              <w:rPr>
                <w:sz w:val="16"/>
              </w:rPr>
            </w:pPr>
            <w:r w:rsidRPr="00FA4BF1">
              <w:rPr>
                <w:sz w:val="16"/>
              </w:rPr>
              <w:t>219</w:t>
            </w:r>
          </w:p>
        </w:tc>
        <w:tc>
          <w:tcPr>
            <w:tcW w:w="567" w:type="dxa"/>
            <w:tcBorders>
              <w:top w:val="single" w:sz="6" w:space="0" w:color="1E4496" w:themeColor="text2"/>
              <w:bottom w:val="single" w:sz="6" w:space="0" w:color="1E4496" w:themeColor="text2"/>
              <w:right w:val="single" w:sz="6" w:space="0" w:color="1E4496" w:themeColor="text2"/>
            </w:tcBorders>
            <w:tcMar>
              <w:top w:w="96" w:type="dxa"/>
              <w:left w:w="113" w:type="dxa"/>
              <w:bottom w:w="96" w:type="dxa"/>
              <w:right w:w="113" w:type="dxa"/>
            </w:tcMar>
            <w:vAlign w:val="center"/>
          </w:tcPr>
          <w:p w14:paraId="7B6BB17B" w14:textId="77777777" w:rsidR="00FA4BF1" w:rsidRPr="00FA4BF1" w:rsidRDefault="00FA4BF1" w:rsidP="00EA076F">
            <w:pPr>
              <w:pStyle w:val="CDITable-RowCentre"/>
              <w:rPr>
                <w:sz w:val="16"/>
              </w:rPr>
            </w:pPr>
            <w:r w:rsidRPr="00FA4BF1">
              <w:rPr>
                <w:sz w:val="16"/>
              </w:rPr>
              <w:t>86.9</w:t>
            </w:r>
          </w:p>
        </w:tc>
        <w:tc>
          <w:tcPr>
            <w:tcW w:w="595" w:type="dxa"/>
            <w:tcBorders>
              <w:top w:val="single" w:sz="6" w:space="0" w:color="1E4496" w:themeColor="text2"/>
              <w:left w:val="single" w:sz="6" w:space="0" w:color="1E4496" w:themeColor="text2"/>
              <w:bottom w:val="single" w:sz="6" w:space="0" w:color="1E4496" w:themeColor="text2"/>
            </w:tcBorders>
            <w:tcMar>
              <w:top w:w="96" w:type="dxa"/>
              <w:left w:w="113" w:type="dxa"/>
              <w:bottom w:w="96" w:type="dxa"/>
              <w:right w:w="113" w:type="dxa"/>
            </w:tcMar>
            <w:vAlign w:val="center"/>
          </w:tcPr>
          <w:p w14:paraId="6D84AF12" w14:textId="77777777" w:rsidR="00FA4BF1" w:rsidRPr="00FA4BF1" w:rsidRDefault="00FA4BF1" w:rsidP="00EA076F">
            <w:pPr>
              <w:pStyle w:val="CDITable-RowCentre"/>
              <w:rPr>
                <w:sz w:val="16"/>
              </w:rPr>
            </w:pPr>
            <w:r w:rsidRPr="00FA4BF1">
              <w:rPr>
                <w:sz w:val="16"/>
              </w:rPr>
              <w:t>13</w:t>
            </w:r>
          </w:p>
        </w:tc>
        <w:tc>
          <w:tcPr>
            <w:tcW w:w="567"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163D3B41" w14:textId="77777777" w:rsidR="00FA4BF1" w:rsidRPr="00FA4BF1" w:rsidRDefault="00FA4BF1" w:rsidP="00EA076F">
            <w:pPr>
              <w:pStyle w:val="CDITable-RowCentre"/>
              <w:rPr>
                <w:sz w:val="16"/>
              </w:rPr>
            </w:pPr>
            <w:r w:rsidRPr="00FA4BF1">
              <w:rPr>
                <w:sz w:val="16"/>
              </w:rPr>
              <w:t>9.6</w:t>
            </w:r>
          </w:p>
        </w:tc>
        <w:tc>
          <w:tcPr>
            <w:tcW w:w="59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4616EDE0" w14:textId="77777777" w:rsidR="00FA4BF1" w:rsidRPr="00FA4BF1" w:rsidRDefault="00FA4BF1" w:rsidP="00EA076F">
            <w:pPr>
              <w:pStyle w:val="CDITable-RowCentre"/>
              <w:rPr>
                <w:sz w:val="16"/>
              </w:rPr>
            </w:pPr>
            <w:r w:rsidRPr="00FA4BF1">
              <w:rPr>
                <w:sz w:val="16"/>
              </w:rPr>
              <w:t>123</w:t>
            </w:r>
          </w:p>
        </w:tc>
        <w:tc>
          <w:tcPr>
            <w:tcW w:w="567" w:type="dxa"/>
            <w:tcBorders>
              <w:top w:val="single" w:sz="6" w:space="0" w:color="1E4496" w:themeColor="text2"/>
              <w:bottom w:val="single" w:sz="6" w:space="0" w:color="1E4496" w:themeColor="text2"/>
              <w:right w:val="single" w:sz="6" w:space="0" w:color="1E4496" w:themeColor="text2"/>
            </w:tcBorders>
            <w:tcMar>
              <w:top w:w="96" w:type="dxa"/>
              <w:left w:w="113" w:type="dxa"/>
              <w:bottom w:w="96" w:type="dxa"/>
              <w:right w:w="113" w:type="dxa"/>
            </w:tcMar>
            <w:vAlign w:val="center"/>
          </w:tcPr>
          <w:p w14:paraId="78B08C3A" w14:textId="77777777" w:rsidR="00FA4BF1" w:rsidRPr="00FA4BF1" w:rsidRDefault="00FA4BF1" w:rsidP="00EA076F">
            <w:pPr>
              <w:pStyle w:val="CDITable-RowCentre"/>
              <w:rPr>
                <w:sz w:val="16"/>
              </w:rPr>
            </w:pPr>
            <w:r w:rsidRPr="00FA4BF1">
              <w:rPr>
                <w:sz w:val="16"/>
              </w:rPr>
              <w:t>90.4</w:t>
            </w:r>
          </w:p>
        </w:tc>
        <w:tc>
          <w:tcPr>
            <w:tcW w:w="589" w:type="dxa"/>
            <w:tcBorders>
              <w:top w:val="single" w:sz="6" w:space="0" w:color="1E4496" w:themeColor="text2"/>
              <w:left w:val="single" w:sz="6" w:space="0" w:color="1E4496" w:themeColor="text2"/>
              <w:bottom w:val="single" w:sz="6" w:space="0" w:color="1E4496" w:themeColor="text2"/>
            </w:tcBorders>
            <w:tcMar>
              <w:top w:w="96" w:type="dxa"/>
              <w:left w:w="113" w:type="dxa"/>
              <w:bottom w:w="96" w:type="dxa"/>
              <w:right w:w="113" w:type="dxa"/>
            </w:tcMar>
            <w:vAlign w:val="center"/>
          </w:tcPr>
          <w:p w14:paraId="280095D1" w14:textId="77777777" w:rsidR="00FA4BF1" w:rsidRPr="00FA4BF1" w:rsidRDefault="00FA4BF1" w:rsidP="00EA076F">
            <w:pPr>
              <w:pStyle w:val="CDITable-RowCentre"/>
              <w:rPr>
                <w:sz w:val="16"/>
              </w:rPr>
            </w:pPr>
            <w:r w:rsidRPr="00FA4BF1">
              <w:rPr>
                <w:sz w:val="16"/>
              </w:rPr>
              <w:t>18</w:t>
            </w:r>
          </w:p>
        </w:tc>
        <w:tc>
          <w:tcPr>
            <w:tcW w:w="567"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3980396F" w14:textId="77777777" w:rsidR="00FA4BF1" w:rsidRPr="00FA4BF1" w:rsidRDefault="00FA4BF1" w:rsidP="00EA076F">
            <w:pPr>
              <w:pStyle w:val="CDITable-RowCentre"/>
              <w:rPr>
                <w:sz w:val="16"/>
              </w:rPr>
            </w:pPr>
            <w:r w:rsidRPr="00FA4BF1">
              <w:rPr>
                <w:sz w:val="16"/>
              </w:rPr>
              <w:t>13.2</w:t>
            </w:r>
          </w:p>
        </w:tc>
        <w:tc>
          <w:tcPr>
            <w:tcW w:w="59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07282E3F" w14:textId="77777777" w:rsidR="00FA4BF1" w:rsidRPr="00FA4BF1" w:rsidRDefault="00FA4BF1" w:rsidP="00EA076F">
            <w:pPr>
              <w:pStyle w:val="CDITable-RowCentre"/>
              <w:rPr>
                <w:sz w:val="16"/>
              </w:rPr>
            </w:pPr>
            <w:r w:rsidRPr="00FA4BF1">
              <w:rPr>
                <w:sz w:val="16"/>
              </w:rPr>
              <w:t>118</w:t>
            </w:r>
          </w:p>
        </w:tc>
        <w:tc>
          <w:tcPr>
            <w:tcW w:w="567" w:type="dxa"/>
            <w:tcBorders>
              <w:top w:val="single" w:sz="6" w:space="0" w:color="1E4496" w:themeColor="text2"/>
              <w:bottom w:val="single" w:sz="6" w:space="0" w:color="1E4496" w:themeColor="text2"/>
              <w:right w:val="single" w:sz="6" w:space="0" w:color="1E4496" w:themeColor="text2"/>
            </w:tcBorders>
            <w:tcMar>
              <w:top w:w="96" w:type="dxa"/>
              <w:left w:w="113" w:type="dxa"/>
              <w:bottom w:w="96" w:type="dxa"/>
              <w:right w:w="113" w:type="dxa"/>
            </w:tcMar>
            <w:vAlign w:val="center"/>
          </w:tcPr>
          <w:p w14:paraId="2B82CEFA" w14:textId="77777777" w:rsidR="00FA4BF1" w:rsidRPr="00FA4BF1" w:rsidRDefault="00FA4BF1" w:rsidP="00EA076F">
            <w:pPr>
              <w:pStyle w:val="CDITable-RowCentre"/>
              <w:rPr>
                <w:sz w:val="16"/>
              </w:rPr>
            </w:pPr>
            <w:r w:rsidRPr="00FA4BF1">
              <w:rPr>
                <w:sz w:val="16"/>
              </w:rPr>
              <w:t>86.8</w:t>
            </w:r>
          </w:p>
        </w:tc>
        <w:tc>
          <w:tcPr>
            <w:tcW w:w="590" w:type="dxa"/>
            <w:tcBorders>
              <w:top w:val="single" w:sz="6" w:space="0" w:color="1E4496" w:themeColor="text2"/>
              <w:left w:val="single" w:sz="6" w:space="0" w:color="1E4496" w:themeColor="text2"/>
              <w:bottom w:val="single" w:sz="6" w:space="0" w:color="1E4496" w:themeColor="text2"/>
            </w:tcBorders>
            <w:tcMar>
              <w:top w:w="96" w:type="dxa"/>
              <w:left w:w="113" w:type="dxa"/>
              <w:bottom w:w="96" w:type="dxa"/>
              <w:right w:w="113" w:type="dxa"/>
            </w:tcMar>
            <w:vAlign w:val="center"/>
          </w:tcPr>
          <w:p w14:paraId="544B071D" w14:textId="77777777" w:rsidR="00FA4BF1" w:rsidRPr="00FA4BF1" w:rsidRDefault="00FA4BF1" w:rsidP="00EA076F">
            <w:pPr>
              <w:pStyle w:val="CDITable-RowCentre"/>
              <w:rPr>
                <w:sz w:val="16"/>
              </w:rPr>
            </w:pPr>
            <w:r w:rsidRPr="00FA4BF1">
              <w:rPr>
                <w:sz w:val="16"/>
              </w:rPr>
              <w:t>7</w:t>
            </w:r>
          </w:p>
        </w:tc>
        <w:tc>
          <w:tcPr>
            <w:tcW w:w="566"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5D5CC983" w14:textId="77777777" w:rsidR="00FA4BF1" w:rsidRPr="00FA4BF1" w:rsidRDefault="00FA4BF1" w:rsidP="00EA076F">
            <w:pPr>
              <w:pStyle w:val="CDITable-RowCentre"/>
              <w:rPr>
                <w:sz w:val="16"/>
              </w:rPr>
            </w:pPr>
            <w:r w:rsidRPr="00FA4BF1">
              <w:rPr>
                <w:sz w:val="16"/>
              </w:rPr>
              <w:t>13.2</w:t>
            </w:r>
          </w:p>
        </w:tc>
        <w:tc>
          <w:tcPr>
            <w:tcW w:w="59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4BAB8898" w14:textId="77777777" w:rsidR="00FA4BF1" w:rsidRPr="00FA4BF1" w:rsidRDefault="00FA4BF1" w:rsidP="00EA076F">
            <w:pPr>
              <w:pStyle w:val="CDITable-RowCentre"/>
              <w:rPr>
                <w:sz w:val="16"/>
              </w:rPr>
            </w:pPr>
            <w:r w:rsidRPr="00FA4BF1">
              <w:rPr>
                <w:sz w:val="16"/>
              </w:rPr>
              <w:t>23</w:t>
            </w:r>
          </w:p>
        </w:tc>
        <w:tc>
          <w:tcPr>
            <w:tcW w:w="567"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0EA41F8A" w14:textId="77777777" w:rsidR="00FA4BF1" w:rsidRPr="00FA4BF1" w:rsidRDefault="00FA4BF1" w:rsidP="00EA076F">
            <w:pPr>
              <w:pStyle w:val="CDITable-RowCentre"/>
              <w:rPr>
                <w:sz w:val="16"/>
              </w:rPr>
            </w:pPr>
            <w:r w:rsidRPr="00FA4BF1">
              <w:rPr>
                <w:sz w:val="16"/>
              </w:rPr>
              <w:t>86.8</w:t>
            </w:r>
          </w:p>
        </w:tc>
      </w:tr>
      <w:tr w:rsidR="00B73263" w:rsidRPr="00FA4BF1" w14:paraId="32B4C9B2" w14:textId="77777777" w:rsidTr="00B6546F">
        <w:trPr>
          <w:trHeight w:val="60"/>
        </w:trPr>
        <w:tc>
          <w:tcPr>
            <w:tcW w:w="1361" w:type="dxa"/>
            <w:vMerge/>
            <w:tcBorders>
              <w:bottom w:val="single" w:sz="6" w:space="0" w:color="1E4496" w:themeColor="text2"/>
            </w:tcBorders>
            <w:shd w:val="clear" w:color="auto" w:fill="DCF4FC" w:themeFill="background2" w:themeFillTint="33"/>
            <w:tcMar>
              <w:top w:w="96" w:type="dxa"/>
              <w:bottom w:w="96" w:type="dxa"/>
            </w:tcMar>
          </w:tcPr>
          <w:p w14:paraId="3704D3DA" w14:textId="77777777" w:rsidR="00FA4BF1" w:rsidRPr="00FA4BF1" w:rsidRDefault="00FA4BF1" w:rsidP="00EA076F"/>
        </w:tc>
        <w:tc>
          <w:tcPr>
            <w:tcW w:w="1417"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4F401DB9" w14:textId="77777777" w:rsidR="00FA4BF1" w:rsidRPr="00FA4BF1" w:rsidRDefault="00FA4BF1" w:rsidP="00EA076F">
            <w:pPr>
              <w:pStyle w:val="CDITable-RowLeft"/>
              <w:rPr>
                <w:sz w:val="16"/>
              </w:rPr>
            </w:pPr>
            <w:r w:rsidRPr="00FA4BF1">
              <w:rPr>
                <w:sz w:val="16"/>
              </w:rPr>
              <w:t>WA</w:t>
            </w:r>
          </w:p>
        </w:tc>
        <w:tc>
          <w:tcPr>
            <w:tcW w:w="59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69C11FA4" w14:textId="77777777" w:rsidR="00FA4BF1" w:rsidRPr="00FA4BF1" w:rsidRDefault="00FA4BF1" w:rsidP="00EA076F">
            <w:pPr>
              <w:pStyle w:val="CDITable-RowCentre"/>
              <w:rPr>
                <w:sz w:val="16"/>
              </w:rPr>
            </w:pPr>
            <w:r w:rsidRPr="00FA4BF1">
              <w:rPr>
                <w:sz w:val="16"/>
              </w:rPr>
              <w:t>15</w:t>
            </w:r>
          </w:p>
        </w:tc>
        <w:tc>
          <w:tcPr>
            <w:tcW w:w="566"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30E7C3D3" w14:textId="77777777" w:rsidR="00FA4BF1" w:rsidRPr="00FA4BF1" w:rsidRDefault="00FA4BF1" w:rsidP="00EA076F">
            <w:pPr>
              <w:pStyle w:val="CDITable-RowCentre"/>
              <w:rPr>
                <w:sz w:val="16"/>
              </w:rPr>
            </w:pPr>
            <w:r w:rsidRPr="00FA4BF1">
              <w:rPr>
                <w:sz w:val="16"/>
              </w:rPr>
              <w:t>14.4</w:t>
            </w:r>
          </w:p>
        </w:tc>
        <w:tc>
          <w:tcPr>
            <w:tcW w:w="59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4650490C" w14:textId="77777777" w:rsidR="00FA4BF1" w:rsidRPr="00FA4BF1" w:rsidRDefault="00FA4BF1" w:rsidP="00EA076F">
            <w:pPr>
              <w:pStyle w:val="CDITable-RowCentre"/>
              <w:rPr>
                <w:sz w:val="16"/>
              </w:rPr>
            </w:pPr>
            <w:r w:rsidRPr="00FA4BF1">
              <w:rPr>
                <w:sz w:val="16"/>
              </w:rPr>
              <w:t>89</w:t>
            </w:r>
          </w:p>
        </w:tc>
        <w:tc>
          <w:tcPr>
            <w:tcW w:w="567" w:type="dxa"/>
            <w:tcBorders>
              <w:top w:val="single" w:sz="6" w:space="0" w:color="1E4496" w:themeColor="text2"/>
              <w:bottom w:val="single" w:sz="6" w:space="0" w:color="1E4496" w:themeColor="text2"/>
              <w:right w:val="single" w:sz="6" w:space="0" w:color="1E4496" w:themeColor="text2"/>
            </w:tcBorders>
            <w:tcMar>
              <w:top w:w="96" w:type="dxa"/>
              <w:left w:w="113" w:type="dxa"/>
              <w:bottom w:w="96" w:type="dxa"/>
              <w:right w:w="113" w:type="dxa"/>
            </w:tcMar>
            <w:vAlign w:val="center"/>
          </w:tcPr>
          <w:p w14:paraId="110F3192" w14:textId="77777777" w:rsidR="00FA4BF1" w:rsidRPr="00FA4BF1" w:rsidRDefault="00FA4BF1" w:rsidP="00EA076F">
            <w:pPr>
              <w:pStyle w:val="CDITable-RowCentre"/>
              <w:rPr>
                <w:sz w:val="16"/>
              </w:rPr>
            </w:pPr>
            <w:r w:rsidRPr="00FA4BF1">
              <w:rPr>
                <w:sz w:val="16"/>
              </w:rPr>
              <w:t>85.6</w:t>
            </w:r>
          </w:p>
        </w:tc>
        <w:tc>
          <w:tcPr>
            <w:tcW w:w="590" w:type="dxa"/>
            <w:tcBorders>
              <w:top w:val="single" w:sz="6" w:space="0" w:color="1E4496" w:themeColor="text2"/>
              <w:left w:val="single" w:sz="6" w:space="0" w:color="1E4496" w:themeColor="text2"/>
              <w:bottom w:val="single" w:sz="6" w:space="0" w:color="1E4496" w:themeColor="text2"/>
            </w:tcBorders>
            <w:tcMar>
              <w:top w:w="96" w:type="dxa"/>
              <w:left w:w="113" w:type="dxa"/>
              <w:bottom w:w="96" w:type="dxa"/>
              <w:right w:w="113" w:type="dxa"/>
            </w:tcMar>
            <w:vAlign w:val="center"/>
          </w:tcPr>
          <w:p w14:paraId="0EED6A36" w14:textId="77777777" w:rsidR="00FA4BF1" w:rsidRPr="00FA4BF1" w:rsidRDefault="00FA4BF1" w:rsidP="00EA076F">
            <w:pPr>
              <w:pStyle w:val="CDITable-RowCentre"/>
              <w:rPr>
                <w:sz w:val="16"/>
              </w:rPr>
            </w:pPr>
            <w:r w:rsidRPr="00FA4BF1">
              <w:rPr>
                <w:sz w:val="16"/>
              </w:rPr>
              <w:t>7</w:t>
            </w:r>
          </w:p>
        </w:tc>
        <w:tc>
          <w:tcPr>
            <w:tcW w:w="567"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451047A0" w14:textId="77777777" w:rsidR="00FA4BF1" w:rsidRPr="00FA4BF1" w:rsidRDefault="00FA4BF1" w:rsidP="00EA076F">
            <w:pPr>
              <w:pStyle w:val="CDITable-RowCentre"/>
              <w:rPr>
                <w:sz w:val="16"/>
              </w:rPr>
            </w:pPr>
            <w:r w:rsidRPr="00FA4BF1">
              <w:rPr>
                <w:sz w:val="16"/>
              </w:rPr>
              <w:t>6.7</w:t>
            </w:r>
          </w:p>
        </w:tc>
        <w:tc>
          <w:tcPr>
            <w:tcW w:w="589"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1C988CD5" w14:textId="77777777" w:rsidR="00FA4BF1" w:rsidRPr="00FA4BF1" w:rsidRDefault="00FA4BF1" w:rsidP="00EA076F">
            <w:pPr>
              <w:pStyle w:val="CDITable-RowCentre"/>
              <w:rPr>
                <w:sz w:val="16"/>
              </w:rPr>
            </w:pPr>
            <w:r w:rsidRPr="00FA4BF1">
              <w:rPr>
                <w:sz w:val="16"/>
              </w:rPr>
              <w:t>97</w:t>
            </w:r>
          </w:p>
        </w:tc>
        <w:tc>
          <w:tcPr>
            <w:tcW w:w="567" w:type="dxa"/>
            <w:tcBorders>
              <w:top w:val="single" w:sz="6" w:space="0" w:color="1E4496" w:themeColor="text2"/>
              <w:bottom w:val="single" w:sz="6" w:space="0" w:color="1E4496" w:themeColor="text2"/>
              <w:right w:val="single" w:sz="6" w:space="0" w:color="1E4496" w:themeColor="text2"/>
            </w:tcBorders>
            <w:tcMar>
              <w:top w:w="96" w:type="dxa"/>
              <w:left w:w="113" w:type="dxa"/>
              <w:bottom w:w="96" w:type="dxa"/>
              <w:right w:w="113" w:type="dxa"/>
            </w:tcMar>
            <w:vAlign w:val="center"/>
          </w:tcPr>
          <w:p w14:paraId="235F9AB4" w14:textId="77777777" w:rsidR="00FA4BF1" w:rsidRPr="00FA4BF1" w:rsidRDefault="00FA4BF1" w:rsidP="00EA076F">
            <w:pPr>
              <w:pStyle w:val="CDITable-RowCentre"/>
              <w:rPr>
                <w:sz w:val="16"/>
              </w:rPr>
            </w:pPr>
            <w:r w:rsidRPr="00FA4BF1">
              <w:rPr>
                <w:sz w:val="16"/>
              </w:rPr>
              <w:t>93.3</w:t>
            </w:r>
          </w:p>
        </w:tc>
        <w:tc>
          <w:tcPr>
            <w:tcW w:w="595" w:type="dxa"/>
            <w:tcBorders>
              <w:top w:val="single" w:sz="6" w:space="0" w:color="1E4496" w:themeColor="text2"/>
              <w:left w:val="single" w:sz="6" w:space="0" w:color="1E4496" w:themeColor="text2"/>
              <w:bottom w:val="single" w:sz="6" w:space="0" w:color="1E4496" w:themeColor="text2"/>
            </w:tcBorders>
            <w:tcMar>
              <w:top w:w="96" w:type="dxa"/>
              <w:left w:w="113" w:type="dxa"/>
              <w:bottom w:w="96" w:type="dxa"/>
              <w:right w:w="113" w:type="dxa"/>
            </w:tcMar>
            <w:vAlign w:val="center"/>
          </w:tcPr>
          <w:p w14:paraId="25BE9E45" w14:textId="77777777" w:rsidR="00FA4BF1" w:rsidRPr="00FA4BF1" w:rsidRDefault="00FA4BF1" w:rsidP="00EA076F">
            <w:pPr>
              <w:pStyle w:val="CDITable-RowCentre"/>
              <w:rPr>
                <w:sz w:val="16"/>
              </w:rPr>
            </w:pPr>
            <w:r w:rsidRPr="00FA4BF1">
              <w:rPr>
                <w:sz w:val="16"/>
              </w:rPr>
              <w:t>0</w:t>
            </w:r>
          </w:p>
        </w:tc>
        <w:tc>
          <w:tcPr>
            <w:tcW w:w="567"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1CCA7D5B" w14:textId="77777777" w:rsidR="00FA4BF1" w:rsidRPr="00FA4BF1" w:rsidRDefault="00FA4BF1" w:rsidP="00EA076F">
            <w:pPr>
              <w:pStyle w:val="CDITable-RowCentre"/>
              <w:rPr>
                <w:sz w:val="16"/>
              </w:rPr>
            </w:pPr>
            <w:r w:rsidRPr="00FA4BF1">
              <w:rPr>
                <w:sz w:val="16"/>
              </w:rPr>
              <w:t>—</w:t>
            </w:r>
          </w:p>
        </w:tc>
        <w:tc>
          <w:tcPr>
            <w:tcW w:w="59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1F37E00E" w14:textId="77777777" w:rsidR="00FA4BF1" w:rsidRPr="00FA4BF1" w:rsidRDefault="00FA4BF1" w:rsidP="00EA076F">
            <w:pPr>
              <w:pStyle w:val="CDITable-RowCentre"/>
              <w:rPr>
                <w:sz w:val="16"/>
              </w:rPr>
            </w:pPr>
            <w:r w:rsidRPr="00FA4BF1">
              <w:rPr>
                <w:sz w:val="16"/>
              </w:rPr>
              <w:t>73</w:t>
            </w:r>
          </w:p>
        </w:tc>
        <w:tc>
          <w:tcPr>
            <w:tcW w:w="567" w:type="dxa"/>
            <w:tcBorders>
              <w:top w:val="single" w:sz="6" w:space="0" w:color="1E4496" w:themeColor="text2"/>
              <w:bottom w:val="single" w:sz="6" w:space="0" w:color="1E4496" w:themeColor="text2"/>
              <w:right w:val="single" w:sz="6" w:space="0" w:color="1E4496" w:themeColor="text2"/>
            </w:tcBorders>
            <w:tcMar>
              <w:top w:w="96" w:type="dxa"/>
              <w:left w:w="113" w:type="dxa"/>
              <w:bottom w:w="96" w:type="dxa"/>
              <w:right w:w="113" w:type="dxa"/>
            </w:tcMar>
            <w:vAlign w:val="center"/>
          </w:tcPr>
          <w:p w14:paraId="3D9B4450" w14:textId="77777777" w:rsidR="00FA4BF1" w:rsidRPr="00FA4BF1" w:rsidRDefault="00FA4BF1" w:rsidP="00EA076F">
            <w:pPr>
              <w:pStyle w:val="CDITable-RowCentre"/>
              <w:rPr>
                <w:sz w:val="16"/>
              </w:rPr>
            </w:pPr>
            <w:r w:rsidRPr="00FA4BF1">
              <w:rPr>
                <w:sz w:val="16"/>
              </w:rPr>
              <w:t>100</w:t>
            </w:r>
          </w:p>
        </w:tc>
        <w:tc>
          <w:tcPr>
            <w:tcW w:w="589" w:type="dxa"/>
            <w:tcBorders>
              <w:top w:val="single" w:sz="6" w:space="0" w:color="1E4496" w:themeColor="text2"/>
              <w:left w:val="single" w:sz="6" w:space="0" w:color="1E4496" w:themeColor="text2"/>
              <w:bottom w:val="single" w:sz="6" w:space="0" w:color="1E4496" w:themeColor="text2"/>
            </w:tcBorders>
            <w:tcMar>
              <w:top w:w="96" w:type="dxa"/>
              <w:left w:w="113" w:type="dxa"/>
              <w:bottom w:w="96" w:type="dxa"/>
              <w:right w:w="113" w:type="dxa"/>
            </w:tcMar>
            <w:vAlign w:val="center"/>
          </w:tcPr>
          <w:p w14:paraId="089898FE" w14:textId="77777777" w:rsidR="00FA4BF1" w:rsidRPr="00FA4BF1" w:rsidRDefault="00FA4BF1" w:rsidP="00EA076F">
            <w:pPr>
              <w:pStyle w:val="CDITable-RowCentre"/>
              <w:rPr>
                <w:sz w:val="16"/>
              </w:rPr>
            </w:pPr>
            <w:r w:rsidRPr="00FA4BF1">
              <w:rPr>
                <w:sz w:val="16"/>
              </w:rPr>
              <w:t>14</w:t>
            </w:r>
          </w:p>
        </w:tc>
        <w:tc>
          <w:tcPr>
            <w:tcW w:w="567"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6131F946" w14:textId="77777777" w:rsidR="00FA4BF1" w:rsidRPr="00FA4BF1" w:rsidRDefault="00FA4BF1" w:rsidP="00EA076F">
            <w:pPr>
              <w:pStyle w:val="CDITable-RowCentre"/>
              <w:rPr>
                <w:sz w:val="16"/>
              </w:rPr>
            </w:pPr>
            <w:r w:rsidRPr="00FA4BF1">
              <w:rPr>
                <w:sz w:val="16"/>
              </w:rPr>
              <w:t>19.2</w:t>
            </w:r>
          </w:p>
        </w:tc>
        <w:tc>
          <w:tcPr>
            <w:tcW w:w="59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5534EAB0" w14:textId="77777777" w:rsidR="00FA4BF1" w:rsidRPr="00FA4BF1" w:rsidRDefault="00FA4BF1" w:rsidP="00EA076F">
            <w:pPr>
              <w:pStyle w:val="CDITable-RowCentre"/>
              <w:rPr>
                <w:sz w:val="16"/>
              </w:rPr>
            </w:pPr>
            <w:r w:rsidRPr="00FA4BF1">
              <w:rPr>
                <w:sz w:val="16"/>
              </w:rPr>
              <w:t>59</w:t>
            </w:r>
          </w:p>
        </w:tc>
        <w:tc>
          <w:tcPr>
            <w:tcW w:w="567" w:type="dxa"/>
            <w:tcBorders>
              <w:top w:val="single" w:sz="6" w:space="0" w:color="1E4496" w:themeColor="text2"/>
              <w:bottom w:val="single" w:sz="6" w:space="0" w:color="1E4496" w:themeColor="text2"/>
              <w:right w:val="single" w:sz="6" w:space="0" w:color="1E4496" w:themeColor="text2"/>
            </w:tcBorders>
            <w:tcMar>
              <w:top w:w="96" w:type="dxa"/>
              <w:left w:w="113" w:type="dxa"/>
              <w:bottom w:w="96" w:type="dxa"/>
              <w:right w:w="113" w:type="dxa"/>
            </w:tcMar>
            <w:vAlign w:val="center"/>
          </w:tcPr>
          <w:p w14:paraId="6A1C503B" w14:textId="77777777" w:rsidR="00FA4BF1" w:rsidRPr="00FA4BF1" w:rsidRDefault="00FA4BF1" w:rsidP="00EA076F">
            <w:pPr>
              <w:pStyle w:val="CDITable-RowCentre"/>
              <w:rPr>
                <w:sz w:val="16"/>
              </w:rPr>
            </w:pPr>
            <w:r w:rsidRPr="00FA4BF1">
              <w:rPr>
                <w:sz w:val="16"/>
              </w:rPr>
              <w:t>80.8</w:t>
            </w:r>
          </w:p>
        </w:tc>
        <w:tc>
          <w:tcPr>
            <w:tcW w:w="590" w:type="dxa"/>
            <w:tcBorders>
              <w:top w:val="single" w:sz="6" w:space="0" w:color="1E4496" w:themeColor="text2"/>
              <w:left w:val="single" w:sz="6" w:space="0" w:color="1E4496" w:themeColor="text2"/>
              <w:bottom w:val="single" w:sz="6" w:space="0" w:color="1E4496" w:themeColor="text2"/>
            </w:tcBorders>
            <w:tcMar>
              <w:top w:w="96" w:type="dxa"/>
              <w:left w:w="113" w:type="dxa"/>
              <w:bottom w:w="96" w:type="dxa"/>
              <w:right w:w="113" w:type="dxa"/>
            </w:tcMar>
            <w:vAlign w:val="center"/>
          </w:tcPr>
          <w:p w14:paraId="5B3ECFA8" w14:textId="77777777" w:rsidR="00FA4BF1" w:rsidRPr="00FA4BF1" w:rsidRDefault="00FA4BF1" w:rsidP="00EA076F">
            <w:pPr>
              <w:pStyle w:val="CDITable-RowCentre"/>
              <w:rPr>
                <w:sz w:val="16"/>
              </w:rPr>
            </w:pPr>
            <w:r w:rsidRPr="00FA4BF1">
              <w:rPr>
                <w:sz w:val="16"/>
              </w:rPr>
              <w:t>0</w:t>
            </w:r>
          </w:p>
        </w:tc>
        <w:tc>
          <w:tcPr>
            <w:tcW w:w="566"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13B15346" w14:textId="77777777" w:rsidR="00FA4BF1" w:rsidRPr="00FA4BF1" w:rsidRDefault="00FA4BF1" w:rsidP="00EA076F">
            <w:pPr>
              <w:pStyle w:val="CDITable-RowCentre"/>
              <w:rPr>
                <w:sz w:val="16"/>
              </w:rPr>
            </w:pPr>
            <w:r w:rsidRPr="00FA4BF1">
              <w:rPr>
                <w:sz w:val="16"/>
              </w:rPr>
              <w:t>—</w:t>
            </w:r>
          </w:p>
        </w:tc>
        <w:tc>
          <w:tcPr>
            <w:tcW w:w="59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14D465D8" w14:textId="77777777" w:rsidR="00FA4BF1" w:rsidRPr="00FA4BF1" w:rsidRDefault="00FA4BF1" w:rsidP="00EA076F">
            <w:pPr>
              <w:pStyle w:val="CDITable-RowCentre"/>
              <w:rPr>
                <w:sz w:val="16"/>
              </w:rPr>
            </w:pPr>
            <w:r w:rsidRPr="00FA4BF1">
              <w:rPr>
                <w:sz w:val="16"/>
              </w:rPr>
              <w:t>23</w:t>
            </w:r>
          </w:p>
        </w:tc>
        <w:tc>
          <w:tcPr>
            <w:tcW w:w="567"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3353D8E6" w14:textId="77777777" w:rsidR="00FA4BF1" w:rsidRPr="00FA4BF1" w:rsidRDefault="00FA4BF1" w:rsidP="00EA076F">
            <w:pPr>
              <w:pStyle w:val="CDITable-RowCentre"/>
              <w:rPr>
                <w:sz w:val="16"/>
              </w:rPr>
            </w:pPr>
            <w:r w:rsidRPr="00FA4BF1">
              <w:rPr>
                <w:sz w:val="16"/>
              </w:rPr>
              <w:t>100</w:t>
            </w:r>
          </w:p>
        </w:tc>
      </w:tr>
      <w:tr w:rsidR="00B6546F" w:rsidRPr="00FA4BF1" w14:paraId="3FE3A6A1" w14:textId="77777777" w:rsidTr="00B6546F">
        <w:trPr>
          <w:trHeight w:val="60"/>
        </w:trPr>
        <w:tc>
          <w:tcPr>
            <w:tcW w:w="1361" w:type="dxa"/>
            <w:vMerge w:val="restart"/>
            <w:tcBorders>
              <w:top w:val="single" w:sz="6" w:space="0" w:color="1E4496" w:themeColor="text2"/>
              <w:bottom w:val="single" w:sz="6" w:space="0" w:color="1E4496" w:themeColor="text2"/>
            </w:tcBorders>
            <w:shd w:val="clear" w:color="auto" w:fill="DCF4FC" w:themeFill="background2" w:themeFillTint="33"/>
            <w:tcMar>
              <w:top w:w="113" w:type="dxa"/>
              <w:left w:w="113" w:type="dxa"/>
              <w:bottom w:w="113" w:type="dxa"/>
              <w:right w:w="113" w:type="dxa"/>
            </w:tcMar>
            <w:vAlign w:val="center"/>
          </w:tcPr>
          <w:p w14:paraId="5CAA78D8" w14:textId="77777777" w:rsidR="00FA4BF1" w:rsidRPr="00FA4BF1" w:rsidRDefault="00FA4BF1" w:rsidP="00EA076F">
            <w:pPr>
              <w:pStyle w:val="CDITable-RowLeft"/>
              <w:rPr>
                <w:sz w:val="16"/>
              </w:rPr>
            </w:pPr>
            <w:r w:rsidRPr="00FA4BF1">
              <w:rPr>
                <w:sz w:val="16"/>
              </w:rPr>
              <w:lastRenderedPageBreak/>
              <w:t>Onset location</w:t>
            </w:r>
          </w:p>
        </w:tc>
        <w:tc>
          <w:tcPr>
            <w:tcW w:w="141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2EAE5BE" w14:textId="77777777" w:rsidR="00FA4BF1" w:rsidRPr="00FA4BF1" w:rsidRDefault="00FA4BF1" w:rsidP="00EA076F">
            <w:pPr>
              <w:pStyle w:val="CDITable-RowLeft"/>
              <w:rPr>
                <w:sz w:val="16"/>
              </w:rPr>
            </w:pPr>
            <w:r w:rsidRPr="00FA4BF1">
              <w:rPr>
                <w:sz w:val="16"/>
              </w:rPr>
              <w:t>Community</w:t>
            </w:r>
          </w:p>
        </w:tc>
        <w:tc>
          <w:tcPr>
            <w:tcW w:w="59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87C5362" w14:textId="77777777" w:rsidR="00FA4BF1" w:rsidRPr="00FA4BF1" w:rsidRDefault="00FA4BF1" w:rsidP="00EA076F">
            <w:pPr>
              <w:pStyle w:val="CDITable-RowCentre"/>
              <w:rPr>
                <w:sz w:val="16"/>
              </w:rPr>
            </w:pPr>
            <w:r w:rsidRPr="00FA4BF1">
              <w:rPr>
                <w:sz w:val="16"/>
              </w:rPr>
              <w:t>105</w:t>
            </w:r>
          </w:p>
        </w:tc>
        <w:tc>
          <w:tcPr>
            <w:tcW w:w="566"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497BAA2" w14:textId="77777777" w:rsidR="00FA4BF1" w:rsidRPr="00FA4BF1" w:rsidRDefault="00FA4BF1" w:rsidP="00EA076F">
            <w:pPr>
              <w:pStyle w:val="CDITable-RowCentre"/>
              <w:rPr>
                <w:sz w:val="16"/>
              </w:rPr>
            </w:pPr>
            <w:r w:rsidRPr="00FA4BF1">
              <w:rPr>
                <w:sz w:val="16"/>
              </w:rPr>
              <w:t>16.3</w:t>
            </w:r>
          </w:p>
        </w:tc>
        <w:tc>
          <w:tcPr>
            <w:tcW w:w="59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BDF9F23" w14:textId="77777777" w:rsidR="00FA4BF1" w:rsidRPr="00FA4BF1" w:rsidRDefault="00FA4BF1" w:rsidP="00EA076F">
            <w:pPr>
              <w:pStyle w:val="CDITable-RowCentre"/>
              <w:rPr>
                <w:sz w:val="16"/>
              </w:rPr>
            </w:pPr>
            <w:r w:rsidRPr="00FA4BF1">
              <w:rPr>
                <w:sz w:val="16"/>
              </w:rPr>
              <w:t>539</w:t>
            </w:r>
          </w:p>
        </w:tc>
        <w:tc>
          <w:tcPr>
            <w:tcW w:w="567" w:type="dxa"/>
            <w:tcBorders>
              <w:top w:val="single" w:sz="6" w:space="0" w:color="1E4496" w:themeColor="text2"/>
              <w:bottom w:val="single" w:sz="6" w:space="0" w:color="1E4496" w:themeColor="text2"/>
              <w:right w:val="single" w:sz="6" w:space="0" w:color="1E4496" w:themeColor="text2"/>
            </w:tcBorders>
            <w:tcMar>
              <w:top w:w="113" w:type="dxa"/>
              <w:left w:w="113" w:type="dxa"/>
              <w:bottom w:w="113" w:type="dxa"/>
              <w:right w:w="113" w:type="dxa"/>
            </w:tcMar>
            <w:vAlign w:val="center"/>
          </w:tcPr>
          <w:p w14:paraId="0CE8C3BB" w14:textId="77777777" w:rsidR="00FA4BF1" w:rsidRPr="00FA4BF1" w:rsidRDefault="00FA4BF1" w:rsidP="00EA076F">
            <w:pPr>
              <w:pStyle w:val="CDITable-RowCentre"/>
              <w:rPr>
                <w:sz w:val="16"/>
              </w:rPr>
            </w:pPr>
            <w:r w:rsidRPr="00FA4BF1">
              <w:rPr>
                <w:sz w:val="16"/>
              </w:rPr>
              <w:t>83.7</w:t>
            </w:r>
          </w:p>
        </w:tc>
        <w:tc>
          <w:tcPr>
            <w:tcW w:w="590" w:type="dxa"/>
            <w:tcBorders>
              <w:top w:val="single" w:sz="6" w:space="0" w:color="1E4496" w:themeColor="text2"/>
              <w:left w:val="single" w:sz="6" w:space="0" w:color="1E4496" w:themeColor="text2"/>
              <w:bottom w:val="single" w:sz="6" w:space="0" w:color="1E4496" w:themeColor="text2"/>
            </w:tcBorders>
            <w:tcMar>
              <w:top w:w="113" w:type="dxa"/>
              <w:left w:w="113" w:type="dxa"/>
              <w:bottom w:w="113" w:type="dxa"/>
              <w:right w:w="113" w:type="dxa"/>
            </w:tcMar>
            <w:vAlign w:val="center"/>
          </w:tcPr>
          <w:p w14:paraId="58A99162" w14:textId="77777777" w:rsidR="00FA4BF1" w:rsidRPr="00FA4BF1" w:rsidRDefault="00FA4BF1" w:rsidP="00EA076F">
            <w:pPr>
              <w:pStyle w:val="CDITable-RowCentre"/>
              <w:rPr>
                <w:sz w:val="16"/>
              </w:rPr>
            </w:pPr>
            <w:r w:rsidRPr="00FA4BF1">
              <w:rPr>
                <w:sz w:val="16"/>
              </w:rPr>
              <w:t>70</w:t>
            </w:r>
          </w:p>
        </w:tc>
        <w:tc>
          <w:tcPr>
            <w:tcW w:w="56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C3B3C22" w14:textId="77777777" w:rsidR="00FA4BF1" w:rsidRPr="00FA4BF1" w:rsidRDefault="00FA4BF1" w:rsidP="00EA076F">
            <w:pPr>
              <w:pStyle w:val="CDITable-RowCentre"/>
              <w:rPr>
                <w:sz w:val="16"/>
              </w:rPr>
            </w:pPr>
            <w:r w:rsidRPr="00FA4BF1">
              <w:rPr>
                <w:sz w:val="16"/>
              </w:rPr>
              <w:t>10.9</w:t>
            </w:r>
          </w:p>
        </w:tc>
        <w:tc>
          <w:tcPr>
            <w:tcW w:w="589"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77ED4E6" w14:textId="77777777" w:rsidR="00FA4BF1" w:rsidRPr="00FA4BF1" w:rsidRDefault="00FA4BF1" w:rsidP="00EA076F">
            <w:pPr>
              <w:pStyle w:val="CDITable-RowCentre"/>
              <w:rPr>
                <w:sz w:val="16"/>
              </w:rPr>
            </w:pPr>
            <w:r w:rsidRPr="00FA4BF1">
              <w:rPr>
                <w:sz w:val="16"/>
              </w:rPr>
              <w:t>574</w:t>
            </w:r>
          </w:p>
        </w:tc>
        <w:tc>
          <w:tcPr>
            <w:tcW w:w="567" w:type="dxa"/>
            <w:tcBorders>
              <w:top w:val="single" w:sz="6" w:space="0" w:color="1E4496" w:themeColor="text2"/>
              <w:bottom w:val="single" w:sz="6" w:space="0" w:color="1E4496" w:themeColor="text2"/>
              <w:right w:val="single" w:sz="6" w:space="0" w:color="1E4496" w:themeColor="text2"/>
            </w:tcBorders>
            <w:tcMar>
              <w:top w:w="113" w:type="dxa"/>
              <w:left w:w="113" w:type="dxa"/>
              <w:bottom w:w="113" w:type="dxa"/>
              <w:right w:w="113" w:type="dxa"/>
            </w:tcMar>
            <w:vAlign w:val="center"/>
          </w:tcPr>
          <w:p w14:paraId="27BA2870" w14:textId="77777777" w:rsidR="00FA4BF1" w:rsidRPr="00FA4BF1" w:rsidRDefault="00FA4BF1" w:rsidP="00EA076F">
            <w:pPr>
              <w:pStyle w:val="CDITable-RowCentre"/>
              <w:rPr>
                <w:sz w:val="16"/>
              </w:rPr>
            </w:pPr>
            <w:r w:rsidRPr="00FA4BF1">
              <w:rPr>
                <w:sz w:val="16"/>
              </w:rPr>
              <w:t>89.1</w:t>
            </w:r>
          </w:p>
        </w:tc>
        <w:tc>
          <w:tcPr>
            <w:tcW w:w="595" w:type="dxa"/>
            <w:tcBorders>
              <w:top w:val="single" w:sz="6" w:space="0" w:color="1E4496" w:themeColor="text2"/>
              <w:left w:val="single" w:sz="6" w:space="0" w:color="1E4496" w:themeColor="text2"/>
              <w:bottom w:val="single" w:sz="6" w:space="0" w:color="1E4496" w:themeColor="text2"/>
            </w:tcBorders>
            <w:tcMar>
              <w:top w:w="113" w:type="dxa"/>
              <w:left w:w="113" w:type="dxa"/>
              <w:bottom w:w="113" w:type="dxa"/>
              <w:right w:w="113" w:type="dxa"/>
            </w:tcMar>
            <w:vAlign w:val="center"/>
          </w:tcPr>
          <w:p w14:paraId="2BAE22F6" w14:textId="77777777" w:rsidR="00FA4BF1" w:rsidRPr="00FA4BF1" w:rsidRDefault="00FA4BF1" w:rsidP="00EA076F">
            <w:pPr>
              <w:pStyle w:val="CDITable-RowCentre"/>
              <w:rPr>
                <w:sz w:val="16"/>
              </w:rPr>
            </w:pPr>
            <w:r w:rsidRPr="00FA4BF1">
              <w:rPr>
                <w:sz w:val="16"/>
              </w:rPr>
              <w:t>19</w:t>
            </w:r>
          </w:p>
        </w:tc>
        <w:tc>
          <w:tcPr>
            <w:tcW w:w="56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27FFBC7" w14:textId="77777777" w:rsidR="00FA4BF1" w:rsidRPr="00FA4BF1" w:rsidRDefault="00FA4BF1" w:rsidP="00EA076F">
            <w:pPr>
              <w:pStyle w:val="CDITable-RowCentre"/>
              <w:rPr>
                <w:sz w:val="16"/>
              </w:rPr>
            </w:pPr>
            <w:r w:rsidRPr="00FA4BF1">
              <w:rPr>
                <w:sz w:val="16"/>
              </w:rPr>
              <w:t>4.1</w:t>
            </w:r>
          </w:p>
        </w:tc>
        <w:tc>
          <w:tcPr>
            <w:tcW w:w="59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2EAD4EB" w14:textId="77777777" w:rsidR="00FA4BF1" w:rsidRPr="00FA4BF1" w:rsidRDefault="00FA4BF1" w:rsidP="00EA076F">
            <w:pPr>
              <w:pStyle w:val="CDITable-RowCentre"/>
              <w:rPr>
                <w:sz w:val="16"/>
              </w:rPr>
            </w:pPr>
            <w:r w:rsidRPr="00FA4BF1">
              <w:rPr>
                <w:sz w:val="16"/>
              </w:rPr>
              <w:t>450</w:t>
            </w:r>
          </w:p>
        </w:tc>
        <w:tc>
          <w:tcPr>
            <w:tcW w:w="567" w:type="dxa"/>
            <w:tcBorders>
              <w:top w:val="single" w:sz="6" w:space="0" w:color="1E4496" w:themeColor="text2"/>
              <w:bottom w:val="single" w:sz="6" w:space="0" w:color="1E4496" w:themeColor="text2"/>
              <w:right w:val="single" w:sz="6" w:space="0" w:color="1E4496" w:themeColor="text2"/>
            </w:tcBorders>
            <w:tcMar>
              <w:top w:w="113" w:type="dxa"/>
              <w:left w:w="113" w:type="dxa"/>
              <w:bottom w:w="113" w:type="dxa"/>
              <w:right w:w="113" w:type="dxa"/>
            </w:tcMar>
            <w:vAlign w:val="center"/>
          </w:tcPr>
          <w:p w14:paraId="55F6E3C2" w14:textId="77777777" w:rsidR="00FA4BF1" w:rsidRPr="00FA4BF1" w:rsidRDefault="00FA4BF1" w:rsidP="00EA076F">
            <w:pPr>
              <w:pStyle w:val="CDITable-RowCentre"/>
              <w:rPr>
                <w:sz w:val="16"/>
              </w:rPr>
            </w:pPr>
            <w:r w:rsidRPr="00FA4BF1">
              <w:rPr>
                <w:sz w:val="16"/>
              </w:rPr>
              <w:t>95.9</w:t>
            </w:r>
          </w:p>
        </w:tc>
        <w:tc>
          <w:tcPr>
            <w:tcW w:w="589" w:type="dxa"/>
            <w:tcBorders>
              <w:top w:val="single" w:sz="6" w:space="0" w:color="1E4496" w:themeColor="text2"/>
              <w:left w:val="single" w:sz="6" w:space="0" w:color="1E4496" w:themeColor="text2"/>
              <w:bottom w:val="single" w:sz="6" w:space="0" w:color="1E4496" w:themeColor="text2"/>
            </w:tcBorders>
            <w:tcMar>
              <w:top w:w="113" w:type="dxa"/>
              <w:left w:w="113" w:type="dxa"/>
              <w:bottom w:w="113" w:type="dxa"/>
              <w:right w:w="113" w:type="dxa"/>
            </w:tcMar>
            <w:vAlign w:val="center"/>
          </w:tcPr>
          <w:p w14:paraId="7B8C5FA4" w14:textId="77777777" w:rsidR="00FA4BF1" w:rsidRPr="00FA4BF1" w:rsidRDefault="00FA4BF1" w:rsidP="00EA076F">
            <w:pPr>
              <w:pStyle w:val="CDITable-RowCentre"/>
              <w:rPr>
                <w:sz w:val="16"/>
              </w:rPr>
            </w:pPr>
            <w:r w:rsidRPr="00FA4BF1">
              <w:rPr>
                <w:sz w:val="16"/>
              </w:rPr>
              <w:t>68</w:t>
            </w:r>
          </w:p>
        </w:tc>
        <w:tc>
          <w:tcPr>
            <w:tcW w:w="56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33E126F" w14:textId="77777777" w:rsidR="00FA4BF1" w:rsidRPr="00FA4BF1" w:rsidRDefault="00FA4BF1" w:rsidP="00EA076F">
            <w:pPr>
              <w:pStyle w:val="CDITable-RowCentre"/>
              <w:rPr>
                <w:sz w:val="16"/>
              </w:rPr>
            </w:pPr>
            <w:r w:rsidRPr="00FA4BF1">
              <w:rPr>
                <w:sz w:val="16"/>
              </w:rPr>
              <w:t>14.5</w:t>
            </w:r>
          </w:p>
        </w:tc>
        <w:tc>
          <w:tcPr>
            <w:tcW w:w="59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F560FE8" w14:textId="77777777" w:rsidR="00FA4BF1" w:rsidRPr="00FA4BF1" w:rsidRDefault="00FA4BF1" w:rsidP="00EA076F">
            <w:pPr>
              <w:pStyle w:val="CDITable-RowCentre"/>
              <w:rPr>
                <w:sz w:val="16"/>
              </w:rPr>
            </w:pPr>
            <w:r w:rsidRPr="00FA4BF1">
              <w:rPr>
                <w:sz w:val="16"/>
              </w:rPr>
              <w:t>401</w:t>
            </w:r>
          </w:p>
        </w:tc>
        <w:tc>
          <w:tcPr>
            <w:tcW w:w="567" w:type="dxa"/>
            <w:tcBorders>
              <w:top w:val="single" w:sz="6" w:space="0" w:color="1E4496" w:themeColor="text2"/>
              <w:bottom w:val="single" w:sz="6" w:space="0" w:color="1E4496" w:themeColor="text2"/>
              <w:right w:val="single" w:sz="6" w:space="0" w:color="1E4496" w:themeColor="text2"/>
            </w:tcBorders>
            <w:tcMar>
              <w:top w:w="113" w:type="dxa"/>
              <w:left w:w="113" w:type="dxa"/>
              <w:bottom w:w="113" w:type="dxa"/>
              <w:right w:w="113" w:type="dxa"/>
            </w:tcMar>
            <w:vAlign w:val="center"/>
          </w:tcPr>
          <w:p w14:paraId="73ACFA1D" w14:textId="77777777" w:rsidR="00FA4BF1" w:rsidRPr="00FA4BF1" w:rsidRDefault="00FA4BF1" w:rsidP="00EA076F">
            <w:pPr>
              <w:pStyle w:val="CDITable-RowCentre"/>
              <w:rPr>
                <w:sz w:val="16"/>
              </w:rPr>
            </w:pPr>
            <w:r w:rsidRPr="00FA4BF1">
              <w:rPr>
                <w:sz w:val="16"/>
              </w:rPr>
              <w:t>85.5</w:t>
            </w:r>
          </w:p>
        </w:tc>
        <w:tc>
          <w:tcPr>
            <w:tcW w:w="590" w:type="dxa"/>
            <w:tcBorders>
              <w:top w:val="single" w:sz="6" w:space="0" w:color="1E4496" w:themeColor="text2"/>
              <w:left w:val="single" w:sz="6" w:space="0" w:color="1E4496" w:themeColor="text2"/>
              <w:bottom w:val="single" w:sz="6" w:space="0" w:color="1E4496" w:themeColor="text2"/>
            </w:tcBorders>
            <w:tcMar>
              <w:top w:w="113" w:type="dxa"/>
              <w:left w:w="113" w:type="dxa"/>
              <w:bottom w:w="113" w:type="dxa"/>
              <w:right w:w="113" w:type="dxa"/>
            </w:tcMar>
            <w:vAlign w:val="center"/>
          </w:tcPr>
          <w:p w14:paraId="4E042BA3" w14:textId="77777777" w:rsidR="00FA4BF1" w:rsidRPr="00FA4BF1" w:rsidRDefault="00FA4BF1" w:rsidP="00EA076F">
            <w:pPr>
              <w:pStyle w:val="CDITable-RowCentre"/>
              <w:rPr>
                <w:sz w:val="16"/>
              </w:rPr>
            </w:pPr>
            <w:r w:rsidRPr="00FA4BF1">
              <w:rPr>
                <w:sz w:val="16"/>
              </w:rPr>
              <w:t>1</w:t>
            </w:r>
          </w:p>
        </w:tc>
        <w:tc>
          <w:tcPr>
            <w:tcW w:w="566"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10AE4DC" w14:textId="77777777" w:rsidR="00FA4BF1" w:rsidRPr="00FA4BF1" w:rsidRDefault="00FA4BF1" w:rsidP="00EA076F">
            <w:pPr>
              <w:pStyle w:val="CDITable-RowCentre"/>
              <w:rPr>
                <w:sz w:val="16"/>
              </w:rPr>
            </w:pPr>
            <w:r w:rsidRPr="00FA4BF1">
              <w:rPr>
                <w:sz w:val="16"/>
              </w:rPr>
              <w:t>1.6</w:t>
            </w:r>
          </w:p>
        </w:tc>
        <w:tc>
          <w:tcPr>
            <w:tcW w:w="59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9FA7AD3" w14:textId="77777777" w:rsidR="00FA4BF1" w:rsidRPr="00FA4BF1" w:rsidRDefault="00FA4BF1" w:rsidP="00EA076F">
            <w:pPr>
              <w:pStyle w:val="CDITable-RowCentre"/>
              <w:rPr>
                <w:sz w:val="16"/>
              </w:rPr>
            </w:pPr>
            <w:r w:rsidRPr="00FA4BF1">
              <w:rPr>
                <w:sz w:val="16"/>
              </w:rPr>
              <w:t>61</w:t>
            </w:r>
          </w:p>
        </w:tc>
        <w:tc>
          <w:tcPr>
            <w:tcW w:w="56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946E59D" w14:textId="77777777" w:rsidR="00FA4BF1" w:rsidRPr="00FA4BF1" w:rsidRDefault="00FA4BF1" w:rsidP="00EA076F">
            <w:pPr>
              <w:pStyle w:val="CDITable-RowCentre"/>
              <w:rPr>
                <w:sz w:val="16"/>
              </w:rPr>
            </w:pPr>
            <w:r w:rsidRPr="00FA4BF1">
              <w:rPr>
                <w:sz w:val="16"/>
              </w:rPr>
              <w:t>98.4</w:t>
            </w:r>
          </w:p>
        </w:tc>
      </w:tr>
      <w:tr w:rsidR="00B6546F" w:rsidRPr="00FA4BF1" w14:paraId="7D0A41BD" w14:textId="77777777" w:rsidTr="00B6546F">
        <w:trPr>
          <w:trHeight w:val="60"/>
        </w:trPr>
        <w:tc>
          <w:tcPr>
            <w:tcW w:w="1361" w:type="dxa"/>
            <w:vMerge/>
            <w:tcBorders>
              <w:bottom w:val="single" w:sz="6" w:space="0" w:color="1E4496" w:themeColor="text2"/>
            </w:tcBorders>
            <w:shd w:val="clear" w:color="auto" w:fill="DCF4FC" w:themeFill="background2" w:themeFillTint="33"/>
          </w:tcPr>
          <w:p w14:paraId="1B7C4C3A" w14:textId="77777777" w:rsidR="00FA4BF1" w:rsidRPr="00FA4BF1" w:rsidRDefault="00FA4BF1" w:rsidP="00EA076F"/>
        </w:tc>
        <w:tc>
          <w:tcPr>
            <w:tcW w:w="141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A850977" w14:textId="77777777" w:rsidR="00FA4BF1" w:rsidRPr="00FA4BF1" w:rsidRDefault="00FA4BF1" w:rsidP="00EA076F">
            <w:pPr>
              <w:pStyle w:val="CDITable-RowLeft"/>
              <w:rPr>
                <w:sz w:val="16"/>
              </w:rPr>
            </w:pPr>
            <w:r w:rsidRPr="00FA4BF1">
              <w:rPr>
                <w:sz w:val="16"/>
              </w:rPr>
              <w:t>Hospital</w:t>
            </w:r>
          </w:p>
        </w:tc>
        <w:tc>
          <w:tcPr>
            <w:tcW w:w="59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CC8DD25" w14:textId="77777777" w:rsidR="00FA4BF1" w:rsidRPr="00FA4BF1" w:rsidRDefault="00FA4BF1" w:rsidP="00EA076F">
            <w:pPr>
              <w:pStyle w:val="CDITable-RowCentre"/>
              <w:rPr>
                <w:sz w:val="16"/>
              </w:rPr>
            </w:pPr>
            <w:r w:rsidRPr="00FA4BF1">
              <w:rPr>
                <w:sz w:val="16"/>
              </w:rPr>
              <w:t>67</w:t>
            </w:r>
          </w:p>
        </w:tc>
        <w:tc>
          <w:tcPr>
            <w:tcW w:w="566"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0D88FC9" w14:textId="77777777" w:rsidR="00FA4BF1" w:rsidRPr="00FA4BF1" w:rsidRDefault="00FA4BF1" w:rsidP="00EA076F">
            <w:pPr>
              <w:pStyle w:val="CDITable-RowCentre"/>
              <w:rPr>
                <w:sz w:val="16"/>
              </w:rPr>
            </w:pPr>
            <w:r w:rsidRPr="00FA4BF1">
              <w:rPr>
                <w:sz w:val="16"/>
              </w:rPr>
              <w:t>23.3</w:t>
            </w:r>
          </w:p>
        </w:tc>
        <w:tc>
          <w:tcPr>
            <w:tcW w:w="59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F10E676" w14:textId="77777777" w:rsidR="00FA4BF1" w:rsidRPr="00FA4BF1" w:rsidRDefault="00FA4BF1" w:rsidP="00EA076F">
            <w:pPr>
              <w:pStyle w:val="CDITable-RowCentre"/>
              <w:rPr>
                <w:sz w:val="16"/>
              </w:rPr>
            </w:pPr>
            <w:r w:rsidRPr="00FA4BF1">
              <w:rPr>
                <w:sz w:val="16"/>
              </w:rPr>
              <w:t>221</w:t>
            </w:r>
          </w:p>
        </w:tc>
        <w:tc>
          <w:tcPr>
            <w:tcW w:w="567" w:type="dxa"/>
            <w:tcBorders>
              <w:top w:val="single" w:sz="6" w:space="0" w:color="1E4496" w:themeColor="text2"/>
              <w:bottom w:val="single" w:sz="6" w:space="0" w:color="1E4496" w:themeColor="text2"/>
              <w:right w:val="single" w:sz="6" w:space="0" w:color="1E4496" w:themeColor="text2"/>
            </w:tcBorders>
            <w:tcMar>
              <w:top w:w="113" w:type="dxa"/>
              <w:left w:w="113" w:type="dxa"/>
              <w:bottom w:w="113" w:type="dxa"/>
              <w:right w:w="113" w:type="dxa"/>
            </w:tcMar>
            <w:vAlign w:val="center"/>
          </w:tcPr>
          <w:p w14:paraId="466631E8" w14:textId="77777777" w:rsidR="00FA4BF1" w:rsidRPr="00FA4BF1" w:rsidRDefault="00FA4BF1" w:rsidP="00EA076F">
            <w:pPr>
              <w:pStyle w:val="CDITable-RowCentre"/>
              <w:rPr>
                <w:sz w:val="16"/>
              </w:rPr>
            </w:pPr>
            <w:r w:rsidRPr="00FA4BF1">
              <w:rPr>
                <w:sz w:val="16"/>
              </w:rPr>
              <w:t>76.7</w:t>
            </w:r>
          </w:p>
        </w:tc>
        <w:tc>
          <w:tcPr>
            <w:tcW w:w="590" w:type="dxa"/>
            <w:tcBorders>
              <w:top w:val="single" w:sz="6" w:space="0" w:color="1E4496" w:themeColor="text2"/>
              <w:left w:val="single" w:sz="6" w:space="0" w:color="1E4496" w:themeColor="text2"/>
              <w:bottom w:val="single" w:sz="6" w:space="0" w:color="1E4496" w:themeColor="text2"/>
            </w:tcBorders>
            <w:tcMar>
              <w:top w:w="113" w:type="dxa"/>
              <w:left w:w="113" w:type="dxa"/>
              <w:bottom w:w="113" w:type="dxa"/>
              <w:right w:w="113" w:type="dxa"/>
            </w:tcMar>
            <w:vAlign w:val="center"/>
          </w:tcPr>
          <w:p w14:paraId="599560A1" w14:textId="77777777" w:rsidR="00FA4BF1" w:rsidRPr="00FA4BF1" w:rsidRDefault="00FA4BF1" w:rsidP="00EA076F">
            <w:pPr>
              <w:pStyle w:val="CDITable-RowCentre"/>
              <w:rPr>
                <w:sz w:val="16"/>
              </w:rPr>
            </w:pPr>
            <w:r w:rsidRPr="00FA4BF1">
              <w:rPr>
                <w:sz w:val="16"/>
              </w:rPr>
              <w:t>55</w:t>
            </w:r>
          </w:p>
        </w:tc>
        <w:tc>
          <w:tcPr>
            <w:tcW w:w="56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2A8E80A" w14:textId="77777777" w:rsidR="00FA4BF1" w:rsidRPr="00FA4BF1" w:rsidRDefault="00FA4BF1" w:rsidP="00EA076F">
            <w:pPr>
              <w:pStyle w:val="CDITable-RowCentre"/>
              <w:rPr>
                <w:sz w:val="16"/>
              </w:rPr>
            </w:pPr>
            <w:r w:rsidRPr="00FA4BF1">
              <w:rPr>
                <w:sz w:val="16"/>
              </w:rPr>
              <w:t>19.1</w:t>
            </w:r>
          </w:p>
        </w:tc>
        <w:tc>
          <w:tcPr>
            <w:tcW w:w="589"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4DAA286" w14:textId="77777777" w:rsidR="00FA4BF1" w:rsidRPr="00FA4BF1" w:rsidRDefault="00FA4BF1" w:rsidP="00EA076F">
            <w:pPr>
              <w:pStyle w:val="CDITable-RowCentre"/>
              <w:rPr>
                <w:sz w:val="16"/>
              </w:rPr>
            </w:pPr>
            <w:r w:rsidRPr="00FA4BF1">
              <w:rPr>
                <w:sz w:val="16"/>
              </w:rPr>
              <w:t>233</w:t>
            </w:r>
          </w:p>
        </w:tc>
        <w:tc>
          <w:tcPr>
            <w:tcW w:w="567" w:type="dxa"/>
            <w:tcBorders>
              <w:top w:val="single" w:sz="6" w:space="0" w:color="1E4496" w:themeColor="text2"/>
              <w:bottom w:val="single" w:sz="6" w:space="0" w:color="1E4496" w:themeColor="text2"/>
              <w:right w:val="single" w:sz="6" w:space="0" w:color="1E4496" w:themeColor="text2"/>
            </w:tcBorders>
            <w:tcMar>
              <w:top w:w="113" w:type="dxa"/>
              <w:left w:w="113" w:type="dxa"/>
              <w:bottom w:w="113" w:type="dxa"/>
              <w:right w:w="113" w:type="dxa"/>
            </w:tcMar>
            <w:vAlign w:val="center"/>
          </w:tcPr>
          <w:p w14:paraId="4299AED2" w14:textId="77777777" w:rsidR="00FA4BF1" w:rsidRPr="00FA4BF1" w:rsidRDefault="00FA4BF1" w:rsidP="00EA076F">
            <w:pPr>
              <w:pStyle w:val="CDITable-RowCentre"/>
              <w:rPr>
                <w:sz w:val="16"/>
              </w:rPr>
            </w:pPr>
            <w:r w:rsidRPr="00FA4BF1">
              <w:rPr>
                <w:sz w:val="16"/>
              </w:rPr>
              <w:t>80.9</w:t>
            </w:r>
          </w:p>
        </w:tc>
        <w:tc>
          <w:tcPr>
            <w:tcW w:w="595" w:type="dxa"/>
            <w:tcBorders>
              <w:top w:val="single" w:sz="6" w:space="0" w:color="1E4496" w:themeColor="text2"/>
              <w:left w:val="single" w:sz="6" w:space="0" w:color="1E4496" w:themeColor="text2"/>
              <w:bottom w:val="single" w:sz="6" w:space="0" w:color="1E4496" w:themeColor="text2"/>
            </w:tcBorders>
            <w:tcMar>
              <w:top w:w="113" w:type="dxa"/>
              <w:left w:w="113" w:type="dxa"/>
              <w:bottom w:w="113" w:type="dxa"/>
              <w:right w:w="113" w:type="dxa"/>
            </w:tcMar>
            <w:vAlign w:val="center"/>
          </w:tcPr>
          <w:p w14:paraId="1CD47459" w14:textId="77777777" w:rsidR="00FA4BF1" w:rsidRPr="00FA4BF1" w:rsidRDefault="00FA4BF1" w:rsidP="00EA076F">
            <w:pPr>
              <w:pStyle w:val="CDITable-RowCentre"/>
              <w:rPr>
                <w:sz w:val="16"/>
              </w:rPr>
            </w:pPr>
            <w:r w:rsidRPr="00FA4BF1">
              <w:rPr>
                <w:sz w:val="16"/>
              </w:rPr>
              <w:t>14</w:t>
            </w:r>
          </w:p>
        </w:tc>
        <w:tc>
          <w:tcPr>
            <w:tcW w:w="56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D804DCE" w14:textId="77777777" w:rsidR="00FA4BF1" w:rsidRPr="00FA4BF1" w:rsidRDefault="00FA4BF1" w:rsidP="00EA076F">
            <w:pPr>
              <w:pStyle w:val="CDITable-RowCentre"/>
              <w:rPr>
                <w:sz w:val="16"/>
              </w:rPr>
            </w:pPr>
            <w:r w:rsidRPr="00FA4BF1">
              <w:rPr>
                <w:sz w:val="16"/>
              </w:rPr>
              <w:t>10.6</w:t>
            </w:r>
          </w:p>
        </w:tc>
        <w:tc>
          <w:tcPr>
            <w:tcW w:w="59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E3598A6" w14:textId="77777777" w:rsidR="00FA4BF1" w:rsidRPr="00FA4BF1" w:rsidRDefault="00FA4BF1" w:rsidP="00EA076F">
            <w:pPr>
              <w:pStyle w:val="CDITable-RowCentre"/>
              <w:rPr>
                <w:sz w:val="16"/>
              </w:rPr>
            </w:pPr>
            <w:r w:rsidRPr="00FA4BF1">
              <w:rPr>
                <w:sz w:val="16"/>
              </w:rPr>
              <w:t>118</w:t>
            </w:r>
          </w:p>
        </w:tc>
        <w:tc>
          <w:tcPr>
            <w:tcW w:w="567" w:type="dxa"/>
            <w:tcBorders>
              <w:top w:val="single" w:sz="6" w:space="0" w:color="1E4496" w:themeColor="text2"/>
              <w:bottom w:val="single" w:sz="6" w:space="0" w:color="1E4496" w:themeColor="text2"/>
              <w:right w:val="single" w:sz="6" w:space="0" w:color="1E4496" w:themeColor="text2"/>
            </w:tcBorders>
            <w:tcMar>
              <w:top w:w="113" w:type="dxa"/>
              <w:left w:w="113" w:type="dxa"/>
              <w:bottom w:w="113" w:type="dxa"/>
              <w:right w:w="113" w:type="dxa"/>
            </w:tcMar>
            <w:vAlign w:val="center"/>
          </w:tcPr>
          <w:p w14:paraId="492DF6B7" w14:textId="77777777" w:rsidR="00FA4BF1" w:rsidRPr="00FA4BF1" w:rsidRDefault="00FA4BF1" w:rsidP="00EA076F">
            <w:pPr>
              <w:pStyle w:val="CDITable-RowCentre"/>
              <w:rPr>
                <w:sz w:val="16"/>
              </w:rPr>
            </w:pPr>
            <w:r w:rsidRPr="00FA4BF1">
              <w:rPr>
                <w:sz w:val="16"/>
              </w:rPr>
              <w:t>89.4</w:t>
            </w:r>
          </w:p>
        </w:tc>
        <w:tc>
          <w:tcPr>
            <w:tcW w:w="589" w:type="dxa"/>
            <w:tcBorders>
              <w:top w:val="single" w:sz="6" w:space="0" w:color="1E4496" w:themeColor="text2"/>
              <w:left w:val="single" w:sz="6" w:space="0" w:color="1E4496" w:themeColor="text2"/>
              <w:bottom w:val="single" w:sz="6" w:space="0" w:color="1E4496" w:themeColor="text2"/>
            </w:tcBorders>
            <w:tcMar>
              <w:top w:w="113" w:type="dxa"/>
              <w:left w:w="113" w:type="dxa"/>
              <w:bottom w:w="113" w:type="dxa"/>
              <w:right w:w="113" w:type="dxa"/>
            </w:tcMar>
            <w:vAlign w:val="center"/>
          </w:tcPr>
          <w:p w14:paraId="035E9F3A" w14:textId="77777777" w:rsidR="00FA4BF1" w:rsidRPr="00FA4BF1" w:rsidRDefault="00FA4BF1" w:rsidP="00EA076F">
            <w:pPr>
              <w:pStyle w:val="CDITable-RowCentre"/>
              <w:rPr>
                <w:sz w:val="16"/>
              </w:rPr>
            </w:pPr>
            <w:r w:rsidRPr="00FA4BF1">
              <w:rPr>
                <w:sz w:val="16"/>
              </w:rPr>
              <w:t>14</w:t>
            </w:r>
          </w:p>
        </w:tc>
        <w:tc>
          <w:tcPr>
            <w:tcW w:w="56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00F3841" w14:textId="77777777" w:rsidR="00FA4BF1" w:rsidRPr="00FA4BF1" w:rsidRDefault="00FA4BF1" w:rsidP="00EA076F">
            <w:pPr>
              <w:pStyle w:val="CDITable-RowCentre"/>
              <w:rPr>
                <w:sz w:val="16"/>
              </w:rPr>
            </w:pPr>
            <w:r w:rsidRPr="00FA4BF1">
              <w:rPr>
                <w:sz w:val="16"/>
              </w:rPr>
              <w:t>10.6</w:t>
            </w:r>
          </w:p>
        </w:tc>
        <w:tc>
          <w:tcPr>
            <w:tcW w:w="59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2EDFAB1" w14:textId="77777777" w:rsidR="00FA4BF1" w:rsidRPr="00FA4BF1" w:rsidRDefault="00FA4BF1" w:rsidP="00EA076F">
            <w:pPr>
              <w:pStyle w:val="CDITable-RowCentre"/>
              <w:rPr>
                <w:sz w:val="16"/>
              </w:rPr>
            </w:pPr>
            <w:r w:rsidRPr="00FA4BF1">
              <w:rPr>
                <w:sz w:val="16"/>
              </w:rPr>
              <w:t>118</w:t>
            </w:r>
          </w:p>
        </w:tc>
        <w:tc>
          <w:tcPr>
            <w:tcW w:w="567" w:type="dxa"/>
            <w:tcBorders>
              <w:top w:val="single" w:sz="6" w:space="0" w:color="1E4496" w:themeColor="text2"/>
              <w:bottom w:val="single" w:sz="6" w:space="0" w:color="1E4496" w:themeColor="text2"/>
              <w:right w:val="single" w:sz="6" w:space="0" w:color="1E4496" w:themeColor="text2"/>
            </w:tcBorders>
            <w:tcMar>
              <w:top w:w="113" w:type="dxa"/>
              <w:left w:w="113" w:type="dxa"/>
              <w:bottom w:w="113" w:type="dxa"/>
              <w:right w:w="113" w:type="dxa"/>
            </w:tcMar>
            <w:vAlign w:val="center"/>
          </w:tcPr>
          <w:p w14:paraId="3EB7336A" w14:textId="77777777" w:rsidR="00FA4BF1" w:rsidRPr="00FA4BF1" w:rsidRDefault="00FA4BF1" w:rsidP="00EA076F">
            <w:pPr>
              <w:pStyle w:val="CDITable-RowCentre"/>
              <w:rPr>
                <w:sz w:val="16"/>
              </w:rPr>
            </w:pPr>
            <w:r w:rsidRPr="00FA4BF1">
              <w:rPr>
                <w:sz w:val="16"/>
              </w:rPr>
              <w:t>89.4</w:t>
            </w:r>
          </w:p>
        </w:tc>
        <w:tc>
          <w:tcPr>
            <w:tcW w:w="590" w:type="dxa"/>
            <w:tcBorders>
              <w:top w:val="single" w:sz="6" w:space="0" w:color="1E4496" w:themeColor="text2"/>
              <w:left w:val="single" w:sz="6" w:space="0" w:color="1E4496" w:themeColor="text2"/>
              <w:bottom w:val="single" w:sz="6" w:space="0" w:color="1E4496" w:themeColor="text2"/>
            </w:tcBorders>
            <w:tcMar>
              <w:top w:w="113" w:type="dxa"/>
              <w:left w:w="113" w:type="dxa"/>
              <w:bottom w:w="113" w:type="dxa"/>
              <w:right w:w="113" w:type="dxa"/>
            </w:tcMar>
            <w:vAlign w:val="center"/>
          </w:tcPr>
          <w:p w14:paraId="153C3E8E" w14:textId="77777777" w:rsidR="00FA4BF1" w:rsidRPr="00FA4BF1" w:rsidRDefault="00FA4BF1" w:rsidP="00EA076F">
            <w:pPr>
              <w:pStyle w:val="CDITable-RowCentre"/>
              <w:rPr>
                <w:sz w:val="16"/>
              </w:rPr>
            </w:pPr>
            <w:r w:rsidRPr="00FA4BF1">
              <w:rPr>
                <w:sz w:val="16"/>
              </w:rPr>
              <w:t>14</w:t>
            </w:r>
          </w:p>
        </w:tc>
        <w:tc>
          <w:tcPr>
            <w:tcW w:w="566"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3388748" w14:textId="77777777" w:rsidR="00FA4BF1" w:rsidRPr="00FA4BF1" w:rsidRDefault="00FA4BF1" w:rsidP="00EA076F">
            <w:pPr>
              <w:pStyle w:val="CDITable-RowCentre"/>
              <w:rPr>
                <w:sz w:val="16"/>
              </w:rPr>
            </w:pPr>
            <w:r w:rsidRPr="00FA4BF1">
              <w:rPr>
                <w:sz w:val="16"/>
              </w:rPr>
              <w:t>10.8</w:t>
            </w:r>
          </w:p>
        </w:tc>
        <w:tc>
          <w:tcPr>
            <w:tcW w:w="59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AAAA9BF" w14:textId="77777777" w:rsidR="00FA4BF1" w:rsidRPr="00FA4BF1" w:rsidRDefault="00FA4BF1" w:rsidP="00EA076F">
            <w:pPr>
              <w:pStyle w:val="CDITable-RowCentre"/>
              <w:rPr>
                <w:sz w:val="16"/>
              </w:rPr>
            </w:pPr>
            <w:r w:rsidRPr="00FA4BF1">
              <w:rPr>
                <w:sz w:val="16"/>
              </w:rPr>
              <w:t>116</w:t>
            </w:r>
          </w:p>
        </w:tc>
        <w:tc>
          <w:tcPr>
            <w:tcW w:w="56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03F075D" w14:textId="77777777" w:rsidR="00FA4BF1" w:rsidRPr="00FA4BF1" w:rsidRDefault="00FA4BF1" w:rsidP="00EA076F">
            <w:pPr>
              <w:pStyle w:val="CDITable-RowCentre"/>
              <w:rPr>
                <w:sz w:val="16"/>
              </w:rPr>
            </w:pPr>
            <w:r w:rsidRPr="00FA4BF1">
              <w:rPr>
                <w:sz w:val="16"/>
              </w:rPr>
              <w:t>89.2</w:t>
            </w:r>
          </w:p>
        </w:tc>
      </w:tr>
      <w:tr w:rsidR="00B6546F" w:rsidRPr="00FA4BF1" w14:paraId="32EE84D8" w14:textId="77777777" w:rsidTr="00B6546F">
        <w:trPr>
          <w:trHeight w:val="60"/>
        </w:trPr>
        <w:tc>
          <w:tcPr>
            <w:tcW w:w="1361" w:type="dxa"/>
            <w:vMerge w:val="restart"/>
            <w:tcBorders>
              <w:top w:val="single" w:sz="6" w:space="0" w:color="1E4496" w:themeColor="text2"/>
              <w:bottom w:val="single" w:sz="6" w:space="0" w:color="1E4496" w:themeColor="text2"/>
            </w:tcBorders>
            <w:shd w:val="clear" w:color="auto" w:fill="DCF4FC" w:themeFill="background2" w:themeFillTint="33"/>
            <w:tcMar>
              <w:top w:w="113" w:type="dxa"/>
              <w:left w:w="113" w:type="dxa"/>
              <w:bottom w:w="113" w:type="dxa"/>
              <w:right w:w="113" w:type="dxa"/>
            </w:tcMar>
            <w:vAlign w:val="center"/>
          </w:tcPr>
          <w:p w14:paraId="0D88F064" w14:textId="77777777" w:rsidR="00FA4BF1" w:rsidRPr="00FA4BF1" w:rsidRDefault="00FA4BF1" w:rsidP="00EA076F">
            <w:pPr>
              <w:pStyle w:val="CDITable-RowLeft"/>
              <w:rPr>
                <w:sz w:val="16"/>
              </w:rPr>
            </w:pPr>
            <w:r w:rsidRPr="00FA4BF1">
              <w:rPr>
                <w:sz w:val="16"/>
              </w:rPr>
              <w:t xml:space="preserve">Device-related </w:t>
            </w:r>
            <w:proofErr w:type="spellStart"/>
            <w:r w:rsidRPr="00FA4BF1">
              <w:rPr>
                <w:sz w:val="16"/>
              </w:rPr>
              <w:t>BSI</w:t>
            </w:r>
            <w:r w:rsidRPr="00FA4BF1">
              <w:rPr>
                <w:sz w:val="16"/>
                <w:vertAlign w:val="superscript"/>
              </w:rPr>
              <w:t>f</w:t>
            </w:r>
            <w:proofErr w:type="spellEnd"/>
          </w:p>
        </w:tc>
        <w:tc>
          <w:tcPr>
            <w:tcW w:w="141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97AE233" w14:textId="77777777" w:rsidR="00FA4BF1" w:rsidRPr="00FA4BF1" w:rsidRDefault="00FA4BF1" w:rsidP="00EA076F">
            <w:pPr>
              <w:pStyle w:val="CDITable-RowLeft"/>
              <w:rPr>
                <w:sz w:val="16"/>
              </w:rPr>
            </w:pPr>
            <w:r w:rsidRPr="00FA4BF1">
              <w:rPr>
                <w:sz w:val="16"/>
              </w:rPr>
              <w:t>Yes</w:t>
            </w:r>
          </w:p>
        </w:tc>
        <w:tc>
          <w:tcPr>
            <w:tcW w:w="59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A44AF5E" w14:textId="77777777" w:rsidR="00FA4BF1" w:rsidRPr="00FA4BF1" w:rsidRDefault="00FA4BF1" w:rsidP="00EA076F">
            <w:pPr>
              <w:pStyle w:val="CDITable-RowCentre"/>
              <w:rPr>
                <w:sz w:val="16"/>
              </w:rPr>
            </w:pPr>
            <w:r w:rsidRPr="00FA4BF1">
              <w:rPr>
                <w:sz w:val="16"/>
              </w:rPr>
              <w:t>34</w:t>
            </w:r>
          </w:p>
        </w:tc>
        <w:tc>
          <w:tcPr>
            <w:tcW w:w="566"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808981F" w14:textId="77777777" w:rsidR="00FA4BF1" w:rsidRPr="00FA4BF1" w:rsidRDefault="00FA4BF1" w:rsidP="00EA076F">
            <w:pPr>
              <w:pStyle w:val="CDITable-RowCentre"/>
              <w:rPr>
                <w:sz w:val="16"/>
              </w:rPr>
            </w:pPr>
            <w:r w:rsidRPr="00FA4BF1">
              <w:rPr>
                <w:sz w:val="16"/>
              </w:rPr>
              <w:t>20</w:t>
            </w:r>
          </w:p>
        </w:tc>
        <w:tc>
          <w:tcPr>
            <w:tcW w:w="59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CC0911D" w14:textId="77777777" w:rsidR="00FA4BF1" w:rsidRPr="00FA4BF1" w:rsidRDefault="00FA4BF1" w:rsidP="00EA076F">
            <w:pPr>
              <w:pStyle w:val="CDITable-RowCentre"/>
              <w:rPr>
                <w:sz w:val="16"/>
              </w:rPr>
            </w:pPr>
            <w:r w:rsidRPr="00FA4BF1">
              <w:rPr>
                <w:sz w:val="16"/>
              </w:rPr>
              <w:t>136</w:t>
            </w:r>
          </w:p>
        </w:tc>
        <w:tc>
          <w:tcPr>
            <w:tcW w:w="567" w:type="dxa"/>
            <w:tcBorders>
              <w:top w:val="single" w:sz="6" w:space="0" w:color="1E4496" w:themeColor="text2"/>
              <w:bottom w:val="single" w:sz="6" w:space="0" w:color="1E4496" w:themeColor="text2"/>
              <w:right w:val="single" w:sz="6" w:space="0" w:color="1E4496" w:themeColor="text2"/>
            </w:tcBorders>
            <w:tcMar>
              <w:top w:w="113" w:type="dxa"/>
              <w:left w:w="113" w:type="dxa"/>
              <w:bottom w:w="113" w:type="dxa"/>
              <w:right w:w="113" w:type="dxa"/>
            </w:tcMar>
            <w:vAlign w:val="center"/>
          </w:tcPr>
          <w:p w14:paraId="228BD3B0" w14:textId="77777777" w:rsidR="00FA4BF1" w:rsidRPr="00FA4BF1" w:rsidRDefault="00FA4BF1" w:rsidP="00EA076F">
            <w:pPr>
              <w:pStyle w:val="CDITable-RowCentre"/>
              <w:rPr>
                <w:sz w:val="16"/>
              </w:rPr>
            </w:pPr>
            <w:r w:rsidRPr="00FA4BF1">
              <w:rPr>
                <w:sz w:val="16"/>
              </w:rPr>
              <w:t>80</w:t>
            </w:r>
          </w:p>
        </w:tc>
        <w:tc>
          <w:tcPr>
            <w:tcW w:w="590" w:type="dxa"/>
            <w:tcBorders>
              <w:top w:val="single" w:sz="6" w:space="0" w:color="1E4496" w:themeColor="text2"/>
              <w:left w:val="single" w:sz="6" w:space="0" w:color="1E4496" w:themeColor="text2"/>
              <w:bottom w:val="single" w:sz="6" w:space="0" w:color="1E4496" w:themeColor="text2"/>
            </w:tcBorders>
            <w:tcMar>
              <w:top w:w="113" w:type="dxa"/>
              <w:left w:w="113" w:type="dxa"/>
              <w:bottom w:w="113" w:type="dxa"/>
              <w:right w:w="113" w:type="dxa"/>
            </w:tcMar>
            <w:vAlign w:val="center"/>
          </w:tcPr>
          <w:p w14:paraId="6944CBB8" w14:textId="77777777" w:rsidR="00FA4BF1" w:rsidRPr="00FA4BF1" w:rsidRDefault="00FA4BF1" w:rsidP="00EA076F">
            <w:pPr>
              <w:pStyle w:val="CDITable-RowCentre"/>
              <w:rPr>
                <w:sz w:val="16"/>
              </w:rPr>
            </w:pPr>
            <w:r w:rsidRPr="00FA4BF1">
              <w:rPr>
                <w:sz w:val="16"/>
              </w:rPr>
              <w:t>29</w:t>
            </w:r>
          </w:p>
        </w:tc>
        <w:tc>
          <w:tcPr>
            <w:tcW w:w="56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F48484F" w14:textId="77777777" w:rsidR="00FA4BF1" w:rsidRPr="00FA4BF1" w:rsidRDefault="00FA4BF1" w:rsidP="00EA076F">
            <w:pPr>
              <w:pStyle w:val="CDITable-RowCentre"/>
              <w:rPr>
                <w:sz w:val="16"/>
              </w:rPr>
            </w:pPr>
            <w:r w:rsidRPr="00FA4BF1">
              <w:rPr>
                <w:sz w:val="16"/>
              </w:rPr>
              <w:t>17.1</w:t>
            </w:r>
          </w:p>
        </w:tc>
        <w:tc>
          <w:tcPr>
            <w:tcW w:w="589"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30AB8D7" w14:textId="77777777" w:rsidR="00FA4BF1" w:rsidRPr="00FA4BF1" w:rsidRDefault="00FA4BF1" w:rsidP="00EA076F">
            <w:pPr>
              <w:pStyle w:val="CDITable-RowCentre"/>
              <w:rPr>
                <w:sz w:val="16"/>
              </w:rPr>
            </w:pPr>
            <w:r w:rsidRPr="00FA4BF1">
              <w:rPr>
                <w:sz w:val="16"/>
              </w:rPr>
              <w:t>141</w:t>
            </w:r>
          </w:p>
        </w:tc>
        <w:tc>
          <w:tcPr>
            <w:tcW w:w="567" w:type="dxa"/>
            <w:tcBorders>
              <w:top w:val="single" w:sz="6" w:space="0" w:color="1E4496" w:themeColor="text2"/>
              <w:bottom w:val="single" w:sz="6" w:space="0" w:color="1E4496" w:themeColor="text2"/>
              <w:right w:val="single" w:sz="6" w:space="0" w:color="1E4496" w:themeColor="text2"/>
            </w:tcBorders>
            <w:tcMar>
              <w:top w:w="113" w:type="dxa"/>
              <w:left w:w="113" w:type="dxa"/>
              <w:bottom w:w="113" w:type="dxa"/>
              <w:right w:w="113" w:type="dxa"/>
            </w:tcMar>
            <w:vAlign w:val="center"/>
          </w:tcPr>
          <w:p w14:paraId="2D620E83" w14:textId="77777777" w:rsidR="00FA4BF1" w:rsidRPr="00FA4BF1" w:rsidRDefault="00FA4BF1" w:rsidP="00EA076F">
            <w:pPr>
              <w:pStyle w:val="CDITable-RowCentre"/>
              <w:rPr>
                <w:sz w:val="16"/>
              </w:rPr>
            </w:pPr>
            <w:r w:rsidRPr="00FA4BF1">
              <w:rPr>
                <w:sz w:val="16"/>
              </w:rPr>
              <w:t>82.9</w:t>
            </w:r>
          </w:p>
        </w:tc>
        <w:tc>
          <w:tcPr>
            <w:tcW w:w="595" w:type="dxa"/>
            <w:tcBorders>
              <w:top w:val="single" w:sz="6" w:space="0" w:color="1E4496" w:themeColor="text2"/>
              <w:left w:val="single" w:sz="6" w:space="0" w:color="1E4496" w:themeColor="text2"/>
              <w:bottom w:val="single" w:sz="6" w:space="0" w:color="1E4496" w:themeColor="text2"/>
            </w:tcBorders>
            <w:tcMar>
              <w:top w:w="113" w:type="dxa"/>
              <w:left w:w="113" w:type="dxa"/>
              <w:bottom w:w="113" w:type="dxa"/>
              <w:right w:w="113" w:type="dxa"/>
            </w:tcMar>
            <w:vAlign w:val="center"/>
          </w:tcPr>
          <w:p w14:paraId="25D37B7A" w14:textId="77777777" w:rsidR="00FA4BF1" w:rsidRPr="00FA4BF1" w:rsidRDefault="00FA4BF1" w:rsidP="00EA076F">
            <w:pPr>
              <w:pStyle w:val="CDITable-RowCentre"/>
              <w:rPr>
                <w:sz w:val="16"/>
              </w:rPr>
            </w:pPr>
            <w:r w:rsidRPr="00FA4BF1">
              <w:rPr>
                <w:sz w:val="16"/>
              </w:rPr>
              <w:t>7</w:t>
            </w:r>
          </w:p>
        </w:tc>
        <w:tc>
          <w:tcPr>
            <w:tcW w:w="56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D34C087" w14:textId="77777777" w:rsidR="00FA4BF1" w:rsidRPr="00FA4BF1" w:rsidRDefault="00FA4BF1" w:rsidP="00EA076F">
            <w:pPr>
              <w:pStyle w:val="CDITable-RowCentre"/>
              <w:rPr>
                <w:sz w:val="16"/>
              </w:rPr>
            </w:pPr>
            <w:r w:rsidRPr="00FA4BF1">
              <w:rPr>
                <w:sz w:val="16"/>
              </w:rPr>
              <w:t>7.1</w:t>
            </w:r>
          </w:p>
        </w:tc>
        <w:tc>
          <w:tcPr>
            <w:tcW w:w="59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BCAC047" w14:textId="77777777" w:rsidR="00FA4BF1" w:rsidRPr="00FA4BF1" w:rsidRDefault="00FA4BF1" w:rsidP="00EA076F">
            <w:pPr>
              <w:pStyle w:val="CDITable-RowCentre"/>
              <w:rPr>
                <w:sz w:val="16"/>
              </w:rPr>
            </w:pPr>
            <w:r w:rsidRPr="00FA4BF1">
              <w:rPr>
                <w:sz w:val="16"/>
              </w:rPr>
              <w:t>92</w:t>
            </w:r>
          </w:p>
        </w:tc>
        <w:tc>
          <w:tcPr>
            <w:tcW w:w="567" w:type="dxa"/>
            <w:tcBorders>
              <w:top w:val="single" w:sz="6" w:space="0" w:color="1E4496" w:themeColor="text2"/>
              <w:bottom w:val="single" w:sz="6" w:space="0" w:color="1E4496" w:themeColor="text2"/>
              <w:right w:val="single" w:sz="6" w:space="0" w:color="1E4496" w:themeColor="text2"/>
            </w:tcBorders>
            <w:tcMar>
              <w:top w:w="113" w:type="dxa"/>
              <w:left w:w="113" w:type="dxa"/>
              <w:bottom w:w="113" w:type="dxa"/>
              <w:right w:w="113" w:type="dxa"/>
            </w:tcMar>
            <w:vAlign w:val="center"/>
          </w:tcPr>
          <w:p w14:paraId="1C3F3757" w14:textId="77777777" w:rsidR="00FA4BF1" w:rsidRPr="00FA4BF1" w:rsidRDefault="00FA4BF1" w:rsidP="00EA076F">
            <w:pPr>
              <w:pStyle w:val="CDITable-RowCentre"/>
              <w:rPr>
                <w:sz w:val="16"/>
              </w:rPr>
            </w:pPr>
            <w:r w:rsidRPr="00FA4BF1">
              <w:rPr>
                <w:sz w:val="16"/>
              </w:rPr>
              <w:t>92.9</w:t>
            </w:r>
          </w:p>
        </w:tc>
        <w:tc>
          <w:tcPr>
            <w:tcW w:w="589" w:type="dxa"/>
            <w:tcBorders>
              <w:top w:val="single" w:sz="6" w:space="0" w:color="1E4496" w:themeColor="text2"/>
              <w:left w:val="single" w:sz="6" w:space="0" w:color="1E4496" w:themeColor="text2"/>
              <w:bottom w:val="single" w:sz="6" w:space="0" w:color="1E4496" w:themeColor="text2"/>
            </w:tcBorders>
            <w:tcMar>
              <w:top w:w="113" w:type="dxa"/>
              <w:left w:w="113" w:type="dxa"/>
              <w:bottom w:w="113" w:type="dxa"/>
              <w:right w:w="113" w:type="dxa"/>
            </w:tcMar>
            <w:vAlign w:val="center"/>
          </w:tcPr>
          <w:p w14:paraId="403ACC63" w14:textId="77777777" w:rsidR="00FA4BF1" w:rsidRPr="00FA4BF1" w:rsidRDefault="00FA4BF1" w:rsidP="00EA076F">
            <w:pPr>
              <w:pStyle w:val="CDITable-RowCentre"/>
              <w:rPr>
                <w:sz w:val="16"/>
              </w:rPr>
            </w:pPr>
            <w:r w:rsidRPr="00FA4BF1">
              <w:rPr>
                <w:sz w:val="16"/>
              </w:rPr>
              <w:t>8</w:t>
            </w:r>
          </w:p>
        </w:tc>
        <w:tc>
          <w:tcPr>
            <w:tcW w:w="56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ABFCC41" w14:textId="77777777" w:rsidR="00FA4BF1" w:rsidRPr="00FA4BF1" w:rsidRDefault="00FA4BF1" w:rsidP="00EA076F">
            <w:pPr>
              <w:pStyle w:val="CDITable-RowCentre"/>
              <w:rPr>
                <w:sz w:val="16"/>
              </w:rPr>
            </w:pPr>
            <w:r w:rsidRPr="00FA4BF1">
              <w:rPr>
                <w:sz w:val="16"/>
              </w:rPr>
              <w:t>8.1</w:t>
            </w:r>
          </w:p>
        </w:tc>
        <w:tc>
          <w:tcPr>
            <w:tcW w:w="59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B0BAEBC" w14:textId="77777777" w:rsidR="00FA4BF1" w:rsidRPr="00FA4BF1" w:rsidRDefault="00FA4BF1" w:rsidP="00EA076F">
            <w:pPr>
              <w:pStyle w:val="CDITable-RowCentre"/>
              <w:rPr>
                <w:sz w:val="16"/>
              </w:rPr>
            </w:pPr>
            <w:r w:rsidRPr="00FA4BF1">
              <w:rPr>
                <w:sz w:val="16"/>
              </w:rPr>
              <w:t>91</w:t>
            </w:r>
          </w:p>
        </w:tc>
        <w:tc>
          <w:tcPr>
            <w:tcW w:w="567" w:type="dxa"/>
            <w:tcBorders>
              <w:top w:val="single" w:sz="6" w:space="0" w:color="1E4496" w:themeColor="text2"/>
              <w:bottom w:val="single" w:sz="6" w:space="0" w:color="1E4496" w:themeColor="text2"/>
              <w:right w:val="single" w:sz="6" w:space="0" w:color="1E4496" w:themeColor="text2"/>
            </w:tcBorders>
            <w:tcMar>
              <w:top w:w="113" w:type="dxa"/>
              <w:left w:w="113" w:type="dxa"/>
              <w:bottom w:w="113" w:type="dxa"/>
              <w:right w:w="113" w:type="dxa"/>
            </w:tcMar>
            <w:vAlign w:val="center"/>
          </w:tcPr>
          <w:p w14:paraId="2A3B22F6" w14:textId="77777777" w:rsidR="00FA4BF1" w:rsidRPr="00FA4BF1" w:rsidRDefault="00FA4BF1" w:rsidP="00EA076F">
            <w:pPr>
              <w:pStyle w:val="CDITable-RowCentre"/>
              <w:rPr>
                <w:sz w:val="16"/>
              </w:rPr>
            </w:pPr>
            <w:r w:rsidRPr="00FA4BF1">
              <w:rPr>
                <w:sz w:val="16"/>
              </w:rPr>
              <w:t>91.9</w:t>
            </w:r>
          </w:p>
        </w:tc>
        <w:tc>
          <w:tcPr>
            <w:tcW w:w="590" w:type="dxa"/>
            <w:tcBorders>
              <w:top w:val="single" w:sz="6" w:space="0" w:color="1E4496" w:themeColor="text2"/>
              <w:left w:val="single" w:sz="6" w:space="0" w:color="1E4496" w:themeColor="text2"/>
              <w:bottom w:val="single" w:sz="6" w:space="0" w:color="1E4496" w:themeColor="text2"/>
            </w:tcBorders>
            <w:tcMar>
              <w:top w:w="113" w:type="dxa"/>
              <w:left w:w="113" w:type="dxa"/>
              <w:bottom w:w="113" w:type="dxa"/>
              <w:right w:w="113" w:type="dxa"/>
            </w:tcMar>
            <w:vAlign w:val="center"/>
          </w:tcPr>
          <w:p w14:paraId="39B907D7" w14:textId="77777777" w:rsidR="00FA4BF1" w:rsidRPr="00FA4BF1" w:rsidRDefault="00FA4BF1" w:rsidP="00EA076F">
            <w:pPr>
              <w:pStyle w:val="CDITable-RowCentre"/>
              <w:rPr>
                <w:sz w:val="16"/>
              </w:rPr>
            </w:pPr>
            <w:r w:rsidRPr="00FA4BF1">
              <w:rPr>
                <w:sz w:val="16"/>
              </w:rPr>
              <w:t>5</w:t>
            </w:r>
          </w:p>
        </w:tc>
        <w:tc>
          <w:tcPr>
            <w:tcW w:w="566"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A6EA018" w14:textId="77777777" w:rsidR="00FA4BF1" w:rsidRPr="00FA4BF1" w:rsidRDefault="00FA4BF1" w:rsidP="00EA076F">
            <w:pPr>
              <w:pStyle w:val="CDITable-RowCentre"/>
              <w:rPr>
                <w:sz w:val="16"/>
              </w:rPr>
            </w:pPr>
            <w:r w:rsidRPr="00FA4BF1">
              <w:rPr>
                <w:sz w:val="16"/>
              </w:rPr>
              <w:t>6.6</w:t>
            </w:r>
          </w:p>
        </w:tc>
        <w:tc>
          <w:tcPr>
            <w:tcW w:w="59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1007C27" w14:textId="77777777" w:rsidR="00FA4BF1" w:rsidRPr="00FA4BF1" w:rsidRDefault="00FA4BF1" w:rsidP="00EA076F">
            <w:pPr>
              <w:pStyle w:val="CDITable-RowCentre"/>
              <w:rPr>
                <w:sz w:val="16"/>
              </w:rPr>
            </w:pPr>
            <w:r w:rsidRPr="00FA4BF1">
              <w:rPr>
                <w:sz w:val="16"/>
              </w:rPr>
              <w:t>71</w:t>
            </w:r>
          </w:p>
        </w:tc>
        <w:tc>
          <w:tcPr>
            <w:tcW w:w="56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AA7D04B" w14:textId="77777777" w:rsidR="00FA4BF1" w:rsidRPr="00FA4BF1" w:rsidRDefault="00FA4BF1" w:rsidP="00EA076F">
            <w:pPr>
              <w:pStyle w:val="CDITable-RowCentre"/>
              <w:rPr>
                <w:sz w:val="16"/>
              </w:rPr>
            </w:pPr>
            <w:r w:rsidRPr="00FA4BF1">
              <w:rPr>
                <w:sz w:val="16"/>
              </w:rPr>
              <w:t>93.4</w:t>
            </w:r>
          </w:p>
        </w:tc>
      </w:tr>
      <w:tr w:rsidR="00B6546F" w:rsidRPr="00FA4BF1" w14:paraId="15DA1B11" w14:textId="77777777" w:rsidTr="00B6546F">
        <w:trPr>
          <w:trHeight w:val="60"/>
        </w:trPr>
        <w:tc>
          <w:tcPr>
            <w:tcW w:w="1361" w:type="dxa"/>
            <w:vMerge/>
            <w:tcBorders>
              <w:bottom w:val="single" w:sz="6" w:space="0" w:color="1E4496" w:themeColor="text2"/>
            </w:tcBorders>
            <w:shd w:val="clear" w:color="auto" w:fill="DCF4FC" w:themeFill="background2" w:themeFillTint="33"/>
          </w:tcPr>
          <w:p w14:paraId="036B23C5" w14:textId="77777777" w:rsidR="00FA4BF1" w:rsidRPr="00FA4BF1" w:rsidRDefault="00FA4BF1" w:rsidP="00EA076F">
            <w:pPr>
              <w:pStyle w:val="CDITable-RowLeft"/>
              <w:rPr>
                <w:sz w:val="16"/>
              </w:rPr>
            </w:pPr>
          </w:p>
        </w:tc>
        <w:tc>
          <w:tcPr>
            <w:tcW w:w="141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047F31D" w14:textId="77777777" w:rsidR="00FA4BF1" w:rsidRPr="00FA4BF1" w:rsidRDefault="00FA4BF1" w:rsidP="00EA076F">
            <w:pPr>
              <w:pStyle w:val="CDITable-RowLeft"/>
              <w:rPr>
                <w:sz w:val="16"/>
              </w:rPr>
            </w:pPr>
            <w:r w:rsidRPr="00FA4BF1">
              <w:rPr>
                <w:sz w:val="16"/>
              </w:rPr>
              <w:t>No</w:t>
            </w:r>
          </w:p>
        </w:tc>
        <w:tc>
          <w:tcPr>
            <w:tcW w:w="59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346825E" w14:textId="77777777" w:rsidR="00FA4BF1" w:rsidRPr="00FA4BF1" w:rsidRDefault="00FA4BF1" w:rsidP="00EA076F">
            <w:pPr>
              <w:pStyle w:val="CDITable-RowCentre"/>
              <w:rPr>
                <w:sz w:val="16"/>
              </w:rPr>
            </w:pPr>
            <w:r w:rsidRPr="00FA4BF1">
              <w:rPr>
                <w:sz w:val="16"/>
              </w:rPr>
              <w:t>126</w:t>
            </w:r>
          </w:p>
        </w:tc>
        <w:tc>
          <w:tcPr>
            <w:tcW w:w="566"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3041A07" w14:textId="77777777" w:rsidR="00FA4BF1" w:rsidRPr="00FA4BF1" w:rsidRDefault="00FA4BF1" w:rsidP="00EA076F">
            <w:pPr>
              <w:pStyle w:val="CDITable-RowCentre"/>
              <w:rPr>
                <w:sz w:val="16"/>
              </w:rPr>
            </w:pPr>
            <w:r w:rsidRPr="00FA4BF1">
              <w:rPr>
                <w:sz w:val="16"/>
              </w:rPr>
              <w:t>18.1</w:t>
            </w:r>
          </w:p>
        </w:tc>
        <w:tc>
          <w:tcPr>
            <w:tcW w:w="59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F675C21" w14:textId="77777777" w:rsidR="00FA4BF1" w:rsidRPr="00FA4BF1" w:rsidRDefault="00FA4BF1" w:rsidP="00EA076F">
            <w:pPr>
              <w:pStyle w:val="CDITable-RowCentre"/>
              <w:rPr>
                <w:sz w:val="16"/>
              </w:rPr>
            </w:pPr>
            <w:r w:rsidRPr="00FA4BF1">
              <w:rPr>
                <w:sz w:val="16"/>
              </w:rPr>
              <w:t>569</w:t>
            </w:r>
          </w:p>
        </w:tc>
        <w:tc>
          <w:tcPr>
            <w:tcW w:w="567" w:type="dxa"/>
            <w:tcBorders>
              <w:top w:val="single" w:sz="6" w:space="0" w:color="1E4496" w:themeColor="text2"/>
              <w:bottom w:val="single" w:sz="6" w:space="0" w:color="1E4496" w:themeColor="text2"/>
              <w:right w:val="single" w:sz="6" w:space="0" w:color="1E4496" w:themeColor="text2"/>
            </w:tcBorders>
            <w:tcMar>
              <w:top w:w="113" w:type="dxa"/>
              <w:left w:w="113" w:type="dxa"/>
              <w:bottom w:w="113" w:type="dxa"/>
              <w:right w:w="113" w:type="dxa"/>
            </w:tcMar>
            <w:vAlign w:val="center"/>
          </w:tcPr>
          <w:p w14:paraId="2B4632CF" w14:textId="77777777" w:rsidR="00FA4BF1" w:rsidRPr="00FA4BF1" w:rsidRDefault="00FA4BF1" w:rsidP="00EA076F">
            <w:pPr>
              <w:pStyle w:val="CDITable-RowCentre"/>
              <w:rPr>
                <w:sz w:val="16"/>
              </w:rPr>
            </w:pPr>
            <w:r w:rsidRPr="00FA4BF1">
              <w:rPr>
                <w:sz w:val="16"/>
              </w:rPr>
              <w:t>81.9</w:t>
            </w:r>
          </w:p>
        </w:tc>
        <w:tc>
          <w:tcPr>
            <w:tcW w:w="590" w:type="dxa"/>
            <w:tcBorders>
              <w:top w:val="single" w:sz="6" w:space="0" w:color="1E4496" w:themeColor="text2"/>
              <w:left w:val="single" w:sz="6" w:space="0" w:color="1E4496" w:themeColor="text2"/>
              <w:bottom w:val="single" w:sz="6" w:space="0" w:color="1E4496" w:themeColor="text2"/>
            </w:tcBorders>
            <w:tcMar>
              <w:top w:w="113" w:type="dxa"/>
              <w:left w:w="113" w:type="dxa"/>
              <w:bottom w:w="113" w:type="dxa"/>
              <w:right w:w="113" w:type="dxa"/>
            </w:tcMar>
            <w:vAlign w:val="center"/>
          </w:tcPr>
          <w:p w14:paraId="3F17FA5A" w14:textId="77777777" w:rsidR="00FA4BF1" w:rsidRPr="00FA4BF1" w:rsidRDefault="00FA4BF1" w:rsidP="00EA076F">
            <w:pPr>
              <w:pStyle w:val="CDITable-RowCentre"/>
              <w:rPr>
                <w:sz w:val="16"/>
              </w:rPr>
            </w:pPr>
            <w:r w:rsidRPr="00FA4BF1">
              <w:rPr>
                <w:sz w:val="16"/>
              </w:rPr>
              <w:t>88</w:t>
            </w:r>
          </w:p>
        </w:tc>
        <w:tc>
          <w:tcPr>
            <w:tcW w:w="56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5EC2FA8" w14:textId="77777777" w:rsidR="00FA4BF1" w:rsidRPr="00FA4BF1" w:rsidRDefault="00FA4BF1" w:rsidP="00EA076F">
            <w:pPr>
              <w:pStyle w:val="CDITable-RowCentre"/>
              <w:rPr>
                <w:sz w:val="16"/>
              </w:rPr>
            </w:pPr>
            <w:r w:rsidRPr="00FA4BF1">
              <w:rPr>
                <w:sz w:val="16"/>
              </w:rPr>
              <w:t>12.7</w:t>
            </w:r>
          </w:p>
        </w:tc>
        <w:tc>
          <w:tcPr>
            <w:tcW w:w="589"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0ECF528" w14:textId="77777777" w:rsidR="00FA4BF1" w:rsidRPr="00FA4BF1" w:rsidRDefault="00FA4BF1" w:rsidP="00EA076F">
            <w:pPr>
              <w:pStyle w:val="CDITable-RowCentre"/>
              <w:rPr>
                <w:sz w:val="16"/>
              </w:rPr>
            </w:pPr>
            <w:r w:rsidRPr="00FA4BF1">
              <w:rPr>
                <w:sz w:val="16"/>
              </w:rPr>
              <w:t>607</w:t>
            </w:r>
          </w:p>
        </w:tc>
        <w:tc>
          <w:tcPr>
            <w:tcW w:w="567" w:type="dxa"/>
            <w:tcBorders>
              <w:top w:val="single" w:sz="6" w:space="0" w:color="1E4496" w:themeColor="text2"/>
              <w:bottom w:val="single" w:sz="6" w:space="0" w:color="1E4496" w:themeColor="text2"/>
              <w:right w:val="single" w:sz="6" w:space="0" w:color="1E4496" w:themeColor="text2"/>
            </w:tcBorders>
            <w:tcMar>
              <w:top w:w="113" w:type="dxa"/>
              <w:left w:w="113" w:type="dxa"/>
              <w:bottom w:w="113" w:type="dxa"/>
              <w:right w:w="113" w:type="dxa"/>
            </w:tcMar>
            <w:vAlign w:val="center"/>
          </w:tcPr>
          <w:p w14:paraId="3D85D10E" w14:textId="77777777" w:rsidR="00FA4BF1" w:rsidRPr="00FA4BF1" w:rsidRDefault="00FA4BF1" w:rsidP="00EA076F">
            <w:pPr>
              <w:pStyle w:val="CDITable-RowCentre"/>
              <w:rPr>
                <w:sz w:val="16"/>
              </w:rPr>
            </w:pPr>
            <w:r w:rsidRPr="00FA4BF1">
              <w:rPr>
                <w:sz w:val="16"/>
              </w:rPr>
              <w:t>87.3</w:t>
            </w:r>
          </w:p>
        </w:tc>
        <w:tc>
          <w:tcPr>
            <w:tcW w:w="595" w:type="dxa"/>
            <w:tcBorders>
              <w:top w:val="single" w:sz="6" w:space="0" w:color="1E4496" w:themeColor="text2"/>
              <w:left w:val="single" w:sz="6" w:space="0" w:color="1E4496" w:themeColor="text2"/>
              <w:bottom w:val="single" w:sz="6" w:space="0" w:color="1E4496" w:themeColor="text2"/>
            </w:tcBorders>
            <w:tcMar>
              <w:top w:w="113" w:type="dxa"/>
              <w:left w:w="113" w:type="dxa"/>
              <w:bottom w:w="113" w:type="dxa"/>
              <w:right w:w="113" w:type="dxa"/>
            </w:tcMar>
            <w:vAlign w:val="center"/>
          </w:tcPr>
          <w:p w14:paraId="51B1D18A" w14:textId="77777777" w:rsidR="00FA4BF1" w:rsidRPr="00FA4BF1" w:rsidRDefault="00FA4BF1" w:rsidP="00EA076F">
            <w:pPr>
              <w:pStyle w:val="CDITable-RowCentre"/>
              <w:rPr>
                <w:sz w:val="16"/>
              </w:rPr>
            </w:pPr>
            <w:r w:rsidRPr="00FA4BF1">
              <w:rPr>
                <w:sz w:val="16"/>
              </w:rPr>
              <w:t>22</w:t>
            </w:r>
          </w:p>
        </w:tc>
        <w:tc>
          <w:tcPr>
            <w:tcW w:w="56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DC0719A" w14:textId="77777777" w:rsidR="00FA4BF1" w:rsidRPr="00FA4BF1" w:rsidRDefault="00FA4BF1" w:rsidP="00EA076F">
            <w:pPr>
              <w:pStyle w:val="CDITable-RowCentre"/>
              <w:rPr>
                <w:sz w:val="16"/>
              </w:rPr>
            </w:pPr>
            <w:r w:rsidRPr="00FA4BF1">
              <w:rPr>
                <w:sz w:val="16"/>
              </w:rPr>
              <w:t>4.7</w:t>
            </w:r>
          </w:p>
        </w:tc>
        <w:tc>
          <w:tcPr>
            <w:tcW w:w="59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AD2EBF3" w14:textId="77777777" w:rsidR="00FA4BF1" w:rsidRPr="00FA4BF1" w:rsidRDefault="00FA4BF1" w:rsidP="00EA076F">
            <w:pPr>
              <w:pStyle w:val="CDITable-RowCentre"/>
              <w:rPr>
                <w:sz w:val="16"/>
              </w:rPr>
            </w:pPr>
            <w:r w:rsidRPr="00FA4BF1">
              <w:rPr>
                <w:sz w:val="16"/>
              </w:rPr>
              <w:t>442</w:t>
            </w:r>
          </w:p>
        </w:tc>
        <w:tc>
          <w:tcPr>
            <w:tcW w:w="567" w:type="dxa"/>
            <w:tcBorders>
              <w:top w:val="single" w:sz="6" w:space="0" w:color="1E4496" w:themeColor="text2"/>
              <w:bottom w:val="single" w:sz="6" w:space="0" w:color="1E4496" w:themeColor="text2"/>
              <w:right w:val="single" w:sz="6" w:space="0" w:color="1E4496" w:themeColor="text2"/>
            </w:tcBorders>
            <w:tcMar>
              <w:top w:w="113" w:type="dxa"/>
              <w:left w:w="113" w:type="dxa"/>
              <w:bottom w:w="113" w:type="dxa"/>
              <w:right w:w="113" w:type="dxa"/>
            </w:tcMar>
            <w:vAlign w:val="center"/>
          </w:tcPr>
          <w:p w14:paraId="18B29C4D" w14:textId="77777777" w:rsidR="00FA4BF1" w:rsidRPr="00FA4BF1" w:rsidRDefault="00FA4BF1" w:rsidP="00EA076F">
            <w:pPr>
              <w:pStyle w:val="CDITable-RowCentre"/>
              <w:rPr>
                <w:sz w:val="16"/>
              </w:rPr>
            </w:pPr>
            <w:r w:rsidRPr="00FA4BF1">
              <w:rPr>
                <w:sz w:val="16"/>
              </w:rPr>
              <w:t>95.3</w:t>
            </w:r>
          </w:p>
        </w:tc>
        <w:tc>
          <w:tcPr>
            <w:tcW w:w="589" w:type="dxa"/>
            <w:tcBorders>
              <w:top w:val="single" w:sz="6" w:space="0" w:color="1E4496" w:themeColor="text2"/>
              <w:left w:val="single" w:sz="6" w:space="0" w:color="1E4496" w:themeColor="text2"/>
              <w:bottom w:val="single" w:sz="6" w:space="0" w:color="1E4496" w:themeColor="text2"/>
            </w:tcBorders>
            <w:tcMar>
              <w:top w:w="113" w:type="dxa"/>
              <w:left w:w="113" w:type="dxa"/>
              <w:bottom w:w="113" w:type="dxa"/>
              <w:right w:w="113" w:type="dxa"/>
            </w:tcMar>
            <w:vAlign w:val="center"/>
          </w:tcPr>
          <w:p w14:paraId="1722F357" w14:textId="77777777" w:rsidR="00FA4BF1" w:rsidRPr="00FA4BF1" w:rsidRDefault="00FA4BF1" w:rsidP="00EA076F">
            <w:pPr>
              <w:pStyle w:val="CDITable-RowCentre"/>
              <w:rPr>
                <w:sz w:val="16"/>
              </w:rPr>
            </w:pPr>
            <w:r w:rsidRPr="00FA4BF1">
              <w:rPr>
                <w:sz w:val="16"/>
              </w:rPr>
              <w:t>65</w:t>
            </w:r>
          </w:p>
        </w:tc>
        <w:tc>
          <w:tcPr>
            <w:tcW w:w="56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2DE2161" w14:textId="77777777" w:rsidR="00FA4BF1" w:rsidRPr="00FA4BF1" w:rsidRDefault="00FA4BF1" w:rsidP="00EA076F">
            <w:pPr>
              <w:pStyle w:val="CDITable-RowCentre"/>
              <w:rPr>
                <w:sz w:val="16"/>
              </w:rPr>
            </w:pPr>
            <w:r w:rsidRPr="00FA4BF1">
              <w:rPr>
                <w:sz w:val="16"/>
              </w:rPr>
              <w:t>14</w:t>
            </w:r>
          </w:p>
        </w:tc>
        <w:tc>
          <w:tcPr>
            <w:tcW w:w="59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EB358BD" w14:textId="77777777" w:rsidR="00FA4BF1" w:rsidRPr="00FA4BF1" w:rsidRDefault="00FA4BF1" w:rsidP="00EA076F">
            <w:pPr>
              <w:pStyle w:val="CDITable-RowCentre"/>
              <w:rPr>
                <w:sz w:val="16"/>
              </w:rPr>
            </w:pPr>
            <w:r w:rsidRPr="00FA4BF1">
              <w:rPr>
                <w:sz w:val="16"/>
              </w:rPr>
              <w:t>399</w:t>
            </w:r>
          </w:p>
        </w:tc>
        <w:tc>
          <w:tcPr>
            <w:tcW w:w="567" w:type="dxa"/>
            <w:tcBorders>
              <w:top w:val="single" w:sz="6" w:space="0" w:color="1E4496" w:themeColor="text2"/>
              <w:bottom w:val="single" w:sz="6" w:space="0" w:color="1E4496" w:themeColor="text2"/>
              <w:right w:val="single" w:sz="6" w:space="0" w:color="1E4496" w:themeColor="text2"/>
            </w:tcBorders>
            <w:tcMar>
              <w:top w:w="113" w:type="dxa"/>
              <w:left w:w="113" w:type="dxa"/>
              <w:bottom w:w="113" w:type="dxa"/>
              <w:right w:w="113" w:type="dxa"/>
            </w:tcMar>
            <w:vAlign w:val="center"/>
          </w:tcPr>
          <w:p w14:paraId="115FFD9D" w14:textId="77777777" w:rsidR="00FA4BF1" w:rsidRPr="00FA4BF1" w:rsidRDefault="00FA4BF1" w:rsidP="00EA076F">
            <w:pPr>
              <w:pStyle w:val="CDITable-RowCentre"/>
              <w:rPr>
                <w:sz w:val="16"/>
              </w:rPr>
            </w:pPr>
            <w:r w:rsidRPr="00FA4BF1">
              <w:rPr>
                <w:sz w:val="16"/>
              </w:rPr>
              <w:t>86</w:t>
            </w:r>
          </w:p>
        </w:tc>
        <w:tc>
          <w:tcPr>
            <w:tcW w:w="590" w:type="dxa"/>
            <w:tcBorders>
              <w:top w:val="single" w:sz="6" w:space="0" w:color="1E4496" w:themeColor="text2"/>
              <w:left w:val="single" w:sz="6" w:space="0" w:color="1E4496" w:themeColor="text2"/>
              <w:bottom w:val="single" w:sz="6" w:space="0" w:color="1E4496" w:themeColor="text2"/>
            </w:tcBorders>
            <w:tcMar>
              <w:top w:w="113" w:type="dxa"/>
              <w:left w:w="113" w:type="dxa"/>
              <w:bottom w:w="113" w:type="dxa"/>
              <w:right w:w="113" w:type="dxa"/>
            </w:tcMar>
            <w:vAlign w:val="center"/>
          </w:tcPr>
          <w:p w14:paraId="2A91374B" w14:textId="77777777" w:rsidR="00FA4BF1" w:rsidRPr="00FA4BF1" w:rsidRDefault="00FA4BF1" w:rsidP="00EA076F">
            <w:pPr>
              <w:pStyle w:val="CDITable-RowCentre"/>
              <w:rPr>
                <w:sz w:val="16"/>
              </w:rPr>
            </w:pPr>
            <w:r w:rsidRPr="00FA4BF1">
              <w:rPr>
                <w:sz w:val="16"/>
              </w:rPr>
              <w:t>10</w:t>
            </w:r>
          </w:p>
        </w:tc>
        <w:tc>
          <w:tcPr>
            <w:tcW w:w="566"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003081F" w14:textId="77777777" w:rsidR="00FA4BF1" w:rsidRPr="00FA4BF1" w:rsidRDefault="00FA4BF1" w:rsidP="00EA076F">
            <w:pPr>
              <w:pStyle w:val="CDITable-RowCentre"/>
              <w:rPr>
                <w:sz w:val="16"/>
              </w:rPr>
            </w:pPr>
            <w:r w:rsidRPr="00FA4BF1">
              <w:rPr>
                <w:sz w:val="16"/>
              </w:rPr>
              <w:t>9.6</w:t>
            </w:r>
          </w:p>
        </w:tc>
        <w:tc>
          <w:tcPr>
            <w:tcW w:w="59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F5B58DE" w14:textId="77777777" w:rsidR="00FA4BF1" w:rsidRPr="00FA4BF1" w:rsidRDefault="00FA4BF1" w:rsidP="00EA076F">
            <w:pPr>
              <w:pStyle w:val="CDITable-RowCentre"/>
              <w:rPr>
                <w:sz w:val="16"/>
              </w:rPr>
            </w:pPr>
            <w:r w:rsidRPr="00FA4BF1">
              <w:rPr>
                <w:sz w:val="16"/>
              </w:rPr>
              <w:t>104</w:t>
            </w:r>
          </w:p>
        </w:tc>
        <w:tc>
          <w:tcPr>
            <w:tcW w:w="56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E6CFAB0" w14:textId="77777777" w:rsidR="00FA4BF1" w:rsidRPr="00FA4BF1" w:rsidRDefault="00FA4BF1" w:rsidP="00EA076F">
            <w:pPr>
              <w:pStyle w:val="CDITable-RowCentre"/>
              <w:rPr>
                <w:sz w:val="16"/>
              </w:rPr>
            </w:pPr>
            <w:r w:rsidRPr="00FA4BF1">
              <w:rPr>
                <w:sz w:val="16"/>
              </w:rPr>
              <w:t>90.4</w:t>
            </w:r>
          </w:p>
        </w:tc>
      </w:tr>
      <w:tr w:rsidR="00B6546F" w:rsidRPr="00FA4BF1" w14:paraId="79B188A6" w14:textId="77777777" w:rsidTr="00B6546F">
        <w:trPr>
          <w:trHeight w:val="60"/>
        </w:trPr>
        <w:tc>
          <w:tcPr>
            <w:tcW w:w="1361" w:type="dxa"/>
            <w:vMerge/>
            <w:tcBorders>
              <w:bottom w:val="single" w:sz="6" w:space="0" w:color="1E4496" w:themeColor="text2"/>
            </w:tcBorders>
            <w:shd w:val="clear" w:color="auto" w:fill="DCF4FC" w:themeFill="background2" w:themeFillTint="33"/>
          </w:tcPr>
          <w:p w14:paraId="6B4D0894" w14:textId="77777777" w:rsidR="00FA4BF1" w:rsidRPr="00FA4BF1" w:rsidRDefault="00FA4BF1" w:rsidP="00EA076F">
            <w:pPr>
              <w:pStyle w:val="CDITable-RowLeft"/>
              <w:rPr>
                <w:sz w:val="16"/>
              </w:rPr>
            </w:pPr>
          </w:p>
        </w:tc>
        <w:tc>
          <w:tcPr>
            <w:tcW w:w="141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54F18D2" w14:textId="77777777" w:rsidR="00FA4BF1" w:rsidRPr="00FA4BF1" w:rsidRDefault="00FA4BF1" w:rsidP="00EA076F">
            <w:pPr>
              <w:pStyle w:val="CDITable-RowLeft"/>
              <w:rPr>
                <w:sz w:val="16"/>
              </w:rPr>
            </w:pPr>
            <w:r w:rsidRPr="00FA4BF1">
              <w:rPr>
                <w:sz w:val="16"/>
              </w:rPr>
              <w:t>Unknown</w:t>
            </w:r>
          </w:p>
        </w:tc>
        <w:tc>
          <w:tcPr>
            <w:tcW w:w="59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677D7ED" w14:textId="77777777" w:rsidR="00FA4BF1" w:rsidRPr="00FA4BF1" w:rsidRDefault="00FA4BF1" w:rsidP="00EA076F">
            <w:pPr>
              <w:pStyle w:val="CDITable-RowCentre"/>
              <w:rPr>
                <w:sz w:val="16"/>
              </w:rPr>
            </w:pPr>
            <w:r w:rsidRPr="00FA4BF1">
              <w:rPr>
                <w:sz w:val="16"/>
              </w:rPr>
              <w:t>12</w:t>
            </w:r>
          </w:p>
        </w:tc>
        <w:tc>
          <w:tcPr>
            <w:tcW w:w="566"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EA37C4E" w14:textId="77777777" w:rsidR="00FA4BF1" w:rsidRPr="00FA4BF1" w:rsidRDefault="00FA4BF1" w:rsidP="00EA076F">
            <w:pPr>
              <w:pStyle w:val="CDITable-RowCentre"/>
              <w:rPr>
                <w:sz w:val="16"/>
              </w:rPr>
            </w:pPr>
            <w:r w:rsidRPr="00FA4BF1">
              <w:rPr>
                <w:sz w:val="16"/>
              </w:rPr>
              <w:t>17.9</w:t>
            </w:r>
          </w:p>
        </w:tc>
        <w:tc>
          <w:tcPr>
            <w:tcW w:w="59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0E4BB0A" w14:textId="77777777" w:rsidR="00FA4BF1" w:rsidRPr="00FA4BF1" w:rsidRDefault="00FA4BF1" w:rsidP="00EA076F">
            <w:pPr>
              <w:pStyle w:val="CDITable-RowCentre"/>
              <w:rPr>
                <w:sz w:val="16"/>
              </w:rPr>
            </w:pPr>
            <w:r w:rsidRPr="00FA4BF1">
              <w:rPr>
                <w:sz w:val="16"/>
              </w:rPr>
              <w:t>55</w:t>
            </w:r>
          </w:p>
        </w:tc>
        <w:tc>
          <w:tcPr>
            <w:tcW w:w="567" w:type="dxa"/>
            <w:tcBorders>
              <w:top w:val="single" w:sz="6" w:space="0" w:color="1E4496" w:themeColor="text2"/>
              <w:bottom w:val="single" w:sz="6" w:space="0" w:color="1E4496" w:themeColor="text2"/>
              <w:right w:val="single" w:sz="6" w:space="0" w:color="1E4496" w:themeColor="text2"/>
            </w:tcBorders>
            <w:tcMar>
              <w:top w:w="113" w:type="dxa"/>
              <w:left w:w="113" w:type="dxa"/>
              <w:bottom w:w="113" w:type="dxa"/>
              <w:right w:w="113" w:type="dxa"/>
            </w:tcMar>
            <w:vAlign w:val="center"/>
          </w:tcPr>
          <w:p w14:paraId="41E84E77" w14:textId="77777777" w:rsidR="00FA4BF1" w:rsidRPr="00FA4BF1" w:rsidRDefault="00FA4BF1" w:rsidP="00EA076F">
            <w:pPr>
              <w:pStyle w:val="CDITable-RowCentre"/>
              <w:rPr>
                <w:sz w:val="16"/>
              </w:rPr>
            </w:pPr>
            <w:r w:rsidRPr="00FA4BF1">
              <w:rPr>
                <w:sz w:val="16"/>
              </w:rPr>
              <w:t>82.1</w:t>
            </w:r>
          </w:p>
        </w:tc>
        <w:tc>
          <w:tcPr>
            <w:tcW w:w="590" w:type="dxa"/>
            <w:tcBorders>
              <w:top w:val="single" w:sz="6" w:space="0" w:color="1E4496" w:themeColor="text2"/>
              <w:left w:val="single" w:sz="6" w:space="0" w:color="1E4496" w:themeColor="text2"/>
              <w:bottom w:val="single" w:sz="6" w:space="0" w:color="1E4496" w:themeColor="text2"/>
            </w:tcBorders>
            <w:tcMar>
              <w:top w:w="113" w:type="dxa"/>
              <w:left w:w="113" w:type="dxa"/>
              <w:bottom w:w="113" w:type="dxa"/>
              <w:right w:w="113" w:type="dxa"/>
            </w:tcMar>
            <w:vAlign w:val="center"/>
          </w:tcPr>
          <w:p w14:paraId="08171149" w14:textId="77777777" w:rsidR="00FA4BF1" w:rsidRPr="00FA4BF1" w:rsidRDefault="00FA4BF1" w:rsidP="00EA076F">
            <w:pPr>
              <w:pStyle w:val="CDITable-RowCentre"/>
              <w:rPr>
                <w:sz w:val="16"/>
              </w:rPr>
            </w:pPr>
            <w:r w:rsidRPr="00FA4BF1">
              <w:rPr>
                <w:sz w:val="16"/>
              </w:rPr>
              <w:t>8</w:t>
            </w:r>
          </w:p>
        </w:tc>
        <w:tc>
          <w:tcPr>
            <w:tcW w:w="56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7FEE021" w14:textId="77777777" w:rsidR="00FA4BF1" w:rsidRPr="00FA4BF1" w:rsidRDefault="00FA4BF1" w:rsidP="00EA076F">
            <w:pPr>
              <w:pStyle w:val="CDITable-RowCentre"/>
              <w:rPr>
                <w:sz w:val="16"/>
              </w:rPr>
            </w:pPr>
            <w:r w:rsidRPr="00FA4BF1">
              <w:rPr>
                <w:sz w:val="16"/>
              </w:rPr>
              <w:t>11.9</w:t>
            </w:r>
          </w:p>
        </w:tc>
        <w:tc>
          <w:tcPr>
            <w:tcW w:w="589"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7E93E30" w14:textId="77777777" w:rsidR="00FA4BF1" w:rsidRPr="00FA4BF1" w:rsidRDefault="00FA4BF1" w:rsidP="00EA076F">
            <w:pPr>
              <w:pStyle w:val="CDITable-RowCentre"/>
              <w:rPr>
                <w:sz w:val="16"/>
              </w:rPr>
            </w:pPr>
            <w:r w:rsidRPr="00FA4BF1">
              <w:rPr>
                <w:sz w:val="16"/>
              </w:rPr>
              <w:t>59</w:t>
            </w:r>
          </w:p>
        </w:tc>
        <w:tc>
          <w:tcPr>
            <w:tcW w:w="567" w:type="dxa"/>
            <w:tcBorders>
              <w:top w:val="single" w:sz="6" w:space="0" w:color="1E4496" w:themeColor="text2"/>
              <w:bottom w:val="single" w:sz="6" w:space="0" w:color="1E4496" w:themeColor="text2"/>
              <w:right w:val="single" w:sz="6" w:space="0" w:color="1E4496" w:themeColor="text2"/>
            </w:tcBorders>
            <w:tcMar>
              <w:top w:w="113" w:type="dxa"/>
              <w:left w:w="113" w:type="dxa"/>
              <w:bottom w:w="113" w:type="dxa"/>
              <w:right w:w="113" w:type="dxa"/>
            </w:tcMar>
            <w:vAlign w:val="center"/>
          </w:tcPr>
          <w:p w14:paraId="1A037601" w14:textId="77777777" w:rsidR="00FA4BF1" w:rsidRPr="00FA4BF1" w:rsidRDefault="00FA4BF1" w:rsidP="00EA076F">
            <w:pPr>
              <w:pStyle w:val="CDITable-RowCentre"/>
              <w:rPr>
                <w:sz w:val="16"/>
              </w:rPr>
            </w:pPr>
            <w:r w:rsidRPr="00FA4BF1">
              <w:rPr>
                <w:sz w:val="16"/>
              </w:rPr>
              <w:t>88.1</w:t>
            </w:r>
          </w:p>
        </w:tc>
        <w:tc>
          <w:tcPr>
            <w:tcW w:w="595" w:type="dxa"/>
            <w:tcBorders>
              <w:top w:val="single" w:sz="6" w:space="0" w:color="1E4496" w:themeColor="text2"/>
              <w:left w:val="single" w:sz="6" w:space="0" w:color="1E4496" w:themeColor="text2"/>
              <w:bottom w:val="single" w:sz="6" w:space="0" w:color="1E4496" w:themeColor="text2"/>
            </w:tcBorders>
            <w:tcMar>
              <w:top w:w="113" w:type="dxa"/>
              <w:left w:w="113" w:type="dxa"/>
              <w:bottom w:w="113" w:type="dxa"/>
              <w:right w:w="113" w:type="dxa"/>
            </w:tcMar>
            <w:vAlign w:val="center"/>
          </w:tcPr>
          <w:p w14:paraId="11D2D18B" w14:textId="77777777" w:rsidR="00FA4BF1" w:rsidRPr="00FA4BF1" w:rsidRDefault="00FA4BF1" w:rsidP="00EA076F">
            <w:pPr>
              <w:pStyle w:val="CDITable-RowCentre"/>
              <w:rPr>
                <w:sz w:val="16"/>
              </w:rPr>
            </w:pPr>
            <w:r w:rsidRPr="00FA4BF1">
              <w:rPr>
                <w:sz w:val="16"/>
              </w:rPr>
              <w:t>3</w:t>
            </w:r>
          </w:p>
        </w:tc>
        <w:tc>
          <w:tcPr>
            <w:tcW w:w="56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FBD786B" w14:textId="77777777" w:rsidR="00FA4BF1" w:rsidRPr="00FA4BF1" w:rsidRDefault="00FA4BF1" w:rsidP="00EA076F">
            <w:pPr>
              <w:pStyle w:val="CDITable-RowCentre"/>
              <w:rPr>
                <w:sz w:val="16"/>
              </w:rPr>
            </w:pPr>
            <w:r w:rsidRPr="00FA4BF1">
              <w:rPr>
                <w:sz w:val="16"/>
              </w:rPr>
              <w:t>8.1</w:t>
            </w:r>
          </w:p>
        </w:tc>
        <w:tc>
          <w:tcPr>
            <w:tcW w:w="59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2C1802F" w14:textId="77777777" w:rsidR="00FA4BF1" w:rsidRPr="00FA4BF1" w:rsidRDefault="00FA4BF1" w:rsidP="00EA076F">
            <w:pPr>
              <w:pStyle w:val="CDITable-RowCentre"/>
              <w:rPr>
                <w:sz w:val="16"/>
              </w:rPr>
            </w:pPr>
            <w:r w:rsidRPr="00FA4BF1">
              <w:rPr>
                <w:sz w:val="16"/>
              </w:rPr>
              <w:t>34</w:t>
            </w:r>
          </w:p>
        </w:tc>
        <w:tc>
          <w:tcPr>
            <w:tcW w:w="567" w:type="dxa"/>
            <w:tcBorders>
              <w:top w:val="single" w:sz="6" w:space="0" w:color="1E4496" w:themeColor="text2"/>
              <w:bottom w:val="single" w:sz="6" w:space="0" w:color="1E4496" w:themeColor="text2"/>
              <w:right w:val="single" w:sz="6" w:space="0" w:color="1E4496" w:themeColor="text2"/>
            </w:tcBorders>
            <w:tcMar>
              <w:top w:w="113" w:type="dxa"/>
              <w:left w:w="113" w:type="dxa"/>
              <w:bottom w:w="113" w:type="dxa"/>
              <w:right w:w="113" w:type="dxa"/>
            </w:tcMar>
            <w:vAlign w:val="center"/>
          </w:tcPr>
          <w:p w14:paraId="545F4059" w14:textId="77777777" w:rsidR="00FA4BF1" w:rsidRPr="00FA4BF1" w:rsidRDefault="00FA4BF1" w:rsidP="00EA076F">
            <w:pPr>
              <w:pStyle w:val="CDITable-RowCentre"/>
              <w:rPr>
                <w:sz w:val="16"/>
              </w:rPr>
            </w:pPr>
            <w:r w:rsidRPr="00FA4BF1">
              <w:rPr>
                <w:sz w:val="16"/>
              </w:rPr>
              <w:t>91.9</w:t>
            </w:r>
          </w:p>
        </w:tc>
        <w:tc>
          <w:tcPr>
            <w:tcW w:w="589" w:type="dxa"/>
            <w:tcBorders>
              <w:top w:val="single" w:sz="6" w:space="0" w:color="1E4496" w:themeColor="text2"/>
              <w:left w:val="single" w:sz="6" w:space="0" w:color="1E4496" w:themeColor="text2"/>
              <w:bottom w:val="single" w:sz="6" w:space="0" w:color="1E4496" w:themeColor="text2"/>
            </w:tcBorders>
            <w:tcMar>
              <w:top w:w="113" w:type="dxa"/>
              <w:left w:w="113" w:type="dxa"/>
              <w:bottom w:w="113" w:type="dxa"/>
              <w:right w:w="113" w:type="dxa"/>
            </w:tcMar>
            <w:vAlign w:val="center"/>
          </w:tcPr>
          <w:p w14:paraId="653475CB" w14:textId="77777777" w:rsidR="00FA4BF1" w:rsidRPr="00FA4BF1" w:rsidRDefault="00FA4BF1" w:rsidP="00EA076F">
            <w:pPr>
              <w:pStyle w:val="CDITable-RowCentre"/>
              <w:rPr>
                <w:sz w:val="16"/>
              </w:rPr>
            </w:pPr>
            <w:r w:rsidRPr="00FA4BF1">
              <w:rPr>
                <w:sz w:val="16"/>
              </w:rPr>
              <w:t>9</w:t>
            </w:r>
          </w:p>
        </w:tc>
        <w:tc>
          <w:tcPr>
            <w:tcW w:w="56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897C6F6" w14:textId="77777777" w:rsidR="00FA4BF1" w:rsidRPr="00FA4BF1" w:rsidRDefault="00FA4BF1" w:rsidP="00EA076F">
            <w:pPr>
              <w:pStyle w:val="CDITable-RowCentre"/>
              <w:rPr>
                <w:sz w:val="16"/>
              </w:rPr>
            </w:pPr>
            <w:r w:rsidRPr="00FA4BF1">
              <w:rPr>
                <w:sz w:val="16"/>
              </w:rPr>
              <w:t>23.7</w:t>
            </w:r>
          </w:p>
        </w:tc>
        <w:tc>
          <w:tcPr>
            <w:tcW w:w="59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1B89984" w14:textId="77777777" w:rsidR="00FA4BF1" w:rsidRPr="00FA4BF1" w:rsidRDefault="00FA4BF1" w:rsidP="00EA076F">
            <w:pPr>
              <w:pStyle w:val="CDITable-RowCentre"/>
              <w:rPr>
                <w:sz w:val="16"/>
              </w:rPr>
            </w:pPr>
            <w:r w:rsidRPr="00FA4BF1">
              <w:rPr>
                <w:sz w:val="16"/>
              </w:rPr>
              <w:t>29</w:t>
            </w:r>
          </w:p>
        </w:tc>
        <w:tc>
          <w:tcPr>
            <w:tcW w:w="567" w:type="dxa"/>
            <w:tcBorders>
              <w:top w:val="single" w:sz="6" w:space="0" w:color="1E4496" w:themeColor="text2"/>
              <w:bottom w:val="single" w:sz="6" w:space="0" w:color="1E4496" w:themeColor="text2"/>
              <w:right w:val="single" w:sz="6" w:space="0" w:color="1E4496" w:themeColor="text2"/>
            </w:tcBorders>
            <w:tcMar>
              <w:top w:w="113" w:type="dxa"/>
              <w:left w:w="113" w:type="dxa"/>
              <w:bottom w:w="113" w:type="dxa"/>
              <w:right w:w="113" w:type="dxa"/>
            </w:tcMar>
            <w:vAlign w:val="center"/>
          </w:tcPr>
          <w:p w14:paraId="01E6481B" w14:textId="77777777" w:rsidR="00FA4BF1" w:rsidRPr="00FA4BF1" w:rsidRDefault="00FA4BF1" w:rsidP="00EA076F">
            <w:pPr>
              <w:pStyle w:val="CDITable-RowCentre"/>
              <w:rPr>
                <w:sz w:val="16"/>
              </w:rPr>
            </w:pPr>
            <w:r w:rsidRPr="00FA4BF1">
              <w:rPr>
                <w:sz w:val="16"/>
              </w:rPr>
              <w:t>76.3</w:t>
            </w:r>
          </w:p>
        </w:tc>
        <w:tc>
          <w:tcPr>
            <w:tcW w:w="590" w:type="dxa"/>
            <w:tcBorders>
              <w:top w:val="single" w:sz="6" w:space="0" w:color="1E4496" w:themeColor="text2"/>
              <w:left w:val="single" w:sz="6" w:space="0" w:color="1E4496" w:themeColor="text2"/>
              <w:bottom w:val="single" w:sz="6" w:space="0" w:color="1E4496" w:themeColor="text2"/>
            </w:tcBorders>
            <w:tcMar>
              <w:top w:w="113" w:type="dxa"/>
              <w:left w:w="113" w:type="dxa"/>
              <w:bottom w:w="113" w:type="dxa"/>
              <w:right w:w="113" w:type="dxa"/>
            </w:tcMar>
            <w:vAlign w:val="center"/>
          </w:tcPr>
          <w:p w14:paraId="7A68DD8A" w14:textId="77777777" w:rsidR="00FA4BF1" w:rsidRPr="00FA4BF1" w:rsidRDefault="00FA4BF1" w:rsidP="00EA076F">
            <w:pPr>
              <w:pStyle w:val="CDITable-RowCentre"/>
              <w:rPr>
                <w:sz w:val="16"/>
              </w:rPr>
            </w:pPr>
            <w:r w:rsidRPr="00FA4BF1">
              <w:rPr>
                <w:sz w:val="16"/>
              </w:rPr>
              <w:t>0</w:t>
            </w:r>
          </w:p>
        </w:tc>
        <w:tc>
          <w:tcPr>
            <w:tcW w:w="566"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407FE02" w14:textId="77777777" w:rsidR="00FA4BF1" w:rsidRPr="00FA4BF1" w:rsidRDefault="00FA4BF1" w:rsidP="00EA076F">
            <w:pPr>
              <w:pStyle w:val="CDITable-RowCentre"/>
              <w:rPr>
                <w:sz w:val="16"/>
              </w:rPr>
            </w:pPr>
            <w:r w:rsidRPr="00FA4BF1">
              <w:rPr>
                <w:sz w:val="16"/>
              </w:rPr>
              <w:t>—</w:t>
            </w:r>
          </w:p>
        </w:tc>
        <w:tc>
          <w:tcPr>
            <w:tcW w:w="59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1A85B7B" w14:textId="77777777" w:rsidR="00FA4BF1" w:rsidRPr="00FA4BF1" w:rsidRDefault="00FA4BF1" w:rsidP="00EA076F">
            <w:pPr>
              <w:pStyle w:val="CDITable-RowCentre"/>
              <w:rPr>
                <w:sz w:val="16"/>
              </w:rPr>
            </w:pPr>
            <w:r w:rsidRPr="00FA4BF1">
              <w:rPr>
                <w:sz w:val="16"/>
              </w:rPr>
              <w:t>2</w:t>
            </w:r>
          </w:p>
        </w:tc>
        <w:tc>
          <w:tcPr>
            <w:tcW w:w="56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2CA65D6" w14:textId="77777777" w:rsidR="00FA4BF1" w:rsidRPr="00FA4BF1" w:rsidRDefault="00FA4BF1" w:rsidP="00EA076F">
            <w:pPr>
              <w:pStyle w:val="CDITable-RowCentre"/>
              <w:rPr>
                <w:sz w:val="16"/>
              </w:rPr>
            </w:pPr>
            <w:r w:rsidRPr="00FA4BF1">
              <w:rPr>
                <w:sz w:val="16"/>
              </w:rPr>
              <w:t>100</w:t>
            </w:r>
          </w:p>
        </w:tc>
      </w:tr>
      <w:tr w:rsidR="00B6546F" w:rsidRPr="00FA4BF1" w14:paraId="6A414B4D" w14:textId="77777777" w:rsidTr="00B6546F">
        <w:trPr>
          <w:trHeight w:val="60"/>
        </w:trPr>
        <w:tc>
          <w:tcPr>
            <w:tcW w:w="1361" w:type="dxa"/>
            <w:tcBorders>
              <w:top w:val="single" w:sz="6" w:space="0" w:color="1E4496" w:themeColor="text2"/>
              <w:bottom w:val="single" w:sz="6" w:space="0" w:color="1E4496" w:themeColor="text2"/>
            </w:tcBorders>
            <w:shd w:val="clear" w:color="auto" w:fill="DCF4FC" w:themeFill="background2" w:themeFillTint="33"/>
            <w:tcMar>
              <w:top w:w="113" w:type="dxa"/>
              <w:left w:w="113" w:type="dxa"/>
              <w:bottom w:w="113" w:type="dxa"/>
              <w:right w:w="113" w:type="dxa"/>
            </w:tcMar>
            <w:vAlign w:val="center"/>
          </w:tcPr>
          <w:p w14:paraId="2AD43434" w14:textId="77777777" w:rsidR="00FA4BF1" w:rsidRPr="00FA4BF1" w:rsidRDefault="00FA4BF1" w:rsidP="00EA076F">
            <w:pPr>
              <w:pStyle w:val="CDITable-RowLeft"/>
              <w:rPr>
                <w:sz w:val="16"/>
              </w:rPr>
            </w:pPr>
            <w:r w:rsidRPr="00FA4BF1">
              <w:rPr>
                <w:sz w:val="16"/>
              </w:rPr>
              <w:t xml:space="preserve">Polymicrobial </w:t>
            </w:r>
            <w:proofErr w:type="spellStart"/>
            <w:r w:rsidRPr="00FA4BF1">
              <w:rPr>
                <w:sz w:val="16"/>
              </w:rPr>
              <w:t>BSI</w:t>
            </w:r>
            <w:r w:rsidRPr="00FA4BF1">
              <w:rPr>
                <w:sz w:val="16"/>
                <w:vertAlign w:val="superscript"/>
              </w:rPr>
              <w:t>f</w:t>
            </w:r>
            <w:proofErr w:type="spellEnd"/>
          </w:p>
        </w:tc>
        <w:tc>
          <w:tcPr>
            <w:tcW w:w="141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9E377F3" w14:textId="77777777" w:rsidR="00FA4BF1" w:rsidRPr="00FA4BF1" w:rsidRDefault="00FA4BF1" w:rsidP="00EA076F">
            <w:pPr>
              <w:pStyle w:val="CDITable-RowLeft"/>
              <w:rPr>
                <w:sz w:val="16"/>
              </w:rPr>
            </w:pPr>
            <w:r w:rsidRPr="00FA4BF1">
              <w:rPr>
                <w:sz w:val="16"/>
              </w:rPr>
              <w:t>—</w:t>
            </w:r>
          </w:p>
        </w:tc>
        <w:tc>
          <w:tcPr>
            <w:tcW w:w="59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67D5C94" w14:textId="77777777" w:rsidR="00FA4BF1" w:rsidRPr="00FA4BF1" w:rsidRDefault="00FA4BF1" w:rsidP="00EA076F">
            <w:pPr>
              <w:pStyle w:val="CDITable-RowCentre"/>
              <w:rPr>
                <w:sz w:val="16"/>
              </w:rPr>
            </w:pPr>
            <w:r w:rsidRPr="00FA4BF1">
              <w:rPr>
                <w:sz w:val="16"/>
              </w:rPr>
              <w:t>26</w:t>
            </w:r>
          </w:p>
        </w:tc>
        <w:tc>
          <w:tcPr>
            <w:tcW w:w="566"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2554F30" w14:textId="77777777" w:rsidR="00FA4BF1" w:rsidRPr="00FA4BF1" w:rsidRDefault="00FA4BF1" w:rsidP="00EA076F">
            <w:pPr>
              <w:pStyle w:val="CDITable-RowCentre"/>
              <w:rPr>
                <w:sz w:val="16"/>
              </w:rPr>
            </w:pPr>
            <w:r w:rsidRPr="00FA4BF1">
              <w:rPr>
                <w:sz w:val="16"/>
              </w:rPr>
              <w:t>18.8</w:t>
            </w:r>
          </w:p>
        </w:tc>
        <w:tc>
          <w:tcPr>
            <w:tcW w:w="59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DCBD1D4" w14:textId="77777777" w:rsidR="00FA4BF1" w:rsidRPr="00FA4BF1" w:rsidRDefault="00FA4BF1" w:rsidP="00EA076F">
            <w:pPr>
              <w:pStyle w:val="CDITable-RowCentre"/>
              <w:rPr>
                <w:sz w:val="16"/>
              </w:rPr>
            </w:pPr>
            <w:r w:rsidRPr="00FA4BF1">
              <w:rPr>
                <w:sz w:val="16"/>
              </w:rPr>
              <w:t>112</w:t>
            </w:r>
          </w:p>
        </w:tc>
        <w:tc>
          <w:tcPr>
            <w:tcW w:w="567" w:type="dxa"/>
            <w:tcBorders>
              <w:top w:val="single" w:sz="6" w:space="0" w:color="1E4496" w:themeColor="text2"/>
              <w:bottom w:val="single" w:sz="6" w:space="0" w:color="1E4496" w:themeColor="text2"/>
              <w:right w:val="single" w:sz="6" w:space="0" w:color="1E4496" w:themeColor="text2"/>
            </w:tcBorders>
            <w:tcMar>
              <w:top w:w="113" w:type="dxa"/>
              <w:left w:w="113" w:type="dxa"/>
              <w:bottom w:w="113" w:type="dxa"/>
              <w:right w:w="113" w:type="dxa"/>
            </w:tcMar>
            <w:vAlign w:val="center"/>
          </w:tcPr>
          <w:p w14:paraId="0F3DB9B7" w14:textId="77777777" w:rsidR="00FA4BF1" w:rsidRPr="00FA4BF1" w:rsidRDefault="00FA4BF1" w:rsidP="00EA076F">
            <w:pPr>
              <w:pStyle w:val="CDITable-RowCentre"/>
              <w:rPr>
                <w:sz w:val="16"/>
              </w:rPr>
            </w:pPr>
            <w:r w:rsidRPr="00FA4BF1">
              <w:rPr>
                <w:sz w:val="16"/>
              </w:rPr>
              <w:t>81.2</w:t>
            </w:r>
          </w:p>
        </w:tc>
        <w:tc>
          <w:tcPr>
            <w:tcW w:w="590" w:type="dxa"/>
            <w:tcBorders>
              <w:top w:val="single" w:sz="6" w:space="0" w:color="1E4496" w:themeColor="text2"/>
              <w:left w:val="single" w:sz="6" w:space="0" w:color="1E4496" w:themeColor="text2"/>
              <w:bottom w:val="single" w:sz="6" w:space="0" w:color="1E4496" w:themeColor="text2"/>
            </w:tcBorders>
            <w:tcMar>
              <w:top w:w="113" w:type="dxa"/>
              <w:left w:w="113" w:type="dxa"/>
              <w:bottom w:w="113" w:type="dxa"/>
              <w:right w:w="113" w:type="dxa"/>
            </w:tcMar>
            <w:vAlign w:val="center"/>
          </w:tcPr>
          <w:p w14:paraId="4E0A5328" w14:textId="77777777" w:rsidR="00FA4BF1" w:rsidRPr="00FA4BF1" w:rsidRDefault="00FA4BF1" w:rsidP="00EA076F">
            <w:pPr>
              <w:pStyle w:val="CDITable-RowCentre"/>
              <w:rPr>
                <w:sz w:val="16"/>
              </w:rPr>
            </w:pPr>
            <w:r w:rsidRPr="00FA4BF1">
              <w:rPr>
                <w:sz w:val="16"/>
              </w:rPr>
              <w:t>16</w:t>
            </w:r>
          </w:p>
        </w:tc>
        <w:tc>
          <w:tcPr>
            <w:tcW w:w="56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D250FC7" w14:textId="77777777" w:rsidR="00FA4BF1" w:rsidRPr="00FA4BF1" w:rsidRDefault="00FA4BF1" w:rsidP="00EA076F">
            <w:pPr>
              <w:pStyle w:val="CDITable-RowCentre"/>
              <w:rPr>
                <w:sz w:val="16"/>
              </w:rPr>
            </w:pPr>
            <w:r w:rsidRPr="00FA4BF1">
              <w:rPr>
                <w:sz w:val="16"/>
              </w:rPr>
              <w:t>11.6</w:t>
            </w:r>
          </w:p>
        </w:tc>
        <w:tc>
          <w:tcPr>
            <w:tcW w:w="589"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1DB34DD" w14:textId="77777777" w:rsidR="00FA4BF1" w:rsidRPr="00FA4BF1" w:rsidRDefault="00FA4BF1" w:rsidP="00EA076F">
            <w:pPr>
              <w:pStyle w:val="CDITable-RowCentre"/>
              <w:rPr>
                <w:sz w:val="16"/>
              </w:rPr>
            </w:pPr>
            <w:r w:rsidRPr="00FA4BF1">
              <w:rPr>
                <w:sz w:val="16"/>
              </w:rPr>
              <w:t>122</w:t>
            </w:r>
          </w:p>
        </w:tc>
        <w:tc>
          <w:tcPr>
            <w:tcW w:w="567" w:type="dxa"/>
            <w:tcBorders>
              <w:top w:val="single" w:sz="6" w:space="0" w:color="1E4496" w:themeColor="text2"/>
              <w:bottom w:val="single" w:sz="6" w:space="0" w:color="1E4496" w:themeColor="text2"/>
              <w:right w:val="single" w:sz="6" w:space="0" w:color="1E4496" w:themeColor="text2"/>
            </w:tcBorders>
            <w:tcMar>
              <w:top w:w="113" w:type="dxa"/>
              <w:left w:w="113" w:type="dxa"/>
              <w:bottom w:w="113" w:type="dxa"/>
              <w:right w:w="113" w:type="dxa"/>
            </w:tcMar>
            <w:vAlign w:val="center"/>
          </w:tcPr>
          <w:p w14:paraId="2187C799" w14:textId="77777777" w:rsidR="00FA4BF1" w:rsidRPr="00FA4BF1" w:rsidRDefault="00FA4BF1" w:rsidP="00EA076F">
            <w:pPr>
              <w:pStyle w:val="CDITable-RowCentre"/>
              <w:rPr>
                <w:sz w:val="16"/>
              </w:rPr>
            </w:pPr>
            <w:r w:rsidRPr="00FA4BF1">
              <w:rPr>
                <w:sz w:val="16"/>
              </w:rPr>
              <w:t>88.4</w:t>
            </w:r>
          </w:p>
        </w:tc>
        <w:tc>
          <w:tcPr>
            <w:tcW w:w="595" w:type="dxa"/>
            <w:tcBorders>
              <w:top w:val="single" w:sz="6" w:space="0" w:color="1E4496" w:themeColor="text2"/>
              <w:left w:val="single" w:sz="6" w:space="0" w:color="1E4496" w:themeColor="text2"/>
              <w:bottom w:val="single" w:sz="6" w:space="0" w:color="1E4496" w:themeColor="text2"/>
            </w:tcBorders>
            <w:tcMar>
              <w:top w:w="113" w:type="dxa"/>
              <w:left w:w="113" w:type="dxa"/>
              <w:bottom w:w="113" w:type="dxa"/>
              <w:right w:w="113" w:type="dxa"/>
            </w:tcMar>
            <w:vAlign w:val="center"/>
          </w:tcPr>
          <w:p w14:paraId="7100ECBB" w14:textId="77777777" w:rsidR="00FA4BF1" w:rsidRPr="00FA4BF1" w:rsidRDefault="00FA4BF1" w:rsidP="00EA076F">
            <w:pPr>
              <w:pStyle w:val="CDITable-RowCentre"/>
              <w:rPr>
                <w:sz w:val="16"/>
              </w:rPr>
            </w:pPr>
            <w:r w:rsidRPr="00FA4BF1">
              <w:rPr>
                <w:sz w:val="16"/>
              </w:rPr>
              <w:t>2</w:t>
            </w:r>
          </w:p>
        </w:tc>
        <w:tc>
          <w:tcPr>
            <w:tcW w:w="56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B86ABF5" w14:textId="77777777" w:rsidR="00FA4BF1" w:rsidRPr="00FA4BF1" w:rsidRDefault="00FA4BF1" w:rsidP="00EA076F">
            <w:pPr>
              <w:pStyle w:val="CDITable-RowCentre"/>
              <w:rPr>
                <w:sz w:val="16"/>
              </w:rPr>
            </w:pPr>
            <w:r w:rsidRPr="00FA4BF1">
              <w:rPr>
                <w:sz w:val="16"/>
              </w:rPr>
              <w:t>3.2</w:t>
            </w:r>
          </w:p>
        </w:tc>
        <w:tc>
          <w:tcPr>
            <w:tcW w:w="59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87FB0BF" w14:textId="77777777" w:rsidR="00FA4BF1" w:rsidRPr="00FA4BF1" w:rsidRDefault="00FA4BF1" w:rsidP="00EA076F">
            <w:pPr>
              <w:pStyle w:val="CDITable-RowCentre"/>
              <w:rPr>
                <w:sz w:val="16"/>
              </w:rPr>
            </w:pPr>
            <w:r w:rsidRPr="00FA4BF1">
              <w:rPr>
                <w:sz w:val="16"/>
              </w:rPr>
              <w:t>60</w:t>
            </w:r>
          </w:p>
        </w:tc>
        <w:tc>
          <w:tcPr>
            <w:tcW w:w="567" w:type="dxa"/>
            <w:tcBorders>
              <w:top w:val="single" w:sz="6" w:space="0" w:color="1E4496" w:themeColor="text2"/>
              <w:bottom w:val="single" w:sz="6" w:space="0" w:color="1E4496" w:themeColor="text2"/>
              <w:right w:val="single" w:sz="6" w:space="0" w:color="1E4496" w:themeColor="text2"/>
            </w:tcBorders>
            <w:tcMar>
              <w:top w:w="113" w:type="dxa"/>
              <w:left w:w="113" w:type="dxa"/>
              <w:bottom w:w="113" w:type="dxa"/>
              <w:right w:w="113" w:type="dxa"/>
            </w:tcMar>
            <w:vAlign w:val="center"/>
          </w:tcPr>
          <w:p w14:paraId="25AC4197" w14:textId="77777777" w:rsidR="00FA4BF1" w:rsidRPr="00FA4BF1" w:rsidRDefault="00FA4BF1" w:rsidP="00EA076F">
            <w:pPr>
              <w:pStyle w:val="CDITable-RowCentre"/>
              <w:rPr>
                <w:sz w:val="16"/>
              </w:rPr>
            </w:pPr>
            <w:r w:rsidRPr="00FA4BF1">
              <w:rPr>
                <w:sz w:val="16"/>
              </w:rPr>
              <w:t>96.8</w:t>
            </w:r>
          </w:p>
        </w:tc>
        <w:tc>
          <w:tcPr>
            <w:tcW w:w="589" w:type="dxa"/>
            <w:tcBorders>
              <w:top w:val="single" w:sz="6" w:space="0" w:color="1E4496" w:themeColor="text2"/>
              <w:left w:val="single" w:sz="6" w:space="0" w:color="1E4496" w:themeColor="text2"/>
              <w:bottom w:val="single" w:sz="6" w:space="0" w:color="1E4496" w:themeColor="text2"/>
            </w:tcBorders>
            <w:tcMar>
              <w:top w:w="113" w:type="dxa"/>
              <w:left w:w="113" w:type="dxa"/>
              <w:bottom w:w="113" w:type="dxa"/>
              <w:right w:w="113" w:type="dxa"/>
            </w:tcMar>
            <w:vAlign w:val="center"/>
          </w:tcPr>
          <w:p w14:paraId="5C5D0C27" w14:textId="77777777" w:rsidR="00FA4BF1" w:rsidRPr="00FA4BF1" w:rsidRDefault="00FA4BF1" w:rsidP="00EA076F">
            <w:pPr>
              <w:pStyle w:val="CDITable-RowCentre"/>
              <w:rPr>
                <w:sz w:val="16"/>
              </w:rPr>
            </w:pPr>
            <w:r w:rsidRPr="00FA4BF1">
              <w:rPr>
                <w:sz w:val="16"/>
              </w:rPr>
              <w:t>5</w:t>
            </w:r>
          </w:p>
        </w:tc>
        <w:tc>
          <w:tcPr>
            <w:tcW w:w="56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8A82D40" w14:textId="77777777" w:rsidR="00FA4BF1" w:rsidRPr="00FA4BF1" w:rsidRDefault="00FA4BF1" w:rsidP="00EA076F">
            <w:pPr>
              <w:pStyle w:val="CDITable-RowCentre"/>
              <w:rPr>
                <w:sz w:val="16"/>
              </w:rPr>
            </w:pPr>
            <w:r w:rsidRPr="00FA4BF1">
              <w:rPr>
                <w:sz w:val="16"/>
              </w:rPr>
              <w:t>8.1</w:t>
            </w:r>
          </w:p>
        </w:tc>
        <w:tc>
          <w:tcPr>
            <w:tcW w:w="59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6DCDE78" w14:textId="77777777" w:rsidR="00FA4BF1" w:rsidRPr="00FA4BF1" w:rsidRDefault="00FA4BF1" w:rsidP="00EA076F">
            <w:pPr>
              <w:pStyle w:val="CDITable-RowCentre"/>
              <w:rPr>
                <w:sz w:val="16"/>
              </w:rPr>
            </w:pPr>
            <w:r w:rsidRPr="00FA4BF1">
              <w:rPr>
                <w:sz w:val="16"/>
              </w:rPr>
              <w:t>57</w:t>
            </w:r>
          </w:p>
        </w:tc>
        <w:tc>
          <w:tcPr>
            <w:tcW w:w="567" w:type="dxa"/>
            <w:tcBorders>
              <w:top w:val="single" w:sz="6" w:space="0" w:color="1E4496" w:themeColor="text2"/>
              <w:bottom w:val="single" w:sz="6" w:space="0" w:color="1E4496" w:themeColor="text2"/>
              <w:right w:val="single" w:sz="6" w:space="0" w:color="1E4496" w:themeColor="text2"/>
            </w:tcBorders>
            <w:tcMar>
              <w:top w:w="113" w:type="dxa"/>
              <w:left w:w="113" w:type="dxa"/>
              <w:bottom w:w="113" w:type="dxa"/>
              <w:right w:w="113" w:type="dxa"/>
            </w:tcMar>
            <w:vAlign w:val="center"/>
          </w:tcPr>
          <w:p w14:paraId="424F82ED" w14:textId="77777777" w:rsidR="00FA4BF1" w:rsidRPr="00FA4BF1" w:rsidRDefault="00FA4BF1" w:rsidP="00EA076F">
            <w:pPr>
              <w:pStyle w:val="CDITable-RowCentre"/>
              <w:rPr>
                <w:sz w:val="16"/>
              </w:rPr>
            </w:pPr>
            <w:r w:rsidRPr="00FA4BF1">
              <w:rPr>
                <w:sz w:val="16"/>
              </w:rPr>
              <w:t>91.9</w:t>
            </w:r>
          </w:p>
        </w:tc>
        <w:tc>
          <w:tcPr>
            <w:tcW w:w="590" w:type="dxa"/>
            <w:tcBorders>
              <w:top w:val="single" w:sz="6" w:space="0" w:color="1E4496" w:themeColor="text2"/>
              <w:left w:val="single" w:sz="6" w:space="0" w:color="1E4496" w:themeColor="text2"/>
              <w:bottom w:val="single" w:sz="6" w:space="0" w:color="1E4496" w:themeColor="text2"/>
            </w:tcBorders>
            <w:tcMar>
              <w:top w:w="113" w:type="dxa"/>
              <w:left w:w="113" w:type="dxa"/>
              <w:bottom w:w="113" w:type="dxa"/>
              <w:right w:w="113" w:type="dxa"/>
            </w:tcMar>
            <w:vAlign w:val="center"/>
          </w:tcPr>
          <w:p w14:paraId="7F5E960F" w14:textId="77777777" w:rsidR="00FA4BF1" w:rsidRPr="00FA4BF1" w:rsidRDefault="00FA4BF1" w:rsidP="00EA076F">
            <w:pPr>
              <w:pStyle w:val="CDITable-RowCentre"/>
              <w:rPr>
                <w:sz w:val="16"/>
              </w:rPr>
            </w:pPr>
            <w:r w:rsidRPr="00FA4BF1">
              <w:rPr>
                <w:sz w:val="16"/>
              </w:rPr>
              <w:t>4</w:t>
            </w:r>
          </w:p>
        </w:tc>
        <w:tc>
          <w:tcPr>
            <w:tcW w:w="566"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AAFC717" w14:textId="77777777" w:rsidR="00FA4BF1" w:rsidRPr="00FA4BF1" w:rsidRDefault="00FA4BF1" w:rsidP="00EA076F">
            <w:pPr>
              <w:pStyle w:val="CDITable-RowCentre"/>
              <w:rPr>
                <w:sz w:val="16"/>
              </w:rPr>
            </w:pPr>
            <w:r w:rsidRPr="00FA4BF1">
              <w:rPr>
                <w:sz w:val="16"/>
              </w:rPr>
              <w:t>5.1</w:t>
            </w:r>
          </w:p>
        </w:tc>
        <w:tc>
          <w:tcPr>
            <w:tcW w:w="59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475B11E" w14:textId="77777777" w:rsidR="00FA4BF1" w:rsidRPr="00FA4BF1" w:rsidRDefault="00FA4BF1" w:rsidP="00EA076F">
            <w:pPr>
              <w:pStyle w:val="CDITable-RowCentre"/>
              <w:rPr>
                <w:sz w:val="16"/>
              </w:rPr>
            </w:pPr>
            <w:r w:rsidRPr="00FA4BF1">
              <w:rPr>
                <w:sz w:val="16"/>
              </w:rPr>
              <w:t>75</w:t>
            </w:r>
          </w:p>
        </w:tc>
        <w:tc>
          <w:tcPr>
            <w:tcW w:w="56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218BE16" w14:textId="77777777" w:rsidR="00FA4BF1" w:rsidRPr="00FA4BF1" w:rsidRDefault="00FA4BF1" w:rsidP="00EA076F">
            <w:pPr>
              <w:pStyle w:val="CDITable-RowCentre"/>
              <w:rPr>
                <w:sz w:val="16"/>
              </w:rPr>
            </w:pPr>
            <w:r w:rsidRPr="00FA4BF1">
              <w:rPr>
                <w:sz w:val="16"/>
              </w:rPr>
              <w:t>94.9</w:t>
            </w:r>
          </w:p>
        </w:tc>
      </w:tr>
      <w:tr w:rsidR="00B6546F" w:rsidRPr="00FA4BF1" w14:paraId="5A34CD28" w14:textId="77777777" w:rsidTr="00B6546F">
        <w:trPr>
          <w:trHeight w:val="60"/>
        </w:trPr>
        <w:tc>
          <w:tcPr>
            <w:tcW w:w="1361" w:type="dxa"/>
            <w:vMerge w:val="restart"/>
            <w:tcBorders>
              <w:top w:val="single" w:sz="6" w:space="0" w:color="1E4496" w:themeColor="text2"/>
              <w:bottom w:val="single" w:sz="6" w:space="0" w:color="1E4496" w:themeColor="text2"/>
            </w:tcBorders>
            <w:shd w:val="clear" w:color="auto" w:fill="DCF4FC" w:themeFill="background2" w:themeFillTint="33"/>
            <w:tcMar>
              <w:top w:w="113" w:type="dxa"/>
              <w:left w:w="113" w:type="dxa"/>
              <w:bottom w:w="113" w:type="dxa"/>
              <w:right w:w="113" w:type="dxa"/>
            </w:tcMar>
            <w:vAlign w:val="center"/>
          </w:tcPr>
          <w:p w14:paraId="65F2A5BB" w14:textId="77777777" w:rsidR="00FA4BF1" w:rsidRPr="00FA4BF1" w:rsidRDefault="00FA4BF1" w:rsidP="00EA076F">
            <w:pPr>
              <w:pStyle w:val="CDITable-RowLeft"/>
              <w:rPr>
                <w:sz w:val="16"/>
              </w:rPr>
            </w:pPr>
            <w:r w:rsidRPr="00FA4BF1">
              <w:rPr>
                <w:sz w:val="16"/>
              </w:rPr>
              <w:t>Length of stay (days)</w:t>
            </w:r>
          </w:p>
        </w:tc>
        <w:tc>
          <w:tcPr>
            <w:tcW w:w="141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8CCF231" w14:textId="77777777" w:rsidR="00FA4BF1" w:rsidRPr="00FA4BF1" w:rsidRDefault="00FA4BF1" w:rsidP="00EA076F">
            <w:pPr>
              <w:pStyle w:val="CDITable-RowLeft"/>
              <w:rPr>
                <w:sz w:val="16"/>
              </w:rPr>
            </w:pPr>
            <w:r w:rsidRPr="00FA4BF1">
              <w:rPr>
                <w:sz w:val="16"/>
              </w:rPr>
              <w:t>Median</w:t>
            </w:r>
          </w:p>
        </w:tc>
        <w:tc>
          <w:tcPr>
            <w:tcW w:w="59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97413EC" w14:textId="77777777" w:rsidR="00FA4BF1" w:rsidRPr="00FA4BF1" w:rsidRDefault="00FA4BF1" w:rsidP="00EA076F">
            <w:pPr>
              <w:pStyle w:val="CDITable-RowCentre"/>
              <w:rPr>
                <w:sz w:val="16"/>
              </w:rPr>
            </w:pPr>
            <w:r w:rsidRPr="00FA4BF1">
              <w:rPr>
                <w:sz w:val="16"/>
              </w:rPr>
              <w:t>14</w:t>
            </w:r>
          </w:p>
        </w:tc>
        <w:tc>
          <w:tcPr>
            <w:tcW w:w="566"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52D2192" w14:textId="77777777" w:rsidR="00FA4BF1" w:rsidRPr="00FA4BF1" w:rsidRDefault="00FA4BF1" w:rsidP="00EA076F">
            <w:pPr>
              <w:pStyle w:val="CDITable-RowCentre"/>
              <w:rPr>
                <w:sz w:val="16"/>
              </w:rPr>
            </w:pPr>
            <w:r w:rsidRPr="00FA4BF1">
              <w:rPr>
                <w:sz w:val="16"/>
              </w:rPr>
              <w:t>—</w:t>
            </w:r>
          </w:p>
        </w:tc>
        <w:tc>
          <w:tcPr>
            <w:tcW w:w="59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F6DB9E7" w14:textId="77777777" w:rsidR="00FA4BF1" w:rsidRPr="00FA4BF1" w:rsidRDefault="00FA4BF1" w:rsidP="00EA076F">
            <w:pPr>
              <w:pStyle w:val="CDITable-RowCentre"/>
              <w:rPr>
                <w:sz w:val="16"/>
              </w:rPr>
            </w:pPr>
            <w:r w:rsidRPr="00FA4BF1">
              <w:rPr>
                <w:sz w:val="16"/>
              </w:rPr>
              <w:t>9</w:t>
            </w:r>
          </w:p>
        </w:tc>
        <w:tc>
          <w:tcPr>
            <w:tcW w:w="567" w:type="dxa"/>
            <w:tcBorders>
              <w:top w:val="single" w:sz="6" w:space="0" w:color="1E4496" w:themeColor="text2"/>
              <w:bottom w:val="single" w:sz="6" w:space="0" w:color="1E4496" w:themeColor="text2"/>
              <w:right w:val="single" w:sz="6" w:space="0" w:color="1E4496" w:themeColor="text2"/>
            </w:tcBorders>
            <w:tcMar>
              <w:top w:w="113" w:type="dxa"/>
              <w:left w:w="113" w:type="dxa"/>
              <w:bottom w:w="113" w:type="dxa"/>
              <w:right w:w="113" w:type="dxa"/>
            </w:tcMar>
            <w:vAlign w:val="center"/>
          </w:tcPr>
          <w:p w14:paraId="6F81A0EA" w14:textId="77777777" w:rsidR="00FA4BF1" w:rsidRPr="00FA4BF1" w:rsidRDefault="00FA4BF1" w:rsidP="00EA076F">
            <w:pPr>
              <w:pStyle w:val="CDITable-RowCentre"/>
              <w:rPr>
                <w:sz w:val="16"/>
              </w:rPr>
            </w:pPr>
            <w:r w:rsidRPr="00FA4BF1">
              <w:rPr>
                <w:sz w:val="16"/>
              </w:rPr>
              <w:t>—</w:t>
            </w:r>
          </w:p>
        </w:tc>
        <w:tc>
          <w:tcPr>
            <w:tcW w:w="590" w:type="dxa"/>
            <w:tcBorders>
              <w:top w:val="single" w:sz="6" w:space="0" w:color="1E4496" w:themeColor="text2"/>
              <w:left w:val="single" w:sz="6" w:space="0" w:color="1E4496" w:themeColor="text2"/>
              <w:bottom w:val="single" w:sz="6" w:space="0" w:color="1E4496" w:themeColor="text2"/>
            </w:tcBorders>
            <w:tcMar>
              <w:top w:w="113" w:type="dxa"/>
              <w:left w:w="113" w:type="dxa"/>
              <w:bottom w:w="113" w:type="dxa"/>
              <w:right w:w="113" w:type="dxa"/>
            </w:tcMar>
            <w:vAlign w:val="center"/>
          </w:tcPr>
          <w:p w14:paraId="5B073495" w14:textId="77777777" w:rsidR="00FA4BF1" w:rsidRPr="00FA4BF1" w:rsidRDefault="00FA4BF1" w:rsidP="00EA076F">
            <w:pPr>
              <w:pStyle w:val="CDITable-RowCentre"/>
              <w:rPr>
                <w:sz w:val="16"/>
              </w:rPr>
            </w:pPr>
            <w:r w:rsidRPr="00FA4BF1">
              <w:rPr>
                <w:sz w:val="16"/>
              </w:rPr>
              <w:t>15</w:t>
            </w:r>
          </w:p>
        </w:tc>
        <w:tc>
          <w:tcPr>
            <w:tcW w:w="56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E791078" w14:textId="77777777" w:rsidR="00FA4BF1" w:rsidRPr="00FA4BF1" w:rsidRDefault="00FA4BF1" w:rsidP="00EA076F">
            <w:pPr>
              <w:pStyle w:val="CDITable-RowCentre"/>
              <w:rPr>
                <w:sz w:val="16"/>
              </w:rPr>
            </w:pPr>
            <w:r w:rsidRPr="00FA4BF1">
              <w:rPr>
                <w:sz w:val="16"/>
              </w:rPr>
              <w:t>—</w:t>
            </w:r>
          </w:p>
        </w:tc>
        <w:tc>
          <w:tcPr>
            <w:tcW w:w="589"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579AB5A" w14:textId="77777777" w:rsidR="00FA4BF1" w:rsidRPr="00FA4BF1" w:rsidRDefault="00FA4BF1" w:rsidP="00EA076F">
            <w:pPr>
              <w:pStyle w:val="CDITable-RowCentre"/>
              <w:rPr>
                <w:sz w:val="16"/>
              </w:rPr>
            </w:pPr>
            <w:r w:rsidRPr="00FA4BF1">
              <w:rPr>
                <w:sz w:val="16"/>
              </w:rPr>
              <w:t>9</w:t>
            </w:r>
          </w:p>
        </w:tc>
        <w:tc>
          <w:tcPr>
            <w:tcW w:w="567" w:type="dxa"/>
            <w:tcBorders>
              <w:top w:val="single" w:sz="6" w:space="0" w:color="1E4496" w:themeColor="text2"/>
              <w:bottom w:val="single" w:sz="6" w:space="0" w:color="1E4496" w:themeColor="text2"/>
              <w:right w:val="single" w:sz="6" w:space="0" w:color="1E4496" w:themeColor="text2"/>
            </w:tcBorders>
            <w:tcMar>
              <w:top w:w="113" w:type="dxa"/>
              <w:left w:w="113" w:type="dxa"/>
              <w:bottom w:w="113" w:type="dxa"/>
              <w:right w:w="113" w:type="dxa"/>
            </w:tcMar>
            <w:vAlign w:val="center"/>
          </w:tcPr>
          <w:p w14:paraId="67AF7AC7" w14:textId="77777777" w:rsidR="00FA4BF1" w:rsidRPr="00FA4BF1" w:rsidRDefault="00FA4BF1" w:rsidP="00EA076F">
            <w:pPr>
              <w:pStyle w:val="CDITable-RowCentre"/>
              <w:rPr>
                <w:sz w:val="16"/>
              </w:rPr>
            </w:pPr>
            <w:r w:rsidRPr="00FA4BF1">
              <w:rPr>
                <w:sz w:val="16"/>
              </w:rPr>
              <w:t>—</w:t>
            </w:r>
          </w:p>
        </w:tc>
        <w:tc>
          <w:tcPr>
            <w:tcW w:w="595" w:type="dxa"/>
            <w:tcBorders>
              <w:top w:val="single" w:sz="6" w:space="0" w:color="1E4496" w:themeColor="text2"/>
              <w:left w:val="single" w:sz="6" w:space="0" w:color="1E4496" w:themeColor="text2"/>
              <w:bottom w:val="single" w:sz="6" w:space="0" w:color="1E4496" w:themeColor="text2"/>
            </w:tcBorders>
            <w:tcMar>
              <w:top w:w="113" w:type="dxa"/>
              <w:left w:w="113" w:type="dxa"/>
              <w:bottom w:w="113" w:type="dxa"/>
              <w:right w:w="113" w:type="dxa"/>
            </w:tcMar>
            <w:vAlign w:val="center"/>
          </w:tcPr>
          <w:p w14:paraId="52061163" w14:textId="77777777" w:rsidR="00FA4BF1" w:rsidRPr="00FA4BF1" w:rsidRDefault="00FA4BF1" w:rsidP="00EA076F">
            <w:pPr>
              <w:pStyle w:val="CDITable-RowCentre"/>
              <w:rPr>
                <w:sz w:val="16"/>
              </w:rPr>
            </w:pPr>
            <w:r w:rsidRPr="00FA4BF1">
              <w:rPr>
                <w:sz w:val="16"/>
              </w:rPr>
              <w:t>17</w:t>
            </w:r>
          </w:p>
        </w:tc>
        <w:tc>
          <w:tcPr>
            <w:tcW w:w="56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DD5EEC9" w14:textId="77777777" w:rsidR="00FA4BF1" w:rsidRPr="00FA4BF1" w:rsidRDefault="00FA4BF1" w:rsidP="00EA076F">
            <w:pPr>
              <w:pStyle w:val="CDITable-RowCentre"/>
              <w:rPr>
                <w:sz w:val="16"/>
              </w:rPr>
            </w:pPr>
            <w:r w:rsidRPr="00FA4BF1">
              <w:rPr>
                <w:sz w:val="16"/>
              </w:rPr>
              <w:t>—</w:t>
            </w:r>
          </w:p>
        </w:tc>
        <w:tc>
          <w:tcPr>
            <w:tcW w:w="59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3367D79" w14:textId="77777777" w:rsidR="00FA4BF1" w:rsidRPr="00FA4BF1" w:rsidRDefault="00FA4BF1" w:rsidP="00EA076F">
            <w:pPr>
              <w:pStyle w:val="CDITable-RowCentre"/>
              <w:rPr>
                <w:sz w:val="16"/>
              </w:rPr>
            </w:pPr>
            <w:r w:rsidRPr="00FA4BF1">
              <w:rPr>
                <w:sz w:val="16"/>
              </w:rPr>
              <w:t>11</w:t>
            </w:r>
          </w:p>
        </w:tc>
        <w:tc>
          <w:tcPr>
            <w:tcW w:w="567" w:type="dxa"/>
            <w:tcBorders>
              <w:top w:val="single" w:sz="6" w:space="0" w:color="1E4496" w:themeColor="text2"/>
              <w:bottom w:val="single" w:sz="6" w:space="0" w:color="1E4496" w:themeColor="text2"/>
              <w:right w:val="single" w:sz="6" w:space="0" w:color="1E4496" w:themeColor="text2"/>
            </w:tcBorders>
            <w:tcMar>
              <w:top w:w="113" w:type="dxa"/>
              <w:left w:w="113" w:type="dxa"/>
              <w:bottom w:w="113" w:type="dxa"/>
              <w:right w:w="113" w:type="dxa"/>
            </w:tcMar>
            <w:vAlign w:val="center"/>
          </w:tcPr>
          <w:p w14:paraId="7C78465F" w14:textId="77777777" w:rsidR="00FA4BF1" w:rsidRPr="00FA4BF1" w:rsidRDefault="00FA4BF1" w:rsidP="00EA076F">
            <w:pPr>
              <w:pStyle w:val="CDITable-RowCentre"/>
              <w:rPr>
                <w:sz w:val="16"/>
              </w:rPr>
            </w:pPr>
            <w:r w:rsidRPr="00FA4BF1">
              <w:rPr>
                <w:sz w:val="16"/>
              </w:rPr>
              <w:t>—</w:t>
            </w:r>
          </w:p>
        </w:tc>
        <w:tc>
          <w:tcPr>
            <w:tcW w:w="589" w:type="dxa"/>
            <w:tcBorders>
              <w:top w:val="single" w:sz="6" w:space="0" w:color="1E4496" w:themeColor="text2"/>
              <w:left w:val="single" w:sz="6" w:space="0" w:color="1E4496" w:themeColor="text2"/>
              <w:bottom w:val="single" w:sz="6" w:space="0" w:color="1E4496" w:themeColor="text2"/>
            </w:tcBorders>
            <w:tcMar>
              <w:top w:w="113" w:type="dxa"/>
              <w:left w:w="113" w:type="dxa"/>
              <w:bottom w:w="113" w:type="dxa"/>
              <w:right w:w="113" w:type="dxa"/>
            </w:tcMar>
            <w:vAlign w:val="center"/>
          </w:tcPr>
          <w:p w14:paraId="2D30AC4A" w14:textId="77777777" w:rsidR="00FA4BF1" w:rsidRPr="00FA4BF1" w:rsidRDefault="00FA4BF1" w:rsidP="00EA076F">
            <w:pPr>
              <w:pStyle w:val="CDITable-RowCentre"/>
              <w:rPr>
                <w:sz w:val="16"/>
              </w:rPr>
            </w:pPr>
            <w:r w:rsidRPr="00FA4BF1">
              <w:rPr>
                <w:sz w:val="16"/>
              </w:rPr>
              <w:t>16</w:t>
            </w:r>
          </w:p>
        </w:tc>
        <w:tc>
          <w:tcPr>
            <w:tcW w:w="56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F4E5D70" w14:textId="77777777" w:rsidR="00FA4BF1" w:rsidRPr="00FA4BF1" w:rsidRDefault="00FA4BF1" w:rsidP="00EA076F">
            <w:pPr>
              <w:pStyle w:val="CDITable-RowCentre"/>
              <w:rPr>
                <w:sz w:val="16"/>
              </w:rPr>
            </w:pPr>
            <w:r w:rsidRPr="00FA4BF1">
              <w:rPr>
                <w:sz w:val="16"/>
              </w:rPr>
              <w:t>—</w:t>
            </w:r>
          </w:p>
        </w:tc>
        <w:tc>
          <w:tcPr>
            <w:tcW w:w="59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C636143" w14:textId="77777777" w:rsidR="00FA4BF1" w:rsidRPr="00FA4BF1" w:rsidRDefault="00FA4BF1" w:rsidP="00EA076F">
            <w:pPr>
              <w:pStyle w:val="CDITable-RowCentre"/>
              <w:rPr>
                <w:sz w:val="16"/>
              </w:rPr>
            </w:pPr>
            <w:r w:rsidRPr="00FA4BF1">
              <w:rPr>
                <w:sz w:val="16"/>
              </w:rPr>
              <w:t>11</w:t>
            </w:r>
          </w:p>
        </w:tc>
        <w:tc>
          <w:tcPr>
            <w:tcW w:w="567" w:type="dxa"/>
            <w:tcBorders>
              <w:top w:val="single" w:sz="6" w:space="0" w:color="1E4496" w:themeColor="text2"/>
              <w:bottom w:val="single" w:sz="6" w:space="0" w:color="1E4496" w:themeColor="text2"/>
              <w:right w:val="single" w:sz="6" w:space="0" w:color="1E4496" w:themeColor="text2"/>
            </w:tcBorders>
            <w:tcMar>
              <w:top w:w="113" w:type="dxa"/>
              <w:left w:w="113" w:type="dxa"/>
              <w:bottom w:w="113" w:type="dxa"/>
              <w:right w:w="113" w:type="dxa"/>
            </w:tcMar>
            <w:vAlign w:val="center"/>
          </w:tcPr>
          <w:p w14:paraId="4B971D6F" w14:textId="77777777" w:rsidR="00FA4BF1" w:rsidRPr="00FA4BF1" w:rsidRDefault="00FA4BF1" w:rsidP="00EA076F">
            <w:pPr>
              <w:pStyle w:val="CDITable-RowCentre"/>
              <w:rPr>
                <w:sz w:val="16"/>
              </w:rPr>
            </w:pPr>
            <w:r w:rsidRPr="00FA4BF1">
              <w:rPr>
                <w:sz w:val="16"/>
              </w:rPr>
              <w:t>—</w:t>
            </w:r>
          </w:p>
        </w:tc>
        <w:tc>
          <w:tcPr>
            <w:tcW w:w="590" w:type="dxa"/>
            <w:tcBorders>
              <w:top w:val="single" w:sz="6" w:space="0" w:color="1E4496" w:themeColor="text2"/>
              <w:left w:val="single" w:sz="6" w:space="0" w:color="1E4496" w:themeColor="text2"/>
              <w:bottom w:val="single" w:sz="6" w:space="0" w:color="1E4496" w:themeColor="text2"/>
            </w:tcBorders>
            <w:tcMar>
              <w:top w:w="113" w:type="dxa"/>
              <w:left w:w="113" w:type="dxa"/>
              <w:bottom w:w="113" w:type="dxa"/>
              <w:right w:w="113" w:type="dxa"/>
            </w:tcMar>
            <w:vAlign w:val="center"/>
          </w:tcPr>
          <w:p w14:paraId="7F50F9D8" w14:textId="77777777" w:rsidR="00FA4BF1" w:rsidRPr="00FA4BF1" w:rsidRDefault="00FA4BF1" w:rsidP="00EA076F">
            <w:pPr>
              <w:pStyle w:val="CDITable-RowCentre"/>
              <w:rPr>
                <w:sz w:val="16"/>
              </w:rPr>
            </w:pPr>
            <w:r w:rsidRPr="00FA4BF1">
              <w:rPr>
                <w:sz w:val="16"/>
              </w:rPr>
              <w:t>17</w:t>
            </w:r>
          </w:p>
        </w:tc>
        <w:tc>
          <w:tcPr>
            <w:tcW w:w="566"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08DE175" w14:textId="77777777" w:rsidR="00FA4BF1" w:rsidRPr="00FA4BF1" w:rsidRDefault="00FA4BF1" w:rsidP="00EA076F">
            <w:pPr>
              <w:pStyle w:val="CDITable-RowCentre"/>
              <w:rPr>
                <w:sz w:val="16"/>
              </w:rPr>
            </w:pPr>
            <w:r w:rsidRPr="00FA4BF1">
              <w:rPr>
                <w:sz w:val="16"/>
              </w:rPr>
              <w:t>—</w:t>
            </w:r>
          </w:p>
        </w:tc>
        <w:tc>
          <w:tcPr>
            <w:tcW w:w="59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E0F2770" w14:textId="77777777" w:rsidR="00FA4BF1" w:rsidRPr="00FA4BF1" w:rsidRDefault="00FA4BF1" w:rsidP="00EA076F">
            <w:pPr>
              <w:pStyle w:val="CDITable-RowCentre"/>
              <w:rPr>
                <w:sz w:val="16"/>
              </w:rPr>
            </w:pPr>
            <w:r w:rsidRPr="00FA4BF1">
              <w:rPr>
                <w:sz w:val="16"/>
              </w:rPr>
              <w:t>17</w:t>
            </w:r>
          </w:p>
        </w:tc>
        <w:tc>
          <w:tcPr>
            <w:tcW w:w="56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668B6AC" w14:textId="77777777" w:rsidR="00FA4BF1" w:rsidRPr="00FA4BF1" w:rsidRDefault="00FA4BF1" w:rsidP="00EA076F">
            <w:pPr>
              <w:pStyle w:val="CDITable-RowCentre"/>
              <w:rPr>
                <w:sz w:val="16"/>
              </w:rPr>
            </w:pPr>
            <w:r w:rsidRPr="00FA4BF1">
              <w:rPr>
                <w:sz w:val="16"/>
              </w:rPr>
              <w:t>—</w:t>
            </w:r>
          </w:p>
        </w:tc>
      </w:tr>
      <w:tr w:rsidR="00B6546F" w:rsidRPr="00FA4BF1" w14:paraId="4FD46908" w14:textId="77777777" w:rsidTr="00B6546F">
        <w:trPr>
          <w:trHeight w:val="60"/>
        </w:trPr>
        <w:tc>
          <w:tcPr>
            <w:tcW w:w="1361" w:type="dxa"/>
            <w:vMerge/>
            <w:tcBorders>
              <w:bottom w:val="single" w:sz="6" w:space="0" w:color="1E4496" w:themeColor="text2"/>
            </w:tcBorders>
            <w:shd w:val="clear" w:color="auto" w:fill="DCF4FC" w:themeFill="background2" w:themeFillTint="33"/>
          </w:tcPr>
          <w:p w14:paraId="36AF6E38" w14:textId="77777777" w:rsidR="00FA4BF1" w:rsidRPr="00FA4BF1" w:rsidRDefault="00FA4BF1" w:rsidP="00EA076F"/>
        </w:tc>
        <w:tc>
          <w:tcPr>
            <w:tcW w:w="141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3242966" w14:textId="77777777" w:rsidR="00FA4BF1" w:rsidRPr="00FA4BF1" w:rsidRDefault="00FA4BF1" w:rsidP="00EA076F">
            <w:pPr>
              <w:pStyle w:val="CDITable-RowLeft"/>
              <w:rPr>
                <w:sz w:val="16"/>
              </w:rPr>
            </w:pPr>
            <w:proofErr w:type="spellStart"/>
            <w:r w:rsidRPr="00FA4BF1">
              <w:rPr>
                <w:sz w:val="16"/>
              </w:rPr>
              <w:t>IQR</w:t>
            </w:r>
            <w:r w:rsidRPr="00B6546F">
              <w:rPr>
                <w:sz w:val="16"/>
                <w:vertAlign w:val="superscript"/>
              </w:rPr>
              <w:t>d</w:t>
            </w:r>
            <w:proofErr w:type="spellEnd"/>
          </w:p>
        </w:tc>
        <w:tc>
          <w:tcPr>
            <w:tcW w:w="59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D54D35F" w14:textId="77777777" w:rsidR="00FA4BF1" w:rsidRPr="00FA4BF1" w:rsidRDefault="00FA4BF1" w:rsidP="00EA076F">
            <w:pPr>
              <w:pStyle w:val="CDITable-RowCentre"/>
              <w:rPr>
                <w:sz w:val="16"/>
              </w:rPr>
            </w:pPr>
            <w:r w:rsidRPr="00FA4BF1">
              <w:rPr>
                <w:sz w:val="16"/>
              </w:rPr>
              <w:t>8–24</w:t>
            </w:r>
          </w:p>
        </w:tc>
        <w:tc>
          <w:tcPr>
            <w:tcW w:w="566"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A3DA886" w14:textId="77777777" w:rsidR="00FA4BF1" w:rsidRPr="00FA4BF1" w:rsidRDefault="00FA4BF1" w:rsidP="00EA076F">
            <w:pPr>
              <w:pStyle w:val="CDITable-RowCentre"/>
              <w:rPr>
                <w:sz w:val="16"/>
              </w:rPr>
            </w:pPr>
            <w:r w:rsidRPr="00FA4BF1">
              <w:rPr>
                <w:sz w:val="16"/>
              </w:rPr>
              <w:t>—</w:t>
            </w:r>
          </w:p>
        </w:tc>
        <w:tc>
          <w:tcPr>
            <w:tcW w:w="59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A76F254" w14:textId="77777777" w:rsidR="00FA4BF1" w:rsidRPr="00FA4BF1" w:rsidRDefault="00FA4BF1" w:rsidP="00EA076F">
            <w:pPr>
              <w:pStyle w:val="CDITable-RowCentre"/>
              <w:rPr>
                <w:sz w:val="16"/>
              </w:rPr>
            </w:pPr>
            <w:r w:rsidRPr="00FA4BF1">
              <w:rPr>
                <w:sz w:val="16"/>
              </w:rPr>
              <w:t>4–17</w:t>
            </w:r>
          </w:p>
        </w:tc>
        <w:tc>
          <w:tcPr>
            <w:tcW w:w="567" w:type="dxa"/>
            <w:tcBorders>
              <w:top w:val="single" w:sz="6" w:space="0" w:color="1E4496" w:themeColor="text2"/>
              <w:bottom w:val="single" w:sz="6" w:space="0" w:color="1E4496" w:themeColor="text2"/>
              <w:right w:val="single" w:sz="6" w:space="0" w:color="1E4496" w:themeColor="text2"/>
            </w:tcBorders>
            <w:tcMar>
              <w:top w:w="113" w:type="dxa"/>
              <w:left w:w="113" w:type="dxa"/>
              <w:bottom w:w="113" w:type="dxa"/>
              <w:right w:w="113" w:type="dxa"/>
            </w:tcMar>
            <w:vAlign w:val="center"/>
          </w:tcPr>
          <w:p w14:paraId="103B253C" w14:textId="77777777" w:rsidR="00FA4BF1" w:rsidRPr="00FA4BF1" w:rsidRDefault="00FA4BF1" w:rsidP="00EA076F">
            <w:pPr>
              <w:pStyle w:val="CDITable-RowCentre"/>
              <w:rPr>
                <w:sz w:val="16"/>
              </w:rPr>
            </w:pPr>
            <w:r w:rsidRPr="00FA4BF1">
              <w:rPr>
                <w:sz w:val="16"/>
              </w:rPr>
              <w:t>—</w:t>
            </w:r>
          </w:p>
        </w:tc>
        <w:tc>
          <w:tcPr>
            <w:tcW w:w="590" w:type="dxa"/>
            <w:tcBorders>
              <w:top w:val="single" w:sz="6" w:space="0" w:color="1E4496" w:themeColor="text2"/>
              <w:left w:val="single" w:sz="6" w:space="0" w:color="1E4496" w:themeColor="text2"/>
              <w:bottom w:val="single" w:sz="6" w:space="0" w:color="1E4496" w:themeColor="text2"/>
            </w:tcBorders>
            <w:tcMar>
              <w:top w:w="113" w:type="dxa"/>
              <w:left w:w="113" w:type="dxa"/>
              <w:bottom w:w="113" w:type="dxa"/>
              <w:right w:w="113" w:type="dxa"/>
            </w:tcMar>
            <w:vAlign w:val="center"/>
          </w:tcPr>
          <w:p w14:paraId="4810226C" w14:textId="77777777" w:rsidR="00FA4BF1" w:rsidRPr="00FA4BF1" w:rsidRDefault="00FA4BF1" w:rsidP="00EA076F">
            <w:pPr>
              <w:pStyle w:val="CDITable-RowCentre"/>
              <w:rPr>
                <w:sz w:val="16"/>
              </w:rPr>
            </w:pPr>
            <w:r w:rsidRPr="00FA4BF1">
              <w:rPr>
                <w:sz w:val="16"/>
              </w:rPr>
              <w:t>8–28</w:t>
            </w:r>
          </w:p>
        </w:tc>
        <w:tc>
          <w:tcPr>
            <w:tcW w:w="56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E0568D8" w14:textId="77777777" w:rsidR="00FA4BF1" w:rsidRPr="00FA4BF1" w:rsidRDefault="00FA4BF1" w:rsidP="00EA076F">
            <w:pPr>
              <w:pStyle w:val="CDITable-RowCentre"/>
              <w:rPr>
                <w:sz w:val="16"/>
              </w:rPr>
            </w:pPr>
            <w:r w:rsidRPr="00FA4BF1">
              <w:rPr>
                <w:sz w:val="16"/>
              </w:rPr>
              <w:t>—</w:t>
            </w:r>
          </w:p>
        </w:tc>
        <w:tc>
          <w:tcPr>
            <w:tcW w:w="589"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093F79E" w14:textId="77777777" w:rsidR="00FA4BF1" w:rsidRPr="00FA4BF1" w:rsidRDefault="00FA4BF1" w:rsidP="00EA076F">
            <w:pPr>
              <w:pStyle w:val="CDITable-RowCentre"/>
              <w:rPr>
                <w:sz w:val="16"/>
              </w:rPr>
            </w:pPr>
            <w:r w:rsidRPr="00FA4BF1">
              <w:rPr>
                <w:sz w:val="16"/>
              </w:rPr>
              <w:t>4–18</w:t>
            </w:r>
          </w:p>
        </w:tc>
        <w:tc>
          <w:tcPr>
            <w:tcW w:w="567" w:type="dxa"/>
            <w:tcBorders>
              <w:top w:val="single" w:sz="6" w:space="0" w:color="1E4496" w:themeColor="text2"/>
              <w:bottom w:val="single" w:sz="6" w:space="0" w:color="1E4496" w:themeColor="text2"/>
              <w:right w:val="single" w:sz="6" w:space="0" w:color="1E4496" w:themeColor="text2"/>
            </w:tcBorders>
            <w:tcMar>
              <w:top w:w="113" w:type="dxa"/>
              <w:left w:w="113" w:type="dxa"/>
              <w:bottom w:w="113" w:type="dxa"/>
              <w:right w:w="113" w:type="dxa"/>
            </w:tcMar>
            <w:vAlign w:val="center"/>
          </w:tcPr>
          <w:p w14:paraId="678F375F" w14:textId="77777777" w:rsidR="00FA4BF1" w:rsidRPr="00FA4BF1" w:rsidRDefault="00FA4BF1" w:rsidP="00EA076F">
            <w:pPr>
              <w:pStyle w:val="CDITable-RowCentre"/>
              <w:rPr>
                <w:sz w:val="16"/>
              </w:rPr>
            </w:pPr>
            <w:r w:rsidRPr="00FA4BF1">
              <w:rPr>
                <w:sz w:val="16"/>
              </w:rPr>
              <w:t>—</w:t>
            </w:r>
          </w:p>
        </w:tc>
        <w:tc>
          <w:tcPr>
            <w:tcW w:w="595" w:type="dxa"/>
            <w:tcBorders>
              <w:top w:val="single" w:sz="6" w:space="0" w:color="1E4496" w:themeColor="text2"/>
              <w:left w:val="single" w:sz="6" w:space="0" w:color="1E4496" w:themeColor="text2"/>
              <w:bottom w:val="single" w:sz="6" w:space="0" w:color="1E4496" w:themeColor="text2"/>
            </w:tcBorders>
            <w:tcMar>
              <w:top w:w="113" w:type="dxa"/>
              <w:left w:w="113" w:type="dxa"/>
              <w:bottom w:w="113" w:type="dxa"/>
              <w:right w:w="113" w:type="dxa"/>
            </w:tcMar>
            <w:vAlign w:val="center"/>
          </w:tcPr>
          <w:p w14:paraId="7C4C2295" w14:textId="77777777" w:rsidR="00FA4BF1" w:rsidRPr="00FA4BF1" w:rsidRDefault="00FA4BF1" w:rsidP="00EA076F">
            <w:pPr>
              <w:pStyle w:val="CDITable-RowCentre"/>
              <w:rPr>
                <w:sz w:val="16"/>
              </w:rPr>
            </w:pPr>
            <w:r w:rsidRPr="00FA4BF1">
              <w:rPr>
                <w:sz w:val="16"/>
              </w:rPr>
              <w:t>8–39</w:t>
            </w:r>
          </w:p>
        </w:tc>
        <w:tc>
          <w:tcPr>
            <w:tcW w:w="56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FD79DA0" w14:textId="77777777" w:rsidR="00FA4BF1" w:rsidRPr="00FA4BF1" w:rsidRDefault="00FA4BF1" w:rsidP="00EA076F">
            <w:pPr>
              <w:pStyle w:val="CDITable-RowCentre"/>
              <w:rPr>
                <w:sz w:val="16"/>
              </w:rPr>
            </w:pPr>
            <w:r w:rsidRPr="00FA4BF1">
              <w:rPr>
                <w:sz w:val="16"/>
              </w:rPr>
              <w:t>—</w:t>
            </w:r>
          </w:p>
        </w:tc>
        <w:tc>
          <w:tcPr>
            <w:tcW w:w="59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DC6C164" w14:textId="77777777" w:rsidR="00FA4BF1" w:rsidRPr="00FA4BF1" w:rsidRDefault="00FA4BF1" w:rsidP="00EA076F">
            <w:pPr>
              <w:pStyle w:val="CDITable-RowCentre"/>
              <w:rPr>
                <w:sz w:val="16"/>
              </w:rPr>
            </w:pPr>
            <w:r w:rsidRPr="00FA4BF1">
              <w:rPr>
                <w:sz w:val="16"/>
              </w:rPr>
              <w:t>7–22</w:t>
            </w:r>
          </w:p>
        </w:tc>
        <w:tc>
          <w:tcPr>
            <w:tcW w:w="567" w:type="dxa"/>
            <w:tcBorders>
              <w:top w:val="single" w:sz="6" w:space="0" w:color="1E4496" w:themeColor="text2"/>
              <w:bottom w:val="single" w:sz="6" w:space="0" w:color="1E4496" w:themeColor="text2"/>
              <w:right w:val="single" w:sz="6" w:space="0" w:color="1E4496" w:themeColor="text2"/>
            </w:tcBorders>
            <w:tcMar>
              <w:top w:w="113" w:type="dxa"/>
              <w:left w:w="113" w:type="dxa"/>
              <w:bottom w:w="113" w:type="dxa"/>
              <w:right w:w="113" w:type="dxa"/>
            </w:tcMar>
            <w:vAlign w:val="center"/>
          </w:tcPr>
          <w:p w14:paraId="2CF5F0FF" w14:textId="77777777" w:rsidR="00FA4BF1" w:rsidRPr="00FA4BF1" w:rsidRDefault="00FA4BF1" w:rsidP="00EA076F">
            <w:pPr>
              <w:pStyle w:val="CDITable-RowCentre"/>
              <w:rPr>
                <w:sz w:val="16"/>
              </w:rPr>
            </w:pPr>
            <w:r w:rsidRPr="00FA4BF1">
              <w:rPr>
                <w:sz w:val="16"/>
              </w:rPr>
              <w:t>—</w:t>
            </w:r>
          </w:p>
        </w:tc>
        <w:tc>
          <w:tcPr>
            <w:tcW w:w="589" w:type="dxa"/>
            <w:tcBorders>
              <w:top w:val="single" w:sz="6" w:space="0" w:color="1E4496" w:themeColor="text2"/>
              <w:left w:val="single" w:sz="6" w:space="0" w:color="1E4496" w:themeColor="text2"/>
              <w:bottom w:val="single" w:sz="6" w:space="0" w:color="1E4496" w:themeColor="text2"/>
            </w:tcBorders>
            <w:tcMar>
              <w:top w:w="113" w:type="dxa"/>
              <w:left w:w="113" w:type="dxa"/>
              <w:bottom w:w="113" w:type="dxa"/>
              <w:right w:w="113" w:type="dxa"/>
            </w:tcMar>
            <w:vAlign w:val="center"/>
          </w:tcPr>
          <w:p w14:paraId="722B2E0A" w14:textId="77777777" w:rsidR="00FA4BF1" w:rsidRPr="00FA4BF1" w:rsidRDefault="00FA4BF1" w:rsidP="00EA076F">
            <w:pPr>
              <w:pStyle w:val="CDITable-RowCentre"/>
              <w:rPr>
                <w:sz w:val="16"/>
              </w:rPr>
            </w:pPr>
            <w:r w:rsidRPr="00FA4BF1">
              <w:rPr>
                <w:sz w:val="16"/>
              </w:rPr>
              <w:t>8–29</w:t>
            </w:r>
          </w:p>
        </w:tc>
        <w:tc>
          <w:tcPr>
            <w:tcW w:w="56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D9239CE" w14:textId="77777777" w:rsidR="00FA4BF1" w:rsidRPr="00FA4BF1" w:rsidRDefault="00FA4BF1" w:rsidP="00EA076F">
            <w:pPr>
              <w:pStyle w:val="CDITable-RowCentre"/>
              <w:rPr>
                <w:sz w:val="16"/>
              </w:rPr>
            </w:pPr>
            <w:r w:rsidRPr="00FA4BF1">
              <w:rPr>
                <w:sz w:val="16"/>
              </w:rPr>
              <w:t>—</w:t>
            </w:r>
          </w:p>
        </w:tc>
        <w:tc>
          <w:tcPr>
            <w:tcW w:w="59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DC07D8F" w14:textId="77777777" w:rsidR="00FA4BF1" w:rsidRPr="00FA4BF1" w:rsidRDefault="00FA4BF1" w:rsidP="00EA076F">
            <w:pPr>
              <w:pStyle w:val="CDITable-RowCentre"/>
              <w:rPr>
                <w:sz w:val="16"/>
              </w:rPr>
            </w:pPr>
            <w:r w:rsidRPr="00FA4BF1">
              <w:rPr>
                <w:sz w:val="16"/>
              </w:rPr>
              <w:t>7–22</w:t>
            </w:r>
          </w:p>
        </w:tc>
        <w:tc>
          <w:tcPr>
            <w:tcW w:w="567" w:type="dxa"/>
            <w:tcBorders>
              <w:top w:val="single" w:sz="6" w:space="0" w:color="1E4496" w:themeColor="text2"/>
              <w:bottom w:val="single" w:sz="6" w:space="0" w:color="1E4496" w:themeColor="text2"/>
              <w:right w:val="single" w:sz="6" w:space="0" w:color="1E4496" w:themeColor="text2"/>
            </w:tcBorders>
            <w:tcMar>
              <w:top w:w="113" w:type="dxa"/>
              <w:left w:w="113" w:type="dxa"/>
              <w:bottom w:w="113" w:type="dxa"/>
              <w:right w:w="113" w:type="dxa"/>
            </w:tcMar>
            <w:vAlign w:val="center"/>
          </w:tcPr>
          <w:p w14:paraId="0C9DBC2E" w14:textId="77777777" w:rsidR="00FA4BF1" w:rsidRPr="00FA4BF1" w:rsidRDefault="00FA4BF1" w:rsidP="00EA076F">
            <w:pPr>
              <w:pStyle w:val="CDITable-RowCentre"/>
              <w:rPr>
                <w:sz w:val="16"/>
              </w:rPr>
            </w:pPr>
            <w:r w:rsidRPr="00FA4BF1">
              <w:rPr>
                <w:sz w:val="16"/>
              </w:rPr>
              <w:t>—</w:t>
            </w:r>
          </w:p>
        </w:tc>
        <w:tc>
          <w:tcPr>
            <w:tcW w:w="590" w:type="dxa"/>
            <w:tcBorders>
              <w:top w:val="single" w:sz="6" w:space="0" w:color="1E4496" w:themeColor="text2"/>
              <w:left w:val="single" w:sz="6" w:space="0" w:color="1E4496" w:themeColor="text2"/>
              <w:bottom w:val="single" w:sz="6" w:space="0" w:color="1E4496" w:themeColor="text2"/>
            </w:tcBorders>
            <w:tcMar>
              <w:top w:w="113" w:type="dxa"/>
              <w:left w:w="113" w:type="dxa"/>
              <w:bottom w:w="113" w:type="dxa"/>
              <w:right w:w="113" w:type="dxa"/>
            </w:tcMar>
            <w:vAlign w:val="center"/>
          </w:tcPr>
          <w:p w14:paraId="1A48F37A" w14:textId="77777777" w:rsidR="00FA4BF1" w:rsidRPr="00FA4BF1" w:rsidRDefault="00FA4BF1" w:rsidP="00EA076F">
            <w:pPr>
              <w:pStyle w:val="CDITable-RowCentre"/>
              <w:rPr>
                <w:sz w:val="16"/>
              </w:rPr>
            </w:pPr>
            <w:r w:rsidRPr="00FA4BF1">
              <w:rPr>
                <w:sz w:val="16"/>
              </w:rPr>
              <w:t>9–24</w:t>
            </w:r>
          </w:p>
        </w:tc>
        <w:tc>
          <w:tcPr>
            <w:tcW w:w="566"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BB13CB9" w14:textId="77777777" w:rsidR="00FA4BF1" w:rsidRPr="00FA4BF1" w:rsidRDefault="00FA4BF1" w:rsidP="00EA076F">
            <w:pPr>
              <w:pStyle w:val="CDITable-RowCentre"/>
              <w:rPr>
                <w:sz w:val="16"/>
              </w:rPr>
            </w:pPr>
            <w:r w:rsidRPr="00FA4BF1">
              <w:rPr>
                <w:sz w:val="16"/>
              </w:rPr>
              <w:t>—</w:t>
            </w:r>
          </w:p>
        </w:tc>
        <w:tc>
          <w:tcPr>
            <w:tcW w:w="59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9738841" w14:textId="77777777" w:rsidR="00FA4BF1" w:rsidRPr="00FA4BF1" w:rsidRDefault="00FA4BF1" w:rsidP="00EA076F">
            <w:pPr>
              <w:pStyle w:val="CDITable-RowCentre"/>
              <w:rPr>
                <w:sz w:val="16"/>
              </w:rPr>
            </w:pPr>
            <w:r w:rsidRPr="00FA4BF1">
              <w:rPr>
                <w:sz w:val="16"/>
              </w:rPr>
              <w:t>7–36</w:t>
            </w:r>
          </w:p>
        </w:tc>
        <w:tc>
          <w:tcPr>
            <w:tcW w:w="56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03F19FA" w14:textId="77777777" w:rsidR="00FA4BF1" w:rsidRPr="00FA4BF1" w:rsidRDefault="00FA4BF1" w:rsidP="00EA076F">
            <w:pPr>
              <w:pStyle w:val="CDITable-RowCentre"/>
              <w:rPr>
                <w:sz w:val="16"/>
              </w:rPr>
            </w:pPr>
            <w:r w:rsidRPr="00FA4BF1">
              <w:rPr>
                <w:sz w:val="16"/>
              </w:rPr>
              <w:t>—</w:t>
            </w:r>
          </w:p>
        </w:tc>
      </w:tr>
      <w:tr w:rsidR="00B6546F" w:rsidRPr="00FA4BF1" w14:paraId="13EF6443" w14:textId="77777777" w:rsidTr="00B6546F">
        <w:trPr>
          <w:trHeight w:val="60"/>
        </w:trPr>
        <w:tc>
          <w:tcPr>
            <w:tcW w:w="1361" w:type="dxa"/>
            <w:vMerge w:val="restart"/>
            <w:tcBorders>
              <w:top w:val="single" w:sz="6" w:space="0" w:color="1E4496" w:themeColor="text2"/>
              <w:bottom w:val="single" w:sz="6" w:space="0" w:color="1E4496" w:themeColor="text2"/>
            </w:tcBorders>
            <w:shd w:val="clear" w:color="auto" w:fill="DCF4FC" w:themeFill="background2" w:themeFillTint="33"/>
            <w:tcMar>
              <w:top w:w="113" w:type="dxa"/>
              <w:left w:w="113" w:type="dxa"/>
              <w:bottom w:w="113" w:type="dxa"/>
              <w:right w:w="113" w:type="dxa"/>
            </w:tcMar>
            <w:vAlign w:val="center"/>
          </w:tcPr>
          <w:p w14:paraId="22CE3040" w14:textId="77777777" w:rsidR="00FA4BF1" w:rsidRPr="00FA4BF1" w:rsidRDefault="00FA4BF1" w:rsidP="00EA076F">
            <w:pPr>
              <w:pStyle w:val="CDITable-RowLeft"/>
              <w:rPr>
                <w:sz w:val="16"/>
              </w:rPr>
            </w:pPr>
            <w:r w:rsidRPr="00FA4BF1">
              <w:rPr>
                <w:sz w:val="16"/>
              </w:rPr>
              <w:t>All-cause mortality at 30 days</w:t>
            </w:r>
          </w:p>
        </w:tc>
        <w:tc>
          <w:tcPr>
            <w:tcW w:w="141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B1DC0A5" w14:textId="77777777" w:rsidR="00FA4BF1" w:rsidRPr="00FA4BF1" w:rsidRDefault="00FA4BF1" w:rsidP="00EA076F">
            <w:pPr>
              <w:pStyle w:val="CDITable-RowLeft"/>
              <w:rPr>
                <w:sz w:val="16"/>
              </w:rPr>
            </w:pPr>
            <w:r w:rsidRPr="00FA4BF1">
              <w:rPr>
                <w:sz w:val="16"/>
              </w:rPr>
              <w:t>Died</w:t>
            </w:r>
          </w:p>
        </w:tc>
        <w:tc>
          <w:tcPr>
            <w:tcW w:w="59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F745907" w14:textId="77777777" w:rsidR="00FA4BF1" w:rsidRPr="00FA4BF1" w:rsidRDefault="00FA4BF1" w:rsidP="00EA076F">
            <w:pPr>
              <w:pStyle w:val="CDITable-RowCentre"/>
              <w:rPr>
                <w:sz w:val="16"/>
              </w:rPr>
            </w:pPr>
            <w:r w:rsidRPr="00FA4BF1">
              <w:rPr>
                <w:sz w:val="16"/>
              </w:rPr>
              <w:t>5</w:t>
            </w:r>
          </w:p>
        </w:tc>
        <w:tc>
          <w:tcPr>
            <w:tcW w:w="566"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D882846" w14:textId="77777777" w:rsidR="00FA4BF1" w:rsidRPr="00FA4BF1" w:rsidRDefault="00FA4BF1" w:rsidP="00EA076F">
            <w:pPr>
              <w:pStyle w:val="CDITable-RowCentre"/>
              <w:rPr>
                <w:sz w:val="16"/>
              </w:rPr>
            </w:pPr>
            <w:r w:rsidRPr="00FA4BF1">
              <w:rPr>
                <w:sz w:val="16"/>
              </w:rPr>
              <w:t>17.9</w:t>
            </w:r>
          </w:p>
        </w:tc>
        <w:tc>
          <w:tcPr>
            <w:tcW w:w="59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B7DF140" w14:textId="77777777" w:rsidR="00FA4BF1" w:rsidRPr="00FA4BF1" w:rsidRDefault="00FA4BF1" w:rsidP="00EA076F">
            <w:pPr>
              <w:pStyle w:val="CDITable-RowCentre"/>
              <w:rPr>
                <w:sz w:val="16"/>
              </w:rPr>
            </w:pPr>
            <w:r w:rsidRPr="00FA4BF1">
              <w:rPr>
                <w:sz w:val="16"/>
              </w:rPr>
              <w:t>23</w:t>
            </w:r>
          </w:p>
        </w:tc>
        <w:tc>
          <w:tcPr>
            <w:tcW w:w="567" w:type="dxa"/>
            <w:tcBorders>
              <w:top w:val="single" w:sz="6" w:space="0" w:color="1E4496" w:themeColor="text2"/>
              <w:bottom w:val="single" w:sz="6" w:space="0" w:color="1E4496" w:themeColor="text2"/>
              <w:right w:val="single" w:sz="6" w:space="0" w:color="1E4496" w:themeColor="text2"/>
            </w:tcBorders>
            <w:tcMar>
              <w:top w:w="113" w:type="dxa"/>
              <w:left w:w="113" w:type="dxa"/>
              <w:bottom w:w="113" w:type="dxa"/>
              <w:right w:w="113" w:type="dxa"/>
            </w:tcMar>
            <w:vAlign w:val="center"/>
          </w:tcPr>
          <w:p w14:paraId="299D0CB4" w14:textId="77777777" w:rsidR="00FA4BF1" w:rsidRPr="00FA4BF1" w:rsidRDefault="00FA4BF1" w:rsidP="00EA076F">
            <w:pPr>
              <w:pStyle w:val="CDITable-RowCentre"/>
              <w:rPr>
                <w:sz w:val="16"/>
              </w:rPr>
            </w:pPr>
            <w:r w:rsidRPr="00FA4BF1">
              <w:rPr>
                <w:sz w:val="16"/>
              </w:rPr>
              <w:t>82.1</w:t>
            </w:r>
          </w:p>
        </w:tc>
        <w:tc>
          <w:tcPr>
            <w:tcW w:w="590" w:type="dxa"/>
            <w:tcBorders>
              <w:top w:val="single" w:sz="6" w:space="0" w:color="1E4496" w:themeColor="text2"/>
              <w:left w:val="single" w:sz="6" w:space="0" w:color="1E4496" w:themeColor="text2"/>
              <w:bottom w:val="single" w:sz="6" w:space="0" w:color="1E4496" w:themeColor="text2"/>
            </w:tcBorders>
            <w:tcMar>
              <w:top w:w="113" w:type="dxa"/>
              <w:left w:w="113" w:type="dxa"/>
              <w:bottom w:w="113" w:type="dxa"/>
              <w:right w:w="113" w:type="dxa"/>
            </w:tcMar>
            <w:vAlign w:val="center"/>
          </w:tcPr>
          <w:p w14:paraId="08FD10F6" w14:textId="77777777" w:rsidR="00FA4BF1" w:rsidRPr="00FA4BF1" w:rsidRDefault="00FA4BF1" w:rsidP="00EA076F">
            <w:pPr>
              <w:pStyle w:val="CDITable-RowCentre"/>
              <w:rPr>
                <w:sz w:val="16"/>
              </w:rPr>
            </w:pPr>
            <w:r w:rsidRPr="00FA4BF1">
              <w:rPr>
                <w:sz w:val="16"/>
              </w:rPr>
              <w:t>5</w:t>
            </w:r>
          </w:p>
        </w:tc>
        <w:tc>
          <w:tcPr>
            <w:tcW w:w="56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F80705A" w14:textId="77777777" w:rsidR="00FA4BF1" w:rsidRPr="00FA4BF1" w:rsidRDefault="00FA4BF1" w:rsidP="00EA076F">
            <w:pPr>
              <w:pStyle w:val="CDITable-RowCentre"/>
              <w:rPr>
                <w:sz w:val="16"/>
              </w:rPr>
            </w:pPr>
            <w:r w:rsidRPr="00FA4BF1">
              <w:rPr>
                <w:sz w:val="16"/>
              </w:rPr>
              <w:t>17.9</w:t>
            </w:r>
          </w:p>
        </w:tc>
        <w:tc>
          <w:tcPr>
            <w:tcW w:w="589"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D63155F" w14:textId="77777777" w:rsidR="00FA4BF1" w:rsidRPr="00FA4BF1" w:rsidRDefault="00FA4BF1" w:rsidP="00EA076F">
            <w:pPr>
              <w:pStyle w:val="CDITable-RowCentre"/>
              <w:rPr>
                <w:sz w:val="16"/>
              </w:rPr>
            </w:pPr>
            <w:r w:rsidRPr="00FA4BF1">
              <w:rPr>
                <w:sz w:val="16"/>
              </w:rPr>
              <w:t>23</w:t>
            </w:r>
          </w:p>
        </w:tc>
        <w:tc>
          <w:tcPr>
            <w:tcW w:w="567" w:type="dxa"/>
            <w:tcBorders>
              <w:top w:val="single" w:sz="6" w:space="0" w:color="1E4496" w:themeColor="text2"/>
              <w:bottom w:val="single" w:sz="6" w:space="0" w:color="1E4496" w:themeColor="text2"/>
              <w:right w:val="single" w:sz="6" w:space="0" w:color="1E4496" w:themeColor="text2"/>
            </w:tcBorders>
            <w:tcMar>
              <w:top w:w="113" w:type="dxa"/>
              <w:left w:w="113" w:type="dxa"/>
              <w:bottom w:w="113" w:type="dxa"/>
              <w:right w:w="113" w:type="dxa"/>
            </w:tcMar>
            <w:vAlign w:val="center"/>
          </w:tcPr>
          <w:p w14:paraId="4D37ADE9" w14:textId="77777777" w:rsidR="00FA4BF1" w:rsidRPr="00FA4BF1" w:rsidRDefault="00FA4BF1" w:rsidP="00EA076F">
            <w:pPr>
              <w:pStyle w:val="CDITable-RowCentre"/>
              <w:rPr>
                <w:sz w:val="16"/>
              </w:rPr>
            </w:pPr>
            <w:r w:rsidRPr="00FA4BF1">
              <w:rPr>
                <w:sz w:val="16"/>
              </w:rPr>
              <w:t>82.1</w:t>
            </w:r>
          </w:p>
        </w:tc>
        <w:tc>
          <w:tcPr>
            <w:tcW w:w="595" w:type="dxa"/>
            <w:tcBorders>
              <w:top w:val="single" w:sz="6" w:space="0" w:color="1E4496" w:themeColor="text2"/>
              <w:left w:val="single" w:sz="6" w:space="0" w:color="1E4496" w:themeColor="text2"/>
              <w:bottom w:val="single" w:sz="6" w:space="0" w:color="1E4496" w:themeColor="text2"/>
            </w:tcBorders>
            <w:tcMar>
              <w:top w:w="113" w:type="dxa"/>
              <w:left w:w="113" w:type="dxa"/>
              <w:bottom w:w="113" w:type="dxa"/>
              <w:right w:w="113" w:type="dxa"/>
            </w:tcMar>
            <w:vAlign w:val="center"/>
          </w:tcPr>
          <w:p w14:paraId="6C1799A9" w14:textId="77777777" w:rsidR="00FA4BF1" w:rsidRPr="00FA4BF1" w:rsidRDefault="00FA4BF1" w:rsidP="00EA076F">
            <w:pPr>
              <w:pStyle w:val="CDITable-RowCentre"/>
              <w:rPr>
                <w:sz w:val="16"/>
              </w:rPr>
            </w:pPr>
            <w:r w:rsidRPr="00FA4BF1">
              <w:rPr>
                <w:sz w:val="16"/>
              </w:rPr>
              <w:t>0</w:t>
            </w:r>
          </w:p>
        </w:tc>
        <w:tc>
          <w:tcPr>
            <w:tcW w:w="56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06ED650" w14:textId="77777777" w:rsidR="00FA4BF1" w:rsidRPr="00FA4BF1" w:rsidRDefault="00FA4BF1" w:rsidP="00EA076F">
            <w:pPr>
              <w:pStyle w:val="CDITable-RowCentre"/>
              <w:rPr>
                <w:sz w:val="16"/>
              </w:rPr>
            </w:pPr>
            <w:r w:rsidRPr="00FA4BF1">
              <w:rPr>
                <w:sz w:val="16"/>
              </w:rPr>
              <w:t>—</w:t>
            </w:r>
          </w:p>
        </w:tc>
        <w:tc>
          <w:tcPr>
            <w:tcW w:w="59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720A6E3" w14:textId="77777777" w:rsidR="00FA4BF1" w:rsidRPr="00FA4BF1" w:rsidRDefault="00FA4BF1" w:rsidP="00EA076F">
            <w:pPr>
              <w:pStyle w:val="CDITable-RowCentre"/>
              <w:rPr>
                <w:sz w:val="16"/>
              </w:rPr>
            </w:pPr>
            <w:r w:rsidRPr="00FA4BF1">
              <w:rPr>
                <w:sz w:val="16"/>
              </w:rPr>
              <w:t>7</w:t>
            </w:r>
          </w:p>
        </w:tc>
        <w:tc>
          <w:tcPr>
            <w:tcW w:w="567" w:type="dxa"/>
            <w:tcBorders>
              <w:top w:val="single" w:sz="6" w:space="0" w:color="1E4496" w:themeColor="text2"/>
              <w:bottom w:val="single" w:sz="6" w:space="0" w:color="1E4496" w:themeColor="text2"/>
              <w:right w:val="single" w:sz="6" w:space="0" w:color="1E4496" w:themeColor="text2"/>
            </w:tcBorders>
            <w:tcMar>
              <w:top w:w="113" w:type="dxa"/>
              <w:left w:w="113" w:type="dxa"/>
              <w:bottom w:w="113" w:type="dxa"/>
              <w:right w:w="113" w:type="dxa"/>
            </w:tcMar>
            <w:vAlign w:val="center"/>
          </w:tcPr>
          <w:p w14:paraId="5AAF148D" w14:textId="77777777" w:rsidR="00FA4BF1" w:rsidRPr="00FA4BF1" w:rsidRDefault="00FA4BF1" w:rsidP="00EA076F">
            <w:pPr>
              <w:pStyle w:val="CDITable-RowCentre"/>
              <w:rPr>
                <w:sz w:val="16"/>
              </w:rPr>
            </w:pPr>
            <w:r w:rsidRPr="00FA4BF1">
              <w:rPr>
                <w:sz w:val="16"/>
              </w:rPr>
              <w:t>100</w:t>
            </w:r>
          </w:p>
        </w:tc>
        <w:tc>
          <w:tcPr>
            <w:tcW w:w="589" w:type="dxa"/>
            <w:tcBorders>
              <w:top w:val="single" w:sz="6" w:space="0" w:color="1E4496" w:themeColor="text2"/>
              <w:left w:val="single" w:sz="6" w:space="0" w:color="1E4496" w:themeColor="text2"/>
              <w:bottom w:val="single" w:sz="6" w:space="0" w:color="1E4496" w:themeColor="text2"/>
            </w:tcBorders>
            <w:tcMar>
              <w:top w:w="113" w:type="dxa"/>
              <w:left w:w="113" w:type="dxa"/>
              <w:bottom w:w="113" w:type="dxa"/>
              <w:right w:w="113" w:type="dxa"/>
            </w:tcMar>
            <w:vAlign w:val="center"/>
          </w:tcPr>
          <w:p w14:paraId="09B44702" w14:textId="77777777" w:rsidR="00FA4BF1" w:rsidRPr="00FA4BF1" w:rsidRDefault="00FA4BF1" w:rsidP="00EA076F">
            <w:pPr>
              <w:pStyle w:val="CDITable-RowCentre"/>
              <w:rPr>
                <w:sz w:val="16"/>
              </w:rPr>
            </w:pPr>
            <w:r w:rsidRPr="00FA4BF1">
              <w:rPr>
                <w:sz w:val="16"/>
              </w:rPr>
              <w:t>3</w:t>
            </w:r>
          </w:p>
        </w:tc>
        <w:tc>
          <w:tcPr>
            <w:tcW w:w="56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414CCC6" w14:textId="77777777" w:rsidR="00FA4BF1" w:rsidRPr="00FA4BF1" w:rsidRDefault="00FA4BF1" w:rsidP="00EA076F">
            <w:pPr>
              <w:pStyle w:val="CDITable-RowCentre"/>
              <w:rPr>
                <w:sz w:val="16"/>
              </w:rPr>
            </w:pPr>
            <w:r w:rsidRPr="00FA4BF1">
              <w:rPr>
                <w:sz w:val="16"/>
              </w:rPr>
              <w:t>—</w:t>
            </w:r>
          </w:p>
        </w:tc>
        <w:tc>
          <w:tcPr>
            <w:tcW w:w="59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D00B8DA" w14:textId="77777777" w:rsidR="00FA4BF1" w:rsidRPr="00FA4BF1" w:rsidRDefault="00FA4BF1" w:rsidP="00EA076F">
            <w:pPr>
              <w:pStyle w:val="CDITable-RowCentre"/>
              <w:rPr>
                <w:sz w:val="16"/>
              </w:rPr>
            </w:pPr>
            <w:r w:rsidRPr="00FA4BF1">
              <w:rPr>
                <w:sz w:val="16"/>
              </w:rPr>
              <w:t>4</w:t>
            </w:r>
          </w:p>
        </w:tc>
        <w:tc>
          <w:tcPr>
            <w:tcW w:w="567" w:type="dxa"/>
            <w:tcBorders>
              <w:top w:val="single" w:sz="6" w:space="0" w:color="1E4496" w:themeColor="text2"/>
              <w:bottom w:val="single" w:sz="6" w:space="0" w:color="1E4496" w:themeColor="text2"/>
              <w:right w:val="single" w:sz="6" w:space="0" w:color="1E4496" w:themeColor="text2"/>
            </w:tcBorders>
            <w:tcMar>
              <w:top w:w="113" w:type="dxa"/>
              <w:left w:w="113" w:type="dxa"/>
              <w:bottom w:w="113" w:type="dxa"/>
              <w:right w:w="113" w:type="dxa"/>
            </w:tcMar>
            <w:vAlign w:val="center"/>
          </w:tcPr>
          <w:p w14:paraId="6FC02C67" w14:textId="77777777" w:rsidR="00FA4BF1" w:rsidRPr="00FA4BF1" w:rsidRDefault="00FA4BF1" w:rsidP="00EA076F">
            <w:pPr>
              <w:pStyle w:val="CDITable-RowCentre"/>
              <w:rPr>
                <w:sz w:val="16"/>
              </w:rPr>
            </w:pPr>
            <w:r w:rsidRPr="00FA4BF1">
              <w:rPr>
                <w:sz w:val="16"/>
              </w:rPr>
              <w:t>—</w:t>
            </w:r>
          </w:p>
        </w:tc>
        <w:tc>
          <w:tcPr>
            <w:tcW w:w="590" w:type="dxa"/>
            <w:tcBorders>
              <w:top w:val="single" w:sz="6" w:space="0" w:color="1E4496" w:themeColor="text2"/>
              <w:left w:val="single" w:sz="6" w:space="0" w:color="1E4496" w:themeColor="text2"/>
              <w:bottom w:val="single" w:sz="6" w:space="0" w:color="1E4496" w:themeColor="text2"/>
            </w:tcBorders>
            <w:tcMar>
              <w:top w:w="113" w:type="dxa"/>
              <w:left w:w="113" w:type="dxa"/>
              <w:bottom w:w="113" w:type="dxa"/>
              <w:right w:w="113" w:type="dxa"/>
            </w:tcMar>
            <w:vAlign w:val="center"/>
          </w:tcPr>
          <w:p w14:paraId="3A7467E0" w14:textId="77777777" w:rsidR="00FA4BF1" w:rsidRPr="00FA4BF1" w:rsidRDefault="00FA4BF1" w:rsidP="00EA076F">
            <w:pPr>
              <w:pStyle w:val="CDITable-RowCentre"/>
              <w:rPr>
                <w:sz w:val="16"/>
              </w:rPr>
            </w:pPr>
            <w:r w:rsidRPr="00FA4BF1">
              <w:rPr>
                <w:sz w:val="16"/>
              </w:rPr>
              <w:t>1</w:t>
            </w:r>
          </w:p>
        </w:tc>
        <w:tc>
          <w:tcPr>
            <w:tcW w:w="566"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EC1CAFA" w14:textId="77777777" w:rsidR="00FA4BF1" w:rsidRPr="00FA4BF1" w:rsidRDefault="00FA4BF1" w:rsidP="00EA076F">
            <w:pPr>
              <w:pStyle w:val="CDITable-RowCentre"/>
              <w:rPr>
                <w:sz w:val="16"/>
              </w:rPr>
            </w:pPr>
            <w:r w:rsidRPr="00FA4BF1">
              <w:rPr>
                <w:sz w:val="16"/>
              </w:rPr>
              <w:t>14.3</w:t>
            </w:r>
          </w:p>
        </w:tc>
        <w:tc>
          <w:tcPr>
            <w:tcW w:w="59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B94A10E" w14:textId="77777777" w:rsidR="00FA4BF1" w:rsidRPr="00FA4BF1" w:rsidRDefault="00FA4BF1" w:rsidP="00EA076F">
            <w:pPr>
              <w:pStyle w:val="CDITable-RowCentre"/>
              <w:rPr>
                <w:sz w:val="16"/>
              </w:rPr>
            </w:pPr>
            <w:r w:rsidRPr="00FA4BF1">
              <w:rPr>
                <w:sz w:val="16"/>
              </w:rPr>
              <w:t>6</w:t>
            </w:r>
          </w:p>
        </w:tc>
        <w:tc>
          <w:tcPr>
            <w:tcW w:w="56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FF34D75" w14:textId="77777777" w:rsidR="00FA4BF1" w:rsidRPr="00FA4BF1" w:rsidRDefault="00FA4BF1" w:rsidP="00EA076F">
            <w:pPr>
              <w:pStyle w:val="CDITable-RowCentre"/>
              <w:rPr>
                <w:sz w:val="16"/>
              </w:rPr>
            </w:pPr>
            <w:r w:rsidRPr="00FA4BF1">
              <w:rPr>
                <w:sz w:val="16"/>
              </w:rPr>
              <w:t>85.7</w:t>
            </w:r>
          </w:p>
        </w:tc>
      </w:tr>
      <w:tr w:rsidR="00B6546F" w:rsidRPr="00FA4BF1" w14:paraId="4EB0811C" w14:textId="77777777" w:rsidTr="00B6546F">
        <w:trPr>
          <w:trHeight w:val="60"/>
        </w:trPr>
        <w:tc>
          <w:tcPr>
            <w:tcW w:w="1361" w:type="dxa"/>
            <w:vMerge/>
            <w:tcBorders>
              <w:bottom w:val="single" w:sz="6" w:space="0" w:color="1E4496" w:themeColor="text2"/>
            </w:tcBorders>
            <w:shd w:val="clear" w:color="auto" w:fill="DCF4FC" w:themeFill="background2" w:themeFillTint="33"/>
          </w:tcPr>
          <w:p w14:paraId="61E62140" w14:textId="77777777" w:rsidR="00FA4BF1" w:rsidRPr="00FA4BF1" w:rsidRDefault="00FA4BF1" w:rsidP="00EA076F"/>
        </w:tc>
        <w:tc>
          <w:tcPr>
            <w:tcW w:w="141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49675F5" w14:textId="77777777" w:rsidR="00FA4BF1" w:rsidRPr="00FA4BF1" w:rsidRDefault="00FA4BF1" w:rsidP="00EA076F">
            <w:pPr>
              <w:pStyle w:val="CDITable-RowLeft"/>
              <w:rPr>
                <w:sz w:val="16"/>
              </w:rPr>
            </w:pPr>
            <w:r w:rsidRPr="00FA4BF1">
              <w:rPr>
                <w:sz w:val="16"/>
              </w:rPr>
              <w:t>Survived</w:t>
            </w:r>
          </w:p>
        </w:tc>
        <w:tc>
          <w:tcPr>
            <w:tcW w:w="59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B380C73" w14:textId="77777777" w:rsidR="00FA4BF1" w:rsidRPr="00FA4BF1" w:rsidRDefault="00FA4BF1" w:rsidP="00EA076F">
            <w:pPr>
              <w:pStyle w:val="CDITable-RowCentre"/>
              <w:rPr>
                <w:sz w:val="16"/>
              </w:rPr>
            </w:pPr>
            <w:r w:rsidRPr="00FA4BF1">
              <w:rPr>
                <w:sz w:val="16"/>
              </w:rPr>
              <w:t>134</w:t>
            </w:r>
          </w:p>
        </w:tc>
        <w:tc>
          <w:tcPr>
            <w:tcW w:w="566"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0426674" w14:textId="77777777" w:rsidR="00FA4BF1" w:rsidRPr="00FA4BF1" w:rsidRDefault="00FA4BF1" w:rsidP="00EA076F">
            <w:pPr>
              <w:pStyle w:val="CDITable-RowCentre"/>
              <w:rPr>
                <w:sz w:val="16"/>
              </w:rPr>
            </w:pPr>
            <w:r w:rsidRPr="00FA4BF1">
              <w:rPr>
                <w:sz w:val="16"/>
              </w:rPr>
              <w:t>20.7</w:t>
            </w:r>
          </w:p>
        </w:tc>
        <w:tc>
          <w:tcPr>
            <w:tcW w:w="59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E613F57" w14:textId="77777777" w:rsidR="00FA4BF1" w:rsidRPr="00FA4BF1" w:rsidRDefault="00FA4BF1" w:rsidP="00EA076F">
            <w:pPr>
              <w:pStyle w:val="CDITable-RowCentre"/>
              <w:rPr>
                <w:sz w:val="16"/>
              </w:rPr>
            </w:pPr>
            <w:r w:rsidRPr="00FA4BF1">
              <w:rPr>
                <w:sz w:val="16"/>
              </w:rPr>
              <w:t>512</w:t>
            </w:r>
          </w:p>
        </w:tc>
        <w:tc>
          <w:tcPr>
            <w:tcW w:w="567" w:type="dxa"/>
            <w:tcBorders>
              <w:top w:val="single" w:sz="6" w:space="0" w:color="1E4496" w:themeColor="text2"/>
              <w:bottom w:val="single" w:sz="6" w:space="0" w:color="1E4496" w:themeColor="text2"/>
              <w:right w:val="single" w:sz="6" w:space="0" w:color="1E4496" w:themeColor="text2"/>
            </w:tcBorders>
            <w:tcMar>
              <w:top w:w="113" w:type="dxa"/>
              <w:left w:w="113" w:type="dxa"/>
              <w:bottom w:w="113" w:type="dxa"/>
              <w:right w:w="113" w:type="dxa"/>
            </w:tcMar>
            <w:vAlign w:val="center"/>
          </w:tcPr>
          <w:p w14:paraId="63C7C638" w14:textId="77777777" w:rsidR="00FA4BF1" w:rsidRPr="00FA4BF1" w:rsidRDefault="00FA4BF1" w:rsidP="00EA076F">
            <w:pPr>
              <w:pStyle w:val="CDITable-RowCentre"/>
              <w:rPr>
                <w:sz w:val="16"/>
              </w:rPr>
            </w:pPr>
            <w:r w:rsidRPr="00FA4BF1">
              <w:rPr>
                <w:sz w:val="16"/>
              </w:rPr>
              <w:t>79.3</w:t>
            </w:r>
          </w:p>
        </w:tc>
        <w:tc>
          <w:tcPr>
            <w:tcW w:w="590" w:type="dxa"/>
            <w:tcBorders>
              <w:top w:val="single" w:sz="6" w:space="0" w:color="1E4496" w:themeColor="text2"/>
              <w:left w:val="single" w:sz="6" w:space="0" w:color="1E4496" w:themeColor="text2"/>
              <w:bottom w:val="single" w:sz="6" w:space="0" w:color="1E4496" w:themeColor="text2"/>
            </w:tcBorders>
            <w:tcMar>
              <w:top w:w="113" w:type="dxa"/>
              <w:left w:w="113" w:type="dxa"/>
              <w:bottom w:w="113" w:type="dxa"/>
              <w:right w:w="113" w:type="dxa"/>
            </w:tcMar>
            <w:vAlign w:val="center"/>
          </w:tcPr>
          <w:p w14:paraId="020C357A" w14:textId="77777777" w:rsidR="00FA4BF1" w:rsidRPr="00FA4BF1" w:rsidRDefault="00FA4BF1" w:rsidP="00EA076F">
            <w:pPr>
              <w:pStyle w:val="CDITable-RowCentre"/>
              <w:rPr>
                <w:sz w:val="16"/>
              </w:rPr>
            </w:pPr>
            <w:r w:rsidRPr="00FA4BF1">
              <w:rPr>
                <w:sz w:val="16"/>
              </w:rPr>
              <w:t>98</w:t>
            </w:r>
          </w:p>
        </w:tc>
        <w:tc>
          <w:tcPr>
            <w:tcW w:w="56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96C48B6" w14:textId="77777777" w:rsidR="00FA4BF1" w:rsidRPr="00FA4BF1" w:rsidRDefault="00FA4BF1" w:rsidP="00EA076F">
            <w:pPr>
              <w:pStyle w:val="CDITable-RowCentre"/>
              <w:rPr>
                <w:sz w:val="16"/>
              </w:rPr>
            </w:pPr>
            <w:r w:rsidRPr="00FA4BF1">
              <w:rPr>
                <w:sz w:val="16"/>
              </w:rPr>
              <w:t>15.2</w:t>
            </w:r>
          </w:p>
        </w:tc>
        <w:tc>
          <w:tcPr>
            <w:tcW w:w="589"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A2E3B39" w14:textId="77777777" w:rsidR="00FA4BF1" w:rsidRPr="00FA4BF1" w:rsidRDefault="00FA4BF1" w:rsidP="00EA076F">
            <w:pPr>
              <w:pStyle w:val="CDITable-RowCentre"/>
              <w:rPr>
                <w:sz w:val="16"/>
              </w:rPr>
            </w:pPr>
            <w:r w:rsidRPr="00FA4BF1">
              <w:rPr>
                <w:sz w:val="16"/>
              </w:rPr>
              <w:t>548</w:t>
            </w:r>
          </w:p>
        </w:tc>
        <w:tc>
          <w:tcPr>
            <w:tcW w:w="567" w:type="dxa"/>
            <w:tcBorders>
              <w:top w:val="single" w:sz="6" w:space="0" w:color="1E4496" w:themeColor="text2"/>
              <w:bottom w:val="single" w:sz="6" w:space="0" w:color="1E4496" w:themeColor="text2"/>
              <w:right w:val="single" w:sz="6" w:space="0" w:color="1E4496" w:themeColor="text2"/>
            </w:tcBorders>
            <w:tcMar>
              <w:top w:w="113" w:type="dxa"/>
              <w:left w:w="113" w:type="dxa"/>
              <w:bottom w:w="113" w:type="dxa"/>
              <w:right w:w="113" w:type="dxa"/>
            </w:tcMar>
            <w:vAlign w:val="center"/>
          </w:tcPr>
          <w:p w14:paraId="1AA2C0AB" w14:textId="77777777" w:rsidR="00FA4BF1" w:rsidRPr="00FA4BF1" w:rsidRDefault="00FA4BF1" w:rsidP="00EA076F">
            <w:pPr>
              <w:pStyle w:val="CDITable-RowCentre"/>
              <w:rPr>
                <w:sz w:val="16"/>
              </w:rPr>
            </w:pPr>
            <w:r w:rsidRPr="00FA4BF1">
              <w:rPr>
                <w:sz w:val="16"/>
              </w:rPr>
              <w:t>84.8</w:t>
            </w:r>
          </w:p>
        </w:tc>
        <w:tc>
          <w:tcPr>
            <w:tcW w:w="595" w:type="dxa"/>
            <w:tcBorders>
              <w:top w:val="single" w:sz="6" w:space="0" w:color="1E4496" w:themeColor="text2"/>
              <w:left w:val="single" w:sz="6" w:space="0" w:color="1E4496" w:themeColor="text2"/>
              <w:bottom w:val="single" w:sz="6" w:space="0" w:color="1E4496" w:themeColor="text2"/>
            </w:tcBorders>
            <w:tcMar>
              <w:top w:w="113" w:type="dxa"/>
              <w:left w:w="113" w:type="dxa"/>
              <w:bottom w:w="113" w:type="dxa"/>
              <w:right w:w="113" w:type="dxa"/>
            </w:tcMar>
            <w:vAlign w:val="center"/>
          </w:tcPr>
          <w:p w14:paraId="70C6141E" w14:textId="77777777" w:rsidR="00FA4BF1" w:rsidRPr="00FA4BF1" w:rsidRDefault="00FA4BF1" w:rsidP="00EA076F">
            <w:pPr>
              <w:pStyle w:val="CDITable-RowCentre"/>
              <w:rPr>
                <w:sz w:val="16"/>
              </w:rPr>
            </w:pPr>
            <w:r w:rsidRPr="00FA4BF1">
              <w:rPr>
                <w:sz w:val="16"/>
              </w:rPr>
              <w:t>26</w:t>
            </w:r>
          </w:p>
        </w:tc>
        <w:tc>
          <w:tcPr>
            <w:tcW w:w="56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9FEC558" w14:textId="77777777" w:rsidR="00FA4BF1" w:rsidRPr="00FA4BF1" w:rsidRDefault="00FA4BF1" w:rsidP="00EA076F">
            <w:pPr>
              <w:pStyle w:val="CDITable-RowCentre"/>
              <w:rPr>
                <w:sz w:val="16"/>
              </w:rPr>
            </w:pPr>
            <w:r w:rsidRPr="00FA4BF1">
              <w:rPr>
                <w:sz w:val="16"/>
              </w:rPr>
              <w:t>5.9</w:t>
            </w:r>
          </w:p>
        </w:tc>
        <w:tc>
          <w:tcPr>
            <w:tcW w:w="59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DE5CA50" w14:textId="77777777" w:rsidR="00FA4BF1" w:rsidRPr="00FA4BF1" w:rsidRDefault="00FA4BF1" w:rsidP="00EA076F">
            <w:pPr>
              <w:pStyle w:val="CDITable-RowCentre"/>
              <w:rPr>
                <w:sz w:val="16"/>
              </w:rPr>
            </w:pPr>
            <w:r w:rsidRPr="00FA4BF1">
              <w:rPr>
                <w:sz w:val="16"/>
              </w:rPr>
              <w:t>414</w:t>
            </w:r>
          </w:p>
        </w:tc>
        <w:tc>
          <w:tcPr>
            <w:tcW w:w="567" w:type="dxa"/>
            <w:tcBorders>
              <w:top w:val="single" w:sz="6" w:space="0" w:color="1E4496" w:themeColor="text2"/>
              <w:bottom w:val="single" w:sz="6" w:space="0" w:color="1E4496" w:themeColor="text2"/>
              <w:right w:val="single" w:sz="6" w:space="0" w:color="1E4496" w:themeColor="text2"/>
            </w:tcBorders>
            <w:tcMar>
              <w:top w:w="113" w:type="dxa"/>
              <w:left w:w="113" w:type="dxa"/>
              <w:bottom w:w="113" w:type="dxa"/>
              <w:right w:w="113" w:type="dxa"/>
            </w:tcMar>
            <w:vAlign w:val="center"/>
          </w:tcPr>
          <w:p w14:paraId="338F36F4" w14:textId="77777777" w:rsidR="00FA4BF1" w:rsidRPr="00FA4BF1" w:rsidRDefault="00FA4BF1" w:rsidP="00EA076F">
            <w:pPr>
              <w:pStyle w:val="CDITable-RowCentre"/>
              <w:rPr>
                <w:sz w:val="16"/>
              </w:rPr>
            </w:pPr>
            <w:r w:rsidRPr="00FA4BF1">
              <w:rPr>
                <w:sz w:val="16"/>
              </w:rPr>
              <w:t>94.1</w:t>
            </w:r>
          </w:p>
        </w:tc>
        <w:tc>
          <w:tcPr>
            <w:tcW w:w="589" w:type="dxa"/>
            <w:tcBorders>
              <w:top w:val="single" w:sz="6" w:space="0" w:color="1E4496" w:themeColor="text2"/>
              <w:left w:val="single" w:sz="6" w:space="0" w:color="1E4496" w:themeColor="text2"/>
              <w:bottom w:val="single" w:sz="6" w:space="0" w:color="1E4496" w:themeColor="text2"/>
            </w:tcBorders>
            <w:tcMar>
              <w:top w:w="113" w:type="dxa"/>
              <w:left w:w="113" w:type="dxa"/>
              <w:bottom w:w="113" w:type="dxa"/>
              <w:right w:w="113" w:type="dxa"/>
            </w:tcMar>
            <w:vAlign w:val="center"/>
          </w:tcPr>
          <w:p w14:paraId="183C0AF4" w14:textId="77777777" w:rsidR="00FA4BF1" w:rsidRPr="00FA4BF1" w:rsidRDefault="00FA4BF1" w:rsidP="00EA076F">
            <w:pPr>
              <w:pStyle w:val="CDITable-RowCentre"/>
              <w:rPr>
                <w:sz w:val="16"/>
              </w:rPr>
            </w:pPr>
            <w:r w:rsidRPr="00FA4BF1">
              <w:rPr>
                <w:sz w:val="16"/>
              </w:rPr>
              <w:t>64</w:t>
            </w:r>
          </w:p>
        </w:tc>
        <w:tc>
          <w:tcPr>
            <w:tcW w:w="56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27D0416" w14:textId="77777777" w:rsidR="00FA4BF1" w:rsidRPr="00FA4BF1" w:rsidRDefault="00FA4BF1" w:rsidP="00EA076F">
            <w:pPr>
              <w:pStyle w:val="CDITable-RowCentre"/>
              <w:rPr>
                <w:sz w:val="16"/>
              </w:rPr>
            </w:pPr>
            <w:r w:rsidRPr="00FA4BF1">
              <w:rPr>
                <w:sz w:val="16"/>
              </w:rPr>
              <w:t>14.5</w:t>
            </w:r>
          </w:p>
        </w:tc>
        <w:tc>
          <w:tcPr>
            <w:tcW w:w="59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112AAD8" w14:textId="77777777" w:rsidR="00FA4BF1" w:rsidRPr="00FA4BF1" w:rsidRDefault="00FA4BF1" w:rsidP="00EA076F">
            <w:pPr>
              <w:pStyle w:val="CDITable-RowCentre"/>
              <w:rPr>
                <w:sz w:val="16"/>
              </w:rPr>
            </w:pPr>
            <w:r w:rsidRPr="00FA4BF1">
              <w:rPr>
                <w:sz w:val="16"/>
              </w:rPr>
              <w:t>376</w:t>
            </w:r>
          </w:p>
        </w:tc>
        <w:tc>
          <w:tcPr>
            <w:tcW w:w="567" w:type="dxa"/>
            <w:tcBorders>
              <w:top w:val="single" w:sz="6" w:space="0" w:color="1E4496" w:themeColor="text2"/>
              <w:bottom w:val="single" w:sz="6" w:space="0" w:color="1E4496" w:themeColor="text2"/>
              <w:right w:val="single" w:sz="6" w:space="0" w:color="1E4496" w:themeColor="text2"/>
            </w:tcBorders>
            <w:tcMar>
              <w:top w:w="113" w:type="dxa"/>
              <w:left w:w="113" w:type="dxa"/>
              <w:bottom w:w="113" w:type="dxa"/>
              <w:right w:w="113" w:type="dxa"/>
            </w:tcMar>
            <w:vAlign w:val="center"/>
          </w:tcPr>
          <w:p w14:paraId="6430D4B1" w14:textId="77777777" w:rsidR="00FA4BF1" w:rsidRPr="00FA4BF1" w:rsidRDefault="00FA4BF1" w:rsidP="00EA076F">
            <w:pPr>
              <w:pStyle w:val="CDITable-RowCentre"/>
              <w:rPr>
                <w:sz w:val="16"/>
              </w:rPr>
            </w:pPr>
            <w:r w:rsidRPr="00FA4BF1">
              <w:rPr>
                <w:sz w:val="16"/>
              </w:rPr>
              <w:t>85.5</w:t>
            </w:r>
          </w:p>
        </w:tc>
        <w:tc>
          <w:tcPr>
            <w:tcW w:w="590" w:type="dxa"/>
            <w:tcBorders>
              <w:top w:val="single" w:sz="6" w:space="0" w:color="1E4496" w:themeColor="text2"/>
              <w:left w:val="single" w:sz="6" w:space="0" w:color="1E4496" w:themeColor="text2"/>
              <w:bottom w:val="single" w:sz="6" w:space="0" w:color="1E4496" w:themeColor="text2"/>
            </w:tcBorders>
            <w:tcMar>
              <w:top w:w="113" w:type="dxa"/>
              <w:left w:w="113" w:type="dxa"/>
              <w:bottom w:w="113" w:type="dxa"/>
              <w:right w:w="113" w:type="dxa"/>
            </w:tcMar>
            <w:vAlign w:val="center"/>
          </w:tcPr>
          <w:p w14:paraId="405C7B4B" w14:textId="77777777" w:rsidR="00FA4BF1" w:rsidRPr="00FA4BF1" w:rsidRDefault="00FA4BF1" w:rsidP="00EA076F">
            <w:pPr>
              <w:pStyle w:val="CDITable-RowCentre"/>
              <w:rPr>
                <w:sz w:val="16"/>
              </w:rPr>
            </w:pPr>
            <w:r w:rsidRPr="00FA4BF1">
              <w:rPr>
                <w:sz w:val="16"/>
              </w:rPr>
              <w:t>14</w:t>
            </w:r>
          </w:p>
        </w:tc>
        <w:tc>
          <w:tcPr>
            <w:tcW w:w="566"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6F2C2CA" w14:textId="77777777" w:rsidR="00FA4BF1" w:rsidRPr="00FA4BF1" w:rsidRDefault="00FA4BF1" w:rsidP="00EA076F">
            <w:pPr>
              <w:pStyle w:val="CDITable-RowCentre"/>
              <w:rPr>
                <w:sz w:val="16"/>
              </w:rPr>
            </w:pPr>
            <w:r w:rsidRPr="00FA4BF1">
              <w:rPr>
                <w:sz w:val="16"/>
              </w:rPr>
              <w:t>8.9</w:t>
            </w:r>
          </w:p>
        </w:tc>
        <w:tc>
          <w:tcPr>
            <w:tcW w:w="59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A27915B" w14:textId="77777777" w:rsidR="00FA4BF1" w:rsidRPr="00FA4BF1" w:rsidRDefault="00FA4BF1" w:rsidP="00EA076F">
            <w:pPr>
              <w:pStyle w:val="CDITable-RowCentre"/>
              <w:rPr>
                <w:sz w:val="16"/>
              </w:rPr>
            </w:pPr>
            <w:r w:rsidRPr="00FA4BF1">
              <w:rPr>
                <w:sz w:val="16"/>
              </w:rPr>
              <w:t>144</w:t>
            </w:r>
          </w:p>
        </w:tc>
        <w:tc>
          <w:tcPr>
            <w:tcW w:w="56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B001EF4" w14:textId="77777777" w:rsidR="00FA4BF1" w:rsidRPr="00FA4BF1" w:rsidRDefault="00FA4BF1" w:rsidP="00EA076F">
            <w:pPr>
              <w:pStyle w:val="CDITable-RowCentre"/>
              <w:rPr>
                <w:sz w:val="16"/>
              </w:rPr>
            </w:pPr>
            <w:r w:rsidRPr="00FA4BF1">
              <w:rPr>
                <w:sz w:val="16"/>
              </w:rPr>
              <w:t>91.1</w:t>
            </w:r>
          </w:p>
        </w:tc>
      </w:tr>
      <w:tr w:rsidR="00B6546F" w:rsidRPr="00FA4BF1" w14:paraId="030F96F4" w14:textId="77777777" w:rsidTr="00B6546F">
        <w:trPr>
          <w:trHeight w:val="60"/>
        </w:trPr>
        <w:tc>
          <w:tcPr>
            <w:tcW w:w="1361" w:type="dxa"/>
            <w:vMerge/>
            <w:tcBorders>
              <w:bottom w:val="single" w:sz="6" w:space="0" w:color="1E4496" w:themeColor="text2"/>
            </w:tcBorders>
          </w:tcPr>
          <w:p w14:paraId="6455DC6C" w14:textId="77777777" w:rsidR="00FA4BF1" w:rsidRPr="00FA4BF1" w:rsidRDefault="00FA4BF1" w:rsidP="00EA076F"/>
        </w:tc>
        <w:tc>
          <w:tcPr>
            <w:tcW w:w="141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CF5FF7D" w14:textId="77777777" w:rsidR="00FA4BF1" w:rsidRPr="00FA4BF1" w:rsidRDefault="00FA4BF1" w:rsidP="00EA076F">
            <w:pPr>
              <w:pStyle w:val="CDITable-RowLeft"/>
              <w:rPr>
                <w:sz w:val="16"/>
              </w:rPr>
            </w:pPr>
            <w:r w:rsidRPr="00FA4BF1">
              <w:rPr>
                <w:sz w:val="16"/>
              </w:rPr>
              <w:t>Unknown</w:t>
            </w:r>
          </w:p>
        </w:tc>
        <w:tc>
          <w:tcPr>
            <w:tcW w:w="59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457399A" w14:textId="77777777" w:rsidR="00FA4BF1" w:rsidRPr="00FA4BF1" w:rsidRDefault="00FA4BF1" w:rsidP="00EA076F">
            <w:pPr>
              <w:pStyle w:val="CDITable-RowCentre"/>
              <w:rPr>
                <w:sz w:val="16"/>
              </w:rPr>
            </w:pPr>
            <w:r w:rsidRPr="00FA4BF1">
              <w:rPr>
                <w:sz w:val="16"/>
              </w:rPr>
              <w:t>33</w:t>
            </w:r>
          </w:p>
        </w:tc>
        <w:tc>
          <w:tcPr>
            <w:tcW w:w="566"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1497E97" w14:textId="77777777" w:rsidR="00FA4BF1" w:rsidRPr="00FA4BF1" w:rsidRDefault="00FA4BF1" w:rsidP="00EA076F">
            <w:pPr>
              <w:pStyle w:val="CDITable-RowCentre"/>
              <w:rPr>
                <w:sz w:val="16"/>
              </w:rPr>
            </w:pPr>
            <w:r w:rsidRPr="00FA4BF1">
              <w:rPr>
                <w:sz w:val="16"/>
              </w:rPr>
              <w:t>12.8</w:t>
            </w:r>
          </w:p>
        </w:tc>
        <w:tc>
          <w:tcPr>
            <w:tcW w:w="59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B8A6928" w14:textId="77777777" w:rsidR="00FA4BF1" w:rsidRPr="00FA4BF1" w:rsidRDefault="00FA4BF1" w:rsidP="00EA076F">
            <w:pPr>
              <w:pStyle w:val="CDITable-RowCentre"/>
              <w:rPr>
                <w:sz w:val="16"/>
              </w:rPr>
            </w:pPr>
            <w:r w:rsidRPr="00FA4BF1">
              <w:rPr>
                <w:sz w:val="16"/>
              </w:rPr>
              <w:t>225</w:t>
            </w:r>
          </w:p>
        </w:tc>
        <w:tc>
          <w:tcPr>
            <w:tcW w:w="567" w:type="dxa"/>
            <w:tcBorders>
              <w:top w:val="single" w:sz="6" w:space="0" w:color="1E4496" w:themeColor="text2"/>
              <w:bottom w:val="single" w:sz="6" w:space="0" w:color="1E4496" w:themeColor="text2"/>
              <w:right w:val="single" w:sz="6" w:space="0" w:color="1E4496" w:themeColor="text2"/>
            </w:tcBorders>
            <w:tcMar>
              <w:top w:w="113" w:type="dxa"/>
              <w:left w:w="113" w:type="dxa"/>
              <w:bottom w:w="113" w:type="dxa"/>
              <w:right w:w="113" w:type="dxa"/>
            </w:tcMar>
            <w:vAlign w:val="center"/>
          </w:tcPr>
          <w:p w14:paraId="77F0F892" w14:textId="77777777" w:rsidR="00FA4BF1" w:rsidRPr="00FA4BF1" w:rsidRDefault="00FA4BF1" w:rsidP="00EA076F">
            <w:pPr>
              <w:pStyle w:val="CDITable-RowCentre"/>
              <w:rPr>
                <w:sz w:val="16"/>
              </w:rPr>
            </w:pPr>
            <w:r w:rsidRPr="00FA4BF1">
              <w:rPr>
                <w:sz w:val="16"/>
              </w:rPr>
              <w:t>87.2</w:t>
            </w:r>
          </w:p>
        </w:tc>
        <w:tc>
          <w:tcPr>
            <w:tcW w:w="590" w:type="dxa"/>
            <w:tcBorders>
              <w:top w:val="single" w:sz="6" w:space="0" w:color="1E4496" w:themeColor="text2"/>
              <w:left w:val="single" w:sz="6" w:space="0" w:color="1E4496" w:themeColor="text2"/>
              <w:bottom w:val="single" w:sz="6" w:space="0" w:color="1E4496" w:themeColor="text2"/>
            </w:tcBorders>
            <w:tcMar>
              <w:top w:w="113" w:type="dxa"/>
              <w:left w:w="113" w:type="dxa"/>
              <w:bottom w:w="113" w:type="dxa"/>
              <w:right w:w="113" w:type="dxa"/>
            </w:tcMar>
            <w:vAlign w:val="center"/>
          </w:tcPr>
          <w:p w14:paraId="727CFF75" w14:textId="77777777" w:rsidR="00FA4BF1" w:rsidRPr="00FA4BF1" w:rsidRDefault="00FA4BF1" w:rsidP="00EA076F">
            <w:pPr>
              <w:pStyle w:val="CDITable-RowCentre"/>
              <w:rPr>
                <w:sz w:val="16"/>
              </w:rPr>
            </w:pPr>
            <w:r w:rsidRPr="00FA4BF1">
              <w:rPr>
                <w:sz w:val="16"/>
              </w:rPr>
              <w:t>22</w:t>
            </w:r>
          </w:p>
        </w:tc>
        <w:tc>
          <w:tcPr>
            <w:tcW w:w="56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061269D" w14:textId="77777777" w:rsidR="00FA4BF1" w:rsidRPr="00FA4BF1" w:rsidRDefault="00FA4BF1" w:rsidP="00EA076F">
            <w:pPr>
              <w:pStyle w:val="CDITable-RowCentre"/>
              <w:rPr>
                <w:sz w:val="16"/>
              </w:rPr>
            </w:pPr>
            <w:r w:rsidRPr="00FA4BF1">
              <w:rPr>
                <w:sz w:val="16"/>
              </w:rPr>
              <w:t>8.5</w:t>
            </w:r>
          </w:p>
        </w:tc>
        <w:tc>
          <w:tcPr>
            <w:tcW w:w="589"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A13194B" w14:textId="77777777" w:rsidR="00FA4BF1" w:rsidRPr="00FA4BF1" w:rsidRDefault="00FA4BF1" w:rsidP="00EA076F">
            <w:pPr>
              <w:pStyle w:val="CDITable-RowCentre"/>
              <w:rPr>
                <w:sz w:val="16"/>
              </w:rPr>
            </w:pPr>
            <w:r w:rsidRPr="00FA4BF1">
              <w:rPr>
                <w:sz w:val="16"/>
              </w:rPr>
              <w:t>236</w:t>
            </w:r>
          </w:p>
        </w:tc>
        <w:tc>
          <w:tcPr>
            <w:tcW w:w="567" w:type="dxa"/>
            <w:tcBorders>
              <w:top w:val="single" w:sz="6" w:space="0" w:color="1E4496" w:themeColor="text2"/>
              <w:bottom w:val="single" w:sz="6" w:space="0" w:color="1E4496" w:themeColor="text2"/>
              <w:right w:val="single" w:sz="6" w:space="0" w:color="1E4496" w:themeColor="text2"/>
            </w:tcBorders>
            <w:tcMar>
              <w:top w:w="113" w:type="dxa"/>
              <w:left w:w="113" w:type="dxa"/>
              <w:bottom w:w="113" w:type="dxa"/>
              <w:right w:w="113" w:type="dxa"/>
            </w:tcMar>
            <w:vAlign w:val="center"/>
          </w:tcPr>
          <w:p w14:paraId="79BE3E4A" w14:textId="77777777" w:rsidR="00FA4BF1" w:rsidRPr="00FA4BF1" w:rsidRDefault="00FA4BF1" w:rsidP="00EA076F">
            <w:pPr>
              <w:pStyle w:val="CDITable-RowCentre"/>
              <w:rPr>
                <w:sz w:val="16"/>
              </w:rPr>
            </w:pPr>
            <w:r w:rsidRPr="00FA4BF1">
              <w:rPr>
                <w:sz w:val="16"/>
              </w:rPr>
              <w:t>91.5</w:t>
            </w:r>
          </w:p>
        </w:tc>
        <w:tc>
          <w:tcPr>
            <w:tcW w:w="595" w:type="dxa"/>
            <w:tcBorders>
              <w:top w:val="single" w:sz="6" w:space="0" w:color="1E4496" w:themeColor="text2"/>
              <w:left w:val="single" w:sz="6" w:space="0" w:color="1E4496" w:themeColor="text2"/>
              <w:bottom w:val="single" w:sz="6" w:space="0" w:color="1E4496" w:themeColor="text2"/>
            </w:tcBorders>
            <w:tcMar>
              <w:top w:w="113" w:type="dxa"/>
              <w:left w:w="113" w:type="dxa"/>
              <w:bottom w:w="113" w:type="dxa"/>
              <w:right w:w="113" w:type="dxa"/>
            </w:tcMar>
            <w:vAlign w:val="center"/>
          </w:tcPr>
          <w:p w14:paraId="12689A3E" w14:textId="77777777" w:rsidR="00FA4BF1" w:rsidRPr="00FA4BF1" w:rsidRDefault="00FA4BF1" w:rsidP="00EA076F">
            <w:pPr>
              <w:pStyle w:val="CDITable-RowCentre"/>
              <w:rPr>
                <w:sz w:val="16"/>
              </w:rPr>
            </w:pPr>
            <w:r w:rsidRPr="00FA4BF1">
              <w:rPr>
                <w:sz w:val="16"/>
              </w:rPr>
              <w:t>7</w:t>
            </w:r>
          </w:p>
        </w:tc>
        <w:tc>
          <w:tcPr>
            <w:tcW w:w="56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1F1EBA7" w14:textId="77777777" w:rsidR="00FA4BF1" w:rsidRPr="00FA4BF1" w:rsidRDefault="00FA4BF1" w:rsidP="00EA076F">
            <w:pPr>
              <w:pStyle w:val="CDITable-RowCentre"/>
              <w:rPr>
                <w:sz w:val="16"/>
              </w:rPr>
            </w:pPr>
            <w:r w:rsidRPr="00FA4BF1">
              <w:rPr>
                <w:sz w:val="16"/>
              </w:rPr>
              <w:t>4.5</w:t>
            </w:r>
          </w:p>
        </w:tc>
        <w:tc>
          <w:tcPr>
            <w:tcW w:w="59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8EA492C" w14:textId="77777777" w:rsidR="00FA4BF1" w:rsidRPr="00FA4BF1" w:rsidRDefault="00FA4BF1" w:rsidP="00EA076F">
            <w:pPr>
              <w:pStyle w:val="CDITable-RowCentre"/>
              <w:rPr>
                <w:sz w:val="16"/>
              </w:rPr>
            </w:pPr>
            <w:r w:rsidRPr="00FA4BF1">
              <w:rPr>
                <w:sz w:val="16"/>
              </w:rPr>
              <w:t>147</w:t>
            </w:r>
          </w:p>
        </w:tc>
        <w:tc>
          <w:tcPr>
            <w:tcW w:w="567" w:type="dxa"/>
            <w:tcBorders>
              <w:top w:val="single" w:sz="6" w:space="0" w:color="1E4496" w:themeColor="text2"/>
              <w:bottom w:val="single" w:sz="6" w:space="0" w:color="1E4496" w:themeColor="text2"/>
              <w:right w:val="single" w:sz="6" w:space="0" w:color="1E4496" w:themeColor="text2"/>
            </w:tcBorders>
            <w:tcMar>
              <w:top w:w="113" w:type="dxa"/>
              <w:left w:w="113" w:type="dxa"/>
              <w:bottom w:w="113" w:type="dxa"/>
              <w:right w:w="113" w:type="dxa"/>
            </w:tcMar>
            <w:vAlign w:val="center"/>
          </w:tcPr>
          <w:p w14:paraId="5F05FF37" w14:textId="77777777" w:rsidR="00FA4BF1" w:rsidRPr="00FA4BF1" w:rsidRDefault="00FA4BF1" w:rsidP="00EA076F">
            <w:pPr>
              <w:pStyle w:val="CDITable-RowCentre"/>
              <w:rPr>
                <w:sz w:val="16"/>
              </w:rPr>
            </w:pPr>
            <w:r w:rsidRPr="00FA4BF1">
              <w:rPr>
                <w:sz w:val="16"/>
              </w:rPr>
              <w:t>95.5</w:t>
            </w:r>
          </w:p>
        </w:tc>
        <w:tc>
          <w:tcPr>
            <w:tcW w:w="589" w:type="dxa"/>
            <w:tcBorders>
              <w:top w:val="single" w:sz="6" w:space="0" w:color="1E4496" w:themeColor="text2"/>
              <w:left w:val="single" w:sz="6" w:space="0" w:color="1E4496" w:themeColor="text2"/>
              <w:bottom w:val="single" w:sz="6" w:space="0" w:color="1E4496" w:themeColor="text2"/>
            </w:tcBorders>
            <w:tcMar>
              <w:top w:w="113" w:type="dxa"/>
              <w:left w:w="113" w:type="dxa"/>
              <w:bottom w:w="113" w:type="dxa"/>
              <w:right w:w="113" w:type="dxa"/>
            </w:tcMar>
            <w:vAlign w:val="center"/>
          </w:tcPr>
          <w:p w14:paraId="041CBFD8" w14:textId="77777777" w:rsidR="00FA4BF1" w:rsidRPr="00FA4BF1" w:rsidRDefault="00FA4BF1" w:rsidP="00EA076F">
            <w:pPr>
              <w:pStyle w:val="CDITable-RowCentre"/>
              <w:rPr>
                <w:sz w:val="16"/>
              </w:rPr>
            </w:pPr>
            <w:r w:rsidRPr="00FA4BF1">
              <w:rPr>
                <w:sz w:val="16"/>
              </w:rPr>
              <w:t>15</w:t>
            </w:r>
          </w:p>
        </w:tc>
        <w:tc>
          <w:tcPr>
            <w:tcW w:w="56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DF8734B" w14:textId="77777777" w:rsidR="00FA4BF1" w:rsidRPr="00FA4BF1" w:rsidRDefault="00FA4BF1" w:rsidP="00EA076F">
            <w:pPr>
              <w:pStyle w:val="CDITable-RowCentre"/>
              <w:rPr>
                <w:sz w:val="16"/>
              </w:rPr>
            </w:pPr>
            <w:r w:rsidRPr="00FA4BF1">
              <w:rPr>
                <w:sz w:val="16"/>
              </w:rPr>
              <w:t>9.7</w:t>
            </w:r>
          </w:p>
        </w:tc>
        <w:tc>
          <w:tcPr>
            <w:tcW w:w="59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F6BFC6F" w14:textId="77777777" w:rsidR="00FA4BF1" w:rsidRPr="00FA4BF1" w:rsidRDefault="00FA4BF1" w:rsidP="00EA076F">
            <w:pPr>
              <w:pStyle w:val="CDITable-RowCentre"/>
              <w:rPr>
                <w:sz w:val="16"/>
              </w:rPr>
            </w:pPr>
            <w:r w:rsidRPr="00FA4BF1">
              <w:rPr>
                <w:sz w:val="16"/>
              </w:rPr>
              <w:t>139</w:t>
            </w:r>
          </w:p>
        </w:tc>
        <w:tc>
          <w:tcPr>
            <w:tcW w:w="567" w:type="dxa"/>
            <w:tcBorders>
              <w:top w:val="single" w:sz="6" w:space="0" w:color="1E4496" w:themeColor="text2"/>
              <w:bottom w:val="single" w:sz="6" w:space="0" w:color="1E4496" w:themeColor="text2"/>
              <w:right w:val="single" w:sz="6" w:space="0" w:color="1E4496" w:themeColor="text2"/>
            </w:tcBorders>
            <w:tcMar>
              <w:top w:w="113" w:type="dxa"/>
              <w:left w:w="113" w:type="dxa"/>
              <w:bottom w:w="113" w:type="dxa"/>
              <w:right w:w="113" w:type="dxa"/>
            </w:tcMar>
            <w:vAlign w:val="center"/>
          </w:tcPr>
          <w:p w14:paraId="0CBFEF4A" w14:textId="77777777" w:rsidR="00FA4BF1" w:rsidRPr="00FA4BF1" w:rsidRDefault="00FA4BF1" w:rsidP="00EA076F">
            <w:pPr>
              <w:pStyle w:val="CDITable-RowCentre"/>
              <w:rPr>
                <w:sz w:val="16"/>
              </w:rPr>
            </w:pPr>
            <w:r w:rsidRPr="00FA4BF1">
              <w:rPr>
                <w:sz w:val="16"/>
              </w:rPr>
              <w:t>90.3</w:t>
            </w:r>
          </w:p>
        </w:tc>
        <w:tc>
          <w:tcPr>
            <w:tcW w:w="590" w:type="dxa"/>
            <w:tcBorders>
              <w:top w:val="single" w:sz="6" w:space="0" w:color="1E4496" w:themeColor="text2"/>
              <w:left w:val="single" w:sz="6" w:space="0" w:color="1E4496" w:themeColor="text2"/>
              <w:bottom w:val="single" w:sz="6" w:space="0" w:color="1E4496" w:themeColor="text2"/>
            </w:tcBorders>
            <w:tcMar>
              <w:top w:w="113" w:type="dxa"/>
              <w:left w:w="113" w:type="dxa"/>
              <w:bottom w:w="113" w:type="dxa"/>
              <w:right w:w="113" w:type="dxa"/>
            </w:tcMar>
            <w:vAlign w:val="center"/>
          </w:tcPr>
          <w:p w14:paraId="3A4BAFDE" w14:textId="77777777" w:rsidR="00FA4BF1" w:rsidRPr="00FA4BF1" w:rsidRDefault="00FA4BF1" w:rsidP="00EA076F">
            <w:pPr>
              <w:pStyle w:val="CDITable-RowCentre"/>
              <w:rPr>
                <w:sz w:val="16"/>
              </w:rPr>
            </w:pPr>
            <w:r w:rsidRPr="00FA4BF1">
              <w:rPr>
                <w:sz w:val="16"/>
              </w:rPr>
              <w:t>0</w:t>
            </w:r>
          </w:p>
        </w:tc>
        <w:tc>
          <w:tcPr>
            <w:tcW w:w="566"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4A6A427" w14:textId="77777777" w:rsidR="00FA4BF1" w:rsidRPr="00FA4BF1" w:rsidRDefault="00FA4BF1" w:rsidP="00EA076F">
            <w:pPr>
              <w:pStyle w:val="CDITable-RowCentre"/>
              <w:rPr>
                <w:sz w:val="16"/>
              </w:rPr>
            </w:pPr>
            <w:r w:rsidRPr="00FA4BF1">
              <w:rPr>
                <w:sz w:val="16"/>
              </w:rPr>
              <w:t>—</w:t>
            </w:r>
          </w:p>
        </w:tc>
        <w:tc>
          <w:tcPr>
            <w:tcW w:w="59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7F4311B" w14:textId="77777777" w:rsidR="00FA4BF1" w:rsidRPr="00FA4BF1" w:rsidRDefault="00FA4BF1" w:rsidP="00EA076F">
            <w:pPr>
              <w:pStyle w:val="CDITable-RowCentre"/>
              <w:rPr>
                <w:sz w:val="16"/>
              </w:rPr>
            </w:pPr>
            <w:r w:rsidRPr="00FA4BF1">
              <w:rPr>
                <w:sz w:val="16"/>
              </w:rPr>
              <w:t>27</w:t>
            </w:r>
          </w:p>
        </w:tc>
        <w:tc>
          <w:tcPr>
            <w:tcW w:w="56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E0C907B" w14:textId="77777777" w:rsidR="00FA4BF1" w:rsidRPr="00FA4BF1" w:rsidRDefault="00FA4BF1" w:rsidP="00EA076F">
            <w:pPr>
              <w:pStyle w:val="CDITable-RowCentre"/>
              <w:rPr>
                <w:sz w:val="16"/>
              </w:rPr>
            </w:pPr>
            <w:r w:rsidRPr="00FA4BF1">
              <w:rPr>
                <w:sz w:val="16"/>
              </w:rPr>
              <w:t>100</w:t>
            </w:r>
          </w:p>
        </w:tc>
      </w:tr>
    </w:tbl>
    <w:p w14:paraId="0A9E24A4" w14:textId="77777777" w:rsidR="00AA023A" w:rsidRPr="00AA023A" w:rsidRDefault="00AA023A" w:rsidP="00AA023A">
      <w:pPr>
        <w:pStyle w:val="CDITable-FirstFootnote"/>
        <w:rPr>
          <w:lang w:val="en-GB"/>
        </w:rPr>
      </w:pPr>
      <w:proofErr w:type="gramStart"/>
      <w:r w:rsidRPr="00AA023A">
        <w:rPr>
          <w:lang w:val="en-GB"/>
        </w:rPr>
        <w:t>a</w:t>
      </w:r>
      <w:proofErr w:type="gramEnd"/>
      <w:r w:rsidRPr="00AA023A">
        <w:rPr>
          <w:lang w:val="en-GB"/>
        </w:rPr>
        <w:tab/>
        <w:t>MDR: multidrug resistant.</w:t>
      </w:r>
    </w:p>
    <w:p w14:paraId="6FF05116" w14:textId="77777777" w:rsidR="00AA023A" w:rsidRPr="00AA023A" w:rsidRDefault="00AA023A" w:rsidP="00AA023A">
      <w:pPr>
        <w:pStyle w:val="CDITable-Footnote"/>
        <w:rPr>
          <w:lang w:val="en-GB"/>
        </w:rPr>
      </w:pPr>
      <w:r w:rsidRPr="00AA023A">
        <w:rPr>
          <w:lang w:val="en-GB"/>
        </w:rPr>
        <w:t>b</w:t>
      </w:r>
      <w:r w:rsidRPr="00AA023A">
        <w:rPr>
          <w:lang w:val="en-GB"/>
        </w:rPr>
        <w:tab/>
        <w:t>ESBL: extended-spectrum β-lactamase.</w:t>
      </w:r>
    </w:p>
    <w:p w14:paraId="7163AAF5" w14:textId="77777777" w:rsidR="00AA023A" w:rsidRPr="00AA023A" w:rsidRDefault="00AA023A" w:rsidP="00AA023A">
      <w:pPr>
        <w:pStyle w:val="CDITable-Footnote"/>
        <w:rPr>
          <w:lang w:val="en-GB"/>
        </w:rPr>
      </w:pPr>
      <w:r w:rsidRPr="00AA023A">
        <w:rPr>
          <w:lang w:val="en-GB"/>
        </w:rPr>
        <w:t>c.</w:t>
      </w:r>
      <w:r w:rsidRPr="00AA023A">
        <w:rPr>
          <w:lang w:val="en-GB"/>
        </w:rPr>
        <w:tab/>
        <w:t xml:space="preserve">MRSA: methicillin-resistant </w:t>
      </w:r>
      <w:r w:rsidRPr="00AA023A">
        <w:rPr>
          <w:i/>
          <w:iCs/>
          <w:lang w:val="en-GB"/>
        </w:rPr>
        <w:t>Staphylococcus aureus</w:t>
      </w:r>
      <w:r w:rsidRPr="00AA023A">
        <w:rPr>
          <w:lang w:val="en-GB"/>
        </w:rPr>
        <w:t xml:space="preserve">. MSSA: methicillin-susceptible </w:t>
      </w:r>
      <w:r w:rsidRPr="00AA023A">
        <w:rPr>
          <w:i/>
          <w:iCs/>
          <w:lang w:val="en-GB"/>
        </w:rPr>
        <w:t>Staphylococcus aureus</w:t>
      </w:r>
      <w:r w:rsidRPr="00AA023A">
        <w:rPr>
          <w:lang w:val="en-GB"/>
        </w:rPr>
        <w:t>.</w:t>
      </w:r>
    </w:p>
    <w:p w14:paraId="17A25D7C" w14:textId="77777777" w:rsidR="00AA023A" w:rsidRPr="00AA023A" w:rsidRDefault="00AA023A" w:rsidP="00AA023A">
      <w:pPr>
        <w:pStyle w:val="CDITable-Footnote"/>
        <w:rPr>
          <w:lang w:val="en-GB"/>
        </w:rPr>
      </w:pPr>
      <w:r w:rsidRPr="00AA023A">
        <w:rPr>
          <w:lang w:val="en-GB"/>
        </w:rPr>
        <w:t>d</w:t>
      </w:r>
      <w:r w:rsidRPr="00AA023A">
        <w:rPr>
          <w:lang w:val="en-GB"/>
        </w:rPr>
        <w:tab/>
        <w:t>IQR: interquartile range.</w:t>
      </w:r>
    </w:p>
    <w:p w14:paraId="4AE927DA" w14:textId="77777777" w:rsidR="00AA023A" w:rsidRPr="00AA023A" w:rsidRDefault="00AA023A" w:rsidP="00AA023A">
      <w:pPr>
        <w:pStyle w:val="CDITable-Footnote"/>
        <w:rPr>
          <w:lang w:val="en-GB"/>
        </w:rPr>
      </w:pPr>
      <w:r w:rsidRPr="00AA023A">
        <w:rPr>
          <w:lang w:val="en-GB"/>
        </w:rPr>
        <w:t>e</w:t>
      </w:r>
      <w:r w:rsidRPr="00AA023A">
        <w:rPr>
          <w:lang w:val="en-GB"/>
        </w:rPr>
        <w:tab/>
        <w:t>ACT: Australian Capital Territory; NSW: New South Wales; NT: Northern Territory; Qld: Queensland; SA: South Australia; Tas: Tasmania; Vic: Victoria; WA: Western Australia.</w:t>
      </w:r>
    </w:p>
    <w:p w14:paraId="4CC47C7E" w14:textId="02FDB65B" w:rsidR="00AA023A" w:rsidRDefault="00AA023A" w:rsidP="00AA023A">
      <w:pPr>
        <w:pStyle w:val="CDITable-Footnote"/>
        <w:rPr>
          <w:lang w:val="en-GB"/>
        </w:rPr>
      </w:pPr>
      <w:r w:rsidRPr="00AA023A">
        <w:rPr>
          <w:lang w:val="en-GB"/>
        </w:rPr>
        <w:t>f</w:t>
      </w:r>
      <w:r w:rsidRPr="00AA023A">
        <w:rPr>
          <w:lang w:val="en-GB"/>
        </w:rPr>
        <w:tab/>
        <w:t>BSI: bloodstream infection.</w:t>
      </w:r>
    </w:p>
    <w:p w14:paraId="2B2F4AE9" w14:textId="77777777" w:rsidR="00AA023A" w:rsidRDefault="00AA023A" w:rsidP="00AC46DC">
      <w:pPr>
        <w:rPr>
          <w:lang w:val="en-GB"/>
        </w:rPr>
        <w:sectPr w:rsidR="00AA023A" w:rsidSect="00B73263">
          <w:footnotePr>
            <w:numFmt w:val="lowerRoman"/>
          </w:footnotePr>
          <w:pgSz w:w="16840" w:h="11907" w:orient="landscape" w:code="9"/>
          <w:pgMar w:top="1077" w:right="1134" w:bottom="1077" w:left="1134" w:header="709" w:footer="567" w:gutter="0"/>
          <w:cols w:space="708"/>
          <w:docGrid w:linePitch="360"/>
        </w:sectPr>
      </w:pPr>
    </w:p>
    <w:p w14:paraId="18A71DDF" w14:textId="3AE010E5" w:rsidR="00AA023A" w:rsidRDefault="00AA023A" w:rsidP="00AA023A">
      <w:pPr>
        <w:pStyle w:val="Heading2-nospacebefore"/>
      </w:pPr>
      <w:bookmarkStart w:id="27" w:name="_Toc213228003"/>
      <w:r w:rsidRPr="00AA023A">
        <w:lastRenderedPageBreak/>
        <w:t>Gram negatives</w:t>
      </w:r>
      <w:bookmarkEnd w:id="27"/>
    </w:p>
    <w:p w14:paraId="001656E4" w14:textId="77777777" w:rsidR="00AA023A" w:rsidRPr="00AA023A" w:rsidRDefault="00AA023A" w:rsidP="00AA023A">
      <w:pPr>
        <w:rPr>
          <w:lang w:val="en-GB"/>
        </w:rPr>
      </w:pPr>
      <w:r w:rsidRPr="00AA023A">
        <w:rPr>
          <w:lang w:val="en-GB"/>
        </w:rPr>
        <w:t xml:space="preserve">There were 1,034 gram-negative bacterial isolates from 967 episodes reported in children and adolescents to AGAR in 2022–2023; this was more than the 902 isolates from 867 episodes reported in 2020–2021. Ninety percent of gram-negative isolates were identified as Enterobacterales (n = 932/1,034, 90.1%); 6.6% were </w:t>
      </w:r>
      <w:r w:rsidRPr="00AA023A">
        <w:rPr>
          <w:i/>
          <w:iCs/>
          <w:lang w:val="en-GB"/>
        </w:rPr>
        <w:t>Pseudomonas aeruginosa</w:t>
      </w:r>
      <w:r w:rsidRPr="00AA023A">
        <w:rPr>
          <w:lang w:val="en-GB"/>
        </w:rPr>
        <w:t xml:space="preserve"> (n = 68/1,034); and 3.3% were </w:t>
      </w:r>
      <w:r w:rsidRPr="00AA023A">
        <w:rPr>
          <w:i/>
          <w:iCs/>
          <w:lang w:val="en-GB"/>
        </w:rPr>
        <w:t>Acinetobacter</w:t>
      </w:r>
      <w:r w:rsidRPr="00AA023A">
        <w:rPr>
          <w:lang w:val="en-GB"/>
        </w:rPr>
        <w:t xml:space="preserve"> spp. (n = 34/1,034). </w:t>
      </w:r>
      <w:proofErr w:type="gramStart"/>
      <w:r w:rsidRPr="00AA023A">
        <w:rPr>
          <w:lang w:val="en-GB"/>
        </w:rPr>
        <w:t>A majority of</w:t>
      </w:r>
      <w:proofErr w:type="gramEnd"/>
      <w:r w:rsidRPr="00AA023A">
        <w:rPr>
          <w:lang w:val="en-GB"/>
        </w:rPr>
        <w:t xml:space="preserve"> BSI episodes with gram-negative bacteria were community-onset (68.0%) and in males (57.5%); infants &lt; 12 months of age accounted for the highest proportion of gram-negative BSI episodes (48.4%) (Table 1). </w:t>
      </w:r>
    </w:p>
    <w:p w14:paraId="741023CB" w14:textId="77777777" w:rsidR="00AA023A" w:rsidRPr="00AA023A" w:rsidRDefault="00AA023A" w:rsidP="00AA023A">
      <w:pPr>
        <w:pStyle w:val="Heading3"/>
        <w:rPr>
          <w:lang w:val="en-GB"/>
        </w:rPr>
      </w:pPr>
      <w:r w:rsidRPr="00AA023A">
        <w:rPr>
          <w:lang w:val="en-GB"/>
        </w:rPr>
        <w:t>Enterobacterales</w:t>
      </w:r>
    </w:p>
    <w:p w14:paraId="2A3A2114" w14:textId="77777777" w:rsidR="00AA023A" w:rsidRPr="00AA023A" w:rsidRDefault="00AA023A" w:rsidP="00AA023A">
      <w:pPr>
        <w:rPr>
          <w:lang w:val="en-GB"/>
        </w:rPr>
      </w:pPr>
      <w:r w:rsidRPr="00AA023A">
        <w:rPr>
          <w:lang w:val="en-GB"/>
        </w:rPr>
        <w:t xml:space="preserve">Overall, 17.9% of Enterobacterales were ciprofloxacin resistant; 14.0% were ceftriaxone and/or ceftazidime resistant; 9.5% were gentamicin and/or tobramycin resistant; and 8.9% were piperacillin-tazobactam resistant. Only seven Enterobacterales isolates were meropenem resistant (0.8%). No meropenem-resistant isolates were reported in infants &lt; 12 months old (Table 3). </w:t>
      </w:r>
    </w:p>
    <w:p w14:paraId="1313C6F9" w14:textId="77777777" w:rsidR="00AA023A" w:rsidRPr="00AA023A" w:rsidRDefault="00AA023A" w:rsidP="00AA023A">
      <w:pPr>
        <w:rPr>
          <w:lang w:val="en-GB"/>
        </w:rPr>
      </w:pPr>
      <w:r w:rsidRPr="00AA023A">
        <w:rPr>
          <w:lang w:val="en-GB"/>
        </w:rPr>
        <w:t>The proportion of ciprofloxacin-resistant Enterobacterales was significantly higher than reported in 2020–2021 (17.9% vs 13.2%; χ</w:t>
      </w:r>
      <w:r w:rsidRPr="00AA023A">
        <w:rPr>
          <w:vertAlign w:val="superscript"/>
          <w:lang w:val="en-GB"/>
        </w:rPr>
        <w:t>2</w:t>
      </w:r>
      <w:r w:rsidRPr="00AA023A">
        <w:rPr>
          <w:lang w:val="en-GB"/>
        </w:rPr>
        <w:t xml:space="preserve">: 7; </w:t>
      </w:r>
      <w:r w:rsidRPr="00AA023A">
        <w:rPr>
          <w:i/>
          <w:iCs/>
          <w:lang w:val="en-GB"/>
        </w:rPr>
        <w:t>p</w:t>
      </w:r>
      <w:r w:rsidRPr="00AA023A">
        <w:rPr>
          <w:lang w:val="en-GB"/>
        </w:rPr>
        <w:t xml:space="preserve"> = 0.009). However, if </w:t>
      </w:r>
      <w:r w:rsidRPr="00AA023A">
        <w:rPr>
          <w:i/>
          <w:iCs/>
          <w:lang w:val="en-GB"/>
        </w:rPr>
        <w:t>Salmonella</w:t>
      </w:r>
      <w:r w:rsidRPr="00AA023A">
        <w:rPr>
          <w:lang w:val="en-GB"/>
        </w:rPr>
        <w:t xml:space="preserve"> spp. were excluded from the analysis, the ciprofloxacin-resistant proportion of isolates was similar in 2022–2023 to the proportions reported in 2020–2021 (12.7% vs 12.5%). Similarly, if </w:t>
      </w:r>
      <w:r w:rsidRPr="00AA023A">
        <w:rPr>
          <w:i/>
          <w:iCs/>
          <w:lang w:val="en-GB"/>
        </w:rPr>
        <w:t>Salmonella</w:t>
      </w:r>
      <w:r w:rsidRPr="00AA023A">
        <w:rPr>
          <w:lang w:val="en-GB"/>
        </w:rPr>
        <w:t xml:space="preserve"> spp. were removed from the analysis, the proportions of ciprofloxacin-resistant Enterobacterales in Victoria (27.1% including </w:t>
      </w:r>
      <w:r w:rsidRPr="00AA023A">
        <w:rPr>
          <w:i/>
          <w:iCs/>
          <w:lang w:val="en-GB"/>
        </w:rPr>
        <w:t>Salmonella</w:t>
      </w:r>
      <w:r w:rsidRPr="00AA023A">
        <w:rPr>
          <w:lang w:val="en-GB"/>
        </w:rPr>
        <w:t xml:space="preserve"> spp. vs 19.3% excluding </w:t>
      </w:r>
      <w:r w:rsidRPr="00AA023A">
        <w:rPr>
          <w:i/>
          <w:iCs/>
          <w:lang w:val="en-GB"/>
        </w:rPr>
        <w:t>Salmonella</w:t>
      </w:r>
      <w:r w:rsidRPr="00AA023A">
        <w:rPr>
          <w:lang w:val="en-GB"/>
        </w:rPr>
        <w:t xml:space="preserve"> spp.; χ</w:t>
      </w:r>
      <w:r w:rsidRPr="00AA023A">
        <w:rPr>
          <w:vertAlign w:val="superscript"/>
          <w:lang w:val="en-GB"/>
        </w:rPr>
        <w:t>2</w:t>
      </w:r>
      <w:r w:rsidRPr="00AA023A">
        <w:rPr>
          <w:lang w:val="en-GB"/>
        </w:rPr>
        <w:t xml:space="preserve">: 4; </w:t>
      </w:r>
      <w:r w:rsidRPr="00AA023A">
        <w:rPr>
          <w:i/>
          <w:iCs/>
          <w:lang w:val="en-GB"/>
        </w:rPr>
        <w:t>p</w:t>
      </w:r>
      <w:r w:rsidRPr="00AA023A">
        <w:rPr>
          <w:lang w:val="en-GB"/>
        </w:rPr>
        <w:t xml:space="preserve"> = 0.05), in neonates (17.2% vs 8.3%; χ</w:t>
      </w:r>
      <w:r w:rsidRPr="00AA023A">
        <w:rPr>
          <w:vertAlign w:val="superscript"/>
          <w:lang w:val="en-GB"/>
        </w:rPr>
        <w:t>2</w:t>
      </w:r>
      <w:r w:rsidRPr="00AA023A">
        <w:rPr>
          <w:lang w:val="en-GB"/>
        </w:rPr>
        <w:t xml:space="preserve">: 5; </w:t>
      </w:r>
      <w:r w:rsidRPr="007A0B73">
        <w:rPr>
          <w:i/>
          <w:iCs/>
          <w:lang w:val="en-GB"/>
        </w:rPr>
        <w:t>p</w:t>
      </w:r>
      <w:r w:rsidRPr="00AA023A">
        <w:rPr>
          <w:lang w:val="en-GB"/>
        </w:rPr>
        <w:t xml:space="preserve"> = 0.02), and in community-onset BSIs (19.3% vs 8.1%, χ</w:t>
      </w:r>
      <w:r w:rsidRPr="00AA023A">
        <w:rPr>
          <w:vertAlign w:val="superscript"/>
          <w:lang w:val="en-GB"/>
        </w:rPr>
        <w:t>2</w:t>
      </w:r>
      <w:r w:rsidRPr="00AA023A">
        <w:rPr>
          <w:lang w:val="en-GB"/>
        </w:rPr>
        <w:t xml:space="preserve">: 29, </w:t>
      </w:r>
      <w:r w:rsidRPr="00AA023A">
        <w:rPr>
          <w:i/>
          <w:iCs/>
          <w:lang w:val="en-GB"/>
        </w:rPr>
        <w:t>p</w:t>
      </w:r>
      <w:r w:rsidRPr="00AA023A">
        <w:rPr>
          <w:lang w:val="en-GB"/>
        </w:rPr>
        <w:t xml:space="preserve"> &lt; 0.001) were all similar to the 2021–2022 reporting period. </w:t>
      </w:r>
    </w:p>
    <w:p w14:paraId="78C4F59A" w14:textId="77777777" w:rsidR="00AA023A" w:rsidRPr="00AA023A" w:rsidRDefault="00AA023A" w:rsidP="00AA023A">
      <w:pPr>
        <w:rPr>
          <w:lang w:val="en-GB"/>
        </w:rPr>
      </w:pPr>
      <w:r w:rsidRPr="00AA023A">
        <w:rPr>
          <w:lang w:val="en-GB"/>
        </w:rPr>
        <w:t xml:space="preserve">For </w:t>
      </w:r>
      <w:r w:rsidRPr="00AA023A">
        <w:rPr>
          <w:i/>
          <w:iCs/>
          <w:lang w:val="en-GB"/>
        </w:rPr>
        <w:t>Salmonella</w:t>
      </w:r>
      <w:r w:rsidRPr="00AA023A">
        <w:rPr>
          <w:lang w:val="en-GB"/>
        </w:rPr>
        <w:t xml:space="preserve"> spp., almost half of the isolates reported were ciprofloxacin resistant (67/143; 46.9%; 95% CI: 38.5–55.4); a significant increase when compared to 2020–2021 (46.9% vs 20.6%; χ</w:t>
      </w:r>
      <w:r w:rsidRPr="00AA023A">
        <w:rPr>
          <w:vertAlign w:val="superscript"/>
          <w:lang w:val="en-GB"/>
        </w:rPr>
        <w:t>2</w:t>
      </w:r>
      <w:r w:rsidRPr="00AA023A">
        <w:rPr>
          <w:lang w:val="en-GB"/>
        </w:rPr>
        <w:t xml:space="preserve">: 12; </w:t>
      </w:r>
      <w:r w:rsidRPr="00AA023A">
        <w:rPr>
          <w:i/>
          <w:iCs/>
          <w:lang w:val="en-GB"/>
        </w:rPr>
        <w:t>p</w:t>
      </w:r>
      <w:r w:rsidRPr="00AA023A">
        <w:rPr>
          <w:lang w:val="en-GB"/>
        </w:rPr>
        <w:t xml:space="preserve"> = 0.007). The increase was primarily attributed to the increase in </w:t>
      </w:r>
      <w:r w:rsidRPr="00AA023A">
        <w:rPr>
          <w:i/>
          <w:iCs/>
          <w:lang w:val="en-GB"/>
        </w:rPr>
        <w:t>S</w:t>
      </w:r>
      <w:r w:rsidRPr="00AA023A">
        <w:rPr>
          <w:lang w:val="en-GB"/>
        </w:rPr>
        <w:t xml:space="preserve">. Typhi reported as a proportion of all </w:t>
      </w:r>
      <w:r w:rsidRPr="00AA023A">
        <w:rPr>
          <w:i/>
          <w:iCs/>
          <w:lang w:val="en-GB"/>
        </w:rPr>
        <w:t>Salmonella</w:t>
      </w:r>
      <w:r w:rsidRPr="00AA023A">
        <w:rPr>
          <w:lang w:val="en-GB"/>
        </w:rPr>
        <w:t xml:space="preserve"> isolates during the reporting period (34.0% vs 15.6% of all </w:t>
      </w:r>
      <w:r w:rsidRPr="00AA023A">
        <w:rPr>
          <w:i/>
          <w:iCs/>
          <w:lang w:val="en-GB"/>
        </w:rPr>
        <w:t>Salmonella</w:t>
      </w:r>
      <w:r w:rsidRPr="00AA023A">
        <w:rPr>
          <w:lang w:val="en-GB"/>
        </w:rPr>
        <w:t xml:space="preserve"> isolates were </w:t>
      </w:r>
      <w:r w:rsidRPr="00AA023A">
        <w:rPr>
          <w:i/>
          <w:iCs/>
          <w:lang w:val="en-GB"/>
        </w:rPr>
        <w:t>S</w:t>
      </w:r>
      <w:r w:rsidRPr="00AA023A">
        <w:rPr>
          <w:lang w:val="en-GB"/>
        </w:rPr>
        <w:t xml:space="preserve">. Typhi), given that 70.1% of ciprofloxacin-resistant </w:t>
      </w:r>
      <w:r w:rsidRPr="00AA023A">
        <w:rPr>
          <w:i/>
          <w:iCs/>
          <w:lang w:val="en-GB"/>
        </w:rPr>
        <w:t>Salmonella</w:t>
      </w:r>
      <w:r w:rsidRPr="00AA023A">
        <w:rPr>
          <w:lang w:val="en-GB"/>
        </w:rPr>
        <w:t xml:space="preserve"> isolates in 2022–2023 were </w:t>
      </w:r>
      <w:r w:rsidRPr="00AA023A">
        <w:rPr>
          <w:i/>
          <w:iCs/>
          <w:lang w:val="en-GB"/>
        </w:rPr>
        <w:t>S</w:t>
      </w:r>
      <w:r w:rsidRPr="00AA023A">
        <w:rPr>
          <w:lang w:val="en-GB"/>
        </w:rPr>
        <w:t xml:space="preserve">. Typhi (47/67). Of the </w:t>
      </w:r>
      <w:r w:rsidRPr="00AA023A">
        <w:rPr>
          <w:i/>
          <w:iCs/>
          <w:lang w:val="en-GB"/>
        </w:rPr>
        <w:t>S</w:t>
      </w:r>
      <w:r w:rsidRPr="00AA023A">
        <w:rPr>
          <w:lang w:val="en-GB"/>
        </w:rPr>
        <w:t xml:space="preserve">. Typhi isolates, 94% were ciprofloxacin resistant (47/50), compared with only 9.9% of non-typhoidal </w:t>
      </w:r>
      <w:r w:rsidRPr="00AA023A">
        <w:rPr>
          <w:i/>
          <w:iCs/>
          <w:lang w:val="en-GB"/>
        </w:rPr>
        <w:t>Salmonella</w:t>
      </w:r>
      <w:r w:rsidRPr="00AA023A">
        <w:rPr>
          <w:lang w:val="en-GB"/>
        </w:rPr>
        <w:t xml:space="preserve"> (8/81; χ</w:t>
      </w:r>
      <w:r w:rsidRPr="00AA023A">
        <w:rPr>
          <w:vertAlign w:val="superscript"/>
          <w:lang w:val="en-GB"/>
        </w:rPr>
        <w:t>2</w:t>
      </w:r>
      <w:r w:rsidRPr="00AA023A">
        <w:rPr>
          <w:lang w:val="en-GB"/>
        </w:rPr>
        <w:t xml:space="preserve">: 86.4; </w:t>
      </w:r>
      <w:r w:rsidRPr="00AA023A">
        <w:rPr>
          <w:i/>
          <w:iCs/>
          <w:lang w:val="en-GB"/>
        </w:rPr>
        <w:t>p</w:t>
      </w:r>
      <w:r w:rsidRPr="00AA023A">
        <w:rPr>
          <w:lang w:val="en-GB"/>
        </w:rPr>
        <w:t xml:space="preserve"> &lt; 0.001). There were only three ceftriaxone-resistant </w:t>
      </w:r>
      <w:r w:rsidRPr="00AA023A">
        <w:rPr>
          <w:i/>
          <w:iCs/>
          <w:lang w:val="en-GB"/>
        </w:rPr>
        <w:t>Salmonella</w:t>
      </w:r>
      <w:r w:rsidRPr="00AA023A">
        <w:rPr>
          <w:lang w:val="en-GB"/>
        </w:rPr>
        <w:t xml:space="preserve"> spp. reported in 2022–2023, including one </w:t>
      </w:r>
      <w:r w:rsidRPr="00AA023A">
        <w:rPr>
          <w:i/>
          <w:iCs/>
          <w:lang w:val="en-GB"/>
        </w:rPr>
        <w:t>S</w:t>
      </w:r>
      <w:r w:rsidRPr="00AA023A">
        <w:rPr>
          <w:lang w:val="en-GB"/>
        </w:rPr>
        <w:t>. Typhi.</w:t>
      </w:r>
    </w:p>
    <w:p w14:paraId="370F0929" w14:textId="7E633B5D" w:rsidR="00AA023A" w:rsidRPr="00AA023A" w:rsidRDefault="00AA023A" w:rsidP="00AA023A">
      <w:pPr>
        <w:rPr>
          <w:lang w:val="en-GB"/>
        </w:rPr>
      </w:pPr>
      <w:r w:rsidRPr="00AA023A">
        <w:rPr>
          <w:lang w:val="en-GB"/>
        </w:rPr>
        <w:t>One hundred and twenty-five (13.4%) of the 932 Enterobacterales had an ESBL phenotype. In the neonatal population there was a significant increase in the proportion of Enterobacterales with an ESBL phenotype, from 8.3% in 2020–2021 to 16.6% in 2022–2023 (χ</w:t>
      </w:r>
      <w:r w:rsidRPr="00AA023A">
        <w:rPr>
          <w:vertAlign w:val="superscript"/>
          <w:lang w:val="en-GB"/>
        </w:rPr>
        <w:t>2</w:t>
      </w:r>
      <w:r w:rsidRPr="00AA023A">
        <w:rPr>
          <w:lang w:val="en-GB"/>
        </w:rPr>
        <w:t xml:space="preserve">: 5, </w:t>
      </w:r>
      <w:r w:rsidRPr="00AA023A">
        <w:rPr>
          <w:i/>
          <w:iCs/>
          <w:lang w:val="en-GB"/>
        </w:rPr>
        <w:t>p</w:t>
      </w:r>
      <w:r w:rsidRPr="00AA023A">
        <w:rPr>
          <w:lang w:val="en-GB"/>
        </w:rPr>
        <w:t xml:space="preserve">: 0.03). Additionally, an ESBL phenotype was identified more frequently in patients with a hospital-onset BSI than in patients with a community-onset BSI (OR: 1.9; 95% CI: 1.3–2.8; </w:t>
      </w:r>
      <w:r w:rsidRPr="007A0B73">
        <w:rPr>
          <w:i/>
          <w:iCs/>
          <w:lang w:val="en-GB"/>
        </w:rPr>
        <w:t>p</w:t>
      </w:r>
      <w:r w:rsidRPr="00AA023A">
        <w:rPr>
          <w:lang w:val="en-GB"/>
        </w:rPr>
        <w:t xml:space="preserve"> &lt;</w:t>
      </w:r>
      <w:r w:rsidR="007A0B73">
        <w:rPr>
          <w:lang w:val="en-GB"/>
        </w:rPr>
        <w:t xml:space="preserve"> </w:t>
      </w:r>
      <w:r w:rsidRPr="00AA023A">
        <w:rPr>
          <w:lang w:val="en-GB"/>
        </w:rPr>
        <w:t xml:space="preserve">0.001) (Table 2). </w:t>
      </w:r>
    </w:p>
    <w:p w14:paraId="7005BCA2" w14:textId="77777777" w:rsidR="000449DD" w:rsidRDefault="00AA023A" w:rsidP="00AA023A">
      <w:pPr>
        <w:rPr>
          <w:lang w:val="en-GB"/>
        </w:rPr>
        <w:sectPr w:rsidR="000449DD" w:rsidSect="001E3ECB">
          <w:footnotePr>
            <w:numFmt w:val="lowerRoman"/>
          </w:footnotePr>
          <w:pgSz w:w="11907" w:h="16840" w:code="9"/>
          <w:pgMar w:top="1134" w:right="1134" w:bottom="1134" w:left="1134" w:header="709" w:footer="567" w:gutter="0"/>
          <w:cols w:space="708"/>
          <w:docGrid w:linePitch="360"/>
        </w:sectPr>
      </w:pPr>
      <w:r w:rsidRPr="00AA023A">
        <w:rPr>
          <w:lang w:val="en-GB"/>
        </w:rPr>
        <w:t>The proportion of MDR Enterobacterales increased from 14.5% in 2020–2021 to 18.5% in 2022–2023 (n = 172/932; χ</w:t>
      </w:r>
      <w:r w:rsidRPr="00AA023A">
        <w:rPr>
          <w:vertAlign w:val="superscript"/>
          <w:lang w:val="en-GB"/>
        </w:rPr>
        <w:t>2</w:t>
      </w:r>
      <w:r w:rsidRPr="00AA023A">
        <w:rPr>
          <w:lang w:val="en-GB"/>
        </w:rPr>
        <w:t xml:space="preserve">: 5; </w:t>
      </w:r>
      <w:r w:rsidRPr="00AA023A">
        <w:rPr>
          <w:i/>
          <w:iCs/>
          <w:lang w:val="en-GB"/>
        </w:rPr>
        <w:t>p</w:t>
      </w:r>
      <w:r w:rsidRPr="00AA023A">
        <w:rPr>
          <w:lang w:val="en-GB"/>
        </w:rPr>
        <w:t xml:space="preserve"> = 0.03). Over two thirds of MDR Enterobacterales were identified as </w:t>
      </w:r>
      <w:r w:rsidRPr="00AA023A">
        <w:rPr>
          <w:i/>
          <w:iCs/>
          <w:lang w:val="en-GB"/>
        </w:rPr>
        <w:t>E.</w:t>
      </w:r>
      <w:r w:rsidR="000449DD">
        <w:rPr>
          <w:i/>
          <w:iCs/>
          <w:lang w:val="en-GB"/>
        </w:rPr>
        <w:t> </w:t>
      </w:r>
      <w:r w:rsidRPr="00AA023A">
        <w:rPr>
          <w:i/>
          <w:iCs/>
          <w:lang w:val="en-GB"/>
        </w:rPr>
        <w:t>coli</w:t>
      </w:r>
      <w:r w:rsidRPr="00AA023A">
        <w:rPr>
          <w:lang w:val="en-GB"/>
        </w:rPr>
        <w:t xml:space="preserve"> (69.8%; 120/172), and one in four </w:t>
      </w:r>
      <w:r w:rsidRPr="00AA023A">
        <w:rPr>
          <w:i/>
          <w:iCs/>
          <w:lang w:val="en-GB"/>
        </w:rPr>
        <w:t>E. coli</w:t>
      </w:r>
      <w:r w:rsidRPr="00AA023A">
        <w:rPr>
          <w:lang w:val="en-GB"/>
        </w:rPr>
        <w:t xml:space="preserve"> were MDR (26.3%; n= 120/457). The likelihood of an Enterobacterales isolate being MDR was greater for hospital-onset BSIs (OR: 1.6; 95% CI: 1.1–2.2; </w:t>
      </w:r>
      <w:r w:rsidRPr="00AA023A">
        <w:rPr>
          <w:i/>
          <w:iCs/>
          <w:lang w:val="en-GB"/>
        </w:rPr>
        <w:t>p</w:t>
      </w:r>
      <w:r w:rsidRPr="00AA023A">
        <w:rPr>
          <w:lang w:val="en-GB"/>
        </w:rPr>
        <w:t xml:space="preserve"> = 0.01). The median length of stay for patients with an MDR Enterobacterales BSI was significantly longer than for those with a non-MDR Enterobacterales BSI (14 days vs 9 days; </w:t>
      </w:r>
      <w:r w:rsidRPr="00AA023A">
        <w:rPr>
          <w:i/>
          <w:iCs/>
          <w:lang w:val="en-GB"/>
        </w:rPr>
        <w:t>p</w:t>
      </w:r>
      <w:r w:rsidR="000449DD">
        <w:rPr>
          <w:i/>
          <w:iCs/>
          <w:lang w:val="en-GB"/>
        </w:rPr>
        <w:t> </w:t>
      </w:r>
      <w:r w:rsidRPr="00AA023A">
        <w:rPr>
          <w:lang w:val="en-GB"/>
        </w:rPr>
        <w:t>&lt;</w:t>
      </w:r>
      <w:r w:rsidR="000449DD">
        <w:rPr>
          <w:lang w:val="en-GB"/>
        </w:rPr>
        <w:t> </w:t>
      </w:r>
      <w:r w:rsidRPr="00AA023A">
        <w:rPr>
          <w:lang w:val="en-GB"/>
        </w:rPr>
        <w:t xml:space="preserve">0.001) (Table 2). </w:t>
      </w:r>
    </w:p>
    <w:p w14:paraId="4F5B3BD0" w14:textId="77777777" w:rsidR="000449DD" w:rsidRPr="000449DD" w:rsidRDefault="000449DD" w:rsidP="000449DD">
      <w:pPr>
        <w:pStyle w:val="CDITable-Title"/>
        <w:spacing w:before="0"/>
        <w:rPr>
          <w:lang w:val="en-GB"/>
        </w:rPr>
      </w:pPr>
      <w:bookmarkStart w:id="28" w:name="_Toc213076655"/>
      <w:r w:rsidRPr="000449DD">
        <w:rPr>
          <w:lang w:val="en-GB"/>
        </w:rPr>
        <w:lastRenderedPageBreak/>
        <w:t xml:space="preserve">Table 3: Number of </w:t>
      </w:r>
      <w:r w:rsidRPr="000449DD">
        <w:rPr>
          <w:i/>
          <w:iCs/>
          <w:lang w:val="en-GB"/>
        </w:rPr>
        <w:t>Enterobacterales</w:t>
      </w:r>
      <w:r w:rsidRPr="000449DD">
        <w:rPr>
          <w:lang w:val="en-GB"/>
        </w:rPr>
        <w:t xml:space="preserve"> isolates tested and proportion of isolates resistant to gentamicin/tobramycin, ceftriaxone/ceftazidime, piperacillin–tazobactam, and ciprofloxacin from patients aged &lt; 18 years as reported to the Australian Group on Antimicrobial Resistance, January 2022 – December 2023</w:t>
      </w:r>
      <w:bookmarkEnd w:id="28"/>
    </w:p>
    <w:tbl>
      <w:tblPr>
        <w:tblW w:w="0" w:type="auto"/>
        <w:tblLayout w:type="fixed"/>
        <w:tblCellMar>
          <w:left w:w="0" w:type="dxa"/>
          <w:right w:w="0" w:type="dxa"/>
        </w:tblCellMar>
        <w:tblLook w:val="0000" w:firstRow="0" w:lastRow="0" w:firstColumn="0" w:lastColumn="0" w:noHBand="0" w:noVBand="0"/>
        <w:tblCaption w:val="Table 3: Number of Enterobacterales isolates tested and proportion of isolates resistant to gentamicin/tobramycin, ceftriaxone/ceftazidime, piperacillin–tazobactam, and ciprofloxacin from patients aged &lt; 18 years as reported to the Australian Group on Antimicrobial Resistance, January 2022 – December 2023"/>
        <w:tblDescription w:val="Table 3 shows the number of Enterobacterales isolates tested against and proportion (with 95% confidence intervals) of isolates resistant to gentamicin/tobramycin, ceftriaxone/ceftazidime,  piperacillin-tazobactam, and ciprofloxacin from children aged &lt;18 years as reported to AGAR from January 2022 – December 2023. Data is stratified by jurisdiction, age group, and onset location."/>
      </w:tblPr>
      <w:tblGrid>
        <w:gridCol w:w="1417"/>
        <w:gridCol w:w="1474"/>
        <w:gridCol w:w="624"/>
        <w:gridCol w:w="624"/>
        <w:gridCol w:w="623"/>
        <w:gridCol w:w="992"/>
        <w:gridCol w:w="624"/>
        <w:gridCol w:w="624"/>
        <w:gridCol w:w="623"/>
        <w:gridCol w:w="992"/>
        <w:gridCol w:w="624"/>
        <w:gridCol w:w="624"/>
        <w:gridCol w:w="623"/>
        <w:gridCol w:w="992"/>
        <w:gridCol w:w="624"/>
        <w:gridCol w:w="624"/>
        <w:gridCol w:w="623"/>
        <w:gridCol w:w="992"/>
      </w:tblGrid>
      <w:tr w:rsidR="005B35C8" w:rsidRPr="005B35C8" w14:paraId="2AE592DB" w14:textId="77777777" w:rsidTr="005B35C8">
        <w:trPr>
          <w:trHeight w:val="60"/>
          <w:tblHeader/>
        </w:trPr>
        <w:tc>
          <w:tcPr>
            <w:tcW w:w="1417" w:type="dxa"/>
            <w:vMerge w:val="restart"/>
            <w:shd w:val="clear" w:color="auto" w:fill="1E4496" w:themeFill="text2"/>
            <w:tcMar>
              <w:top w:w="113" w:type="dxa"/>
              <w:left w:w="113" w:type="dxa"/>
              <w:bottom w:w="113" w:type="dxa"/>
              <w:right w:w="113" w:type="dxa"/>
            </w:tcMar>
            <w:vAlign w:val="bottom"/>
          </w:tcPr>
          <w:p w14:paraId="26911ED9" w14:textId="77777777" w:rsidR="005B35C8" w:rsidRPr="005B35C8" w:rsidRDefault="005B35C8" w:rsidP="005B35C8">
            <w:pPr>
              <w:pStyle w:val="CDITable-HeaderRowLeft"/>
              <w:rPr>
                <w:sz w:val="16"/>
              </w:rPr>
            </w:pPr>
            <w:r w:rsidRPr="005B35C8">
              <w:rPr>
                <w:sz w:val="16"/>
              </w:rPr>
              <w:t>Category</w:t>
            </w:r>
          </w:p>
        </w:tc>
        <w:tc>
          <w:tcPr>
            <w:tcW w:w="1474" w:type="dxa"/>
            <w:vMerge w:val="restart"/>
            <w:shd w:val="clear" w:color="auto" w:fill="1E4496" w:themeFill="text2"/>
            <w:tcMar>
              <w:top w:w="113" w:type="dxa"/>
              <w:left w:w="113" w:type="dxa"/>
              <w:bottom w:w="113" w:type="dxa"/>
              <w:right w:w="113" w:type="dxa"/>
            </w:tcMar>
            <w:vAlign w:val="bottom"/>
          </w:tcPr>
          <w:p w14:paraId="285927FA" w14:textId="77777777" w:rsidR="005B35C8" w:rsidRPr="005B35C8" w:rsidRDefault="005B35C8" w:rsidP="005B35C8">
            <w:pPr>
              <w:pStyle w:val="CDITable-HeaderRowLeft"/>
              <w:rPr>
                <w:sz w:val="16"/>
              </w:rPr>
            </w:pPr>
            <w:r w:rsidRPr="005B35C8">
              <w:rPr>
                <w:sz w:val="16"/>
              </w:rPr>
              <w:t>Characteristic</w:t>
            </w:r>
          </w:p>
        </w:tc>
        <w:tc>
          <w:tcPr>
            <w:tcW w:w="2863" w:type="dxa"/>
            <w:gridSpan w:val="4"/>
            <w:tcBorders>
              <w:bottom w:val="single" w:sz="6" w:space="0" w:color="FFFFFF" w:themeColor="background1"/>
            </w:tcBorders>
            <w:shd w:val="clear" w:color="auto" w:fill="1E4496" w:themeFill="text2"/>
            <w:tcMar>
              <w:top w:w="113" w:type="dxa"/>
              <w:left w:w="113" w:type="dxa"/>
              <w:bottom w:w="113" w:type="dxa"/>
              <w:right w:w="113" w:type="dxa"/>
            </w:tcMar>
            <w:vAlign w:val="bottom"/>
          </w:tcPr>
          <w:p w14:paraId="7F5F5DAF" w14:textId="77777777" w:rsidR="005B35C8" w:rsidRPr="005B35C8" w:rsidRDefault="005B35C8" w:rsidP="005B35C8">
            <w:pPr>
              <w:pStyle w:val="CDITable-HeaderRowCentre"/>
              <w:rPr>
                <w:bCs/>
                <w:sz w:val="16"/>
              </w:rPr>
            </w:pPr>
            <w:r w:rsidRPr="005B35C8">
              <w:rPr>
                <w:bCs/>
                <w:sz w:val="16"/>
              </w:rPr>
              <w:t>Gentamicin/</w:t>
            </w:r>
            <w:proofErr w:type="spellStart"/>
            <w:r w:rsidRPr="005B35C8">
              <w:rPr>
                <w:bCs/>
                <w:sz w:val="16"/>
              </w:rPr>
              <w:t>tobramycin</w:t>
            </w:r>
            <w:r w:rsidRPr="005B35C8">
              <w:rPr>
                <w:bCs/>
                <w:sz w:val="16"/>
                <w:vertAlign w:val="superscript"/>
              </w:rPr>
              <w:t>a</w:t>
            </w:r>
            <w:proofErr w:type="spellEnd"/>
          </w:p>
        </w:tc>
        <w:tc>
          <w:tcPr>
            <w:tcW w:w="2863" w:type="dxa"/>
            <w:gridSpan w:val="4"/>
            <w:tcBorders>
              <w:bottom w:val="single" w:sz="6" w:space="0" w:color="FFFFFF" w:themeColor="background1"/>
            </w:tcBorders>
            <w:shd w:val="clear" w:color="auto" w:fill="1E4496" w:themeFill="text2"/>
            <w:tcMar>
              <w:top w:w="113" w:type="dxa"/>
              <w:left w:w="113" w:type="dxa"/>
              <w:bottom w:w="113" w:type="dxa"/>
              <w:right w:w="113" w:type="dxa"/>
            </w:tcMar>
            <w:vAlign w:val="bottom"/>
          </w:tcPr>
          <w:p w14:paraId="089A07CD" w14:textId="77777777" w:rsidR="005B35C8" w:rsidRPr="005B35C8" w:rsidRDefault="005B35C8" w:rsidP="005B35C8">
            <w:pPr>
              <w:pStyle w:val="CDITable-HeaderRowCentre"/>
              <w:rPr>
                <w:bCs/>
                <w:sz w:val="16"/>
              </w:rPr>
            </w:pPr>
            <w:r w:rsidRPr="005B35C8">
              <w:rPr>
                <w:bCs/>
                <w:sz w:val="16"/>
              </w:rPr>
              <w:t>Ceftriaxone/</w:t>
            </w:r>
            <w:proofErr w:type="spellStart"/>
            <w:r w:rsidRPr="005B35C8">
              <w:rPr>
                <w:bCs/>
                <w:sz w:val="16"/>
              </w:rPr>
              <w:t>ceftazidime</w:t>
            </w:r>
            <w:r w:rsidRPr="005B35C8">
              <w:rPr>
                <w:bCs/>
                <w:sz w:val="16"/>
                <w:vertAlign w:val="superscript"/>
              </w:rPr>
              <w:t>a</w:t>
            </w:r>
            <w:proofErr w:type="spellEnd"/>
          </w:p>
        </w:tc>
        <w:tc>
          <w:tcPr>
            <w:tcW w:w="2863" w:type="dxa"/>
            <w:gridSpan w:val="4"/>
            <w:tcBorders>
              <w:bottom w:val="single" w:sz="6" w:space="0" w:color="FFFFFF" w:themeColor="background1"/>
            </w:tcBorders>
            <w:shd w:val="clear" w:color="auto" w:fill="1E4496" w:themeFill="text2"/>
            <w:tcMar>
              <w:top w:w="113" w:type="dxa"/>
              <w:left w:w="113" w:type="dxa"/>
              <w:bottom w:w="113" w:type="dxa"/>
              <w:right w:w="113" w:type="dxa"/>
            </w:tcMar>
            <w:vAlign w:val="bottom"/>
          </w:tcPr>
          <w:p w14:paraId="1829F574" w14:textId="77777777" w:rsidR="005B35C8" w:rsidRPr="005B35C8" w:rsidRDefault="005B35C8" w:rsidP="005B35C8">
            <w:pPr>
              <w:pStyle w:val="CDITable-HeaderRowCentre"/>
              <w:rPr>
                <w:bCs/>
                <w:sz w:val="16"/>
              </w:rPr>
            </w:pPr>
            <w:r w:rsidRPr="005B35C8">
              <w:rPr>
                <w:bCs/>
                <w:sz w:val="16"/>
              </w:rPr>
              <w:t>Piperacillin–</w:t>
            </w:r>
            <w:proofErr w:type="spellStart"/>
            <w:r w:rsidRPr="005B35C8">
              <w:rPr>
                <w:bCs/>
                <w:sz w:val="16"/>
              </w:rPr>
              <w:t>tazobactam</w:t>
            </w:r>
            <w:r w:rsidRPr="005B35C8">
              <w:rPr>
                <w:bCs/>
                <w:sz w:val="16"/>
                <w:vertAlign w:val="superscript"/>
              </w:rPr>
              <w:t>a</w:t>
            </w:r>
            <w:proofErr w:type="spellEnd"/>
          </w:p>
        </w:tc>
        <w:tc>
          <w:tcPr>
            <w:tcW w:w="2863" w:type="dxa"/>
            <w:gridSpan w:val="4"/>
            <w:tcBorders>
              <w:bottom w:val="single" w:sz="6" w:space="0" w:color="FFFFFF" w:themeColor="background1"/>
            </w:tcBorders>
            <w:shd w:val="clear" w:color="auto" w:fill="1E4496" w:themeFill="text2"/>
            <w:tcMar>
              <w:top w:w="113" w:type="dxa"/>
              <w:left w:w="113" w:type="dxa"/>
              <w:bottom w:w="113" w:type="dxa"/>
              <w:right w:w="113" w:type="dxa"/>
            </w:tcMar>
            <w:vAlign w:val="bottom"/>
          </w:tcPr>
          <w:p w14:paraId="1CBA1C8A" w14:textId="77777777" w:rsidR="005B35C8" w:rsidRPr="005B35C8" w:rsidRDefault="005B35C8" w:rsidP="005B35C8">
            <w:pPr>
              <w:pStyle w:val="CDITable-HeaderRowCentre"/>
              <w:rPr>
                <w:bCs/>
                <w:sz w:val="16"/>
              </w:rPr>
            </w:pPr>
            <w:proofErr w:type="spellStart"/>
            <w:r w:rsidRPr="005B35C8">
              <w:rPr>
                <w:bCs/>
                <w:sz w:val="16"/>
              </w:rPr>
              <w:t>Ciprofloxacin</w:t>
            </w:r>
            <w:r w:rsidRPr="005B35C8">
              <w:rPr>
                <w:bCs/>
                <w:sz w:val="16"/>
                <w:vertAlign w:val="superscript"/>
              </w:rPr>
              <w:t>a</w:t>
            </w:r>
            <w:proofErr w:type="spellEnd"/>
          </w:p>
        </w:tc>
      </w:tr>
      <w:tr w:rsidR="005B35C8" w:rsidRPr="005B35C8" w14:paraId="35CBFD4A" w14:textId="77777777" w:rsidTr="005B35C8">
        <w:trPr>
          <w:trHeight w:val="60"/>
          <w:tblHeader/>
        </w:trPr>
        <w:tc>
          <w:tcPr>
            <w:tcW w:w="1417" w:type="dxa"/>
            <w:vMerge/>
            <w:shd w:val="clear" w:color="auto" w:fill="1E4496" w:themeFill="text2"/>
          </w:tcPr>
          <w:p w14:paraId="443FA24A" w14:textId="77777777" w:rsidR="005B35C8" w:rsidRPr="005B35C8" w:rsidRDefault="005B35C8" w:rsidP="005B35C8"/>
        </w:tc>
        <w:tc>
          <w:tcPr>
            <w:tcW w:w="1474" w:type="dxa"/>
            <w:vMerge/>
            <w:shd w:val="clear" w:color="auto" w:fill="1E4496" w:themeFill="text2"/>
          </w:tcPr>
          <w:p w14:paraId="5841DCB4" w14:textId="77777777" w:rsidR="005B35C8" w:rsidRPr="005B35C8" w:rsidRDefault="005B35C8" w:rsidP="005B35C8"/>
        </w:tc>
        <w:tc>
          <w:tcPr>
            <w:tcW w:w="624" w:type="dxa"/>
            <w:tcBorders>
              <w:top w:val="single" w:sz="6" w:space="0" w:color="FFFFFF" w:themeColor="background1"/>
            </w:tcBorders>
            <w:shd w:val="clear" w:color="auto" w:fill="1E4496" w:themeFill="text2"/>
            <w:tcMar>
              <w:top w:w="113" w:type="dxa"/>
              <w:left w:w="113" w:type="dxa"/>
              <w:bottom w:w="113" w:type="dxa"/>
              <w:right w:w="113" w:type="dxa"/>
            </w:tcMar>
            <w:vAlign w:val="bottom"/>
          </w:tcPr>
          <w:p w14:paraId="71BCCDD7" w14:textId="77777777" w:rsidR="005B35C8" w:rsidRPr="005B35C8" w:rsidRDefault="005B35C8" w:rsidP="005B35C8">
            <w:pPr>
              <w:pStyle w:val="CDITable-HeaderRowCentre"/>
              <w:rPr>
                <w:bCs/>
                <w:sz w:val="16"/>
              </w:rPr>
            </w:pPr>
            <w:r w:rsidRPr="005B35C8">
              <w:rPr>
                <w:bCs/>
                <w:sz w:val="16"/>
              </w:rPr>
              <w:t>N</w:t>
            </w:r>
          </w:p>
        </w:tc>
        <w:tc>
          <w:tcPr>
            <w:tcW w:w="624" w:type="dxa"/>
            <w:tcBorders>
              <w:top w:val="single" w:sz="6" w:space="0" w:color="FFFFFF" w:themeColor="background1"/>
            </w:tcBorders>
            <w:shd w:val="clear" w:color="auto" w:fill="1E4496" w:themeFill="text2"/>
            <w:tcMar>
              <w:top w:w="113" w:type="dxa"/>
              <w:left w:w="113" w:type="dxa"/>
              <w:bottom w:w="113" w:type="dxa"/>
              <w:right w:w="113" w:type="dxa"/>
            </w:tcMar>
            <w:vAlign w:val="bottom"/>
          </w:tcPr>
          <w:p w14:paraId="733192E2" w14:textId="77777777" w:rsidR="005B35C8" w:rsidRPr="005B35C8" w:rsidRDefault="005B35C8" w:rsidP="005B35C8">
            <w:pPr>
              <w:pStyle w:val="CDITable-HeaderRowCentre"/>
              <w:rPr>
                <w:bCs/>
                <w:sz w:val="16"/>
              </w:rPr>
            </w:pPr>
            <w:r w:rsidRPr="005B35C8">
              <w:rPr>
                <w:bCs/>
                <w:sz w:val="16"/>
              </w:rPr>
              <w:t>n</w:t>
            </w:r>
          </w:p>
        </w:tc>
        <w:tc>
          <w:tcPr>
            <w:tcW w:w="623" w:type="dxa"/>
            <w:tcBorders>
              <w:top w:val="single" w:sz="6" w:space="0" w:color="FFFFFF" w:themeColor="background1"/>
            </w:tcBorders>
            <w:shd w:val="clear" w:color="auto" w:fill="1E4496" w:themeFill="text2"/>
            <w:tcMar>
              <w:top w:w="113" w:type="dxa"/>
              <w:left w:w="113" w:type="dxa"/>
              <w:bottom w:w="113" w:type="dxa"/>
              <w:right w:w="113" w:type="dxa"/>
            </w:tcMar>
            <w:vAlign w:val="bottom"/>
          </w:tcPr>
          <w:p w14:paraId="4FDCE9F4" w14:textId="77777777" w:rsidR="005B35C8" w:rsidRPr="005B35C8" w:rsidRDefault="005B35C8" w:rsidP="005B35C8">
            <w:pPr>
              <w:pStyle w:val="CDITable-HeaderRowCentre"/>
              <w:rPr>
                <w:bCs/>
                <w:sz w:val="16"/>
              </w:rPr>
            </w:pPr>
            <w:r w:rsidRPr="005B35C8">
              <w:rPr>
                <w:bCs/>
                <w:sz w:val="16"/>
              </w:rPr>
              <w:t>R%</w:t>
            </w:r>
          </w:p>
        </w:tc>
        <w:tc>
          <w:tcPr>
            <w:tcW w:w="992" w:type="dxa"/>
            <w:tcBorders>
              <w:top w:val="single" w:sz="6" w:space="0" w:color="FFFFFF" w:themeColor="background1"/>
              <w:right w:val="single" w:sz="6" w:space="0" w:color="FFFFFF" w:themeColor="background1"/>
            </w:tcBorders>
            <w:shd w:val="clear" w:color="auto" w:fill="1E4496" w:themeFill="text2"/>
            <w:tcMar>
              <w:top w:w="113" w:type="dxa"/>
              <w:left w:w="113" w:type="dxa"/>
              <w:bottom w:w="113" w:type="dxa"/>
              <w:right w:w="113" w:type="dxa"/>
            </w:tcMar>
            <w:vAlign w:val="bottom"/>
          </w:tcPr>
          <w:p w14:paraId="6908073C" w14:textId="77777777" w:rsidR="005B35C8" w:rsidRPr="005B35C8" w:rsidRDefault="005B35C8" w:rsidP="005B35C8">
            <w:pPr>
              <w:pStyle w:val="CDITable-HeaderRowCentre"/>
              <w:rPr>
                <w:bCs/>
                <w:sz w:val="16"/>
              </w:rPr>
            </w:pPr>
            <w:r w:rsidRPr="005B35C8">
              <w:rPr>
                <w:bCs/>
                <w:sz w:val="16"/>
              </w:rPr>
              <w:t>95% CI</w:t>
            </w:r>
          </w:p>
        </w:tc>
        <w:tc>
          <w:tcPr>
            <w:tcW w:w="624" w:type="dxa"/>
            <w:tcBorders>
              <w:top w:val="single" w:sz="6" w:space="0" w:color="FFFFFF" w:themeColor="background1"/>
              <w:left w:val="single" w:sz="6" w:space="0" w:color="FFFFFF" w:themeColor="background1"/>
            </w:tcBorders>
            <w:shd w:val="clear" w:color="auto" w:fill="1E4496" w:themeFill="text2"/>
            <w:tcMar>
              <w:top w:w="113" w:type="dxa"/>
              <w:left w:w="113" w:type="dxa"/>
              <w:bottom w:w="113" w:type="dxa"/>
              <w:right w:w="113" w:type="dxa"/>
            </w:tcMar>
            <w:vAlign w:val="bottom"/>
          </w:tcPr>
          <w:p w14:paraId="740A8194" w14:textId="77777777" w:rsidR="005B35C8" w:rsidRPr="005B35C8" w:rsidRDefault="005B35C8" w:rsidP="005B35C8">
            <w:pPr>
              <w:pStyle w:val="CDITable-HeaderRowCentre"/>
              <w:rPr>
                <w:bCs/>
                <w:sz w:val="16"/>
              </w:rPr>
            </w:pPr>
            <w:r w:rsidRPr="005B35C8">
              <w:rPr>
                <w:bCs/>
                <w:sz w:val="16"/>
              </w:rPr>
              <w:t>N</w:t>
            </w:r>
          </w:p>
        </w:tc>
        <w:tc>
          <w:tcPr>
            <w:tcW w:w="624" w:type="dxa"/>
            <w:tcBorders>
              <w:top w:val="single" w:sz="6" w:space="0" w:color="FFFFFF" w:themeColor="background1"/>
            </w:tcBorders>
            <w:shd w:val="clear" w:color="auto" w:fill="1E4496" w:themeFill="text2"/>
            <w:tcMar>
              <w:top w:w="113" w:type="dxa"/>
              <w:left w:w="113" w:type="dxa"/>
              <w:bottom w:w="113" w:type="dxa"/>
              <w:right w:w="113" w:type="dxa"/>
            </w:tcMar>
            <w:vAlign w:val="bottom"/>
          </w:tcPr>
          <w:p w14:paraId="521A0379" w14:textId="77777777" w:rsidR="005B35C8" w:rsidRPr="005B35C8" w:rsidRDefault="005B35C8" w:rsidP="005B35C8">
            <w:pPr>
              <w:pStyle w:val="CDITable-HeaderRowCentre"/>
              <w:rPr>
                <w:bCs/>
                <w:sz w:val="16"/>
              </w:rPr>
            </w:pPr>
            <w:r w:rsidRPr="005B35C8">
              <w:rPr>
                <w:bCs/>
                <w:sz w:val="16"/>
              </w:rPr>
              <w:t>n</w:t>
            </w:r>
          </w:p>
        </w:tc>
        <w:tc>
          <w:tcPr>
            <w:tcW w:w="623" w:type="dxa"/>
            <w:tcBorders>
              <w:top w:val="single" w:sz="6" w:space="0" w:color="FFFFFF" w:themeColor="background1"/>
            </w:tcBorders>
            <w:shd w:val="clear" w:color="auto" w:fill="1E4496" w:themeFill="text2"/>
            <w:tcMar>
              <w:top w:w="113" w:type="dxa"/>
              <w:left w:w="113" w:type="dxa"/>
              <w:bottom w:w="113" w:type="dxa"/>
              <w:right w:w="113" w:type="dxa"/>
            </w:tcMar>
            <w:vAlign w:val="bottom"/>
          </w:tcPr>
          <w:p w14:paraId="4B042AC6" w14:textId="77777777" w:rsidR="005B35C8" w:rsidRPr="005B35C8" w:rsidRDefault="005B35C8" w:rsidP="005B35C8">
            <w:pPr>
              <w:pStyle w:val="CDITable-HeaderRowCentre"/>
              <w:rPr>
                <w:bCs/>
                <w:sz w:val="16"/>
              </w:rPr>
            </w:pPr>
            <w:r w:rsidRPr="005B35C8">
              <w:rPr>
                <w:bCs/>
                <w:sz w:val="16"/>
              </w:rPr>
              <w:t>R%</w:t>
            </w:r>
          </w:p>
        </w:tc>
        <w:tc>
          <w:tcPr>
            <w:tcW w:w="992" w:type="dxa"/>
            <w:tcBorders>
              <w:top w:val="single" w:sz="6" w:space="0" w:color="FFFFFF" w:themeColor="background1"/>
              <w:right w:val="single" w:sz="6" w:space="0" w:color="FFFFFF" w:themeColor="background1"/>
            </w:tcBorders>
            <w:shd w:val="clear" w:color="auto" w:fill="1E4496" w:themeFill="text2"/>
            <w:tcMar>
              <w:top w:w="113" w:type="dxa"/>
              <w:left w:w="113" w:type="dxa"/>
              <w:bottom w:w="113" w:type="dxa"/>
              <w:right w:w="113" w:type="dxa"/>
            </w:tcMar>
            <w:vAlign w:val="bottom"/>
          </w:tcPr>
          <w:p w14:paraId="79E9C465" w14:textId="77777777" w:rsidR="005B35C8" w:rsidRPr="005B35C8" w:rsidRDefault="005B35C8" w:rsidP="005B35C8">
            <w:pPr>
              <w:pStyle w:val="CDITable-HeaderRowCentre"/>
              <w:rPr>
                <w:bCs/>
                <w:sz w:val="16"/>
              </w:rPr>
            </w:pPr>
            <w:r w:rsidRPr="005B35C8">
              <w:rPr>
                <w:bCs/>
                <w:sz w:val="16"/>
              </w:rPr>
              <w:t>95% CI</w:t>
            </w:r>
          </w:p>
        </w:tc>
        <w:tc>
          <w:tcPr>
            <w:tcW w:w="624" w:type="dxa"/>
            <w:tcBorders>
              <w:top w:val="single" w:sz="6" w:space="0" w:color="FFFFFF" w:themeColor="background1"/>
              <w:left w:val="single" w:sz="6" w:space="0" w:color="FFFFFF" w:themeColor="background1"/>
            </w:tcBorders>
            <w:shd w:val="clear" w:color="auto" w:fill="1E4496" w:themeFill="text2"/>
            <w:tcMar>
              <w:top w:w="113" w:type="dxa"/>
              <w:left w:w="113" w:type="dxa"/>
              <w:bottom w:w="113" w:type="dxa"/>
              <w:right w:w="113" w:type="dxa"/>
            </w:tcMar>
            <w:vAlign w:val="bottom"/>
          </w:tcPr>
          <w:p w14:paraId="18204810" w14:textId="77777777" w:rsidR="005B35C8" w:rsidRPr="005B35C8" w:rsidRDefault="005B35C8" w:rsidP="005B35C8">
            <w:pPr>
              <w:pStyle w:val="CDITable-HeaderRowCentre"/>
              <w:rPr>
                <w:bCs/>
                <w:sz w:val="16"/>
              </w:rPr>
            </w:pPr>
            <w:r w:rsidRPr="005B35C8">
              <w:rPr>
                <w:bCs/>
                <w:sz w:val="16"/>
              </w:rPr>
              <w:t>N</w:t>
            </w:r>
          </w:p>
        </w:tc>
        <w:tc>
          <w:tcPr>
            <w:tcW w:w="624" w:type="dxa"/>
            <w:tcBorders>
              <w:top w:val="single" w:sz="6" w:space="0" w:color="FFFFFF" w:themeColor="background1"/>
            </w:tcBorders>
            <w:shd w:val="clear" w:color="auto" w:fill="1E4496" w:themeFill="text2"/>
            <w:tcMar>
              <w:top w:w="113" w:type="dxa"/>
              <w:left w:w="113" w:type="dxa"/>
              <w:bottom w:w="113" w:type="dxa"/>
              <w:right w:w="113" w:type="dxa"/>
            </w:tcMar>
            <w:vAlign w:val="bottom"/>
          </w:tcPr>
          <w:p w14:paraId="29793A8C" w14:textId="77777777" w:rsidR="005B35C8" w:rsidRPr="005B35C8" w:rsidRDefault="005B35C8" w:rsidP="005B35C8">
            <w:pPr>
              <w:pStyle w:val="CDITable-HeaderRowCentre"/>
              <w:rPr>
                <w:bCs/>
                <w:sz w:val="16"/>
              </w:rPr>
            </w:pPr>
            <w:r w:rsidRPr="005B35C8">
              <w:rPr>
                <w:bCs/>
                <w:sz w:val="16"/>
              </w:rPr>
              <w:t>n</w:t>
            </w:r>
          </w:p>
        </w:tc>
        <w:tc>
          <w:tcPr>
            <w:tcW w:w="623" w:type="dxa"/>
            <w:tcBorders>
              <w:top w:val="single" w:sz="6" w:space="0" w:color="FFFFFF" w:themeColor="background1"/>
            </w:tcBorders>
            <w:shd w:val="clear" w:color="auto" w:fill="1E4496" w:themeFill="text2"/>
            <w:tcMar>
              <w:top w:w="113" w:type="dxa"/>
              <w:left w:w="113" w:type="dxa"/>
              <w:bottom w:w="113" w:type="dxa"/>
              <w:right w:w="113" w:type="dxa"/>
            </w:tcMar>
            <w:vAlign w:val="bottom"/>
          </w:tcPr>
          <w:p w14:paraId="2AC7D132" w14:textId="77777777" w:rsidR="005B35C8" w:rsidRPr="005B35C8" w:rsidRDefault="005B35C8" w:rsidP="005B35C8">
            <w:pPr>
              <w:pStyle w:val="CDITable-HeaderRowCentre"/>
              <w:rPr>
                <w:bCs/>
                <w:sz w:val="16"/>
              </w:rPr>
            </w:pPr>
            <w:r w:rsidRPr="005B35C8">
              <w:rPr>
                <w:bCs/>
                <w:sz w:val="16"/>
              </w:rPr>
              <w:t>R%</w:t>
            </w:r>
          </w:p>
        </w:tc>
        <w:tc>
          <w:tcPr>
            <w:tcW w:w="992" w:type="dxa"/>
            <w:tcBorders>
              <w:top w:val="single" w:sz="6" w:space="0" w:color="FFFFFF" w:themeColor="background1"/>
              <w:right w:val="single" w:sz="6" w:space="0" w:color="FFFFFF" w:themeColor="background1"/>
            </w:tcBorders>
            <w:shd w:val="clear" w:color="auto" w:fill="1E4496" w:themeFill="text2"/>
            <w:tcMar>
              <w:top w:w="113" w:type="dxa"/>
              <w:left w:w="113" w:type="dxa"/>
              <w:bottom w:w="113" w:type="dxa"/>
              <w:right w:w="113" w:type="dxa"/>
            </w:tcMar>
            <w:vAlign w:val="bottom"/>
          </w:tcPr>
          <w:p w14:paraId="4EB137D1" w14:textId="77777777" w:rsidR="005B35C8" w:rsidRPr="005B35C8" w:rsidRDefault="005B35C8" w:rsidP="005B35C8">
            <w:pPr>
              <w:pStyle w:val="CDITable-HeaderRowCentre"/>
              <w:rPr>
                <w:bCs/>
                <w:sz w:val="16"/>
              </w:rPr>
            </w:pPr>
            <w:r w:rsidRPr="005B35C8">
              <w:rPr>
                <w:bCs/>
                <w:sz w:val="16"/>
              </w:rPr>
              <w:t>95% CI</w:t>
            </w:r>
          </w:p>
        </w:tc>
        <w:tc>
          <w:tcPr>
            <w:tcW w:w="624" w:type="dxa"/>
            <w:tcBorders>
              <w:top w:val="single" w:sz="6" w:space="0" w:color="FFFFFF" w:themeColor="background1"/>
              <w:left w:val="single" w:sz="6" w:space="0" w:color="FFFFFF" w:themeColor="background1"/>
            </w:tcBorders>
            <w:shd w:val="clear" w:color="auto" w:fill="1E4496" w:themeFill="text2"/>
            <w:tcMar>
              <w:top w:w="113" w:type="dxa"/>
              <w:left w:w="113" w:type="dxa"/>
              <w:bottom w:w="113" w:type="dxa"/>
              <w:right w:w="113" w:type="dxa"/>
            </w:tcMar>
            <w:vAlign w:val="bottom"/>
          </w:tcPr>
          <w:p w14:paraId="7FB71FCB" w14:textId="77777777" w:rsidR="005B35C8" w:rsidRPr="005B35C8" w:rsidRDefault="005B35C8" w:rsidP="005B35C8">
            <w:pPr>
              <w:pStyle w:val="CDITable-HeaderRowCentre"/>
              <w:rPr>
                <w:bCs/>
                <w:sz w:val="16"/>
              </w:rPr>
            </w:pPr>
            <w:r w:rsidRPr="005B35C8">
              <w:rPr>
                <w:bCs/>
                <w:sz w:val="16"/>
              </w:rPr>
              <w:t>N</w:t>
            </w:r>
          </w:p>
        </w:tc>
        <w:tc>
          <w:tcPr>
            <w:tcW w:w="624" w:type="dxa"/>
            <w:tcBorders>
              <w:top w:val="single" w:sz="6" w:space="0" w:color="FFFFFF" w:themeColor="background1"/>
            </w:tcBorders>
            <w:shd w:val="clear" w:color="auto" w:fill="1E4496" w:themeFill="text2"/>
            <w:tcMar>
              <w:top w:w="113" w:type="dxa"/>
              <w:left w:w="113" w:type="dxa"/>
              <w:bottom w:w="113" w:type="dxa"/>
              <w:right w:w="113" w:type="dxa"/>
            </w:tcMar>
            <w:vAlign w:val="bottom"/>
          </w:tcPr>
          <w:p w14:paraId="2F4BAAE7" w14:textId="77777777" w:rsidR="005B35C8" w:rsidRPr="005B35C8" w:rsidRDefault="005B35C8" w:rsidP="005B35C8">
            <w:pPr>
              <w:pStyle w:val="CDITable-HeaderRowCentre"/>
              <w:rPr>
                <w:bCs/>
                <w:sz w:val="16"/>
              </w:rPr>
            </w:pPr>
            <w:r w:rsidRPr="005B35C8">
              <w:rPr>
                <w:bCs/>
                <w:sz w:val="16"/>
              </w:rPr>
              <w:t>n</w:t>
            </w:r>
          </w:p>
        </w:tc>
        <w:tc>
          <w:tcPr>
            <w:tcW w:w="623" w:type="dxa"/>
            <w:tcBorders>
              <w:top w:val="single" w:sz="6" w:space="0" w:color="FFFFFF" w:themeColor="background1"/>
            </w:tcBorders>
            <w:shd w:val="clear" w:color="auto" w:fill="1E4496" w:themeFill="text2"/>
            <w:tcMar>
              <w:top w:w="113" w:type="dxa"/>
              <w:left w:w="113" w:type="dxa"/>
              <w:bottom w:w="113" w:type="dxa"/>
              <w:right w:w="113" w:type="dxa"/>
            </w:tcMar>
            <w:vAlign w:val="bottom"/>
          </w:tcPr>
          <w:p w14:paraId="04E83903" w14:textId="77777777" w:rsidR="005B35C8" w:rsidRPr="005B35C8" w:rsidRDefault="005B35C8" w:rsidP="005B35C8">
            <w:pPr>
              <w:pStyle w:val="CDITable-HeaderRowCentre"/>
              <w:rPr>
                <w:bCs/>
                <w:sz w:val="16"/>
              </w:rPr>
            </w:pPr>
            <w:r w:rsidRPr="005B35C8">
              <w:rPr>
                <w:bCs/>
                <w:sz w:val="16"/>
              </w:rPr>
              <w:t>R%</w:t>
            </w:r>
          </w:p>
        </w:tc>
        <w:tc>
          <w:tcPr>
            <w:tcW w:w="992" w:type="dxa"/>
            <w:tcBorders>
              <w:top w:val="single" w:sz="6" w:space="0" w:color="FFFFFF" w:themeColor="background1"/>
            </w:tcBorders>
            <w:shd w:val="clear" w:color="auto" w:fill="1E4496" w:themeFill="text2"/>
            <w:tcMar>
              <w:top w:w="113" w:type="dxa"/>
              <w:left w:w="113" w:type="dxa"/>
              <w:bottom w:w="113" w:type="dxa"/>
              <w:right w:w="113" w:type="dxa"/>
            </w:tcMar>
            <w:vAlign w:val="bottom"/>
          </w:tcPr>
          <w:p w14:paraId="5BDFDA71" w14:textId="77777777" w:rsidR="005B35C8" w:rsidRPr="005B35C8" w:rsidRDefault="005B35C8" w:rsidP="005B35C8">
            <w:pPr>
              <w:pStyle w:val="CDITable-HeaderRowCentre"/>
              <w:rPr>
                <w:bCs/>
                <w:sz w:val="16"/>
              </w:rPr>
            </w:pPr>
            <w:r w:rsidRPr="005B35C8">
              <w:rPr>
                <w:bCs/>
                <w:sz w:val="16"/>
              </w:rPr>
              <w:t>95% CI</w:t>
            </w:r>
          </w:p>
        </w:tc>
      </w:tr>
      <w:tr w:rsidR="005B35C8" w:rsidRPr="005B35C8" w14:paraId="49C16CAD" w14:textId="77777777" w:rsidTr="005B35C8">
        <w:trPr>
          <w:trHeight w:val="60"/>
        </w:trPr>
        <w:tc>
          <w:tcPr>
            <w:tcW w:w="1417" w:type="dxa"/>
            <w:tcBorders>
              <w:bottom w:val="single" w:sz="6" w:space="0" w:color="1E4496" w:themeColor="text2"/>
            </w:tcBorders>
            <w:shd w:val="clear" w:color="auto" w:fill="DCF4FC" w:themeFill="background2" w:themeFillTint="33"/>
            <w:tcMar>
              <w:top w:w="102" w:type="dxa"/>
              <w:left w:w="113" w:type="dxa"/>
              <w:bottom w:w="102" w:type="dxa"/>
              <w:right w:w="113" w:type="dxa"/>
            </w:tcMar>
            <w:vAlign w:val="center"/>
          </w:tcPr>
          <w:p w14:paraId="6DC0CA5C" w14:textId="77777777" w:rsidR="005B35C8" w:rsidRPr="005B35C8" w:rsidRDefault="005B35C8" w:rsidP="005B35C8">
            <w:pPr>
              <w:pStyle w:val="CDITable-RowLeft"/>
              <w:rPr>
                <w:sz w:val="16"/>
              </w:rPr>
            </w:pPr>
            <w:r w:rsidRPr="005B35C8">
              <w:rPr>
                <w:sz w:val="16"/>
              </w:rPr>
              <w:t>Overall</w:t>
            </w:r>
          </w:p>
        </w:tc>
        <w:tc>
          <w:tcPr>
            <w:tcW w:w="1474" w:type="dxa"/>
            <w:tcBorders>
              <w:bottom w:val="single" w:sz="6" w:space="0" w:color="1E4496" w:themeColor="text2"/>
            </w:tcBorders>
            <w:tcMar>
              <w:top w:w="102" w:type="dxa"/>
              <w:left w:w="113" w:type="dxa"/>
              <w:bottom w:w="102" w:type="dxa"/>
              <w:right w:w="113" w:type="dxa"/>
            </w:tcMar>
            <w:vAlign w:val="center"/>
          </w:tcPr>
          <w:p w14:paraId="18201A65" w14:textId="77777777" w:rsidR="005B35C8" w:rsidRPr="005B35C8" w:rsidRDefault="005B35C8" w:rsidP="005B35C8">
            <w:pPr>
              <w:pStyle w:val="CDITable-RowLeft"/>
              <w:rPr>
                <w:sz w:val="16"/>
              </w:rPr>
            </w:pPr>
            <w:r w:rsidRPr="005B35C8">
              <w:rPr>
                <w:sz w:val="16"/>
              </w:rPr>
              <w:t>—</w:t>
            </w:r>
          </w:p>
        </w:tc>
        <w:tc>
          <w:tcPr>
            <w:tcW w:w="624" w:type="dxa"/>
            <w:tcBorders>
              <w:bottom w:val="single" w:sz="6" w:space="0" w:color="1E4496" w:themeColor="text2"/>
            </w:tcBorders>
            <w:tcMar>
              <w:top w:w="102" w:type="dxa"/>
              <w:left w:w="113" w:type="dxa"/>
              <w:bottom w:w="102" w:type="dxa"/>
              <w:right w:w="113" w:type="dxa"/>
            </w:tcMar>
            <w:vAlign w:val="center"/>
          </w:tcPr>
          <w:p w14:paraId="22A1489E" w14:textId="77777777" w:rsidR="005B35C8" w:rsidRPr="005B35C8" w:rsidRDefault="005B35C8" w:rsidP="005B35C8">
            <w:pPr>
              <w:pStyle w:val="CDITable-RowCentre"/>
              <w:rPr>
                <w:sz w:val="16"/>
              </w:rPr>
            </w:pPr>
            <w:r w:rsidRPr="005B35C8">
              <w:rPr>
                <w:sz w:val="16"/>
              </w:rPr>
              <w:t>927</w:t>
            </w:r>
          </w:p>
        </w:tc>
        <w:tc>
          <w:tcPr>
            <w:tcW w:w="624" w:type="dxa"/>
            <w:tcBorders>
              <w:bottom w:val="single" w:sz="6" w:space="0" w:color="1E4496" w:themeColor="text2"/>
            </w:tcBorders>
            <w:tcMar>
              <w:top w:w="102" w:type="dxa"/>
              <w:left w:w="113" w:type="dxa"/>
              <w:bottom w:w="102" w:type="dxa"/>
              <w:right w:w="113" w:type="dxa"/>
            </w:tcMar>
            <w:vAlign w:val="center"/>
          </w:tcPr>
          <w:p w14:paraId="206BAA85" w14:textId="77777777" w:rsidR="005B35C8" w:rsidRPr="005B35C8" w:rsidRDefault="005B35C8" w:rsidP="005B35C8">
            <w:pPr>
              <w:pStyle w:val="CDITable-RowCentre"/>
              <w:rPr>
                <w:sz w:val="16"/>
              </w:rPr>
            </w:pPr>
            <w:r w:rsidRPr="005B35C8">
              <w:rPr>
                <w:sz w:val="16"/>
              </w:rPr>
              <w:t>88</w:t>
            </w:r>
          </w:p>
        </w:tc>
        <w:tc>
          <w:tcPr>
            <w:tcW w:w="623" w:type="dxa"/>
            <w:tcBorders>
              <w:bottom w:val="single" w:sz="6" w:space="0" w:color="1E4496" w:themeColor="text2"/>
            </w:tcBorders>
            <w:tcMar>
              <w:top w:w="102" w:type="dxa"/>
              <w:left w:w="113" w:type="dxa"/>
              <w:bottom w:w="102" w:type="dxa"/>
              <w:right w:w="113" w:type="dxa"/>
            </w:tcMar>
            <w:vAlign w:val="center"/>
          </w:tcPr>
          <w:p w14:paraId="5D7970FA" w14:textId="77777777" w:rsidR="005B35C8" w:rsidRPr="005B35C8" w:rsidRDefault="005B35C8" w:rsidP="005B35C8">
            <w:pPr>
              <w:pStyle w:val="CDITable-RowCentre"/>
              <w:rPr>
                <w:sz w:val="16"/>
              </w:rPr>
            </w:pPr>
            <w:r w:rsidRPr="005B35C8">
              <w:rPr>
                <w:sz w:val="16"/>
              </w:rPr>
              <w:t>9.5</w:t>
            </w:r>
          </w:p>
        </w:tc>
        <w:tc>
          <w:tcPr>
            <w:tcW w:w="992" w:type="dxa"/>
            <w:tcBorders>
              <w:bottom w:val="single" w:sz="6" w:space="0" w:color="1E4496" w:themeColor="text2"/>
              <w:right w:val="single" w:sz="6" w:space="0" w:color="1E4496" w:themeColor="text2"/>
            </w:tcBorders>
            <w:tcMar>
              <w:top w:w="102" w:type="dxa"/>
              <w:left w:w="113" w:type="dxa"/>
              <w:bottom w:w="102" w:type="dxa"/>
              <w:right w:w="113" w:type="dxa"/>
            </w:tcMar>
            <w:vAlign w:val="center"/>
          </w:tcPr>
          <w:p w14:paraId="16F01DA9" w14:textId="77777777" w:rsidR="005B35C8" w:rsidRPr="005B35C8" w:rsidRDefault="005B35C8" w:rsidP="005B35C8">
            <w:pPr>
              <w:pStyle w:val="CDITable-RowCentre"/>
              <w:rPr>
                <w:sz w:val="16"/>
              </w:rPr>
            </w:pPr>
            <w:r w:rsidRPr="005B35C8">
              <w:rPr>
                <w:sz w:val="16"/>
              </w:rPr>
              <w:t>7.7–11.6</w:t>
            </w:r>
          </w:p>
        </w:tc>
        <w:tc>
          <w:tcPr>
            <w:tcW w:w="624" w:type="dxa"/>
            <w:tcBorders>
              <w:left w:val="single" w:sz="6" w:space="0" w:color="1E4496" w:themeColor="text2"/>
              <w:bottom w:val="single" w:sz="6" w:space="0" w:color="1E4496" w:themeColor="text2"/>
            </w:tcBorders>
            <w:tcMar>
              <w:top w:w="102" w:type="dxa"/>
              <w:left w:w="113" w:type="dxa"/>
              <w:bottom w:w="102" w:type="dxa"/>
              <w:right w:w="113" w:type="dxa"/>
            </w:tcMar>
            <w:vAlign w:val="center"/>
          </w:tcPr>
          <w:p w14:paraId="14AE9305" w14:textId="77777777" w:rsidR="005B35C8" w:rsidRPr="005B35C8" w:rsidRDefault="005B35C8" w:rsidP="005B35C8">
            <w:pPr>
              <w:pStyle w:val="CDITable-RowCentre"/>
              <w:rPr>
                <w:sz w:val="16"/>
              </w:rPr>
            </w:pPr>
            <w:r w:rsidRPr="005B35C8">
              <w:rPr>
                <w:sz w:val="16"/>
              </w:rPr>
              <w:t>927</w:t>
            </w:r>
          </w:p>
        </w:tc>
        <w:tc>
          <w:tcPr>
            <w:tcW w:w="624" w:type="dxa"/>
            <w:tcBorders>
              <w:bottom w:val="single" w:sz="6" w:space="0" w:color="1E4496" w:themeColor="text2"/>
            </w:tcBorders>
            <w:tcMar>
              <w:top w:w="102" w:type="dxa"/>
              <w:left w:w="113" w:type="dxa"/>
              <w:bottom w:w="102" w:type="dxa"/>
              <w:right w:w="113" w:type="dxa"/>
            </w:tcMar>
            <w:vAlign w:val="center"/>
          </w:tcPr>
          <w:p w14:paraId="084AEA41" w14:textId="77777777" w:rsidR="005B35C8" w:rsidRPr="005B35C8" w:rsidRDefault="005B35C8" w:rsidP="005B35C8">
            <w:pPr>
              <w:pStyle w:val="CDITable-RowCentre"/>
              <w:rPr>
                <w:sz w:val="16"/>
              </w:rPr>
            </w:pPr>
            <w:r w:rsidRPr="005B35C8">
              <w:rPr>
                <w:sz w:val="16"/>
              </w:rPr>
              <w:t>130</w:t>
            </w:r>
          </w:p>
        </w:tc>
        <w:tc>
          <w:tcPr>
            <w:tcW w:w="623" w:type="dxa"/>
            <w:tcBorders>
              <w:bottom w:val="single" w:sz="6" w:space="0" w:color="1E4496" w:themeColor="text2"/>
            </w:tcBorders>
            <w:tcMar>
              <w:top w:w="102" w:type="dxa"/>
              <w:left w:w="113" w:type="dxa"/>
              <w:bottom w:w="102" w:type="dxa"/>
              <w:right w:w="113" w:type="dxa"/>
            </w:tcMar>
            <w:vAlign w:val="center"/>
          </w:tcPr>
          <w:p w14:paraId="3D09855F" w14:textId="77777777" w:rsidR="005B35C8" w:rsidRPr="005B35C8" w:rsidRDefault="005B35C8" w:rsidP="005B35C8">
            <w:pPr>
              <w:pStyle w:val="CDITable-RowCentre"/>
              <w:rPr>
                <w:sz w:val="16"/>
              </w:rPr>
            </w:pPr>
            <w:r w:rsidRPr="005B35C8">
              <w:rPr>
                <w:sz w:val="16"/>
              </w:rPr>
              <w:t>14.0</w:t>
            </w:r>
          </w:p>
        </w:tc>
        <w:tc>
          <w:tcPr>
            <w:tcW w:w="992" w:type="dxa"/>
            <w:tcBorders>
              <w:bottom w:val="single" w:sz="6" w:space="0" w:color="1E4496" w:themeColor="text2"/>
              <w:right w:val="single" w:sz="6" w:space="0" w:color="1E4496" w:themeColor="text2"/>
            </w:tcBorders>
            <w:tcMar>
              <w:top w:w="102" w:type="dxa"/>
              <w:left w:w="113" w:type="dxa"/>
              <w:bottom w:w="102" w:type="dxa"/>
              <w:right w:w="113" w:type="dxa"/>
            </w:tcMar>
            <w:vAlign w:val="center"/>
          </w:tcPr>
          <w:p w14:paraId="314E6B79" w14:textId="77777777" w:rsidR="005B35C8" w:rsidRPr="005B35C8" w:rsidRDefault="005B35C8" w:rsidP="005B35C8">
            <w:pPr>
              <w:pStyle w:val="CDITable-RowCentre"/>
              <w:rPr>
                <w:sz w:val="16"/>
              </w:rPr>
            </w:pPr>
            <w:r w:rsidRPr="005B35C8">
              <w:rPr>
                <w:sz w:val="16"/>
              </w:rPr>
              <w:t>11.9–16.4</w:t>
            </w:r>
          </w:p>
        </w:tc>
        <w:tc>
          <w:tcPr>
            <w:tcW w:w="624" w:type="dxa"/>
            <w:tcBorders>
              <w:left w:val="single" w:sz="6" w:space="0" w:color="1E4496" w:themeColor="text2"/>
              <w:bottom w:val="single" w:sz="6" w:space="0" w:color="1E4496" w:themeColor="text2"/>
            </w:tcBorders>
            <w:tcMar>
              <w:top w:w="102" w:type="dxa"/>
              <w:left w:w="113" w:type="dxa"/>
              <w:bottom w:w="102" w:type="dxa"/>
              <w:right w:w="113" w:type="dxa"/>
            </w:tcMar>
            <w:vAlign w:val="center"/>
          </w:tcPr>
          <w:p w14:paraId="287DD242" w14:textId="77777777" w:rsidR="005B35C8" w:rsidRPr="005B35C8" w:rsidRDefault="005B35C8" w:rsidP="005B35C8">
            <w:pPr>
              <w:pStyle w:val="CDITable-RowCentre"/>
              <w:rPr>
                <w:sz w:val="16"/>
              </w:rPr>
            </w:pPr>
            <w:r w:rsidRPr="005B35C8">
              <w:rPr>
                <w:sz w:val="16"/>
              </w:rPr>
              <w:t>917</w:t>
            </w:r>
          </w:p>
        </w:tc>
        <w:tc>
          <w:tcPr>
            <w:tcW w:w="624" w:type="dxa"/>
            <w:tcBorders>
              <w:bottom w:val="single" w:sz="6" w:space="0" w:color="1E4496" w:themeColor="text2"/>
            </w:tcBorders>
            <w:tcMar>
              <w:top w:w="102" w:type="dxa"/>
              <w:left w:w="113" w:type="dxa"/>
              <w:bottom w:w="102" w:type="dxa"/>
              <w:right w:w="113" w:type="dxa"/>
            </w:tcMar>
            <w:vAlign w:val="center"/>
          </w:tcPr>
          <w:p w14:paraId="7DF7E485" w14:textId="77777777" w:rsidR="005B35C8" w:rsidRPr="005B35C8" w:rsidRDefault="005B35C8" w:rsidP="005B35C8">
            <w:pPr>
              <w:pStyle w:val="CDITable-RowCentre"/>
              <w:rPr>
                <w:sz w:val="16"/>
              </w:rPr>
            </w:pPr>
            <w:r w:rsidRPr="005B35C8">
              <w:rPr>
                <w:sz w:val="16"/>
              </w:rPr>
              <w:t>82</w:t>
            </w:r>
          </w:p>
        </w:tc>
        <w:tc>
          <w:tcPr>
            <w:tcW w:w="623" w:type="dxa"/>
            <w:tcBorders>
              <w:bottom w:val="single" w:sz="6" w:space="0" w:color="1E4496" w:themeColor="text2"/>
            </w:tcBorders>
            <w:tcMar>
              <w:top w:w="102" w:type="dxa"/>
              <w:left w:w="113" w:type="dxa"/>
              <w:bottom w:w="102" w:type="dxa"/>
              <w:right w:w="113" w:type="dxa"/>
            </w:tcMar>
            <w:vAlign w:val="center"/>
          </w:tcPr>
          <w:p w14:paraId="2A06CB83" w14:textId="77777777" w:rsidR="005B35C8" w:rsidRPr="005B35C8" w:rsidRDefault="005B35C8" w:rsidP="005B35C8">
            <w:pPr>
              <w:pStyle w:val="CDITable-RowCentre"/>
              <w:rPr>
                <w:sz w:val="16"/>
              </w:rPr>
            </w:pPr>
            <w:r w:rsidRPr="005B35C8">
              <w:rPr>
                <w:sz w:val="16"/>
              </w:rPr>
              <w:t>8.9</w:t>
            </w:r>
          </w:p>
        </w:tc>
        <w:tc>
          <w:tcPr>
            <w:tcW w:w="992" w:type="dxa"/>
            <w:tcBorders>
              <w:bottom w:val="single" w:sz="6" w:space="0" w:color="1E4496" w:themeColor="text2"/>
              <w:right w:val="single" w:sz="6" w:space="0" w:color="1E4496" w:themeColor="text2"/>
            </w:tcBorders>
            <w:tcMar>
              <w:top w:w="102" w:type="dxa"/>
              <w:left w:w="113" w:type="dxa"/>
              <w:bottom w:w="102" w:type="dxa"/>
              <w:right w:w="113" w:type="dxa"/>
            </w:tcMar>
            <w:vAlign w:val="center"/>
          </w:tcPr>
          <w:p w14:paraId="61BA2A8B" w14:textId="77777777" w:rsidR="005B35C8" w:rsidRPr="005B35C8" w:rsidRDefault="005B35C8" w:rsidP="005B35C8">
            <w:pPr>
              <w:pStyle w:val="CDITable-RowCentre"/>
              <w:rPr>
                <w:sz w:val="16"/>
              </w:rPr>
            </w:pPr>
            <w:r w:rsidRPr="005B35C8">
              <w:rPr>
                <w:sz w:val="16"/>
              </w:rPr>
              <w:t>7.2–11.0</w:t>
            </w:r>
          </w:p>
        </w:tc>
        <w:tc>
          <w:tcPr>
            <w:tcW w:w="624" w:type="dxa"/>
            <w:tcBorders>
              <w:left w:val="single" w:sz="6" w:space="0" w:color="1E4496" w:themeColor="text2"/>
              <w:bottom w:val="single" w:sz="6" w:space="0" w:color="1E4496" w:themeColor="text2"/>
            </w:tcBorders>
            <w:tcMar>
              <w:top w:w="102" w:type="dxa"/>
              <w:left w:w="113" w:type="dxa"/>
              <w:bottom w:w="102" w:type="dxa"/>
              <w:right w:w="113" w:type="dxa"/>
            </w:tcMar>
            <w:vAlign w:val="center"/>
          </w:tcPr>
          <w:p w14:paraId="3DFEFB0D" w14:textId="77777777" w:rsidR="005B35C8" w:rsidRPr="005B35C8" w:rsidRDefault="005B35C8" w:rsidP="005B35C8">
            <w:pPr>
              <w:pStyle w:val="CDITable-RowCentre"/>
              <w:rPr>
                <w:sz w:val="16"/>
              </w:rPr>
            </w:pPr>
            <w:r w:rsidRPr="005B35C8">
              <w:rPr>
                <w:sz w:val="16"/>
              </w:rPr>
              <w:t>927</w:t>
            </w:r>
          </w:p>
        </w:tc>
        <w:tc>
          <w:tcPr>
            <w:tcW w:w="624" w:type="dxa"/>
            <w:tcBorders>
              <w:bottom w:val="single" w:sz="6" w:space="0" w:color="1E4496" w:themeColor="text2"/>
            </w:tcBorders>
            <w:tcMar>
              <w:top w:w="102" w:type="dxa"/>
              <w:left w:w="113" w:type="dxa"/>
              <w:bottom w:w="102" w:type="dxa"/>
              <w:right w:w="113" w:type="dxa"/>
            </w:tcMar>
            <w:vAlign w:val="center"/>
          </w:tcPr>
          <w:p w14:paraId="79F1F26B" w14:textId="77777777" w:rsidR="005B35C8" w:rsidRPr="005B35C8" w:rsidRDefault="005B35C8" w:rsidP="005B35C8">
            <w:pPr>
              <w:pStyle w:val="CDITable-RowCentre"/>
              <w:rPr>
                <w:sz w:val="16"/>
              </w:rPr>
            </w:pPr>
            <w:r w:rsidRPr="005B35C8">
              <w:rPr>
                <w:sz w:val="16"/>
              </w:rPr>
              <w:t>166</w:t>
            </w:r>
          </w:p>
        </w:tc>
        <w:tc>
          <w:tcPr>
            <w:tcW w:w="623" w:type="dxa"/>
            <w:tcBorders>
              <w:bottom w:val="single" w:sz="6" w:space="0" w:color="1E4496" w:themeColor="text2"/>
            </w:tcBorders>
            <w:tcMar>
              <w:top w:w="102" w:type="dxa"/>
              <w:left w:w="113" w:type="dxa"/>
              <w:bottom w:w="102" w:type="dxa"/>
              <w:right w:w="113" w:type="dxa"/>
            </w:tcMar>
            <w:vAlign w:val="center"/>
          </w:tcPr>
          <w:p w14:paraId="51EDE4C3" w14:textId="77777777" w:rsidR="005B35C8" w:rsidRPr="005B35C8" w:rsidRDefault="005B35C8" w:rsidP="005B35C8">
            <w:pPr>
              <w:pStyle w:val="CDITable-RowCentre"/>
              <w:rPr>
                <w:sz w:val="16"/>
              </w:rPr>
            </w:pPr>
            <w:r w:rsidRPr="005B35C8">
              <w:rPr>
                <w:sz w:val="16"/>
              </w:rPr>
              <w:t>17.9</w:t>
            </w:r>
          </w:p>
        </w:tc>
        <w:tc>
          <w:tcPr>
            <w:tcW w:w="992" w:type="dxa"/>
            <w:tcBorders>
              <w:bottom w:val="single" w:sz="6" w:space="0" w:color="1E4496" w:themeColor="text2"/>
            </w:tcBorders>
            <w:tcMar>
              <w:top w:w="102" w:type="dxa"/>
              <w:left w:w="113" w:type="dxa"/>
              <w:bottom w:w="102" w:type="dxa"/>
              <w:right w:w="113" w:type="dxa"/>
            </w:tcMar>
            <w:vAlign w:val="center"/>
          </w:tcPr>
          <w:p w14:paraId="2E6DEA47" w14:textId="77777777" w:rsidR="005B35C8" w:rsidRPr="005B35C8" w:rsidRDefault="005B35C8" w:rsidP="005B35C8">
            <w:pPr>
              <w:pStyle w:val="CDITable-RowCentre"/>
              <w:rPr>
                <w:sz w:val="16"/>
              </w:rPr>
            </w:pPr>
            <w:r w:rsidRPr="005B35C8">
              <w:rPr>
                <w:sz w:val="16"/>
              </w:rPr>
              <w:t>15.5–20.6</w:t>
            </w:r>
          </w:p>
        </w:tc>
      </w:tr>
      <w:tr w:rsidR="005B35C8" w:rsidRPr="005B35C8" w14:paraId="1B90D3F3" w14:textId="77777777" w:rsidTr="005B35C8">
        <w:trPr>
          <w:trHeight w:val="60"/>
        </w:trPr>
        <w:tc>
          <w:tcPr>
            <w:tcW w:w="1417" w:type="dxa"/>
            <w:vMerge w:val="restart"/>
            <w:tcBorders>
              <w:top w:val="single" w:sz="6" w:space="0" w:color="1E4496" w:themeColor="text2"/>
              <w:bottom w:val="single" w:sz="6" w:space="0" w:color="1E4496" w:themeColor="text2"/>
            </w:tcBorders>
            <w:shd w:val="clear" w:color="auto" w:fill="DCF4FC" w:themeFill="background2" w:themeFillTint="33"/>
            <w:tcMar>
              <w:top w:w="102" w:type="dxa"/>
              <w:left w:w="113" w:type="dxa"/>
              <w:bottom w:w="102" w:type="dxa"/>
              <w:right w:w="113" w:type="dxa"/>
            </w:tcMar>
            <w:vAlign w:val="center"/>
          </w:tcPr>
          <w:p w14:paraId="1C72FC3F" w14:textId="77777777" w:rsidR="005B35C8" w:rsidRPr="005B35C8" w:rsidRDefault="005B35C8" w:rsidP="005B35C8">
            <w:pPr>
              <w:pStyle w:val="CDITable-RowLeft"/>
              <w:rPr>
                <w:sz w:val="16"/>
              </w:rPr>
            </w:pPr>
            <w:proofErr w:type="spellStart"/>
            <w:r w:rsidRPr="005B35C8">
              <w:rPr>
                <w:sz w:val="16"/>
              </w:rPr>
              <w:t>Jurisdiction</w:t>
            </w:r>
            <w:r w:rsidRPr="005B35C8">
              <w:rPr>
                <w:sz w:val="16"/>
                <w:vertAlign w:val="superscript"/>
              </w:rPr>
              <w:t>b</w:t>
            </w:r>
            <w:proofErr w:type="spellEnd"/>
          </w:p>
        </w:tc>
        <w:tc>
          <w:tcPr>
            <w:tcW w:w="1474"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0243B6BC" w14:textId="77777777" w:rsidR="005B35C8" w:rsidRPr="005B35C8" w:rsidRDefault="005B35C8" w:rsidP="005B35C8">
            <w:pPr>
              <w:pStyle w:val="CDITable-RowLeft"/>
              <w:rPr>
                <w:sz w:val="16"/>
              </w:rPr>
            </w:pPr>
            <w:r w:rsidRPr="005B35C8">
              <w:rPr>
                <w:sz w:val="16"/>
              </w:rPr>
              <w:t>ACT</w:t>
            </w:r>
          </w:p>
        </w:tc>
        <w:tc>
          <w:tcPr>
            <w:tcW w:w="624"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7AC60676" w14:textId="77777777" w:rsidR="005B35C8" w:rsidRPr="005B35C8" w:rsidRDefault="005B35C8" w:rsidP="005B35C8">
            <w:pPr>
              <w:pStyle w:val="CDITable-RowCentre"/>
              <w:rPr>
                <w:sz w:val="16"/>
              </w:rPr>
            </w:pPr>
            <w:r w:rsidRPr="005B35C8">
              <w:rPr>
                <w:sz w:val="16"/>
              </w:rPr>
              <w:t>32</w:t>
            </w:r>
          </w:p>
        </w:tc>
        <w:tc>
          <w:tcPr>
            <w:tcW w:w="624"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19F2D79B" w14:textId="77777777" w:rsidR="005B35C8" w:rsidRPr="005B35C8" w:rsidRDefault="005B35C8" w:rsidP="005B35C8">
            <w:pPr>
              <w:pStyle w:val="CDITable-RowCentre"/>
              <w:rPr>
                <w:sz w:val="16"/>
              </w:rPr>
            </w:pPr>
            <w:r w:rsidRPr="005B35C8">
              <w:rPr>
                <w:sz w:val="16"/>
              </w:rPr>
              <w:t>3</w:t>
            </w:r>
          </w:p>
        </w:tc>
        <w:tc>
          <w:tcPr>
            <w:tcW w:w="623"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14460DBC" w14:textId="77777777" w:rsidR="005B35C8" w:rsidRPr="005B35C8" w:rsidRDefault="005B35C8" w:rsidP="005B35C8">
            <w:pPr>
              <w:pStyle w:val="CDITable-RowCentre"/>
              <w:rPr>
                <w:sz w:val="16"/>
              </w:rPr>
            </w:pPr>
            <w:r w:rsidRPr="005B35C8">
              <w:rPr>
                <w:sz w:val="16"/>
              </w:rPr>
              <w:t>9.4</w:t>
            </w:r>
          </w:p>
        </w:tc>
        <w:tc>
          <w:tcPr>
            <w:tcW w:w="992" w:type="dxa"/>
            <w:tcBorders>
              <w:top w:val="single" w:sz="6" w:space="0" w:color="1E4496" w:themeColor="text2"/>
              <w:bottom w:val="single" w:sz="6" w:space="0" w:color="1E4496" w:themeColor="text2"/>
              <w:right w:val="single" w:sz="6" w:space="0" w:color="1E4496" w:themeColor="text2"/>
            </w:tcBorders>
            <w:tcMar>
              <w:top w:w="102" w:type="dxa"/>
              <w:left w:w="113" w:type="dxa"/>
              <w:bottom w:w="102" w:type="dxa"/>
              <w:right w:w="113" w:type="dxa"/>
            </w:tcMar>
            <w:vAlign w:val="center"/>
          </w:tcPr>
          <w:p w14:paraId="5E899028" w14:textId="77777777" w:rsidR="005B35C8" w:rsidRPr="005B35C8" w:rsidRDefault="005B35C8" w:rsidP="005B35C8">
            <w:pPr>
              <w:pStyle w:val="CDITable-RowCentre"/>
              <w:rPr>
                <w:sz w:val="16"/>
              </w:rPr>
            </w:pPr>
            <w:r w:rsidRPr="005B35C8">
              <w:rPr>
                <w:sz w:val="16"/>
              </w:rPr>
              <w:t>2.0–25.0</w:t>
            </w:r>
          </w:p>
        </w:tc>
        <w:tc>
          <w:tcPr>
            <w:tcW w:w="624" w:type="dxa"/>
            <w:tcBorders>
              <w:top w:val="single" w:sz="6" w:space="0" w:color="1E4496" w:themeColor="text2"/>
              <w:left w:val="single" w:sz="6" w:space="0" w:color="1E4496" w:themeColor="text2"/>
              <w:bottom w:val="single" w:sz="6" w:space="0" w:color="1E4496" w:themeColor="text2"/>
            </w:tcBorders>
            <w:tcMar>
              <w:top w:w="102" w:type="dxa"/>
              <w:left w:w="113" w:type="dxa"/>
              <w:bottom w:w="102" w:type="dxa"/>
              <w:right w:w="113" w:type="dxa"/>
            </w:tcMar>
            <w:vAlign w:val="center"/>
          </w:tcPr>
          <w:p w14:paraId="5E6C2479" w14:textId="77777777" w:rsidR="005B35C8" w:rsidRPr="005B35C8" w:rsidRDefault="005B35C8" w:rsidP="005B35C8">
            <w:pPr>
              <w:pStyle w:val="CDITable-RowCentre"/>
              <w:rPr>
                <w:sz w:val="16"/>
              </w:rPr>
            </w:pPr>
            <w:r w:rsidRPr="005B35C8">
              <w:rPr>
                <w:sz w:val="16"/>
              </w:rPr>
              <w:t>32</w:t>
            </w:r>
          </w:p>
        </w:tc>
        <w:tc>
          <w:tcPr>
            <w:tcW w:w="624"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75C01CE8" w14:textId="77777777" w:rsidR="005B35C8" w:rsidRPr="005B35C8" w:rsidRDefault="005B35C8" w:rsidP="005B35C8">
            <w:pPr>
              <w:pStyle w:val="CDITable-RowCentre"/>
              <w:rPr>
                <w:sz w:val="16"/>
              </w:rPr>
            </w:pPr>
            <w:r w:rsidRPr="005B35C8">
              <w:rPr>
                <w:sz w:val="16"/>
              </w:rPr>
              <w:t>6</w:t>
            </w:r>
          </w:p>
        </w:tc>
        <w:tc>
          <w:tcPr>
            <w:tcW w:w="623"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6621E026" w14:textId="77777777" w:rsidR="005B35C8" w:rsidRPr="005B35C8" w:rsidRDefault="005B35C8" w:rsidP="005B35C8">
            <w:pPr>
              <w:pStyle w:val="CDITable-RowCentre"/>
              <w:rPr>
                <w:sz w:val="16"/>
              </w:rPr>
            </w:pPr>
            <w:r w:rsidRPr="005B35C8">
              <w:rPr>
                <w:sz w:val="16"/>
              </w:rPr>
              <w:t>18.8</w:t>
            </w:r>
          </w:p>
        </w:tc>
        <w:tc>
          <w:tcPr>
            <w:tcW w:w="992" w:type="dxa"/>
            <w:tcBorders>
              <w:top w:val="single" w:sz="6" w:space="0" w:color="1E4496" w:themeColor="text2"/>
              <w:bottom w:val="single" w:sz="6" w:space="0" w:color="1E4496" w:themeColor="text2"/>
              <w:right w:val="single" w:sz="6" w:space="0" w:color="1E4496" w:themeColor="text2"/>
            </w:tcBorders>
            <w:tcMar>
              <w:top w:w="102" w:type="dxa"/>
              <w:left w:w="113" w:type="dxa"/>
              <w:bottom w:w="102" w:type="dxa"/>
              <w:right w:w="113" w:type="dxa"/>
            </w:tcMar>
            <w:vAlign w:val="center"/>
          </w:tcPr>
          <w:p w14:paraId="3CA0F2FD" w14:textId="77777777" w:rsidR="005B35C8" w:rsidRPr="005B35C8" w:rsidRDefault="005B35C8" w:rsidP="005B35C8">
            <w:pPr>
              <w:pStyle w:val="CDITable-RowCentre"/>
              <w:rPr>
                <w:sz w:val="16"/>
              </w:rPr>
            </w:pPr>
            <w:r w:rsidRPr="005B35C8">
              <w:rPr>
                <w:sz w:val="16"/>
              </w:rPr>
              <w:t>7.2–36.4</w:t>
            </w:r>
          </w:p>
        </w:tc>
        <w:tc>
          <w:tcPr>
            <w:tcW w:w="624" w:type="dxa"/>
            <w:tcBorders>
              <w:top w:val="single" w:sz="6" w:space="0" w:color="1E4496" w:themeColor="text2"/>
              <w:left w:val="single" w:sz="6" w:space="0" w:color="1E4496" w:themeColor="text2"/>
              <w:bottom w:val="single" w:sz="6" w:space="0" w:color="1E4496" w:themeColor="text2"/>
            </w:tcBorders>
            <w:tcMar>
              <w:top w:w="102" w:type="dxa"/>
              <w:left w:w="113" w:type="dxa"/>
              <w:bottom w:w="102" w:type="dxa"/>
              <w:right w:w="113" w:type="dxa"/>
            </w:tcMar>
            <w:vAlign w:val="center"/>
          </w:tcPr>
          <w:p w14:paraId="05969DF1" w14:textId="77777777" w:rsidR="005B35C8" w:rsidRPr="005B35C8" w:rsidRDefault="005B35C8" w:rsidP="005B35C8">
            <w:pPr>
              <w:pStyle w:val="CDITable-RowCentre"/>
              <w:rPr>
                <w:sz w:val="16"/>
              </w:rPr>
            </w:pPr>
            <w:r w:rsidRPr="005B35C8">
              <w:rPr>
                <w:sz w:val="16"/>
              </w:rPr>
              <w:t>32</w:t>
            </w:r>
          </w:p>
        </w:tc>
        <w:tc>
          <w:tcPr>
            <w:tcW w:w="624"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7E35EBB5" w14:textId="77777777" w:rsidR="005B35C8" w:rsidRPr="005B35C8" w:rsidRDefault="005B35C8" w:rsidP="005B35C8">
            <w:pPr>
              <w:pStyle w:val="CDITable-RowCentre"/>
              <w:rPr>
                <w:sz w:val="16"/>
              </w:rPr>
            </w:pPr>
            <w:r w:rsidRPr="005B35C8">
              <w:rPr>
                <w:sz w:val="16"/>
              </w:rPr>
              <w:t>3</w:t>
            </w:r>
          </w:p>
        </w:tc>
        <w:tc>
          <w:tcPr>
            <w:tcW w:w="623"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75A071B1" w14:textId="77777777" w:rsidR="005B35C8" w:rsidRPr="005B35C8" w:rsidRDefault="005B35C8" w:rsidP="005B35C8">
            <w:pPr>
              <w:pStyle w:val="CDITable-RowCentre"/>
              <w:rPr>
                <w:sz w:val="16"/>
              </w:rPr>
            </w:pPr>
            <w:r w:rsidRPr="005B35C8">
              <w:rPr>
                <w:sz w:val="16"/>
              </w:rPr>
              <w:t>9.4</w:t>
            </w:r>
          </w:p>
        </w:tc>
        <w:tc>
          <w:tcPr>
            <w:tcW w:w="992" w:type="dxa"/>
            <w:tcBorders>
              <w:top w:val="single" w:sz="6" w:space="0" w:color="1E4496" w:themeColor="text2"/>
              <w:bottom w:val="single" w:sz="6" w:space="0" w:color="1E4496" w:themeColor="text2"/>
              <w:right w:val="single" w:sz="6" w:space="0" w:color="1E4496" w:themeColor="text2"/>
            </w:tcBorders>
            <w:tcMar>
              <w:top w:w="102" w:type="dxa"/>
              <w:left w:w="113" w:type="dxa"/>
              <w:bottom w:w="102" w:type="dxa"/>
              <w:right w:w="113" w:type="dxa"/>
            </w:tcMar>
            <w:vAlign w:val="center"/>
          </w:tcPr>
          <w:p w14:paraId="273685B8" w14:textId="77777777" w:rsidR="005B35C8" w:rsidRPr="005B35C8" w:rsidRDefault="005B35C8" w:rsidP="005B35C8">
            <w:pPr>
              <w:pStyle w:val="CDITable-RowCentre"/>
              <w:rPr>
                <w:sz w:val="16"/>
              </w:rPr>
            </w:pPr>
            <w:r w:rsidRPr="005B35C8">
              <w:rPr>
                <w:sz w:val="16"/>
              </w:rPr>
              <w:t>2.0–25</w:t>
            </w:r>
          </w:p>
        </w:tc>
        <w:tc>
          <w:tcPr>
            <w:tcW w:w="624" w:type="dxa"/>
            <w:tcBorders>
              <w:top w:val="single" w:sz="6" w:space="0" w:color="1E4496" w:themeColor="text2"/>
              <w:left w:val="single" w:sz="6" w:space="0" w:color="1E4496" w:themeColor="text2"/>
              <w:bottom w:val="single" w:sz="6" w:space="0" w:color="1E4496" w:themeColor="text2"/>
            </w:tcBorders>
            <w:tcMar>
              <w:top w:w="102" w:type="dxa"/>
              <w:left w:w="113" w:type="dxa"/>
              <w:bottom w:w="102" w:type="dxa"/>
              <w:right w:w="113" w:type="dxa"/>
            </w:tcMar>
            <w:vAlign w:val="center"/>
          </w:tcPr>
          <w:p w14:paraId="71B4A567" w14:textId="77777777" w:rsidR="005B35C8" w:rsidRPr="005B35C8" w:rsidRDefault="005B35C8" w:rsidP="005B35C8">
            <w:pPr>
              <w:pStyle w:val="CDITable-RowCentre"/>
              <w:rPr>
                <w:sz w:val="16"/>
              </w:rPr>
            </w:pPr>
            <w:r w:rsidRPr="005B35C8">
              <w:rPr>
                <w:sz w:val="16"/>
              </w:rPr>
              <w:t>32</w:t>
            </w:r>
          </w:p>
        </w:tc>
        <w:tc>
          <w:tcPr>
            <w:tcW w:w="624"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3A3A5E26" w14:textId="77777777" w:rsidR="005B35C8" w:rsidRPr="005B35C8" w:rsidRDefault="005B35C8" w:rsidP="005B35C8">
            <w:pPr>
              <w:pStyle w:val="CDITable-RowCentre"/>
              <w:rPr>
                <w:sz w:val="16"/>
              </w:rPr>
            </w:pPr>
            <w:r w:rsidRPr="005B35C8">
              <w:rPr>
                <w:sz w:val="16"/>
              </w:rPr>
              <w:t>7</w:t>
            </w:r>
          </w:p>
        </w:tc>
        <w:tc>
          <w:tcPr>
            <w:tcW w:w="623"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6C3AA9D9" w14:textId="77777777" w:rsidR="005B35C8" w:rsidRPr="005B35C8" w:rsidRDefault="005B35C8" w:rsidP="005B35C8">
            <w:pPr>
              <w:pStyle w:val="CDITable-RowCentre"/>
              <w:rPr>
                <w:sz w:val="16"/>
              </w:rPr>
            </w:pPr>
            <w:r w:rsidRPr="005B35C8">
              <w:rPr>
                <w:sz w:val="16"/>
              </w:rPr>
              <w:t>21.9</w:t>
            </w:r>
          </w:p>
        </w:tc>
        <w:tc>
          <w:tcPr>
            <w:tcW w:w="992"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2192E611" w14:textId="77777777" w:rsidR="005B35C8" w:rsidRPr="005B35C8" w:rsidRDefault="005B35C8" w:rsidP="005B35C8">
            <w:pPr>
              <w:pStyle w:val="CDITable-RowCentre"/>
              <w:rPr>
                <w:sz w:val="16"/>
              </w:rPr>
            </w:pPr>
            <w:r w:rsidRPr="005B35C8">
              <w:rPr>
                <w:sz w:val="16"/>
              </w:rPr>
              <w:t>9.3–40.0</w:t>
            </w:r>
          </w:p>
        </w:tc>
      </w:tr>
      <w:tr w:rsidR="005B35C8" w:rsidRPr="005B35C8" w14:paraId="3E304CAE" w14:textId="77777777" w:rsidTr="005B35C8">
        <w:trPr>
          <w:trHeight w:val="60"/>
        </w:trPr>
        <w:tc>
          <w:tcPr>
            <w:tcW w:w="1417" w:type="dxa"/>
            <w:vMerge/>
            <w:tcBorders>
              <w:bottom w:val="single" w:sz="6" w:space="0" w:color="1E4496" w:themeColor="text2"/>
            </w:tcBorders>
            <w:shd w:val="clear" w:color="auto" w:fill="DCF4FC" w:themeFill="background2" w:themeFillTint="33"/>
            <w:tcMar>
              <w:top w:w="102" w:type="dxa"/>
              <w:bottom w:w="102" w:type="dxa"/>
            </w:tcMar>
          </w:tcPr>
          <w:p w14:paraId="1E1FC67B" w14:textId="77777777" w:rsidR="005B35C8" w:rsidRPr="005B35C8" w:rsidRDefault="005B35C8" w:rsidP="005B35C8"/>
        </w:tc>
        <w:tc>
          <w:tcPr>
            <w:tcW w:w="1474"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440E0ED0" w14:textId="77777777" w:rsidR="005B35C8" w:rsidRPr="005B35C8" w:rsidRDefault="005B35C8" w:rsidP="005B35C8">
            <w:pPr>
              <w:pStyle w:val="CDITable-RowLeft"/>
              <w:rPr>
                <w:sz w:val="16"/>
              </w:rPr>
            </w:pPr>
            <w:r w:rsidRPr="005B35C8">
              <w:rPr>
                <w:sz w:val="16"/>
              </w:rPr>
              <w:t>NSW</w:t>
            </w:r>
          </w:p>
        </w:tc>
        <w:tc>
          <w:tcPr>
            <w:tcW w:w="624"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6A5B08E4" w14:textId="77777777" w:rsidR="005B35C8" w:rsidRPr="005B35C8" w:rsidRDefault="005B35C8" w:rsidP="005B35C8">
            <w:pPr>
              <w:pStyle w:val="CDITable-RowCentre"/>
              <w:rPr>
                <w:sz w:val="16"/>
              </w:rPr>
            </w:pPr>
            <w:r w:rsidRPr="005B35C8">
              <w:rPr>
                <w:sz w:val="16"/>
              </w:rPr>
              <w:t>322</w:t>
            </w:r>
          </w:p>
        </w:tc>
        <w:tc>
          <w:tcPr>
            <w:tcW w:w="624"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41711009" w14:textId="77777777" w:rsidR="005B35C8" w:rsidRPr="005B35C8" w:rsidRDefault="005B35C8" w:rsidP="005B35C8">
            <w:pPr>
              <w:pStyle w:val="CDITable-RowCentre"/>
              <w:rPr>
                <w:sz w:val="16"/>
              </w:rPr>
            </w:pPr>
            <w:r w:rsidRPr="005B35C8">
              <w:rPr>
                <w:sz w:val="16"/>
              </w:rPr>
              <w:t>34</w:t>
            </w:r>
          </w:p>
        </w:tc>
        <w:tc>
          <w:tcPr>
            <w:tcW w:w="623"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2980F0C1" w14:textId="77777777" w:rsidR="005B35C8" w:rsidRPr="005B35C8" w:rsidRDefault="005B35C8" w:rsidP="005B35C8">
            <w:pPr>
              <w:pStyle w:val="CDITable-RowCentre"/>
              <w:rPr>
                <w:sz w:val="16"/>
              </w:rPr>
            </w:pPr>
            <w:r w:rsidRPr="005B35C8">
              <w:rPr>
                <w:sz w:val="16"/>
              </w:rPr>
              <w:t>10.6</w:t>
            </w:r>
          </w:p>
        </w:tc>
        <w:tc>
          <w:tcPr>
            <w:tcW w:w="992" w:type="dxa"/>
            <w:tcBorders>
              <w:top w:val="single" w:sz="6" w:space="0" w:color="1E4496" w:themeColor="text2"/>
              <w:bottom w:val="single" w:sz="6" w:space="0" w:color="1E4496" w:themeColor="text2"/>
              <w:right w:val="single" w:sz="6" w:space="0" w:color="1E4496" w:themeColor="text2"/>
            </w:tcBorders>
            <w:tcMar>
              <w:top w:w="102" w:type="dxa"/>
              <w:left w:w="113" w:type="dxa"/>
              <w:bottom w:w="102" w:type="dxa"/>
              <w:right w:w="113" w:type="dxa"/>
            </w:tcMar>
            <w:vAlign w:val="center"/>
          </w:tcPr>
          <w:p w14:paraId="52A0DA87" w14:textId="77777777" w:rsidR="005B35C8" w:rsidRPr="005B35C8" w:rsidRDefault="005B35C8" w:rsidP="005B35C8">
            <w:pPr>
              <w:pStyle w:val="CDITable-RowCentre"/>
              <w:rPr>
                <w:sz w:val="16"/>
              </w:rPr>
            </w:pPr>
            <w:r w:rsidRPr="005B35C8">
              <w:rPr>
                <w:sz w:val="16"/>
              </w:rPr>
              <w:t>7.4–14.4</w:t>
            </w:r>
          </w:p>
        </w:tc>
        <w:tc>
          <w:tcPr>
            <w:tcW w:w="624" w:type="dxa"/>
            <w:tcBorders>
              <w:top w:val="single" w:sz="6" w:space="0" w:color="1E4496" w:themeColor="text2"/>
              <w:left w:val="single" w:sz="6" w:space="0" w:color="1E4496" w:themeColor="text2"/>
              <w:bottom w:val="single" w:sz="6" w:space="0" w:color="1E4496" w:themeColor="text2"/>
            </w:tcBorders>
            <w:tcMar>
              <w:top w:w="102" w:type="dxa"/>
              <w:left w:w="113" w:type="dxa"/>
              <w:bottom w:w="102" w:type="dxa"/>
              <w:right w:w="113" w:type="dxa"/>
            </w:tcMar>
            <w:vAlign w:val="center"/>
          </w:tcPr>
          <w:p w14:paraId="7FEC52A4" w14:textId="77777777" w:rsidR="005B35C8" w:rsidRPr="005B35C8" w:rsidRDefault="005B35C8" w:rsidP="005B35C8">
            <w:pPr>
              <w:pStyle w:val="CDITable-RowCentre"/>
              <w:rPr>
                <w:sz w:val="16"/>
              </w:rPr>
            </w:pPr>
            <w:r w:rsidRPr="005B35C8">
              <w:rPr>
                <w:sz w:val="16"/>
              </w:rPr>
              <w:t>322</w:t>
            </w:r>
          </w:p>
        </w:tc>
        <w:tc>
          <w:tcPr>
            <w:tcW w:w="624"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282B6979" w14:textId="77777777" w:rsidR="005B35C8" w:rsidRPr="005B35C8" w:rsidRDefault="005B35C8" w:rsidP="005B35C8">
            <w:pPr>
              <w:pStyle w:val="CDITable-RowCentre"/>
              <w:rPr>
                <w:sz w:val="16"/>
              </w:rPr>
            </w:pPr>
            <w:r w:rsidRPr="005B35C8">
              <w:rPr>
                <w:sz w:val="16"/>
              </w:rPr>
              <w:t>62</w:t>
            </w:r>
          </w:p>
        </w:tc>
        <w:tc>
          <w:tcPr>
            <w:tcW w:w="623"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2479FF3B" w14:textId="77777777" w:rsidR="005B35C8" w:rsidRPr="005B35C8" w:rsidRDefault="005B35C8" w:rsidP="005B35C8">
            <w:pPr>
              <w:pStyle w:val="CDITable-RowCentre"/>
              <w:rPr>
                <w:sz w:val="16"/>
              </w:rPr>
            </w:pPr>
            <w:r w:rsidRPr="005B35C8">
              <w:rPr>
                <w:sz w:val="16"/>
              </w:rPr>
              <w:t>19.3</w:t>
            </w:r>
          </w:p>
        </w:tc>
        <w:tc>
          <w:tcPr>
            <w:tcW w:w="992" w:type="dxa"/>
            <w:tcBorders>
              <w:top w:val="single" w:sz="6" w:space="0" w:color="1E4496" w:themeColor="text2"/>
              <w:bottom w:val="single" w:sz="6" w:space="0" w:color="1E4496" w:themeColor="text2"/>
              <w:right w:val="single" w:sz="6" w:space="0" w:color="1E4496" w:themeColor="text2"/>
            </w:tcBorders>
            <w:tcMar>
              <w:top w:w="102" w:type="dxa"/>
              <w:left w:w="113" w:type="dxa"/>
              <w:bottom w:w="102" w:type="dxa"/>
              <w:right w:w="113" w:type="dxa"/>
            </w:tcMar>
            <w:vAlign w:val="center"/>
          </w:tcPr>
          <w:p w14:paraId="77413DB7" w14:textId="77777777" w:rsidR="005B35C8" w:rsidRPr="005B35C8" w:rsidRDefault="005B35C8" w:rsidP="005B35C8">
            <w:pPr>
              <w:pStyle w:val="CDITable-RowCentre"/>
              <w:rPr>
                <w:sz w:val="16"/>
              </w:rPr>
            </w:pPr>
            <w:r w:rsidRPr="005B35C8">
              <w:rPr>
                <w:sz w:val="16"/>
              </w:rPr>
              <w:t>15.1–24</w:t>
            </w:r>
          </w:p>
        </w:tc>
        <w:tc>
          <w:tcPr>
            <w:tcW w:w="624" w:type="dxa"/>
            <w:tcBorders>
              <w:top w:val="single" w:sz="6" w:space="0" w:color="1E4496" w:themeColor="text2"/>
              <w:left w:val="single" w:sz="6" w:space="0" w:color="1E4496" w:themeColor="text2"/>
              <w:bottom w:val="single" w:sz="6" w:space="0" w:color="1E4496" w:themeColor="text2"/>
            </w:tcBorders>
            <w:tcMar>
              <w:top w:w="102" w:type="dxa"/>
              <w:left w:w="113" w:type="dxa"/>
              <w:bottom w:w="102" w:type="dxa"/>
              <w:right w:w="113" w:type="dxa"/>
            </w:tcMar>
            <w:vAlign w:val="center"/>
          </w:tcPr>
          <w:p w14:paraId="1CE99A08" w14:textId="77777777" w:rsidR="005B35C8" w:rsidRPr="005B35C8" w:rsidRDefault="005B35C8" w:rsidP="005B35C8">
            <w:pPr>
              <w:pStyle w:val="CDITable-RowCentre"/>
              <w:rPr>
                <w:sz w:val="16"/>
              </w:rPr>
            </w:pPr>
            <w:r w:rsidRPr="005B35C8">
              <w:rPr>
                <w:sz w:val="16"/>
              </w:rPr>
              <w:t>321</w:t>
            </w:r>
          </w:p>
        </w:tc>
        <w:tc>
          <w:tcPr>
            <w:tcW w:w="624"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48C6E4D2" w14:textId="77777777" w:rsidR="005B35C8" w:rsidRPr="005B35C8" w:rsidRDefault="005B35C8" w:rsidP="005B35C8">
            <w:pPr>
              <w:pStyle w:val="CDITable-RowCentre"/>
              <w:rPr>
                <w:sz w:val="16"/>
              </w:rPr>
            </w:pPr>
            <w:r w:rsidRPr="005B35C8">
              <w:rPr>
                <w:sz w:val="16"/>
              </w:rPr>
              <w:t>42</w:t>
            </w:r>
          </w:p>
        </w:tc>
        <w:tc>
          <w:tcPr>
            <w:tcW w:w="623"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114523CF" w14:textId="77777777" w:rsidR="005B35C8" w:rsidRPr="005B35C8" w:rsidRDefault="005B35C8" w:rsidP="005B35C8">
            <w:pPr>
              <w:pStyle w:val="CDITable-RowCentre"/>
              <w:rPr>
                <w:sz w:val="16"/>
              </w:rPr>
            </w:pPr>
            <w:r w:rsidRPr="005B35C8">
              <w:rPr>
                <w:sz w:val="16"/>
              </w:rPr>
              <w:t>13.1</w:t>
            </w:r>
          </w:p>
        </w:tc>
        <w:tc>
          <w:tcPr>
            <w:tcW w:w="992" w:type="dxa"/>
            <w:tcBorders>
              <w:top w:val="single" w:sz="6" w:space="0" w:color="1E4496" w:themeColor="text2"/>
              <w:bottom w:val="single" w:sz="6" w:space="0" w:color="1E4496" w:themeColor="text2"/>
              <w:right w:val="single" w:sz="6" w:space="0" w:color="1E4496" w:themeColor="text2"/>
            </w:tcBorders>
            <w:tcMar>
              <w:top w:w="102" w:type="dxa"/>
              <w:left w:w="113" w:type="dxa"/>
              <w:bottom w:w="102" w:type="dxa"/>
              <w:right w:w="113" w:type="dxa"/>
            </w:tcMar>
            <w:vAlign w:val="center"/>
          </w:tcPr>
          <w:p w14:paraId="247B75AC" w14:textId="77777777" w:rsidR="005B35C8" w:rsidRPr="005B35C8" w:rsidRDefault="005B35C8" w:rsidP="005B35C8">
            <w:pPr>
              <w:pStyle w:val="CDITable-RowCentre"/>
              <w:rPr>
                <w:sz w:val="16"/>
              </w:rPr>
            </w:pPr>
            <w:r w:rsidRPr="005B35C8">
              <w:rPr>
                <w:sz w:val="16"/>
              </w:rPr>
              <w:t>9.6–17.3</w:t>
            </w:r>
          </w:p>
        </w:tc>
        <w:tc>
          <w:tcPr>
            <w:tcW w:w="624" w:type="dxa"/>
            <w:tcBorders>
              <w:top w:val="single" w:sz="6" w:space="0" w:color="1E4496" w:themeColor="text2"/>
              <w:left w:val="single" w:sz="6" w:space="0" w:color="1E4496" w:themeColor="text2"/>
              <w:bottom w:val="single" w:sz="6" w:space="0" w:color="1E4496" w:themeColor="text2"/>
            </w:tcBorders>
            <w:tcMar>
              <w:top w:w="102" w:type="dxa"/>
              <w:left w:w="113" w:type="dxa"/>
              <w:bottom w:w="102" w:type="dxa"/>
              <w:right w:w="113" w:type="dxa"/>
            </w:tcMar>
            <w:vAlign w:val="center"/>
          </w:tcPr>
          <w:p w14:paraId="2F5E072D" w14:textId="77777777" w:rsidR="005B35C8" w:rsidRPr="005B35C8" w:rsidRDefault="005B35C8" w:rsidP="005B35C8">
            <w:pPr>
              <w:pStyle w:val="CDITable-RowCentre"/>
              <w:rPr>
                <w:sz w:val="16"/>
              </w:rPr>
            </w:pPr>
            <w:r w:rsidRPr="005B35C8">
              <w:rPr>
                <w:sz w:val="16"/>
              </w:rPr>
              <w:t>321</w:t>
            </w:r>
          </w:p>
        </w:tc>
        <w:tc>
          <w:tcPr>
            <w:tcW w:w="624"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45460BF5" w14:textId="77777777" w:rsidR="005B35C8" w:rsidRPr="005B35C8" w:rsidRDefault="005B35C8" w:rsidP="005B35C8">
            <w:pPr>
              <w:pStyle w:val="CDITable-RowCentre"/>
              <w:rPr>
                <w:sz w:val="16"/>
              </w:rPr>
            </w:pPr>
            <w:r w:rsidRPr="005B35C8">
              <w:rPr>
                <w:sz w:val="16"/>
              </w:rPr>
              <w:t>52</w:t>
            </w:r>
          </w:p>
        </w:tc>
        <w:tc>
          <w:tcPr>
            <w:tcW w:w="623"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2B45A234" w14:textId="77777777" w:rsidR="005B35C8" w:rsidRPr="005B35C8" w:rsidRDefault="005B35C8" w:rsidP="005B35C8">
            <w:pPr>
              <w:pStyle w:val="CDITable-RowCentre"/>
              <w:rPr>
                <w:sz w:val="16"/>
              </w:rPr>
            </w:pPr>
            <w:r w:rsidRPr="005B35C8">
              <w:rPr>
                <w:sz w:val="16"/>
              </w:rPr>
              <w:t>16.2</w:t>
            </w:r>
          </w:p>
        </w:tc>
        <w:tc>
          <w:tcPr>
            <w:tcW w:w="992"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296C6375" w14:textId="77777777" w:rsidR="005B35C8" w:rsidRPr="005B35C8" w:rsidRDefault="005B35C8" w:rsidP="005B35C8">
            <w:pPr>
              <w:pStyle w:val="CDITable-RowCentre"/>
              <w:rPr>
                <w:sz w:val="16"/>
              </w:rPr>
            </w:pPr>
            <w:r w:rsidRPr="005B35C8">
              <w:rPr>
                <w:sz w:val="16"/>
              </w:rPr>
              <w:t>12.3–20.7</w:t>
            </w:r>
          </w:p>
        </w:tc>
      </w:tr>
      <w:tr w:rsidR="005B35C8" w:rsidRPr="005B35C8" w14:paraId="349BA9AD" w14:textId="77777777" w:rsidTr="005B35C8">
        <w:trPr>
          <w:trHeight w:val="60"/>
        </w:trPr>
        <w:tc>
          <w:tcPr>
            <w:tcW w:w="1417" w:type="dxa"/>
            <w:vMerge/>
            <w:tcBorders>
              <w:bottom w:val="single" w:sz="6" w:space="0" w:color="1E4496" w:themeColor="text2"/>
            </w:tcBorders>
            <w:shd w:val="clear" w:color="auto" w:fill="DCF4FC" w:themeFill="background2" w:themeFillTint="33"/>
            <w:tcMar>
              <w:top w:w="102" w:type="dxa"/>
              <w:bottom w:w="102" w:type="dxa"/>
            </w:tcMar>
          </w:tcPr>
          <w:p w14:paraId="5DFA8C7F" w14:textId="77777777" w:rsidR="005B35C8" w:rsidRPr="005B35C8" w:rsidRDefault="005B35C8" w:rsidP="005B35C8"/>
        </w:tc>
        <w:tc>
          <w:tcPr>
            <w:tcW w:w="1474"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6FECC371" w14:textId="77777777" w:rsidR="005B35C8" w:rsidRPr="005B35C8" w:rsidRDefault="005B35C8" w:rsidP="005B35C8">
            <w:pPr>
              <w:pStyle w:val="CDITable-RowLeft"/>
              <w:rPr>
                <w:sz w:val="16"/>
              </w:rPr>
            </w:pPr>
            <w:r w:rsidRPr="005B35C8">
              <w:rPr>
                <w:sz w:val="16"/>
              </w:rPr>
              <w:t>NT</w:t>
            </w:r>
          </w:p>
        </w:tc>
        <w:tc>
          <w:tcPr>
            <w:tcW w:w="624"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6912C80D" w14:textId="77777777" w:rsidR="005B35C8" w:rsidRPr="005B35C8" w:rsidRDefault="005B35C8" w:rsidP="005B35C8">
            <w:pPr>
              <w:pStyle w:val="CDITable-RowCentre"/>
              <w:rPr>
                <w:sz w:val="16"/>
              </w:rPr>
            </w:pPr>
            <w:r w:rsidRPr="005B35C8">
              <w:rPr>
                <w:sz w:val="16"/>
              </w:rPr>
              <w:t>31</w:t>
            </w:r>
          </w:p>
        </w:tc>
        <w:tc>
          <w:tcPr>
            <w:tcW w:w="624"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10917A42" w14:textId="77777777" w:rsidR="005B35C8" w:rsidRPr="005B35C8" w:rsidRDefault="005B35C8" w:rsidP="005B35C8">
            <w:pPr>
              <w:pStyle w:val="CDITable-RowCentre"/>
              <w:rPr>
                <w:sz w:val="16"/>
              </w:rPr>
            </w:pPr>
            <w:r w:rsidRPr="005B35C8">
              <w:rPr>
                <w:sz w:val="16"/>
              </w:rPr>
              <w:t>2</w:t>
            </w:r>
          </w:p>
        </w:tc>
        <w:tc>
          <w:tcPr>
            <w:tcW w:w="623"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380C0028" w14:textId="77777777" w:rsidR="005B35C8" w:rsidRPr="005B35C8" w:rsidRDefault="005B35C8" w:rsidP="005B35C8">
            <w:pPr>
              <w:pStyle w:val="CDITable-RowCentre"/>
              <w:rPr>
                <w:sz w:val="16"/>
              </w:rPr>
            </w:pPr>
            <w:r w:rsidRPr="005B35C8">
              <w:rPr>
                <w:sz w:val="16"/>
              </w:rPr>
              <w:t>6.5</w:t>
            </w:r>
          </w:p>
        </w:tc>
        <w:tc>
          <w:tcPr>
            <w:tcW w:w="992" w:type="dxa"/>
            <w:tcBorders>
              <w:top w:val="single" w:sz="6" w:space="0" w:color="1E4496" w:themeColor="text2"/>
              <w:bottom w:val="single" w:sz="6" w:space="0" w:color="1E4496" w:themeColor="text2"/>
              <w:right w:val="single" w:sz="6" w:space="0" w:color="1E4496" w:themeColor="text2"/>
            </w:tcBorders>
            <w:tcMar>
              <w:top w:w="102" w:type="dxa"/>
              <w:left w:w="113" w:type="dxa"/>
              <w:bottom w:w="102" w:type="dxa"/>
              <w:right w:w="113" w:type="dxa"/>
            </w:tcMar>
            <w:vAlign w:val="center"/>
          </w:tcPr>
          <w:p w14:paraId="3F6ED1A1" w14:textId="77777777" w:rsidR="005B35C8" w:rsidRPr="005B35C8" w:rsidRDefault="005B35C8" w:rsidP="005B35C8">
            <w:pPr>
              <w:pStyle w:val="CDITable-RowCentre"/>
              <w:rPr>
                <w:sz w:val="16"/>
              </w:rPr>
            </w:pPr>
            <w:r w:rsidRPr="005B35C8">
              <w:rPr>
                <w:sz w:val="16"/>
              </w:rPr>
              <w:t>0.8–21.4</w:t>
            </w:r>
          </w:p>
        </w:tc>
        <w:tc>
          <w:tcPr>
            <w:tcW w:w="624" w:type="dxa"/>
            <w:tcBorders>
              <w:top w:val="single" w:sz="6" w:space="0" w:color="1E4496" w:themeColor="text2"/>
              <w:left w:val="single" w:sz="6" w:space="0" w:color="1E4496" w:themeColor="text2"/>
              <w:bottom w:val="single" w:sz="6" w:space="0" w:color="1E4496" w:themeColor="text2"/>
            </w:tcBorders>
            <w:tcMar>
              <w:top w:w="102" w:type="dxa"/>
              <w:left w:w="113" w:type="dxa"/>
              <w:bottom w:w="102" w:type="dxa"/>
              <w:right w:w="113" w:type="dxa"/>
            </w:tcMar>
            <w:vAlign w:val="center"/>
          </w:tcPr>
          <w:p w14:paraId="196CD1D3" w14:textId="77777777" w:rsidR="005B35C8" w:rsidRPr="005B35C8" w:rsidRDefault="005B35C8" w:rsidP="005B35C8">
            <w:pPr>
              <w:pStyle w:val="CDITable-RowCentre"/>
              <w:rPr>
                <w:sz w:val="16"/>
              </w:rPr>
            </w:pPr>
            <w:r w:rsidRPr="005B35C8">
              <w:rPr>
                <w:sz w:val="16"/>
              </w:rPr>
              <w:t>31</w:t>
            </w:r>
          </w:p>
        </w:tc>
        <w:tc>
          <w:tcPr>
            <w:tcW w:w="624"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7EBA584D" w14:textId="77777777" w:rsidR="005B35C8" w:rsidRPr="005B35C8" w:rsidRDefault="005B35C8" w:rsidP="005B35C8">
            <w:pPr>
              <w:pStyle w:val="CDITable-RowCentre"/>
              <w:rPr>
                <w:sz w:val="16"/>
              </w:rPr>
            </w:pPr>
            <w:r w:rsidRPr="005B35C8">
              <w:rPr>
                <w:sz w:val="16"/>
              </w:rPr>
              <w:t>3</w:t>
            </w:r>
          </w:p>
        </w:tc>
        <w:tc>
          <w:tcPr>
            <w:tcW w:w="623"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4DDA7B35" w14:textId="77777777" w:rsidR="005B35C8" w:rsidRPr="005B35C8" w:rsidRDefault="005B35C8" w:rsidP="005B35C8">
            <w:pPr>
              <w:pStyle w:val="CDITable-RowCentre"/>
              <w:rPr>
                <w:sz w:val="16"/>
              </w:rPr>
            </w:pPr>
            <w:r w:rsidRPr="005B35C8">
              <w:rPr>
                <w:sz w:val="16"/>
              </w:rPr>
              <w:t>9.7</w:t>
            </w:r>
          </w:p>
        </w:tc>
        <w:tc>
          <w:tcPr>
            <w:tcW w:w="992" w:type="dxa"/>
            <w:tcBorders>
              <w:top w:val="single" w:sz="6" w:space="0" w:color="1E4496" w:themeColor="text2"/>
              <w:bottom w:val="single" w:sz="6" w:space="0" w:color="1E4496" w:themeColor="text2"/>
              <w:right w:val="single" w:sz="6" w:space="0" w:color="1E4496" w:themeColor="text2"/>
            </w:tcBorders>
            <w:tcMar>
              <w:top w:w="102" w:type="dxa"/>
              <w:left w:w="113" w:type="dxa"/>
              <w:bottom w:w="102" w:type="dxa"/>
              <w:right w:w="113" w:type="dxa"/>
            </w:tcMar>
            <w:vAlign w:val="center"/>
          </w:tcPr>
          <w:p w14:paraId="51B57632" w14:textId="77777777" w:rsidR="005B35C8" w:rsidRPr="005B35C8" w:rsidRDefault="005B35C8" w:rsidP="005B35C8">
            <w:pPr>
              <w:pStyle w:val="CDITable-RowCentre"/>
              <w:rPr>
                <w:sz w:val="16"/>
              </w:rPr>
            </w:pPr>
            <w:r w:rsidRPr="005B35C8">
              <w:rPr>
                <w:sz w:val="16"/>
              </w:rPr>
              <w:t>2.0–25.8</w:t>
            </w:r>
          </w:p>
        </w:tc>
        <w:tc>
          <w:tcPr>
            <w:tcW w:w="624" w:type="dxa"/>
            <w:tcBorders>
              <w:top w:val="single" w:sz="6" w:space="0" w:color="1E4496" w:themeColor="text2"/>
              <w:left w:val="single" w:sz="6" w:space="0" w:color="1E4496" w:themeColor="text2"/>
              <w:bottom w:val="single" w:sz="6" w:space="0" w:color="1E4496" w:themeColor="text2"/>
            </w:tcBorders>
            <w:tcMar>
              <w:top w:w="102" w:type="dxa"/>
              <w:left w:w="113" w:type="dxa"/>
              <w:bottom w:w="102" w:type="dxa"/>
              <w:right w:w="113" w:type="dxa"/>
            </w:tcMar>
            <w:vAlign w:val="center"/>
          </w:tcPr>
          <w:p w14:paraId="3984431E" w14:textId="77777777" w:rsidR="005B35C8" w:rsidRPr="005B35C8" w:rsidRDefault="005B35C8" w:rsidP="005B35C8">
            <w:pPr>
              <w:pStyle w:val="CDITable-RowCentre"/>
              <w:rPr>
                <w:sz w:val="16"/>
              </w:rPr>
            </w:pPr>
            <w:r w:rsidRPr="005B35C8">
              <w:rPr>
                <w:sz w:val="16"/>
              </w:rPr>
              <w:t>31</w:t>
            </w:r>
          </w:p>
        </w:tc>
        <w:tc>
          <w:tcPr>
            <w:tcW w:w="624"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220F9F68" w14:textId="77777777" w:rsidR="005B35C8" w:rsidRPr="005B35C8" w:rsidRDefault="005B35C8" w:rsidP="005B35C8">
            <w:pPr>
              <w:pStyle w:val="CDITable-RowCentre"/>
              <w:rPr>
                <w:sz w:val="16"/>
              </w:rPr>
            </w:pPr>
            <w:r w:rsidRPr="005B35C8">
              <w:rPr>
                <w:sz w:val="16"/>
              </w:rPr>
              <w:t>0</w:t>
            </w:r>
          </w:p>
        </w:tc>
        <w:tc>
          <w:tcPr>
            <w:tcW w:w="623"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4C631386" w14:textId="77777777" w:rsidR="005B35C8" w:rsidRPr="005B35C8" w:rsidRDefault="005B35C8" w:rsidP="005B35C8">
            <w:pPr>
              <w:pStyle w:val="CDITable-RowCentre"/>
              <w:rPr>
                <w:sz w:val="16"/>
              </w:rPr>
            </w:pPr>
            <w:r w:rsidRPr="005B35C8">
              <w:rPr>
                <w:sz w:val="16"/>
              </w:rPr>
              <w:t>0</w:t>
            </w:r>
          </w:p>
        </w:tc>
        <w:tc>
          <w:tcPr>
            <w:tcW w:w="992" w:type="dxa"/>
            <w:tcBorders>
              <w:top w:val="single" w:sz="6" w:space="0" w:color="1E4496" w:themeColor="text2"/>
              <w:bottom w:val="single" w:sz="6" w:space="0" w:color="1E4496" w:themeColor="text2"/>
              <w:right w:val="single" w:sz="6" w:space="0" w:color="1E4496" w:themeColor="text2"/>
            </w:tcBorders>
            <w:tcMar>
              <w:top w:w="102" w:type="dxa"/>
              <w:left w:w="113" w:type="dxa"/>
              <w:bottom w:w="102" w:type="dxa"/>
              <w:right w:w="113" w:type="dxa"/>
            </w:tcMar>
            <w:vAlign w:val="center"/>
          </w:tcPr>
          <w:p w14:paraId="0FF0E51B" w14:textId="77777777" w:rsidR="005B35C8" w:rsidRPr="005B35C8" w:rsidRDefault="005B35C8" w:rsidP="005B35C8">
            <w:pPr>
              <w:pStyle w:val="CDITable-RowCentre"/>
              <w:rPr>
                <w:sz w:val="16"/>
              </w:rPr>
            </w:pPr>
            <w:r w:rsidRPr="005B35C8">
              <w:rPr>
                <w:sz w:val="16"/>
              </w:rPr>
              <w:t>—</w:t>
            </w:r>
          </w:p>
        </w:tc>
        <w:tc>
          <w:tcPr>
            <w:tcW w:w="624" w:type="dxa"/>
            <w:tcBorders>
              <w:top w:val="single" w:sz="6" w:space="0" w:color="1E4496" w:themeColor="text2"/>
              <w:left w:val="single" w:sz="6" w:space="0" w:color="1E4496" w:themeColor="text2"/>
              <w:bottom w:val="single" w:sz="6" w:space="0" w:color="1E4496" w:themeColor="text2"/>
            </w:tcBorders>
            <w:tcMar>
              <w:top w:w="102" w:type="dxa"/>
              <w:left w:w="113" w:type="dxa"/>
              <w:bottom w:w="102" w:type="dxa"/>
              <w:right w:w="113" w:type="dxa"/>
            </w:tcMar>
            <w:vAlign w:val="center"/>
          </w:tcPr>
          <w:p w14:paraId="27920617" w14:textId="77777777" w:rsidR="005B35C8" w:rsidRPr="005B35C8" w:rsidRDefault="005B35C8" w:rsidP="005B35C8">
            <w:pPr>
              <w:pStyle w:val="CDITable-RowCentre"/>
              <w:rPr>
                <w:sz w:val="16"/>
              </w:rPr>
            </w:pPr>
            <w:r w:rsidRPr="005B35C8">
              <w:rPr>
                <w:sz w:val="16"/>
              </w:rPr>
              <w:t>30</w:t>
            </w:r>
          </w:p>
        </w:tc>
        <w:tc>
          <w:tcPr>
            <w:tcW w:w="624"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28006C8F" w14:textId="77777777" w:rsidR="005B35C8" w:rsidRPr="005B35C8" w:rsidRDefault="005B35C8" w:rsidP="005B35C8">
            <w:pPr>
              <w:pStyle w:val="CDITable-RowCentre"/>
              <w:rPr>
                <w:sz w:val="16"/>
              </w:rPr>
            </w:pPr>
            <w:r w:rsidRPr="005B35C8">
              <w:rPr>
                <w:sz w:val="16"/>
              </w:rPr>
              <w:t>2</w:t>
            </w:r>
          </w:p>
        </w:tc>
        <w:tc>
          <w:tcPr>
            <w:tcW w:w="623"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33517960" w14:textId="77777777" w:rsidR="005B35C8" w:rsidRPr="005B35C8" w:rsidRDefault="005B35C8" w:rsidP="005B35C8">
            <w:pPr>
              <w:pStyle w:val="CDITable-RowCentre"/>
              <w:rPr>
                <w:sz w:val="16"/>
              </w:rPr>
            </w:pPr>
            <w:r w:rsidRPr="005B35C8">
              <w:rPr>
                <w:sz w:val="16"/>
              </w:rPr>
              <w:t>6.7</w:t>
            </w:r>
          </w:p>
        </w:tc>
        <w:tc>
          <w:tcPr>
            <w:tcW w:w="992"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57AA2008" w14:textId="77777777" w:rsidR="005B35C8" w:rsidRPr="005B35C8" w:rsidRDefault="005B35C8" w:rsidP="005B35C8">
            <w:pPr>
              <w:pStyle w:val="CDITable-RowCentre"/>
              <w:rPr>
                <w:sz w:val="16"/>
              </w:rPr>
            </w:pPr>
            <w:r w:rsidRPr="005B35C8">
              <w:rPr>
                <w:sz w:val="16"/>
              </w:rPr>
              <w:t>0.8–22.1</w:t>
            </w:r>
          </w:p>
        </w:tc>
      </w:tr>
      <w:tr w:rsidR="005B35C8" w:rsidRPr="005B35C8" w14:paraId="324128B6" w14:textId="77777777" w:rsidTr="005B35C8">
        <w:trPr>
          <w:trHeight w:val="60"/>
        </w:trPr>
        <w:tc>
          <w:tcPr>
            <w:tcW w:w="1417" w:type="dxa"/>
            <w:vMerge/>
            <w:tcBorders>
              <w:bottom w:val="single" w:sz="6" w:space="0" w:color="1E4496" w:themeColor="text2"/>
            </w:tcBorders>
            <w:shd w:val="clear" w:color="auto" w:fill="DCF4FC" w:themeFill="background2" w:themeFillTint="33"/>
            <w:tcMar>
              <w:top w:w="102" w:type="dxa"/>
              <w:bottom w:w="102" w:type="dxa"/>
            </w:tcMar>
          </w:tcPr>
          <w:p w14:paraId="52C9125C" w14:textId="77777777" w:rsidR="005B35C8" w:rsidRPr="005B35C8" w:rsidRDefault="005B35C8" w:rsidP="005B35C8"/>
        </w:tc>
        <w:tc>
          <w:tcPr>
            <w:tcW w:w="1474"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06D23C53" w14:textId="77777777" w:rsidR="005B35C8" w:rsidRPr="005B35C8" w:rsidRDefault="005B35C8" w:rsidP="005B35C8">
            <w:pPr>
              <w:pStyle w:val="CDITable-RowLeft"/>
              <w:rPr>
                <w:sz w:val="16"/>
              </w:rPr>
            </w:pPr>
            <w:r w:rsidRPr="005B35C8">
              <w:rPr>
                <w:sz w:val="16"/>
              </w:rPr>
              <w:t>Qld</w:t>
            </w:r>
          </w:p>
        </w:tc>
        <w:tc>
          <w:tcPr>
            <w:tcW w:w="624"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4A60FB04" w14:textId="77777777" w:rsidR="005B35C8" w:rsidRPr="005B35C8" w:rsidRDefault="005B35C8" w:rsidP="005B35C8">
            <w:pPr>
              <w:pStyle w:val="CDITable-RowCentre"/>
              <w:rPr>
                <w:sz w:val="16"/>
              </w:rPr>
            </w:pPr>
            <w:r w:rsidRPr="005B35C8">
              <w:rPr>
                <w:sz w:val="16"/>
              </w:rPr>
              <w:t>97</w:t>
            </w:r>
          </w:p>
        </w:tc>
        <w:tc>
          <w:tcPr>
            <w:tcW w:w="624"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058AB182" w14:textId="77777777" w:rsidR="005B35C8" w:rsidRPr="005B35C8" w:rsidRDefault="005B35C8" w:rsidP="005B35C8">
            <w:pPr>
              <w:pStyle w:val="CDITable-RowCentre"/>
              <w:rPr>
                <w:sz w:val="16"/>
              </w:rPr>
            </w:pPr>
            <w:r w:rsidRPr="005B35C8">
              <w:rPr>
                <w:sz w:val="16"/>
              </w:rPr>
              <w:t>5</w:t>
            </w:r>
          </w:p>
        </w:tc>
        <w:tc>
          <w:tcPr>
            <w:tcW w:w="623"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34C86EAA" w14:textId="77777777" w:rsidR="005B35C8" w:rsidRPr="005B35C8" w:rsidRDefault="005B35C8" w:rsidP="005B35C8">
            <w:pPr>
              <w:pStyle w:val="CDITable-RowCentre"/>
              <w:rPr>
                <w:sz w:val="16"/>
              </w:rPr>
            </w:pPr>
            <w:r w:rsidRPr="005B35C8">
              <w:rPr>
                <w:sz w:val="16"/>
              </w:rPr>
              <w:t>5.2</w:t>
            </w:r>
          </w:p>
        </w:tc>
        <w:tc>
          <w:tcPr>
            <w:tcW w:w="992" w:type="dxa"/>
            <w:tcBorders>
              <w:top w:val="single" w:sz="6" w:space="0" w:color="1E4496" w:themeColor="text2"/>
              <w:bottom w:val="single" w:sz="6" w:space="0" w:color="1E4496" w:themeColor="text2"/>
              <w:right w:val="single" w:sz="6" w:space="0" w:color="1E4496" w:themeColor="text2"/>
            </w:tcBorders>
            <w:tcMar>
              <w:top w:w="102" w:type="dxa"/>
              <w:left w:w="113" w:type="dxa"/>
              <w:bottom w:w="102" w:type="dxa"/>
              <w:right w:w="113" w:type="dxa"/>
            </w:tcMar>
            <w:vAlign w:val="center"/>
          </w:tcPr>
          <w:p w14:paraId="084A5092" w14:textId="77777777" w:rsidR="005B35C8" w:rsidRPr="005B35C8" w:rsidRDefault="005B35C8" w:rsidP="005B35C8">
            <w:pPr>
              <w:pStyle w:val="CDITable-RowCentre"/>
              <w:rPr>
                <w:sz w:val="16"/>
              </w:rPr>
            </w:pPr>
            <w:r w:rsidRPr="005B35C8">
              <w:rPr>
                <w:sz w:val="16"/>
              </w:rPr>
              <w:t>1.7–11.6</w:t>
            </w:r>
          </w:p>
        </w:tc>
        <w:tc>
          <w:tcPr>
            <w:tcW w:w="624" w:type="dxa"/>
            <w:tcBorders>
              <w:top w:val="single" w:sz="6" w:space="0" w:color="1E4496" w:themeColor="text2"/>
              <w:left w:val="single" w:sz="6" w:space="0" w:color="1E4496" w:themeColor="text2"/>
              <w:bottom w:val="single" w:sz="6" w:space="0" w:color="1E4496" w:themeColor="text2"/>
            </w:tcBorders>
            <w:tcMar>
              <w:top w:w="102" w:type="dxa"/>
              <w:left w:w="113" w:type="dxa"/>
              <w:bottom w:w="102" w:type="dxa"/>
              <w:right w:w="113" w:type="dxa"/>
            </w:tcMar>
            <w:vAlign w:val="center"/>
          </w:tcPr>
          <w:p w14:paraId="2601983A" w14:textId="77777777" w:rsidR="005B35C8" w:rsidRPr="005B35C8" w:rsidRDefault="005B35C8" w:rsidP="005B35C8">
            <w:pPr>
              <w:pStyle w:val="CDITable-RowCentre"/>
              <w:rPr>
                <w:sz w:val="16"/>
              </w:rPr>
            </w:pPr>
            <w:r w:rsidRPr="005B35C8">
              <w:rPr>
                <w:sz w:val="16"/>
              </w:rPr>
              <w:t>97</w:t>
            </w:r>
          </w:p>
        </w:tc>
        <w:tc>
          <w:tcPr>
            <w:tcW w:w="624"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2639C2D6" w14:textId="77777777" w:rsidR="005B35C8" w:rsidRPr="005B35C8" w:rsidRDefault="005B35C8" w:rsidP="005B35C8">
            <w:pPr>
              <w:pStyle w:val="CDITable-RowCentre"/>
              <w:rPr>
                <w:sz w:val="16"/>
              </w:rPr>
            </w:pPr>
            <w:r w:rsidRPr="005B35C8">
              <w:rPr>
                <w:sz w:val="16"/>
              </w:rPr>
              <w:t>4</w:t>
            </w:r>
          </w:p>
        </w:tc>
        <w:tc>
          <w:tcPr>
            <w:tcW w:w="623"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10F45673" w14:textId="77777777" w:rsidR="005B35C8" w:rsidRPr="005B35C8" w:rsidRDefault="005B35C8" w:rsidP="005B35C8">
            <w:pPr>
              <w:pStyle w:val="CDITable-RowCentre"/>
              <w:rPr>
                <w:sz w:val="16"/>
              </w:rPr>
            </w:pPr>
            <w:r w:rsidRPr="005B35C8">
              <w:rPr>
                <w:sz w:val="16"/>
              </w:rPr>
              <w:t>4.1</w:t>
            </w:r>
          </w:p>
        </w:tc>
        <w:tc>
          <w:tcPr>
            <w:tcW w:w="992" w:type="dxa"/>
            <w:tcBorders>
              <w:top w:val="single" w:sz="6" w:space="0" w:color="1E4496" w:themeColor="text2"/>
              <w:bottom w:val="single" w:sz="6" w:space="0" w:color="1E4496" w:themeColor="text2"/>
              <w:right w:val="single" w:sz="6" w:space="0" w:color="1E4496" w:themeColor="text2"/>
            </w:tcBorders>
            <w:tcMar>
              <w:top w:w="102" w:type="dxa"/>
              <w:left w:w="113" w:type="dxa"/>
              <w:bottom w:w="102" w:type="dxa"/>
              <w:right w:w="113" w:type="dxa"/>
            </w:tcMar>
            <w:vAlign w:val="center"/>
          </w:tcPr>
          <w:p w14:paraId="08A530EE" w14:textId="77777777" w:rsidR="005B35C8" w:rsidRPr="005B35C8" w:rsidRDefault="005B35C8" w:rsidP="005B35C8">
            <w:pPr>
              <w:pStyle w:val="CDITable-RowCentre"/>
              <w:rPr>
                <w:sz w:val="16"/>
              </w:rPr>
            </w:pPr>
            <w:r w:rsidRPr="005B35C8">
              <w:rPr>
                <w:sz w:val="16"/>
              </w:rPr>
              <w:t>1.1–10.2</w:t>
            </w:r>
          </w:p>
        </w:tc>
        <w:tc>
          <w:tcPr>
            <w:tcW w:w="624" w:type="dxa"/>
            <w:tcBorders>
              <w:top w:val="single" w:sz="6" w:space="0" w:color="1E4496" w:themeColor="text2"/>
              <w:left w:val="single" w:sz="6" w:space="0" w:color="1E4496" w:themeColor="text2"/>
              <w:bottom w:val="single" w:sz="6" w:space="0" w:color="1E4496" w:themeColor="text2"/>
            </w:tcBorders>
            <w:tcMar>
              <w:top w:w="102" w:type="dxa"/>
              <w:left w:w="113" w:type="dxa"/>
              <w:bottom w:w="102" w:type="dxa"/>
              <w:right w:w="113" w:type="dxa"/>
            </w:tcMar>
            <w:vAlign w:val="center"/>
          </w:tcPr>
          <w:p w14:paraId="4452C1F3" w14:textId="77777777" w:rsidR="005B35C8" w:rsidRPr="005B35C8" w:rsidRDefault="005B35C8" w:rsidP="005B35C8">
            <w:pPr>
              <w:pStyle w:val="CDITable-RowCentre"/>
              <w:rPr>
                <w:sz w:val="16"/>
              </w:rPr>
            </w:pPr>
            <w:r w:rsidRPr="005B35C8">
              <w:rPr>
                <w:sz w:val="16"/>
              </w:rPr>
              <w:t>97</w:t>
            </w:r>
          </w:p>
        </w:tc>
        <w:tc>
          <w:tcPr>
            <w:tcW w:w="624"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35E7568D" w14:textId="77777777" w:rsidR="005B35C8" w:rsidRPr="005B35C8" w:rsidRDefault="005B35C8" w:rsidP="005B35C8">
            <w:pPr>
              <w:pStyle w:val="CDITable-RowCentre"/>
              <w:rPr>
                <w:sz w:val="16"/>
              </w:rPr>
            </w:pPr>
            <w:r w:rsidRPr="005B35C8">
              <w:rPr>
                <w:sz w:val="16"/>
              </w:rPr>
              <w:t>5</w:t>
            </w:r>
          </w:p>
        </w:tc>
        <w:tc>
          <w:tcPr>
            <w:tcW w:w="623"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06F03FCF" w14:textId="77777777" w:rsidR="005B35C8" w:rsidRPr="005B35C8" w:rsidRDefault="005B35C8" w:rsidP="005B35C8">
            <w:pPr>
              <w:pStyle w:val="CDITable-RowCentre"/>
              <w:rPr>
                <w:sz w:val="16"/>
              </w:rPr>
            </w:pPr>
            <w:r w:rsidRPr="005B35C8">
              <w:rPr>
                <w:sz w:val="16"/>
              </w:rPr>
              <w:t>5.2</w:t>
            </w:r>
          </w:p>
        </w:tc>
        <w:tc>
          <w:tcPr>
            <w:tcW w:w="992" w:type="dxa"/>
            <w:tcBorders>
              <w:top w:val="single" w:sz="6" w:space="0" w:color="1E4496" w:themeColor="text2"/>
              <w:bottom w:val="single" w:sz="6" w:space="0" w:color="1E4496" w:themeColor="text2"/>
              <w:right w:val="single" w:sz="6" w:space="0" w:color="1E4496" w:themeColor="text2"/>
            </w:tcBorders>
            <w:tcMar>
              <w:top w:w="102" w:type="dxa"/>
              <w:left w:w="113" w:type="dxa"/>
              <w:bottom w:w="102" w:type="dxa"/>
              <w:right w:w="113" w:type="dxa"/>
            </w:tcMar>
            <w:vAlign w:val="center"/>
          </w:tcPr>
          <w:p w14:paraId="49CCA0D8" w14:textId="77777777" w:rsidR="005B35C8" w:rsidRPr="005B35C8" w:rsidRDefault="005B35C8" w:rsidP="005B35C8">
            <w:pPr>
              <w:pStyle w:val="CDITable-RowCentre"/>
              <w:rPr>
                <w:sz w:val="16"/>
              </w:rPr>
            </w:pPr>
            <w:r w:rsidRPr="005B35C8">
              <w:rPr>
                <w:sz w:val="16"/>
              </w:rPr>
              <w:t>1.7–11.6</w:t>
            </w:r>
          </w:p>
        </w:tc>
        <w:tc>
          <w:tcPr>
            <w:tcW w:w="624" w:type="dxa"/>
            <w:tcBorders>
              <w:top w:val="single" w:sz="6" w:space="0" w:color="1E4496" w:themeColor="text2"/>
              <w:left w:val="single" w:sz="6" w:space="0" w:color="1E4496" w:themeColor="text2"/>
              <w:bottom w:val="single" w:sz="6" w:space="0" w:color="1E4496" w:themeColor="text2"/>
            </w:tcBorders>
            <w:tcMar>
              <w:top w:w="102" w:type="dxa"/>
              <w:left w:w="113" w:type="dxa"/>
              <w:bottom w:w="102" w:type="dxa"/>
              <w:right w:w="113" w:type="dxa"/>
            </w:tcMar>
            <w:vAlign w:val="center"/>
          </w:tcPr>
          <w:p w14:paraId="4A436499" w14:textId="77777777" w:rsidR="005B35C8" w:rsidRPr="005B35C8" w:rsidRDefault="005B35C8" w:rsidP="005B35C8">
            <w:pPr>
              <w:pStyle w:val="CDITable-RowCentre"/>
              <w:rPr>
                <w:sz w:val="16"/>
              </w:rPr>
            </w:pPr>
            <w:r w:rsidRPr="005B35C8">
              <w:rPr>
                <w:sz w:val="16"/>
              </w:rPr>
              <w:t>98</w:t>
            </w:r>
          </w:p>
        </w:tc>
        <w:tc>
          <w:tcPr>
            <w:tcW w:w="624"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16770B2A" w14:textId="77777777" w:rsidR="005B35C8" w:rsidRPr="005B35C8" w:rsidRDefault="005B35C8" w:rsidP="005B35C8">
            <w:pPr>
              <w:pStyle w:val="CDITable-RowCentre"/>
              <w:rPr>
                <w:sz w:val="16"/>
              </w:rPr>
            </w:pPr>
            <w:r w:rsidRPr="005B35C8">
              <w:rPr>
                <w:sz w:val="16"/>
              </w:rPr>
              <w:t>6</w:t>
            </w:r>
          </w:p>
        </w:tc>
        <w:tc>
          <w:tcPr>
            <w:tcW w:w="623"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6FF40BF8" w14:textId="77777777" w:rsidR="005B35C8" w:rsidRPr="005B35C8" w:rsidRDefault="005B35C8" w:rsidP="005B35C8">
            <w:pPr>
              <w:pStyle w:val="CDITable-RowCentre"/>
              <w:rPr>
                <w:sz w:val="16"/>
              </w:rPr>
            </w:pPr>
            <w:r w:rsidRPr="005B35C8">
              <w:rPr>
                <w:sz w:val="16"/>
              </w:rPr>
              <w:t>6.1</w:t>
            </w:r>
          </w:p>
        </w:tc>
        <w:tc>
          <w:tcPr>
            <w:tcW w:w="992"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007C0E67" w14:textId="77777777" w:rsidR="005B35C8" w:rsidRPr="005B35C8" w:rsidRDefault="005B35C8" w:rsidP="005B35C8">
            <w:pPr>
              <w:pStyle w:val="CDITable-RowCentre"/>
              <w:rPr>
                <w:sz w:val="16"/>
              </w:rPr>
            </w:pPr>
            <w:r w:rsidRPr="005B35C8">
              <w:rPr>
                <w:sz w:val="16"/>
              </w:rPr>
              <w:t>2.3–12.9</w:t>
            </w:r>
          </w:p>
        </w:tc>
      </w:tr>
      <w:tr w:rsidR="005B35C8" w:rsidRPr="005B35C8" w14:paraId="69466479" w14:textId="77777777" w:rsidTr="005B35C8">
        <w:trPr>
          <w:trHeight w:val="60"/>
        </w:trPr>
        <w:tc>
          <w:tcPr>
            <w:tcW w:w="1417" w:type="dxa"/>
            <w:vMerge/>
            <w:tcBorders>
              <w:bottom w:val="single" w:sz="6" w:space="0" w:color="1E4496" w:themeColor="text2"/>
            </w:tcBorders>
            <w:shd w:val="clear" w:color="auto" w:fill="DCF4FC" w:themeFill="background2" w:themeFillTint="33"/>
            <w:tcMar>
              <w:top w:w="102" w:type="dxa"/>
              <w:bottom w:w="102" w:type="dxa"/>
            </w:tcMar>
          </w:tcPr>
          <w:p w14:paraId="08C396CD" w14:textId="77777777" w:rsidR="005B35C8" w:rsidRPr="005B35C8" w:rsidRDefault="005B35C8" w:rsidP="005B35C8"/>
        </w:tc>
        <w:tc>
          <w:tcPr>
            <w:tcW w:w="1474"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527CFCCB" w14:textId="77777777" w:rsidR="005B35C8" w:rsidRPr="005B35C8" w:rsidRDefault="005B35C8" w:rsidP="005B35C8">
            <w:pPr>
              <w:pStyle w:val="CDITable-RowLeft"/>
              <w:rPr>
                <w:sz w:val="16"/>
              </w:rPr>
            </w:pPr>
            <w:r w:rsidRPr="005B35C8">
              <w:rPr>
                <w:sz w:val="16"/>
              </w:rPr>
              <w:t>SA</w:t>
            </w:r>
          </w:p>
        </w:tc>
        <w:tc>
          <w:tcPr>
            <w:tcW w:w="624"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1FFAD06D" w14:textId="77777777" w:rsidR="005B35C8" w:rsidRPr="005B35C8" w:rsidRDefault="005B35C8" w:rsidP="005B35C8">
            <w:pPr>
              <w:pStyle w:val="CDITable-RowCentre"/>
              <w:rPr>
                <w:sz w:val="16"/>
              </w:rPr>
            </w:pPr>
            <w:r w:rsidRPr="005B35C8">
              <w:rPr>
                <w:sz w:val="16"/>
              </w:rPr>
              <w:t>60</w:t>
            </w:r>
          </w:p>
        </w:tc>
        <w:tc>
          <w:tcPr>
            <w:tcW w:w="624"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741AAB21" w14:textId="77777777" w:rsidR="005B35C8" w:rsidRPr="005B35C8" w:rsidRDefault="005B35C8" w:rsidP="005B35C8">
            <w:pPr>
              <w:pStyle w:val="CDITable-RowCentre"/>
              <w:rPr>
                <w:sz w:val="16"/>
              </w:rPr>
            </w:pPr>
            <w:r w:rsidRPr="005B35C8">
              <w:rPr>
                <w:sz w:val="16"/>
              </w:rPr>
              <w:t>7</w:t>
            </w:r>
          </w:p>
        </w:tc>
        <w:tc>
          <w:tcPr>
            <w:tcW w:w="623"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3E240068" w14:textId="77777777" w:rsidR="005B35C8" w:rsidRPr="005B35C8" w:rsidRDefault="005B35C8" w:rsidP="005B35C8">
            <w:pPr>
              <w:pStyle w:val="CDITable-RowCentre"/>
              <w:rPr>
                <w:sz w:val="16"/>
              </w:rPr>
            </w:pPr>
            <w:r w:rsidRPr="005B35C8">
              <w:rPr>
                <w:sz w:val="16"/>
              </w:rPr>
              <w:t>11.7</w:t>
            </w:r>
          </w:p>
        </w:tc>
        <w:tc>
          <w:tcPr>
            <w:tcW w:w="992" w:type="dxa"/>
            <w:tcBorders>
              <w:top w:val="single" w:sz="6" w:space="0" w:color="1E4496" w:themeColor="text2"/>
              <w:bottom w:val="single" w:sz="6" w:space="0" w:color="1E4496" w:themeColor="text2"/>
              <w:right w:val="single" w:sz="6" w:space="0" w:color="1E4496" w:themeColor="text2"/>
            </w:tcBorders>
            <w:tcMar>
              <w:top w:w="102" w:type="dxa"/>
              <w:left w:w="113" w:type="dxa"/>
              <w:bottom w:w="102" w:type="dxa"/>
              <w:right w:w="113" w:type="dxa"/>
            </w:tcMar>
            <w:vAlign w:val="center"/>
          </w:tcPr>
          <w:p w14:paraId="06307385" w14:textId="77777777" w:rsidR="005B35C8" w:rsidRPr="005B35C8" w:rsidRDefault="005B35C8" w:rsidP="005B35C8">
            <w:pPr>
              <w:pStyle w:val="CDITable-RowCentre"/>
              <w:rPr>
                <w:sz w:val="16"/>
              </w:rPr>
            </w:pPr>
            <w:r w:rsidRPr="005B35C8">
              <w:rPr>
                <w:sz w:val="16"/>
              </w:rPr>
              <w:t>4.8–22.6</w:t>
            </w:r>
          </w:p>
        </w:tc>
        <w:tc>
          <w:tcPr>
            <w:tcW w:w="624" w:type="dxa"/>
            <w:tcBorders>
              <w:top w:val="single" w:sz="6" w:space="0" w:color="1E4496" w:themeColor="text2"/>
              <w:left w:val="single" w:sz="6" w:space="0" w:color="1E4496" w:themeColor="text2"/>
              <w:bottom w:val="single" w:sz="6" w:space="0" w:color="1E4496" w:themeColor="text2"/>
            </w:tcBorders>
            <w:tcMar>
              <w:top w:w="102" w:type="dxa"/>
              <w:left w:w="113" w:type="dxa"/>
              <w:bottom w:w="102" w:type="dxa"/>
              <w:right w:w="113" w:type="dxa"/>
            </w:tcMar>
            <w:vAlign w:val="center"/>
          </w:tcPr>
          <w:p w14:paraId="0BCC71B6" w14:textId="77777777" w:rsidR="005B35C8" w:rsidRPr="005B35C8" w:rsidRDefault="005B35C8" w:rsidP="005B35C8">
            <w:pPr>
              <w:pStyle w:val="CDITable-RowCentre"/>
              <w:rPr>
                <w:sz w:val="16"/>
              </w:rPr>
            </w:pPr>
            <w:r w:rsidRPr="005B35C8">
              <w:rPr>
                <w:sz w:val="16"/>
              </w:rPr>
              <w:t>60</w:t>
            </w:r>
          </w:p>
        </w:tc>
        <w:tc>
          <w:tcPr>
            <w:tcW w:w="624"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3D331607" w14:textId="77777777" w:rsidR="005B35C8" w:rsidRPr="005B35C8" w:rsidRDefault="005B35C8" w:rsidP="005B35C8">
            <w:pPr>
              <w:pStyle w:val="CDITable-RowCentre"/>
              <w:rPr>
                <w:sz w:val="16"/>
              </w:rPr>
            </w:pPr>
            <w:r w:rsidRPr="005B35C8">
              <w:rPr>
                <w:sz w:val="16"/>
              </w:rPr>
              <w:t>11</w:t>
            </w:r>
          </w:p>
        </w:tc>
        <w:tc>
          <w:tcPr>
            <w:tcW w:w="623"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6BE0EC3F" w14:textId="77777777" w:rsidR="005B35C8" w:rsidRPr="005B35C8" w:rsidRDefault="005B35C8" w:rsidP="005B35C8">
            <w:pPr>
              <w:pStyle w:val="CDITable-RowCentre"/>
              <w:rPr>
                <w:sz w:val="16"/>
              </w:rPr>
            </w:pPr>
            <w:r w:rsidRPr="005B35C8">
              <w:rPr>
                <w:sz w:val="16"/>
              </w:rPr>
              <w:t>18.3</w:t>
            </w:r>
          </w:p>
        </w:tc>
        <w:tc>
          <w:tcPr>
            <w:tcW w:w="992" w:type="dxa"/>
            <w:tcBorders>
              <w:top w:val="single" w:sz="6" w:space="0" w:color="1E4496" w:themeColor="text2"/>
              <w:bottom w:val="single" w:sz="6" w:space="0" w:color="1E4496" w:themeColor="text2"/>
              <w:right w:val="single" w:sz="6" w:space="0" w:color="1E4496" w:themeColor="text2"/>
            </w:tcBorders>
            <w:tcMar>
              <w:top w:w="102" w:type="dxa"/>
              <w:left w:w="113" w:type="dxa"/>
              <w:bottom w:w="102" w:type="dxa"/>
              <w:right w:w="113" w:type="dxa"/>
            </w:tcMar>
            <w:vAlign w:val="center"/>
          </w:tcPr>
          <w:p w14:paraId="2ED427B2" w14:textId="77777777" w:rsidR="005B35C8" w:rsidRPr="005B35C8" w:rsidRDefault="005B35C8" w:rsidP="005B35C8">
            <w:pPr>
              <w:pStyle w:val="CDITable-RowCentre"/>
              <w:rPr>
                <w:sz w:val="16"/>
              </w:rPr>
            </w:pPr>
            <w:r w:rsidRPr="005B35C8">
              <w:rPr>
                <w:sz w:val="16"/>
              </w:rPr>
              <w:t>9.5–30.4</w:t>
            </w:r>
          </w:p>
        </w:tc>
        <w:tc>
          <w:tcPr>
            <w:tcW w:w="624" w:type="dxa"/>
            <w:tcBorders>
              <w:top w:val="single" w:sz="6" w:space="0" w:color="1E4496" w:themeColor="text2"/>
              <w:left w:val="single" w:sz="6" w:space="0" w:color="1E4496" w:themeColor="text2"/>
              <w:bottom w:val="single" w:sz="6" w:space="0" w:color="1E4496" w:themeColor="text2"/>
            </w:tcBorders>
            <w:tcMar>
              <w:top w:w="102" w:type="dxa"/>
              <w:left w:w="113" w:type="dxa"/>
              <w:bottom w:w="102" w:type="dxa"/>
              <w:right w:w="113" w:type="dxa"/>
            </w:tcMar>
            <w:vAlign w:val="center"/>
          </w:tcPr>
          <w:p w14:paraId="1C03A66B" w14:textId="77777777" w:rsidR="005B35C8" w:rsidRPr="005B35C8" w:rsidRDefault="005B35C8" w:rsidP="005B35C8">
            <w:pPr>
              <w:pStyle w:val="CDITable-RowCentre"/>
              <w:rPr>
                <w:sz w:val="16"/>
              </w:rPr>
            </w:pPr>
            <w:r w:rsidRPr="005B35C8">
              <w:rPr>
                <w:sz w:val="16"/>
              </w:rPr>
              <w:t>60</w:t>
            </w:r>
          </w:p>
        </w:tc>
        <w:tc>
          <w:tcPr>
            <w:tcW w:w="624"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531406AD" w14:textId="77777777" w:rsidR="005B35C8" w:rsidRPr="005B35C8" w:rsidRDefault="005B35C8" w:rsidP="005B35C8">
            <w:pPr>
              <w:pStyle w:val="CDITable-RowCentre"/>
              <w:rPr>
                <w:sz w:val="16"/>
              </w:rPr>
            </w:pPr>
            <w:r w:rsidRPr="005B35C8">
              <w:rPr>
                <w:sz w:val="16"/>
              </w:rPr>
              <w:t>5</w:t>
            </w:r>
          </w:p>
        </w:tc>
        <w:tc>
          <w:tcPr>
            <w:tcW w:w="623"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4250F057" w14:textId="77777777" w:rsidR="005B35C8" w:rsidRPr="005B35C8" w:rsidRDefault="005B35C8" w:rsidP="005B35C8">
            <w:pPr>
              <w:pStyle w:val="CDITable-RowCentre"/>
              <w:rPr>
                <w:sz w:val="16"/>
              </w:rPr>
            </w:pPr>
            <w:r w:rsidRPr="005B35C8">
              <w:rPr>
                <w:sz w:val="16"/>
              </w:rPr>
              <w:t>8.3</w:t>
            </w:r>
          </w:p>
        </w:tc>
        <w:tc>
          <w:tcPr>
            <w:tcW w:w="992" w:type="dxa"/>
            <w:tcBorders>
              <w:top w:val="single" w:sz="6" w:space="0" w:color="1E4496" w:themeColor="text2"/>
              <w:bottom w:val="single" w:sz="6" w:space="0" w:color="1E4496" w:themeColor="text2"/>
              <w:right w:val="single" w:sz="6" w:space="0" w:color="1E4496" w:themeColor="text2"/>
            </w:tcBorders>
            <w:tcMar>
              <w:top w:w="102" w:type="dxa"/>
              <w:left w:w="113" w:type="dxa"/>
              <w:bottom w:w="102" w:type="dxa"/>
              <w:right w:w="113" w:type="dxa"/>
            </w:tcMar>
            <w:vAlign w:val="center"/>
          </w:tcPr>
          <w:p w14:paraId="36211D1C" w14:textId="77777777" w:rsidR="005B35C8" w:rsidRPr="005B35C8" w:rsidRDefault="005B35C8" w:rsidP="005B35C8">
            <w:pPr>
              <w:pStyle w:val="CDITable-RowCentre"/>
              <w:rPr>
                <w:sz w:val="16"/>
              </w:rPr>
            </w:pPr>
            <w:r w:rsidRPr="005B35C8">
              <w:rPr>
                <w:sz w:val="16"/>
              </w:rPr>
              <w:t>2.8–18.4</w:t>
            </w:r>
          </w:p>
        </w:tc>
        <w:tc>
          <w:tcPr>
            <w:tcW w:w="624" w:type="dxa"/>
            <w:tcBorders>
              <w:top w:val="single" w:sz="6" w:space="0" w:color="1E4496" w:themeColor="text2"/>
              <w:left w:val="single" w:sz="6" w:space="0" w:color="1E4496" w:themeColor="text2"/>
              <w:bottom w:val="single" w:sz="6" w:space="0" w:color="1E4496" w:themeColor="text2"/>
            </w:tcBorders>
            <w:tcMar>
              <w:top w:w="102" w:type="dxa"/>
              <w:left w:w="113" w:type="dxa"/>
              <w:bottom w:w="102" w:type="dxa"/>
              <w:right w:w="113" w:type="dxa"/>
            </w:tcMar>
            <w:vAlign w:val="center"/>
          </w:tcPr>
          <w:p w14:paraId="2F669D67" w14:textId="77777777" w:rsidR="005B35C8" w:rsidRPr="005B35C8" w:rsidRDefault="005B35C8" w:rsidP="005B35C8">
            <w:pPr>
              <w:pStyle w:val="CDITable-RowCentre"/>
              <w:rPr>
                <w:sz w:val="16"/>
              </w:rPr>
            </w:pPr>
            <w:r w:rsidRPr="005B35C8">
              <w:rPr>
                <w:sz w:val="16"/>
              </w:rPr>
              <w:t>60</w:t>
            </w:r>
          </w:p>
        </w:tc>
        <w:tc>
          <w:tcPr>
            <w:tcW w:w="624"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0EB15748" w14:textId="77777777" w:rsidR="005B35C8" w:rsidRPr="005B35C8" w:rsidRDefault="005B35C8" w:rsidP="005B35C8">
            <w:pPr>
              <w:pStyle w:val="CDITable-RowCentre"/>
              <w:rPr>
                <w:sz w:val="16"/>
              </w:rPr>
            </w:pPr>
            <w:r w:rsidRPr="005B35C8">
              <w:rPr>
                <w:sz w:val="16"/>
              </w:rPr>
              <w:t>10</w:t>
            </w:r>
          </w:p>
        </w:tc>
        <w:tc>
          <w:tcPr>
            <w:tcW w:w="623"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446E16FC" w14:textId="77777777" w:rsidR="005B35C8" w:rsidRPr="005B35C8" w:rsidRDefault="005B35C8" w:rsidP="005B35C8">
            <w:pPr>
              <w:pStyle w:val="CDITable-RowCentre"/>
              <w:rPr>
                <w:sz w:val="16"/>
              </w:rPr>
            </w:pPr>
            <w:r w:rsidRPr="005B35C8">
              <w:rPr>
                <w:sz w:val="16"/>
              </w:rPr>
              <w:t>16.7</w:t>
            </w:r>
          </w:p>
        </w:tc>
        <w:tc>
          <w:tcPr>
            <w:tcW w:w="992"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4E74935E" w14:textId="77777777" w:rsidR="005B35C8" w:rsidRPr="005B35C8" w:rsidRDefault="005B35C8" w:rsidP="005B35C8">
            <w:pPr>
              <w:pStyle w:val="CDITable-RowCentre"/>
              <w:rPr>
                <w:sz w:val="16"/>
              </w:rPr>
            </w:pPr>
            <w:r w:rsidRPr="005B35C8">
              <w:rPr>
                <w:sz w:val="16"/>
              </w:rPr>
              <w:t>8.3–28.5</w:t>
            </w:r>
          </w:p>
        </w:tc>
      </w:tr>
      <w:tr w:rsidR="005B35C8" w:rsidRPr="005B35C8" w14:paraId="7373549C" w14:textId="77777777" w:rsidTr="005B35C8">
        <w:trPr>
          <w:trHeight w:val="60"/>
        </w:trPr>
        <w:tc>
          <w:tcPr>
            <w:tcW w:w="1417" w:type="dxa"/>
            <w:vMerge/>
            <w:tcBorders>
              <w:bottom w:val="single" w:sz="6" w:space="0" w:color="1E4496" w:themeColor="text2"/>
            </w:tcBorders>
            <w:shd w:val="clear" w:color="auto" w:fill="DCF4FC" w:themeFill="background2" w:themeFillTint="33"/>
            <w:tcMar>
              <w:top w:w="102" w:type="dxa"/>
              <w:bottom w:w="102" w:type="dxa"/>
            </w:tcMar>
          </w:tcPr>
          <w:p w14:paraId="4C89624E" w14:textId="77777777" w:rsidR="005B35C8" w:rsidRPr="005B35C8" w:rsidRDefault="005B35C8" w:rsidP="005B35C8"/>
        </w:tc>
        <w:tc>
          <w:tcPr>
            <w:tcW w:w="1474"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4D8D16D6" w14:textId="77777777" w:rsidR="005B35C8" w:rsidRPr="005B35C8" w:rsidRDefault="005B35C8" w:rsidP="005B35C8">
            <w:pPr>
              <w:pStyle w:val="CDITable-RowLeft"/>
              <w:rPr>
                <w:sz w:val="16"/>
              </w:rPr>
            </w:pPr>
            <w:r w:rsidRPr="005B35C8">
              <w:rPr>
                <w:sz w:val="16"/>
              </w:rPr>
              <w:t>Tas.</w:t>
            </w:r>
          </w:p>
        </w:tc>
        <w:tc>
          <w:tcPr>
            <w:tcW w:w="624"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38B1FB0A" w14:textId="77777777" w:rsidR="005B35C8" w:rsidRPr="005B35C8" w:rsidRDefault="005B35C8" w:rsidP="005B35C8">
            <w:pPr>
              <w:pStyle w:val="CDITable-RowCentre"/>
              <w:rPr>
                <w:sz w:val="16"/>
              </w:rPr>
            </w:pPr>
            <w:r w:rsidRPr="005B35C8">
              <w:rPr>
                <w:sz w:val="16"/>
              </w:rPr>
              <w:t>29</w:t>
            </w:r>
          </w:p>
        </w:tc>
        <w:tc>
          <w:tcPr>
            <w:tcW w:w="624"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1EF88CAC" w14:textId="77777777" w:rsidR="005B35C8" w:rsidRPr="005B35C8" w:rsidRDefault="005B35C8" w:rsidP="005B35C8">
            <w:pPr>
              <w:pStyle w:val="CDITable-RowCentre"/>
              <w:rPr>
                <w:sz w:val="16"/>
              </w:rPr>
            </w:pPr>
            <w:r w:rsidRPr="005B35C8">
              <w:rPr>
                <w:sz w:val="16"/>
              </w:rPr>
              <w:t>1</w:t>
            </w:r>
          </w:p>
        </w:tc>
        <w:tc>
          <w:tcPr>
            <w:tcW w:w="623"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40395463" w14:textId="77777777" w:rsidR="005B35C8" w:rsidRPr="005B35C8" w:rsidRDefault="005B35C8" w:rsidP="005B35C8">
            <w:pPr>
              <w:pStyle w:val="CDITable-RowCentre"/>
              <w:rPr>
                <w:sz w:val="16"/>
              </w:rPr>
            </w:pPr>
            <w:r w:rsidRPr="005B35C8">
              <w:rPr>
                <w:sz w:val="16"/>
              </w:rPr>
              <w:t>3.4</w:t>
            </w:r>
          </w:p>
        </w:tc>
        <w:tc>
          <w:tcPr>
            <w:tcW w:w="992" w:type="dxa"/>
            <w:tcBorders>
              <w:top w:val="single" w:sz="6" w:space="0" w:color="1E4496" w:themeColor="text2"/>
              <w:bottom w:val="single" w:sz="6" w:space="0" w:color="1E4496" w:themeColor="text2"/>
              <w:right w:val="single" w:sz="6" w:space="0" w:color="1E4496" w:themeColor="text2"/>
            </w:tcBorders>
            <w:tcMar>
              <w:top w:w="102" w:type="dxa"/>
              <w:left w:w="113" w:type="dxa"/>
              <w:bottom w:w="102" w:type="dxa"/>
              <w:right w:w="113" w:type="dxa"/>
            </w:tcMar>
            <w:vAlign w:val="center"/>
          </w:tcPr>
          <w:p w14:paraId="726732C1" w14:textId="77777777" w:rsidR="005B35C8" w:rsidRPr="005B35C8" w:rsidRDefault="005B35C8" w:rsidP="005B35C8">
            <w:pPr>
              <w:pStyle w:val="CDITable-RowCentre"/>
              <w:rPr>
                <w:sz w:val="16"/>
              </w:rPr>
            </w:pPr>
            <w:r w:rsidRPr="005B35C8">
              <w:rPr>
                <w:sz w:val="16"/>
              </w:rPr>
              <w:t>0.1–17.8</w:t>
            </w:r>
          </w:p>
        </w:tc>
        <w:tc>
          <w:tcPr>
            <w:tcW w:w="624" w:type="dxa"/>
            <w:tcBorders>
              <w:top w:val="single" w:sz="6" w:space="0" w:color="1E4496" w:themeColor="text2"/>
              <w:left w:val="single" w:sz="6" w:space="0" w:color="1E4496" w:themeColor="text2"/>
              <w:bottom w:val="single" w:sz="6" w:space="0" w:color="1E4496" w:themeColor="text2"/>
            </w:tcBorders>
            <w:tcMar>
              <w:top w:w="102" w:type="dxa"/>
              <w:left w:w="113" w:type="dxa"/>
              <w:bottom w:w="102" w:type="dxa"/>
              <w:right w:w="113" w:type="dxa"/>
            </w:tcMar>
            <w:vAlign w:val="center"/>
          </w:tcPr>
          <w:p w14:paraId="7C12F951" w14:textId="77777777" w:rsidR="005B35C8" w:rsidRPr="005B35C8" w:rsidRDefault="005B35C8" w:rsidP="005B35C8">
            <w:pPr>
              <w:pStyle w:val="CDITable-RowCentre"/>
              <w:rPr>
                <w:sz w:val="16"/>
              </w:rPr>
            </w:pPr>
            <w:r w:rsidRPr="005B35C8">
              <w:rPr>
                <w:sz w:val="16"/>
              </w:rPr>
              <w:t>29</w:t>
            </w:r>
          </w:p>
        </w:tc>
        <w:tc>
          <w:tcPr>
            <w:tcW w:w="624"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7EF38525" w14:textId="77777777" w:rsidR="005B35C8" w:rsidRPr="005B35C8" w:rsidRDefault="005B35C8" w:rsidP="005B35C8">
            <w:pPr>
              <w:pStyle w:val="CDITable-RowCentre"/>
              <w:rPr>
                <w:sz w:val="16"/>
              </w:rPr>
            </w:pPr>
            <w:r w:rsidRPr="005B35C8">
              <w:rPr>
                <w:sz w:val="16"/>
              </w:rPr>
              <w:t>2</w:t>
            </w:r>
          </w:p>
        </w:tc>
        <w:tc>
          <w:tcPr>
            <w:tcW w:w="623"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5F47CBDC" w14:textId="77777777" w:rsidR="005B35C8" w:rsidRPr="005B35C8" w:rsidRDefault="005B35C8" w:rsidP="005B35C8">
            <w:pPr>
              <w:pStyle w:val="CDITable-RowCentre"/>
              <w:rPr>
                <w:sz w:val="16"/>
              </w:rPr>
            </w:pPr>
            <w:r w:rsidRPr="005B35C8">
              <w:rPr>
                <w:sz w:val="16"/>
              </w:rPr>
              <w:t>6.9</w:t>
            </w:r>
          </w:p>
        </w:tc>
        <w:tc>
          <w:tcPr>
            <w:tcW w:w="992" w:type="dxa"/>
            <w:tcBorders>
              <w:top w:val="single" w:sz="6" w:space="0" w:color="1E4496" w:themeColor="text2"/>
              <w:bottom w:val="single" w:sz="6" w:space="0" w:color="1E4496" w:themeColor="text2"/>
              <w:right w:val="single" w:sz="6" w:space="0" w:color="1E4496" w:themeColor="text2"/>
            </w:tcBorders>
            <w:tcMar>
              <w:top w:w="102" w:type="dxa"/>
              <w:left w:w="113" w:type="dxa"/>
              <w:bottom w:w="102" w:type="dxa"/>
              <w:right w:w="113" w:type="dxa"/>
            </w:tcMar>
            <w:vAlign w:val="center"/>
          </w:tcPr>
          <w:p w14:paraId="606494A8" w14:textId="77777777" w:rsidR="005B35C8" w:rsidRPr="005B35C8" w:rsidRDefault="005B35C8" w:rsidP="005B35C8">
            <w:pPr>
              <w:pStyle w:val="CDITable-RowCentre"/>
              <w:rPr>
                <w:sz w:val="16"/>
              </w:rPr>
            </w:pPr>
            <w:r w:rsidRPr="005B35C8">
              <w:rPr>
                <w:sz w:val="16"/>
              </w:rPr>
              <w:t>0.8–22.8</w:t>
            </w:r>
          </w:p>
        </w:tc>
        <w:tc>
          <w:tcPr>
            <w:tcW w:w="624" w:type="dxa"/>
            <w:tcBorders>
              <w:top w:val="single" w:sz="6" w:space="0" w:color="1E4496" w:themeColor="text2"/>
              <w:left w:val="single" w:sz="6" w:space="0" w:color="1E4496" w:themeColor="text2"/>
              <w:bottom w:val="single" w:sz="6" w:space="0" w:color="1E4496" w:themeColor="text2"/>
            </w:tcBorders>
            <w:tcMar>
              <w:top w:w="102" w:type="dxa"/>
              <w:left w:w="113" w:type="dxa"/>
              <w:bottom w:w="102" w:type="dxa"/>
              <w:right w:w="113" w:type="dxa"/>
            </w:tcMar>
            <w:vAlign w:val="center"/>
          </w:tcPr>
          <w:p w14:paraId="0DA7D3CA" w14:textId="77777777" w:rsidR="005B35C8" w:rsidRPr="005B35C8" w:rsidRDefault="005B35C8" w:rsidP="005B35C8">
            <w:pPr>
              <w:pStyle w:val="CDITable-RowCentre"/>
              <w:rPr>
                <w:sz w:val="16"/>
              </w:rPr>
            </w:pPr>
            <w:r w:rsidRPr="005B35C8">
              <w:rPr>
                <w:sz w:val="16"/>
              </w:rPr>
              <w:t>29</w:t>
            </w:r>
          </w:p>
        </w:tc>
        <w:tc>
          <w:tcPr>
            <w:tcW w:w="624"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7A74AF4A" w14:textId="77777777" w:rsidR="005B35C8" w:rsidRPr="005B35C8" w:rsidRDefault="005B35C8" w:rsidP="005B35C8">
            <w:pPr>
              <w:pStyle w:val="CDITable-RowCentre"/>
              <w:rPr>
                <w:sz w:val="16"/>
              </w:rPr>
            </w:pPr>
            <w:r w:rsidRPr="005B35C8">
              <w:rPr>
                <w:sz w:val="16"/>
              </w:rPr>
              <w:t>0</w:t>
            </w:r>
          </w:p>
        </w:tc>
        <w:tc>
          <w:tcPr>
            <w:tcW w:w="623"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6975B1F3" w14:textId="77777777" w:rsidR="005B35C8" w:rsidRPr="005B35C8" w:rsidRDefault="005B35C8" w:rsidP="005B35C8">
            <w:pPr>
              <w:pStyle w:val="CDITable-RowCentre"/>
              <w:rPr>
                <w:sz w:val="16"/>
              </w:rPr>
            </w:pPr>
            <w:r w:rsidRPr="005B35C8">
              <w:rPr>
                <w:sz w:val="16"/>
              </w:rPr>
              <w:t>0</w:t>
            </w:r>
          </w:p>
        </w:tc>
        <w:tc>
          <w:tcPr>
            <w:tcW w:w="992" w:type="dxa"/>
            <w:tcBorders>
              <w:top w:val="single" w:sz="6" w:space="0" w:color="1E4496" w:themeColor="text2"/>
              <w:bottom w:val="single" w:sz="6" w:space="0" w:color="1E4496" w:themeColor="text2"/>
              <w:right w:val="single" w:sz="6" w:space="0" w:color="1E4496" w:themeColor="text2"/>
            </w:tcBorders>
            <w:tcMar>
              <w:top w:w="102" w:type="dxa"/>
              <w:left w:w="113" w:type="dxa"/>
              <w:bottom w:w="102" w:type="dxa"/>
              <w:right w:w="113" w:type="dxa"/>
            </w:tcMar>
            <w:vAlign w:val="center"/>
          </w:tcPr>
          <w:p w14:paraId="6338B215" w14:textId="77777777" w:rsidR="005B35C8" w:rsidRPr="005B35C8" w:rsidRDefault="005B35C8" w:rsidP="005B35C8">
            <w:pPr>
              <w:pStyle w:val="CDITable-RowCentre"/>
              <w:rPr>
                <w:sz w:val="16"/>
              </w:rPr>
            </w:pPr>
            <w:r w:rsidRPr="005B35C8">
              <w:rPr>
                <w:sz w:val="16"/>
              </w:rPr>
              <w:t>—</w:t>
            </w:r>
          </w:p>
        </w:tc>
        <w:tc>
          <w:tcPr>
            <w:tcW w:w="624" w:type="dxa"/>
            <w:tcBorders>
              <w:top w:val="single" w:sz="6" w:space="0" w:color="1E4496" w:themeColor="text2"/>
              <w:left w:val="single" w:sz="6" w:space="0" w:color="1E4496" w:themeColor="text2"/>
              <w:bottom w:val="single" w:sz="6" w:space="0" w:color="1E4496" w:themeColor="text2"/>
            </w:tcBorders>
            <w:tcMar>
              <w:top w:w="102" w:type="dxa"/>
              <w:left w:w="113" w:type="dxa"/>
              <w:bottom w:w="102" w:type="dxa"/>
              <w:right w:w="113" w:type="dxa"/>
            </w:tcMar>
            <w:vAlign w:val="center"/>
          </w:tcPr>
          <w:p w14:paraId="1114C4AC" w14:textId="77777777" w:rsidR="005B35C8" w:rsidRPr="005B35C8" w:rsidRDefault="005B35C8" w:rsidP="005B35C8">
            <w:pPr>
              <w:pStyle w:val="CDITable-RowCentre"/>
              <w:rPr>
                <w:sz w:val="16"/>
              </w:rPr>
            </w:pPr>
            <w:r w:rsidRPr="005B35C8">
              <w:rPr>
                <w:sz w:val="16"/>
              </w:rPr>
              <w:t>29</w:t>
            </w:r>
          </w:p>
        </w:tc>
        <w:tc>
          <w:tcPr>
            <w:tcW w:w="624"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64C9A352" w14:textId="77777777" w:rsidR="005B35C8" w:rsidRPr="005B35C8" w:rsidRDefault="005B35C8" w:rsidP="005B35C8">
            <w:pPr>
              <w:pStyle w:val="CDITable-RowCentre"/>
              <w:rPr>
                <w:sz w:val="16"/>
              </w:rPr>
            </w:pPr>
            <w:r w:rsidRPr="005B35C8">
              <w:rPr>
                <w:sz w:val="16"/>
              </w:rPr>
              <w:t>3</w:t>
            </w:r>
          </w:p>
        </w:tc>
        <w:tc>
          <w:tcPr>
            <w:tcW w:w="623"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268B5A68" w14:textId="77777777" w:rsidR="005B35C8" w:rsidRPr="005B35C8" w:rsidRDefault="005B35C8" w:rsidP="005B35C8">
            <w:pPr>
              <w:pStyle w:val="CDITable-RowCentre"/>
              <w:rPr>
                <w:sz w:val="16"/>
              </w:rPr>
            </w:pPr>
            <w:r w:rsidRPr="005B35C8">
              <w:rPr>
                <w:sz w:val="16"/>
              </w:rPr>
              <w:t>10.3</w:t>
            </w:r>
          </w:p>
        </w:tc>
        <w:tc>
          <w:tcPr>
            <w:tcW w:w="992"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4B18048C" w14:textId="77777777" w:rsidR="005B35C8" w:rsidRPr="005B35C8" w:rsidRDefault="005B35C8" w:rsidP="005B35C8">
            <w:pPr>
              <w:pStyle w:val="CDITable-RowCentre"/>
              <w:rPr>
                <w:sz w:val="16"/>
              </w:rPr>
            </w:pPr>
            <w:r w:rsidRPr="005B35C8">
              <w:rPr>
                <w:sz w:val="16"/>
              </w:rPr>
              <w:t>2.2–27.4</w:t>
            </w:r>
          </w:p>
        </w:tc>
      </w:tr>
      <w:tr w:rsidR="005B35C8" w:rsidRPr="005B35C8" w14:paraId="3436153B" w14:textId="77777777" w:rsidTr="005B35C8">
        <w:trPr>
          <w:trHeight w:val="60"/>
        </w:trPr>
        <w:tc>
          <w:tcPr>
            <w:tcW w:w="1417" w:type="dxa"/>
            <w:vMerge/>
            <w:tcBorders>
              <w:bottom w:val="single" w:sz="6" w:space="0" w:color="1E4496" w:themeColor="text2"/>
            </w:tcBorders>
            <w:shd w:val="clear" w:color="auto" w:fill="DCF4FC" w:themeFill="background2" w:themeFillTint="33"/>
            <w:tcMar>
              <w:top w:w="102" w:type="dxa"/>
              <w:bottom w:w="102" w:type="dxa"/>
            </w:tcMar>
          </w:tcPr>
          <w:p w14:paraId="2A81D823" w14:textId="77777777" w:rsidR="005B35C8" w:rsidRPr="005B35C8" w:rsidRDefault="005B35C8" w:rsidP="005B35C8"/>
        </w:tc>
        <w:tc>
          <w:tcPr>
            <w:tcW w:w="1474"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524D8D1B" w14:textId="77777777" w:rsidR="005B35C8" w:rsidRPr="005B35C8" w:rsidRDefault="005B35C8" w:rsidP="005B35C8">
            <w:pPr>
              <w:pStyle w:val="CDITable-RowLeft"/>
              <w:rPr>
                <w:sz w:val="16"/>
              </w:rPr>
            </w:pPr>
            <w:r w:rsidRPr="005B35C8">
              <w:rPr>
                <w:sz w:val="16"/>
              </w:rPr>
              <w:t>Vic.</w:t>
            </w:r>
          </w:p>
        </w:tc>
        <w:tc>
          <w:tcPr>
            <w:tcW w:w="624"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042B2F36" w14:textId="77777777" w:rsidR="005B35C8" w:rsidRPr="005B35C8" w:rsidRDefault="005B35C8" w:rsidP="005B35C8">
            <w:pPr>
              <w:pStyle w:val="CDITable-RowCentre"/>
              <w:rPr>
                <w:sz w:val="16"/>
              </w:rPr>
            </w:pPr>
            <w:r w:rsidRPr="005B35C8">
              <w:rPr>
                <w:sz w:val="16"/>
              </w:rPr>
              <w:t>252</w:t>
            </w:r>
          </w:p>
        </w:tc>
        <w:tc>
          <w:tcPr>
            <w:tcW w:w="624"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07BEDB66" w14:textId="77777777" w:rsidR="005B35C8" w:rsidRPr="005B35C8" w:rsidRDefault="005B35C8" w:rsidP="005B35C8">
            <w:pPr>
              <w:pStyle w:val="CDITable-RowCentre"/>
              <w:rPr>
                <w:sz w:val="16"/>
              </w:rPr>
            </w:pPr>
            <w:r w:rsidRPr="005B35C8">
              <w:rPr>
                <w:sz w:val="16"/>
              </w:rPr>
              <w:t>32</w:t>
            </w:r>
          </w:p>
        </w:tc>
        <w:tc>
          <w:tcPr>
            <w:tcW w:w="623"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3FF3950C" w14:textId="77777777" w:rsidR="005B35C8" w:rsidRPr="005B35C8" w:rsidRDefault="005B35C8" w:rsidP="005B35C8">
            <w:pPr>
              <w:pStyle w:val="CDITable-RowCentre"/>
              <w:rPr>
                <w:sz w:val="16"/>
              </w:rPr>
            </w:pPr>
            <w:r w:rsidRPr="005B35C8">
              <w:rPr>
                <w:sz w:val="16"/>
              </w:rPr>
              <w:t>12.7</w:t>
            </w:r>
          </w:p>
        </w:tc>
        <w:tc>
          <w:tcPr>
            <w:tcW w:w="992" w:type="dxa"/>
            <w:tcBorders>
              <w:top w:val="single" w:sz="6" w:space="0" w:color="1E4496" w:themeColor="text2"/>
              <w:bottom w:val="single" w:sz="6" w:space="0" w:color="1E4496" w:themeColor="text2"/>
              <w:right w:val="single" w:sz="6" w:space="0" w:color="1E4496" w:themeColor="text2"/>
            </w:tcBorders>
            <w:tcMar>
              <w:top w:w="102" w:type="dxa"/>
              <w:left w:w="113" w:type="dxa"/>
              <w:bottom w:w="102" w:type="dxa"/>
              <w:right w:w="113" w:type="dxa"/>
            </w:tcMar>
            <w:vAlign w:val="center"/>
          </w:tcPr>
          <w:p w14:paraId="7EA9C1A6" w14:textId="77777777" w:rsidR="005B35C8" w:rsidRPr="005B35C8" w:rsidRDefault="005B35C8" w:rsidP="005B35C8">
            <w:pPr>
              <w:pStyle w:val="CDITable-RowCentre"/>
              <w:rPr>
                <w:sz w:val="16"/>
              </w:rPr>
            </w:pPr>
            <w:r w:rsidRPr="005B35C8">
              <w:rPr>
                <w:sz w:val="16"/>
              </w:rPr>
              <w:t>8.9–17.5</w:t>
            </w:r>
          </w:p>
        </w:tc>
        <w:tc>
          <w:tcPr>
            <w:tcW w:w="624" w:type="dxa"/>
            <w:tcBorders>
              <w:top w:val="single" w:sz="6" w:space="0" w:color="1E4496" w:themeColor="text2"/>
              <w:left w:val="single" w:sz="6" w:space="0" w:color="1E4496" w:themeColor="text2"/>
              <w:bottom w:val="single" w:sz="6" w:space="0" w:color="1E4496" w:themeColor="text2"/>
            </w:tcBorders>
            <w:tcMar>
              <w:top w:w="102" w:type="dxa"/>
              <w:left w:w="113" w:type="dxa"/>
              <w:bottom w:w="102" w:type="dxa"/>
              <w:right w:w="113" w:type="dxa"/>
            </w:tcMar>
            <w:vAlign w:val="center"/>
          </w:tcPr>
          <w:p w14:paraId="51770AC5" w14:textId="77777777" w:rsidR="005B35C8" w:rsidRPr="005B35C8" w:rsidRDefault="005B35C8" w:rsidP="005B35C8">
            <w:pPr>
              <w:pStyle w:val="CDITable-RowCentre"/>
              <w:rPr>
                <w:sz w:val="16"/>
              </w:rPr>
            </w:pPr>
            <w:r w:rsidRPr="005B35C8">
              <w:rPr>
                <w:sz w:val="16"/>
              </w:rPr>
              <w:t>252</w:t>
            </w:r>
          </w:p>
        </w:tc>
        <w:tc>
          <w:tcPr>
            <w:tcW w:w="624"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5EE4FF02" w14:textId="77777777" w:rsidR="005B35C8" w:rsidRPr="005B35C8" w:rsidRDefault="005B35C8" w:rsidP="005B35C8">
            <w:pPr>
              <w:pStyle w:val="CDITable-RowCentre"/>
              <w:rPr>
                <w:sz w:val="16"/>
              </w:rPr>
            </w:pPr>
            <w:r w:rsidRPr="005B35C8">
              <w:rPr>
                <w:sz w:val="16"/>
              </w:rPr>
              <w:t>35</w:t>
            </w:r>
          </w:p>
        </w:tc>
        <w:tc>
          <w:tcPr>
            <w:tcW w:w="623"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1217C898" w14:textId="77777777" w:rsidR="005B35C8" w:rsidRPr="005B35C8" w:rsidRDefault="005B35C8" w:rsidP="005B35C8">
            <w:pPr>
              <w:pStyle w:val="CDITable-RowCentre"/>
              <w:rPr>
                <w:sz w:val="16"/>
              </w:rPr>
            </w:pPr>
            <w:r w:rsidRPr="005B35C8">
              <w:rPr>
                <w:sz w:val="16"/>
              </w:rPr>
              <w:t>13.9</w:t>
            </w:r>
          </w:p>
        </w:tc>
        <w:tc>
          <w:tcPr>
            <w:tcW w:w="992" w:type="dxa"/>
            <w:tcBorders>
              <w:top w:val="single" w:sz="6" w:space="0" w:color="1E4496" w:themeColor="text2"/>
              <w:bottom w:val="single" w:sz="6" w:space="0" w:color="1E4496" w:themeColor="text2"/>
              <w:right w:val="single" w:sz="6" w:space="0" w:color="1E4496" w:themeColor="text2"/>
            </w:tcBorders>
            <w:tcMar>
              <w:top w:w="102" w:type="dxa"/>
              <w:left w:w="113" w:type="dxa"/>
              <w:bottom w:w="102" w:type="dxa"/>
              <w:right w:w="113" w:type="dxa"/>
            </w:tcMar>
            <w:vAlign w:val="center"/>
          </w:tcPr>
          <w:p w14:paraId="35773308" w14:textId="77777777" w:rsidR="005B35C8" w:rsidRPr="005B35C8" w:rsidRDefault="005B35C8" w:rsidP="005B35C8">
            <w:pPr>
              <w:pStyle w:val="CDITable-RowCentre"/>
              <w:rPr>
                <w:sz w:val="16"/>
              </w:rPr>
            </w:pPr>
            <w:r w:rsidRPr="005B35C8">
              <w:rPr>
                <w:sz w:val="16"/>
              </w:rPr>
              <w:t>9.9–18.8</w:t>
            </w:r>
          </w:p>
        </w:tc>
        <w:tc>
          <w:tcPr>
            <w:tcW w:w="624" w:type="dxa"/>
            <w:tcBorders>
              <w:top w:val="single" w:sz="6" w:space="0" w:color="1E4496" w:themeColor="text2"/>
              <w:left w:val="single" w:sz="6" w:space="0" w:color="1E4496" w:themeColor="text2"/>
              <w:bottom w:val="single" w:sz="6" w:space="0" w:color="1E4496" w:themeColor="text2"/>
            </w:tcBorders>
            <w:tcMar>
              <w:top w:w="102" w:type="dxa"/>
              <w:left w:w="113" w:type="dxa"/>
              <w:bottom w:w="102" w:type="dxa"/>
              <w:right w:w="113" w:type="dxa"/>
            </w:tcMar>
            <w:vAlign w:val="center"/>
          </w:tcPr>
          <w:p w14:paraId="38ED7C25" w14:textId="77777777" w:rsidR="005B35C8" w:rsidRPr="005B35C8" w:rsidRDefault="005B35C8" w:rsidP="005B35C8">
            <w:pPr>
              <w:pStyle w:val="CDITable-RowCentre"/>
              <w:rPr>
                <w:sz w:val="16"/>
              </w:rPr>
            </w:pPr>
            <w:r w:rsidRPr="005B35C8">
              <w:rPr>
                <w:sz w:val="16"/>
              </w:rPr>
              <w:t>245</w:t>
            </w:r>
          </w:p>
        </w:tc>
        <w:tc>
          <w:tcPr>
            <w:tcW w:w="624"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09C060CD" w14:textId="77777777" w:rsidR="005B35C8" w:rsidRPr="005B35C8" w:rsidRDefault="005B35C8" w:rsidP="005B35C8">
            <w:pPr>
              <w:pStyle w:val="CDITable-RowCentre"/>
              <w:rPr>
                <w:sz w:val="16"/>
              </w:rPr>
            </w:pPr>
            <w:r w:rsidRPr="005B35C8">
              <w:rPr>
                <w:sz w:val="16"/>
              </w:rPr>
              <w:t>23</w:t>
            </w:r>
          </w:p>
        </w:tc>
        <w:tc>
          <w:tcPr>
            <w:tcW w:w="623"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344E4548" w14:textId="77777777" w:rsidR="005B35C8" w:rsidRPr="005B35C8" w:rsidRDefault="005B35C8" w:rsidP="005B35C8">
            <w:pPr>
              <w:pStyle w:val="CDITable-RowCentre"/>
              <w:rPr>
                <w:sz w:val="16"/>
              </w:rPr>
            </w:pPr>
            <w:r w:rsidRPr="005B35C8">
              <w:rPr>
                <w:sz w:val="16"/>
              </w:rPr>
              <w:t>9.4</w:t>
            </w:r>
          </w:p>
        </w:tc>
        <w:tc>
          <w:tcPr>
            <w:tcW w:w="992" w:type="dxa"/>
            <w:tcBorders>
              <w:top w:val="single" w:sz="6" w:space="0" w:color="1E4496" w:themeColor="text2"/>
              <w:bottom w:val="single" w:sz="6" w:space="0" w:color="1E4496" w:themeColor="text2"/>
              <w:right w:val="single" w:sz="6" w:space="0" w:color="1E4496" w:themeColor="text2"/>
            </w:tcBorders>
            <w:tcMar>
              <w:top w:w="102" w:type="dxa"/>
              <w:left w:w="113" w:type="dxa"/>
              <w:bottom w:w="102" w:type="dxa"/>
              <w:right w:w="113" w:type="dxa"/>
            </w:tcMar>
            <w:vAlign w:val="center"/>
          </w:tcPr>
          <w:p w14:paraId="39C4A676" w14:textId="77777777" w:rsidR="005B35C8" w:rsidRPr="005B35C8" w:rsidRDefault="005B35C8" w:rsidP="005B35C8">
            <w:pPr>
              <w:pStyle w:val="CDITable-RowCentre"/>
              <w:rPr>
                <w:sz w:val="16"/>
              </w:rPr>
            </w:pPr>
            <w:r w:rsidRPr="005B35C8">
              <w:rPr>
                <w:sz w:val="16"/>
              </w:rPr>
              <w:t>6.0–13.8</w:t>
            </w:r>
          </w:p>
        </w:tc>
        <w:tc>
          <w:tcPr>
            <w:tcW w:w="624" w:type="dxa"/>
            <w:tcBorders>
              <w:top w:val="single" w:sz="6" w:space="0" w:color="1E4496" w:themeColor="text2"/>
              <w:left w:val="single" w:sz="6" w:space="0" w:color="1E4496" w:themeColor="text2"/>
              <w:bottom w:val="single" w:sz="6" w:space="0" w:color="1E4496" w:themeColor="text2"/>
            </w:tcBorders>
            <w:tcMar>
              <w:top w:w="102" w:type="dxa"/>
              <w:left w:w="113" w:type="dxa"/>
              <w:bottom w:w="102" w:type="dxa"/>
              <w:right w:w="113" w:type="dxa"/>
            </w:tcMar>
            <w:vAlign w:val="center"/>
          </w:tcPr>
          <w:p w14:paraId="4832C566" w14:textId="77777777" w:rsidR="005B35C8" w:rsidRPr="005B35C8" w:rsidRDefault="005B35C8" w:rsidP="005B35C8">
            <w:pPr>
              <w:pStyle w:val="CDITable-RowCentre"/>
              <w:rPr>
                <w:sz w:val="16"/>
              </w:rPr>
            </w:pPr>
            <w:r w:rsidRPr="005B35C8">
              <w:rPr>
                <w:sz w:val="16"/>
              </w:rPr>
              <w:t>251</w:t>
            </w:r>
          </w:p>
        </w:tc>
        <w:tc>
          <w:tcPr>
            <w:tcW w:w="624"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5ECBAD4C" w14:textId="77777777" w:rsidR="005B35C8" w:rsidRPr="005B35C8" w:rsidRDefault="005B35C8" w:rsidP="005B35C8">
            <w:pPr>
              <w:pStyle w:val="CDITable-RowCentre"/>
              <w:rPr>
                <w:sz w:val="16"/>
              </w:rPr>
            </w:pPr>
            <w:r w:rsidRPr="005B35C8">
              <w:rPr>
                <w:sz w:val="16"/>
              </w:rPr>
              <w:t>68</w:t>
            </w:r>
          </w:p>
        </w:tc>
        <w:tc>
          <w:tcPr>
            <w:tcW w:w="623"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46C4353E" w14:textId="77777777" w:rsidR="005B35C8" w:rsidRPr="005B35C8" w:rsidRDefault="005B35C8" w:rsidP="005B35C8">
            <w:pPr>
              <w:pStyle w:val="CDITable-RowCentre"/>
              <w:rPr>
                <w:sz w:val="16"/>
              </w:rPr>
            </w:pPr>
            <w:r w:rsidRPr="005B35C8">
              <w:rPr>
                <w:sz w:val="16"/>
              </w:rPr>
              <w:t>27.1</w:t>
            </w:r>
          </w:p>
        </w:tc>
        <w:tc>
          <w:tcPr>
            <w:tcW w:w="992"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703B764B" w14:textId="77777777" w:rsidR="005B35C8" w:rsidRPr="005B35C8" w:rsidRDefault="005B35C8" w:rsidP="005B35C8">
            <w:pPr>
              <w:pStyle w:val="CDITable-RowCentre"/>
              <w:rPr>
                <w:sz w:val="16"/>
              </w:rPr>
            </w:pPr>
            <w:r w:rsidRPr="005B35C8">
              <w:rPr>
                <w:sz w:val="16"/>
              </w:rPr>
              <w:t>21.7–33.0</w:t>
            </w:r>
          </w:p>
        </w:tc>
      </w:tr>
      <w:tr w:rsidR="005B35C8" w:rsidRPr="005B35C8" w14:paraId="3473631D" w14:textId="77777777" w:rsidTr="005B35C8">
        <w:trPr>
          <w:trHeight w:val="60"/>
        </w:trPr>
        <w:tc>
          <w:tcPr>
            <w:tcW w:w="1417" w:type="dxa"/>
            <w:vMerge/>
            <w:tcBorders>
              <w:bottom w:val="single" w:sz="6" w:space="0" w:color="1E4496" w:themeColor="text2"/>
            </w:tcBorders>
            <w:shd w:val="clear" w:color="auto" w:fill="DCF4FC" w:themeFill="background2" w:themeFillTint="33"/>
            <w:tcMar>
              <w:top w:w="102" w:type="dxa"/>
              <w:bottom w:w="102" w:type="dxa"/>
            </w:tcMar>
          </w:tcPr>
          <w:p w14:paraId="19D94730" w14:textId="77777777" w:rsidR="005B35C8" w:rsidRPr="005B35C8" w:rsidRDefault="005B35C8" w:rsidP="005B35C8"/>
        </w:tc>
        <w:tc>
          <w:tcPr>
            <w:tcW w:w="1474"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3F8CAC3E" w14:textId="77777777" w:rsidR="005B35C8" w:rsidRPr="005B35C8" w:rsidRDefault="005B35C8" w:rsidP="005B35C8">
            <w:pPr>
              <w:pStyle w:val="CDITable-RowLeft"/>
              <w:rPr>
                <w:sz w:val="16"/>
              </w:rPr>
            </w:pPr>
            <w:r w:rsidRPr="005B35C8">
              <w:rPr>
                <w:sz w:val="16"/>
              </w:rPr>
              <w:t>WA</w:t>
            </w:r>
          </w:p>
        </w:tc>
        <w:tc>
          <w:tcPr>
            <w:tcW w:w="624"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12B89C05" w14:textId="77777777" w:rsidR="005B35C8" w:rsidRPr="005B35C8" w:rsidRDefault="005B35C8" w:rsidP="005B35C8">
            <w:pPr>
              <w:pStyle w:val="CDITable-RowCentre"/>
              <w:rPr>
                <w:sz w:val="16"/>
              </w:rPr>
            </w:pPr>
            <w:r w:rsidRPr="005B35C8">
              <w:rPr>
                <w:sz w:val="16"/>
              </w:rPr>
              <w:t>104</w:t>
            </w:r>
          </w:p>
        </w:tc>
        <w:tc>
          <w:tcPr>
            <w:tcW w:w="624"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4F4628F5" w14:textId="77777777" w:rsidR="005B35C8" w:rsidRPr="005B35C8" w:rsidRDefault="005B35C8" w:rsidP="005B35C8">
            <w:pPr>
              <w:pStyle w:val="CDITable-RowCentre"/>
              <w:rPr>
                <w:sz w:val="16"/>
              </w:rPr>
            </w:pPr>
            <w:r w:rsidRPr="005B35C8">
              <w:rPr>
                <w:sz w:val="16"/>
              </w:rPr>
              <w:t>4</w:t>
            </w:r>
          </w:p>
        </w:tc>
        <w:tc>
          <w:tcPr>
            <w:tcW w:w="623"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519E213C" w14:textId="77777777" w:rsidR="005B35C8" w:rsidRPr="005B35C8" w:rsidRDefault="005B35C8" w:rsidP="005B35C8">
            <w:pPr>
              <w:pStyle w:val="CDITable-RowCentre"/>
              <w:rPr>
                <w:sz w:val="16"/>
              </w:rPr>
            </w:pPr>
            <w:r w:rsidRPr="005B35C8">
              <w:rPr>
                <w:sz w:val="16"/>
              </w:rPr>
              <w:t>3.8</w:t>
            </w:r>
          </w:p>
        </w:tc>
        <w:tc>
          <w:tcPr>
            <w:tcW w:w="992" w:type="dxa"/>
            <w:tcBorders>
              <w:top w:val="single" w:sz="6" w:space="0" w:color="1E4496" w:themeColor="text2"/>
              <w:bottom w:val="single" w:sz="6" w:space="0" w:color="1E4496" w:themeColor="text2"/>
              <w:right w:val="single" w:sz="6" w:space="0" w:color="1E4496" w:themeColor="text2"/>
            </w:tcBorders>
            <w:tcMar>
              <w:top w:w="102" w:type="dxa"/>
              <w:left w:w="113" w:type="dxa"/>
              <w:bottom w:w="102" w:type="dxa"/>
              <w:right w:w="113" w:type="dxa"/>
            </w:tcMar>
            <w:vAlign w:val="center"/>
          </w:tcPr>
          <w:p w14:paraId="3A6DD9A8" w14:textId="77777777" w:rsidR="005B35C8" w:rsidRPr="005B35C8" w:rsidRDefault="005B35C8" w:rsidP="005B35C8">
            <w:pPr>
              <w:pStyle w:val="CDITable-RowCentre"/>
              <w:rPr>
                <w:sz w:val="16"/>
              </w:rPr>
            </w:pPr>
            <w:r w:rsidRPr="005B35C8">
              <w:rPr>
                <w:sz w:val="16"/>
              </w:rPr>
              <w:t>1.1–9.6</w:t>
            </w:r>
          </w:p>
        </w:tc>
        <w:tc>
          <w:tcPr>
            <w:tcW w:w="624" w:type="dxa"/>
            <w:tcBorders>
              <w:top w:val="single" w:sz="6" w:space="0" w:color="1E4496" w:themeColor="text2"/>
              <w:left w:val="single" w:sz="6" w:space="0" w:color="1E4496" w:themeColor="text2"/>
              <w:bottom w:val="single" w:sz="6" w:space="0" w:color="1E4496" w:themeColor="text2"/>
            </w:tcBorders>
            <w:tcMar>
              <w:top w:w="102" w:type="dxa"/>
              <w:left w:w="113" w:type="dxa"/>
              <w:bottom w:w="102" w:type="dxa"/>
              <w:right w:w="113" w:type="dxa"/>
            </w:tcMar>
            <w:vAlign w:val="center"/>
          </w:tcPr>
          <w:p w14:paraId="2343DA39" w14:textId="77777777" w:rsidR="005B35C8" w:rsidRPr="005B35C8" w:rsidRDefault="005B35C8" w:rsidP="005B35C8">
            <w:pPr>
              <w:pStyle w:val="CDITable-RowCentre"/>
              <w:rPr>
                <w:sz w:val="16"/>
              </w:rPr>
            </w:pPr>
            <w:r w:rsidRPr="005B35C8">
              <w:rPr>
                <w:sz w:val="16"/>
              </w:rPr>
              <w:t>104</w:t>
            </w:r>
          </w:p>
        </w:tc>
        <w:tc>
          <w:tcPr>
            <w:tcW w:w="624"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7D178E86" w14:textId="77777777" w:rsidR="005B35C8" w:rsidRPr="005B35C8" w:rsidRDefault="005B35C8" w:rsidP="005B35C8">
            <w:pPr>
              <w:pStyle w:val="CDITable-RowCentre"/>
              <w:rPr>
                <w:sz w:val="16"/>
              </w:rPr>
            </w:pPr>
            <w:r w:rsidRPr="005B35C8">
              <w:rPr>
                <w:sz w:val="16"/>
              </w:rPr>
              <w:t>7</w:t>
            </w:r>
          </w:p>
        </w:tc>
        <w:tc>
          <w:tcPr>
            <w:tcW w:w="623"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0BC3B85F" w14:textId="77777777" w:rsidR="005B35C8" w:rsidRPr="005B35C8" w:rsidRDefault="005B35C8" w:rsidP="005B35C8">
            <w:pPr>
              <w:pStyle w:val="CDITable-RowCentre"/>
              <w:rPr>
                <w:sz w:val="16"/>
              </w:rPr>
            </w:pPr>
            <w:r w:rsidRPr="005B35C8">
              <w:rPr>
                <w:sz w:val="16"/>
              </w:rPr>
              <w:t>6.7</w:t>
            </w:r>
          </w:p>
        </w:tc>
        <w:tc>
          <w:tcPr>
            <w:tcW w:w="992" w:type="dxa"/>
            <w:tcBorders>
              <w:top w:val="single" w:sz="6" w:space="0" w:color="1E4496" w:themeColor="text2"/>
              <w:bottom w:val="single" w:sz="6" w:space="0" w:color="1E4496" w:themeColor="text2"/>
              <w:right w:val="single" w:sz="6" w:space="0" w:color="1E4496" w:themeColor="text2"/>
            </w:tcBorders>
            <w:tcMar>
              <w:top w:w="102" w:type="dxa"/>
              <w:left w:w="113" w:type="dxa"/>
              <w:bottom w:w="102" w:type="dxa"/>
              <w:right w:w="113" w:type="dxa"/>
            </w:tcMar>
            <w:vAlign w:val="center"/>
          </w:tcPr>
          <w:p w14:paraId="6E84DA91" w14:textId="77777777" w:rsidR="005B35C8" w:rsidRPr="005B35C8" w:rsidRDefault="005B35C8" w:rsidP="005B35C8">
            <w:pPr>
              <w:pStyle w:val="CDITable-RowCentre"/>
              <w:rPr>
                <w:sz w:val="16"/>
              </w:rPr>
            </w:pPr>
            <w:r w:rsidRPr="005B35C8">
              <w:rPr>
                <w:sz w:val="16"/>
              </w:rPr>
              <w:t>2.7–13.4</w:t>
            </w:r>
          </w:p>
        </w:tc>
        <w:tc>
          <w:tcPr>
            <w:tcW w:w="624" w:type="dxa"/>
            <w:tcBorders>
              <w:top w:val="single" w:sz="6" w:space="0" w:color="1E4496" w:themeColor="text2"/>
              <w:left w:val="single" w:sz="6" w:space="0" w:color="1E4496" w:themeColor="text2"/>
              <w:bottom w:val="single" w:sz="6" w:space="0" w:color="1E4496" w:themeColor="text2"/>
            </w:tcBorders>
            <w:tcMar>
              <w:top w:w="102" w:type="dxa"/>
              <w:left w:w="113" w:type="dxa"/>
              <w:bottom w:w="102" w:type="dxa"/>
              <w:right w:w="113" w:type="dxa"/>
            </w:tcMar>
            <w:vAlign w:val="center"/>
          </w:tcPr>
          <w:p w14:paraId="79C1E682" w14:textId="77777777" w:rsidR="005B35C8" w:rsidRPr="005B35C8" w:rsidRDefault="005B35C8" w:rsidP="005B35C8">
            <w:pPr>
              <w:pStyle w:val="CDITable-RowCentre"/>
              <w:rPr>
                <w:sz w:val="16"/>
              </w:rPr>
            </w:pPr>
            <w:r w:rsidRPr="005B35C8">
              <w:rPr>
                <w:sz w:val="16"/>
              </w:rPr>
              <w:t>102</w:t>
            </w:r>
          </w:p>
        </w:tc>
        <w:tc>
          <w:tcPr>
            <w:tcW w:w="624"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1EB4F08E" w14:textId="77777777" w:rsidR="005B35C8" w:rsidRPr="005B35C8" w:rsidRDefault="005B35C8" w:rsidP="005B35C8">
            <w:pPr>
              <w:pStyle w:val="CDITable-RowCentre"/>
              <w:rPr>
                <w:sz w:val="16"/>
              </w:rPr>
            </w:pPr>
            <w:r w:rsidRPr="005B35C8">
              <w:rPr>
                <w:sz w:val="16"/>
              </w:rPr>
              <w:t>4</w:t>
            </w:r>
          </w:p>
        </w:tc>
        <w:tc>
          <w:tcPr>
            <w:tcW w:w="623"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1E7D3DA5" w14:textId="77777777" w:rsidR="005B35C8" w:rsidRPr="005B35C8" w:rsidRDefault="005B35C8" w:rsidP="005B35C8">
            <w:pPr>
              <w:pStyle w:val="CDITable-RowCentre"/>
              <w:rPr>
                <w:sz w:val="16"/>
              </w:rPr>
            </w:pPr>
            <w:r w:rsidRPr="005B35C8">
              <w:rPr>
                <w:sz w:val="16"/>
              </w:rPr>
              <w:t>3.9</w:t>
            </w:r>
          </w:p>
        </w:tc>
        <w:tc>
          <w:tcPr>
            <w:tcW w:w="992" w:type="dxa"/>
            <w:tcBorders>
              <w:top w:val="single" w:sz="6" w:space="0" w:color="1E4496" w:themeColor="text2"/>
              <w:bottom w:val="single" w:sz="6" w:space="0" w:color="1E4496" w:themeColor="text2"/>
              <w:right w:val="single" w:sz="6" w:space="0" w:color="1E4496" w:themeColor="text2"/>
            </w:tcBorders>
            <w:tcMar>
              <w:top w:w="102" w:type="dxa"/>
              <w:left w:w="113" w:type="dxa"/>
              <w:bottom w:w="102" w:type="dxa"/>
              <w:right w:w="113" w:type="dxa"/>
            </w:tcMar>
            <w:vAlign w:val="center"/>
          </w:tcPr>
          <w:p w14:paraId="45B2B669" w14:textId="77777777" w:rsidR="005B35C8" w:rsidRPr="005B35C8" w:rsidRDefault="005B35C8" w:rsidP="005B35C8">
            <w:pPr>
              <w:pStyle w:val="CDITable-RowCentre"/>
              <w:rPr>
                <w:sz w:val="16"/>
              </w:rPr>
            </w:pPr>
            <w:r w:rsidRPr="005B35C8">
              <w:rPr>
                <w:sz w:val="16"/>
              </w:rPr>
              <w:t>1.1–9.7</w:t>
            </w:r>
          </w:p>
        </w:tc>
        <w:tc>
          <w:tcPr>
            <w:tcW w:w="624" w:type="dxa"/>
            <w:tcBorders>
              <w:top w:val="single" w:sz="6" w:space="0" w:color="1E4496" w:themeColor="text2"/>
              <w:left w:val="single" w:sz="6" w:space="0" w:color="1E4496" w:themeColor="text2"/>
              <w:bottom w:val="single" w:sz="6" w:space="0" w:color="1E4496" w:themeColor="text2"/>
            </w:tcBorders>
            <w:tcMar>
              <w:top w:w="102" w:type="dxa"/>
              <w:left w:w="113" w:type="dxa"/>
              <w:bottom w:w="102" w:type="dxa"/>
              <w:right w:w="113" w:type="dxa"/>
            </w:tcMar>
            <w:vAlign w:val="center"/>
          </w:tcPr>
          <w:p w14:paraId="740CC151" w14:textId="77777777" w:rsidR="005B35C8" w:rsidRPr="005B35C8" w:rsidRDefault="005B35C8" w:rsidP="005B35C8">
            <w:pPr>
              <w:pStyle w:val="CDITable-RowCentre"/>
              <w:rPr>
                <w:sz w:val="16"/>
              </w:rPr>
            </w:pPr>
            <w:r w:rsidRPr="005B35C8">
              <w:rPr>
                <w:sz w:val="16"/>
              </w:rPr>
              <w:t>104</w:t>
            </w:r>
          </w:p>
        </w:tc>
        <w:tc>
          <w:tcPr>
            <w:tcW w:w="624"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28614533" w14:textId="77777777" w:rsidR="005B35C8" w:rsidRPr="005B35C8" w:rsidRDefault="005B35C8" w:rsidP="005B35C8">
            <w:pPr>
              <w:pStyle w:val="CDITable-RowCentre"/>
              <w:rPr>
                <w:sz w:val="16"/>
              </w:rPr>
            </w:pPr>
            <w:r w:rsidRPr="005B35C8">
              <w:rPr>
                <w:sz w:val="16"/>
              </w:rPr>
              <w:t>18</w:t>
            </w:r>
          </w:p>
        </w:tc>
        <w:tc>
          <w:tcPr>
            <w:tcW w:w="623"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36A88A46" w14:textId="77777777" w:rsidR="005B35C8" w:rsidRPr="005B35C8" w:rsidRDefault="005B35C8" w:rsidP="005B35C8">
            <w:pPr>
              <w:pStyle w:val="CDITable-RowCentre"/>
              <w:rPr>
                <w:sz w:val="16"/>
              </w:rPr>
            </w:pPr>
            <w:r w:rsidRPr="005B35C8">
              <w:rPr>
                <w:sz w:val="16"/>
              </w:rPr>
              <w:t>17.3</w:t>
            </w:r>
          </w:p>
        </w:tc>
        <w:tc>
          <w:tcPr>
            <w:tcW w:w="992"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7ACD639C" w14:textId="77777777" w:rsidR="005B35C8" w:rsidRPr="005B35C8" w:rsidRDefault="005B35C8" w:rsidP="005B35C8">
            <w:pPr>
              <w:pStyle w:val="CDITable-RowCentre"/>
              <w:rPr>
                <w:sz w:val="16"/>
              </w:rPr>
            </w:pPr>
            <w:r w:rsidRPr="005B35C8">
              <w:rPr>
                <w:sz w:val="16"/>
              </w:rPr>
              <w:t>10.6–26.0</w:t>
            </w:r>
          </w:p>
        </w:tc>
      </w:tr>
      <w:tr w:rsidR="005B35C8" w:rsidRPr="005B35C8" w14:paraId="1FF04920" w14:textId="77777777" w:rsidTr="005B35C8">
        <w:trPr>
          <w:trHeight w:val="60"/>
        </w:trPr>
        <w:tc>
          <w:tcPr>
            <w:tcW w:w="1417" w:type="dxa"/>
            <w:vMerge w:val="restart"/>
            <w:tcBorders>
              <w:top w:val="single" w:sz="6" w:space="0" w:color="1E4496" w:themeColor="text2"/>
              <w:bottom w:val="single" w:sz="6" w:space="0" w:color="1E4496" w:themeColor="text2"/>
            </w:tcBorders>
            <w:shd w:val="clear" w:color="auto" w:fill="DCF4FC" w:themeFill="background2" w:themeFillTint="33"/>
            <w:tcMar>
              <w:top w:w="102" w:type="dxa"/>
              <w:left w:w="113" w:type="dxa"/>
              <w:bottom w:w="102" w:type="dxa"/>
              <w:right w:w="113" w:type="dxa"/>
            </w:tcMar>
            <w:vAlign w:val="center"/>
          </w:tcPr>
          <w:p w14:paraId="49AE2AB9" w14:textId="77777777" w:rsidR="005B35C8" w:rsidRPr="005B35C8" w:rsidRDefault="005B35C8" w:rsidP="005B35C8">
            <w:pPr>
              <w:pStyle w:val="CDITable-RowLeft"/>
              <w:rPr>
                <w:sz w:val="16"/>
              </w:rPr>
            </w:pPr>
            <w:r w:rsidRPr="005B35C8">
              <w:rPr>
                <w:sz w:val="16"/>
              </w:rPr>
              <w:t>Age group</w:t>
            </w:r>
          </w:p>
        </w:tc>
        <w:tc>
          <w:tcPr>
            <w:tcW w:w="1474"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39A9D738" w14:textId="77777777" w:rsidR="005B35C8" w:rsidRPr="005B35C8" w:rsidRDefault="005B35C8" w:rsidP="005B35C8">
            <w:pPr>
              <w:pStyle w:val="CDITable-RowLeft"/>
              <w:rPr>
                <w:sz w:val="16"/>
              </w:rPr>
            </w:pPr>
            <w:r w:rsidRPr="005B35C8">
              <w:rPr>
                <w:sz w:val="16"/>
              </w:rPr>
              <w:t>≤ 28 days</w:t>
            </w:r>
          </w:p>
        </w:tc>
        <w:tc>
          <w:tcPr>
            <w:tcW w:w="624"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43B25B48" w14:textId="77777777" w:rsidR="005B35C8" w:rsidRPr="005B35C8" w:rsidRDefault="005B35C8" w:rsidP="005B35C8">
            <w:pPr>
              <w:pStyle w:val="CDITable-RowCentre"/>
              <w:rPr>
                <w:sz w:val="16"/>
              </w:rPr>
            </w:pPr>
            <w:r w:rsidRPr="005B35C8">
              <w:rPr>
                <w:sz w:val="16"/>
              </w:rPr>
              <w:t>192</w:t>
            </w:r>
          </w:p>
        </w:tc>
        <w:tc>
          <w:tcPr>
            <w:tcW w:w="624"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2C64AE20" w14:textId="77777777" w:rsidR="005B35C8" w:rsidRPr="005B35C8" w:rsidRDefault="005B35C8" w:rsidP="005B35C8">
            <w:pPr>
              <w:pStyle w:val="CDITable-RowCentre"/>
              <w:rPr>
                <w:sz w:val="16"/>
              </w:rPr>
            </w:pPr>
            <w:r w:rsidRPr="005B35C8">
              <w:rPr>
                <w:sz w:val="16"/>
              </w:rPr>
              <w:t>18</w:t>
            </w:r>
          </w:p>
        </w:tc>
        <w:tc>
          <w:tcPr>
            <w:tcW w:w="623"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2D78DAB7" w14:textId="77777777" w:rsidR="005B35C8" w:rsidRPr="005B35C8" w:rsidRDefault="005B35C8" w:rsidP="005B35C8">
            <w:pPr>
              <w:pStyle w:val="CDITable-RowCentre"/>
              <w:rPr>
                <w:sz w:val="16"/>
              </w:rPr>
            </w:pPr>
            <w:r w:rsidRPr="005B35C8">
              <w:rPr>
                <w:sz w:val="16"/>
              </w:rPr>
              <w:t>9.4</w:t>
            </w:r>
          </w:p>
        </w:tc>
        <w:tc>
          <w:tcPr>
            <w:tcW w:w="992" w:type="dxa"/>
            <w:tcBorders>
              <w:top w:val="single" w:sz="6" w:space="0" w:color="1E4496" w:themeColor="text2"/>
              <w:bottom w:val="single" w:sz="6" w:space="0" w:color="1E4496" w:themeColor="text2"/>
              <w:right w:val="single" w:sz="6" w:space="0" w:color="1E4496" w:themeColor="text2"/>
            </w:tcBorders>
            <w:tcMar>
              <w:top w:w="102" w:type="dxa"/>
              <w:left w:w="113" w:type="dxa"/>
              <w:bottom w:w="102" w:type="dxa"/>
              <w:right w:w="113" w:type="dxa"/>
            </w:tcMar>
            <w:vAlign w:val="center"/>
          </w:tcPr>
          <w:p w14:paraId="106B7733" w14:textId="77777777" w:rsidR="005B35C8" w:rsidRPr="005B35C8" w:rsidRDefault="005B35C8" w:rsidP="005B35C8">
            <w:pPr>
              <w:pStyle w:val="CDITable-RowCentre"/>
              <w:rPr>
                <w:sz w:val="16"/>
              </w:rPr>
            </w:pPr>
            <w:r w:rsidRPr="005B35C8">
              <w:rPr>
                <w:sz w:val="16"/>
              </w:rPr>
              <w:t>5.7–14.4</w:t>
            </w:r>
          </w:p>
        </w:tc>
        <w:tc>
          <w:tcPr>
            <w:tcW w:w="624" w:type="dxa"/>
            <w:tcBorders>
              <w:top w:val="single" w:sz="6" w:space="0" w:color="1E4496" w:themeColor="text2"/>
              <w:left w:val="single" w:sz="6" w:space="0" w:color="1E4496" w:themeColor="text2"/>
              <w:bottom w:val="single" w:sz="6" w:space="0" w:color="1E4496" w:themeColor="text2"/>
            </w:tcBorders>
            <w:tcMar>
              <w:top w:w="102" w:type="dxa"/>
              <w:left w:w="113" w:type="dxa"/>
              <w:bottom w:w="102" w:type="dxa"/>
              <w:right w:w="113" w:type="dxa"/>
            </w:tcMar>
            <w:vAlign w:val="center"/>
          </w:tcPr>
          <w:p w14:paraId="05C89568" w14:textId="77777777" w:rsidR="005B35C8" w:rsidRPr="005B35C8" w:rsidRDefault="005B35C8" w:rsidP="005B35C8">
            <w:pPr>
              <w:pStyle w:val="CDITable-RowCentre"/>
              <w:rPr>
                <w:sz w:val="16"/>
              </w:rPr>
            </w:pPr>
            <w:r w:rsidRPr="005B35C8">
              <w:rPr>
                <w:sz w:val="16"/>
              </w:rPr>
              <w:t>192</w:t>
            </w:r>
          </w:p>
        </w:tc>
        <w:tc>
          <w:tcPr>
            <w:tcW w:w="624"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7B185AE5" w14:textId="77777777" w:rsidR="005B35C8" w:rsidRPr="005B35C8" w:rsidRDefault="005B35C8" w:rsidP="005B35C8">
            <w:pPr>
              <w:pStyle w:val="CDITable-RowCentre"/>
              <w:rPr>
                <w:sz w:val="16"/>
              </w:rPr>
            </w:pPr>
            <w:r w:rsidRPr="005B35C8">
              <w:rPr>
                <w:sz w:val="16"/>
              </w:rPr>
              <w:t>30</w:t>
            </w:r>
          </w:p>
        </w:tc>
        <w:tc>
          <w:tcPr>
            <w:tcW w:w="623"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7063F228" w14:textId="77777777" w:rsidR="005B35C8" w:rsidRPr="005B35C8" w:rsidRDefault="005B35C8" w:rsidP="005B35C8">
            <w:pPr>
              <w:pStyle w:val="CDITable-RowCentre"/>
              <w:rPr>
                <w:sz w:val="16"/>
              </w:rPr>
            </w:pPr>
            <w:r w:rsidRPr="005B35C8">
              <w:rPr>
                <w:sz w:val="16"/>
              </w:rPr>
              <w:t>15.6</w:t>
            </w:r>
          </w:p>
        </w:tc>
        <w:tc>
          <w:tcPr>
            <w:tcW w:w="992" w:type="dxa"/>
            <w:tcBorders>
              <w:top w:val="single" w:sz="6" w:space="0" w:color="1E4496" w:themeColor="text2"/>
              <w:bottom w:val="single" w:sz="6" w:space="0" w:color="1E4496" w:themeColor="text2"/>
              <w:right w:val="single" w:sz="6" w:space="0" w:color="1E4496" w:themeColor="text2"/>
            </w:tcBorders>
            <w:tcMar>
              <w:top w:w="102" w:type="dxa"/>
              <w:left w:w="113" w:type="dxa"/>
              <w:bottom w:w="102" w:type="dxa"/>
              <w:right w:w="113" w:type="dxa"/>
            </w:tcMar>
            <w:vAlign w:val="center"/>
          </w:tcPr>
          <w:p w14:paraId="454DE92F" w14:textId="77777777" w:rsidR="005B35C8" w:rsidRPr="005B35C8" w:rsidRDefault="005B35C8" w:rsidP="005B35C8">
            <w:pPr>
              <w:pStyle w:val="CDITable-RowCentre"/>
              <w:rPr>
                <w:sz w:val="16"/>
              </w:rPr>
            </w:pPr>
            <w:r w:rsidRPr="005B35C8">
              <w:rPr>
                <w:sz w:val="16"/>
              </w:rPr>
              <w:t>10.8–21.5</w:t>
            </w:r>
          </w:p>
        </w:tc>
        <w:tc>
          <w:tcPr>
            <w:tcW w:w="624" w:type="dxa"/>
            <w:tcBorders>
              <w:top w:val="single" w:sz="6" w:space="0" w:color="1E4496" w:themeColor="text2"/>
              <w:left w:val="single" w:sz="6" w:space="0" w:color="1E4496" w:themeColor="text2"/>
              <w:bottom w:val="single" w:sz="6" w:space="0" w:color="1E4496" w:themeColor="text2"/>
            </w:tcBorders>
            <w:tcMar>
              <w:top w:w="102" w:type="dxa"/>
              <w:left w:w="113" w:type="dxa"/>
              <w:bottom w:w="102" w:type="dxa"/>
              <w:right w:w="113" w:type="dxa"/>
            </w:tcMar>
            <w:vAlign w:val="center"/>
          </w:tcPr>
          <w:p w14:paraId="58F78544" w14:textId="77777777" w:rsidR="005B35C8" w:rsidRPr="005B35C8" w:rsidRDefault="005B35C8" w:rsidP="005B35C8">
            <w:pPr>
              <w:pStyle w:val="CDITable-RowCentre"/>
              <w:rPr>
                <w:sz w:val="16"/>
              </w:rPr>
            </w:pPr>
            <w:r w:rsidRPr="005B35C8">
              <w:rPr>
                <w:sz w:val="16"/>
              </w:rPr>
              <w:t>192</w:t>
            </w:r>
          </w:p>
        </w:tc>
        <w:tc>
          <w:tcPr>
            <w:tcW w:w="624"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2AC06FB3" w14:textId="77777777" w:rsidR="005B35C8" w:rsidRPr="005B35C8" w:rsidRDefault="005B35C8" w:rsidP="005B35C8">
            <w:pPr>
              <w:pStyle w:val="CDITable-RowCentre"/>
              <w:rPr>
                <w:sz w:val="16"/>
              </w:rPr>
            </w:pPr>
            <w:r w:rsidRPr="005B35C8">
              <w:rPr>
                <w:sz w:val="16"/>
              </w:rPr>
              <w:t>10</w:t>
            </w:r>
          </w:p>
        </w:tc>
        <w:tc>
          <w:tcPr>
            <w:tcW w:w="623"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3389F261" w14:textId="77777777" w:rsidR="005B35C8" w:rsidRPr="005B35C8" w:rsidRDefault="005B35C8" w:rsidP="005B35C8">
            <w:pPr>
              <w:pStyle w:val="CDITable-RowCentre"/>
              <w:rPr>
                <w:sz w:val="16"/>
              </w:rPr>
            </w:pPr>
            <w:r w:rsidRPr="005B35C8">
              <w:rPr>
                <w:sz w:val="16"/>
              </w:rPr>
              <w:t>5.2</w:t>
            </w:r>
          </w:p>
        </w:tc>
        <w:tc>
          <w:tcPr>
            <w:tcW w:w="992" w:type="dxa"/>
            <w:tcBorders>
              <w:top w:val="single" w:sz="6" w:space="0" w:color="1E4496" w:themeColor="text2"/>
              <w:bottom w:val="single" w:sz="6" w:space="0" w:color="1E4496" w:themeColor="text2"/>
              <w:right w:val="single" w:sz="6" w:space="0" w:color="1E4496" w:themeColor="text2"/>
            </w:tcBorders>
            <w:tcMar>
              <w:top w:w="102" w:type="dxa"/>
              <w:left w:w="113" w:type="dxa"/>
              <w:bottom w:w="102" w:type="dxa"/>
              <w:right w:w="113" w:type="dxa"/>
            </w:tcMar>
            <w:vAlign w:val="center"/>
          </w:tcPr>
          <w:p w14:paraId="4E245099" w14:textId="77777777" w:rsidR="005B35C8" w:rsidRPr="005B35C8" w:rsidRDefault="005B35C8" w:rsidP="005B35C8">
            <w:pPr>
              <w:pStyle w:val="CDITable-RowCentre"/>
              <w:rPr>
                <w:sz w:val="16"/>
              </w:rPr>
            </w:pPr>
            <w:r w:rsidRPr="005B35C8">
              <w:rPr>
                <w:sz w:val="16"/>
              </w:rPr>
              <w:t>2.5–9.4</w:t>
            </w:r>
          </w:p>
        </w:tc>
        <w:tc>
          <w:tcPr>
            <w:tcW w:w="624" w:type="dxa"/>
            <w:tcBorders>
              <w:top w:val="single" w:sz="6" w:space="0" w:color="1E4496" w:themeColor="text2"/>
              <w:left w:val="single" w:sz="6" w:space="0" w:color="1E4496" w:themeColor="text2"/>
              <w:bottom w:val="single" w:sz="6" w:space="0" w:color="1E4496" w:themeColor="text2"/>
            </w:tcBorders>
            <w:tcMar>
              <w:top w:w="102" w:type="dxa"/>
              <w:left w:w="113" w:type="dxa"/>
              <w:bottom w:w="102" w:type="dxa"/>
              <w:right w:w="113" w:type="dxa"/>
            </w:tcMar>
            <w:vAlign w:val="center"/>
          </w:tcPr>
          <w:p w14:paraId="6234E3DB" w14:textId="77777777" w:rsidR="005B35C8" w:rsidRPr="005B35C8" w:rsidRDefault="005B35C8" w:rsidP="005B35C8">
            <w:pPr>
              <w:pStyle w:val="CDITable-RowCentre"/>
              <w:rPr>
                <w:sz w:val="16"/>
              </w:rPr>
            </w:pPr>
            <w:r w:rsidRPr="005B35C8">
              <w:rPr>
                <w:sz w:val="16"/>
              </w:rPr>
              <w:t>192</w:t>
            </w:r>
          </w:p>
        </w:tc>
        <w:tc>
          <w:tcPr>
            <w:tcW w:w="624"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22164671" w14:textId="77777777" w:rsidR="005B35C8" w:rsidRPr="005B35C8" w:rsidRDefault="005B35C8" w:rsidP="005B35C8">
            <w:pPr>
              <w:pStyle w:val="CDITable-RowCentre"/>
              <w:rPr>
                <w:sz w:val="16"/>
              </w:rPr>
            </w:pPr>
            <w:r w:rsidRPr="005B35C8">
              <w:rPr>
                <w:sz w:val="16"/>
              </w:rPr>
              <w:t>33</w:t>
            </w:r>
          </w:p>
        </w:tc>
        <w:tc>
          <w:tcPr>
            <w:tcW w:w="623"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4B991685" w14:textId="77777777" w:rsidR="005B35C8" w:rsidRPr="005B35C8" w:rsidRDefault="005B35C8" w:rsidP="005B35C8">
            <w:pPr>
              <w:pStyle w:val="CDITable-RowCentre"/>
              <w:rPr>
                <w:sz w:val="16"/>
              </w:rPr>
            </w:pPr>
            <w:r w:rsidRPr="005B35C8">
              <w:rPr>
                <w:sz w:val="16"/>
              </w:rPr>
              <w:t>17.2</w:t>
            </w:r>
          </w:p>
        </w:tc>
        <w:tc>
          <w:tcPr>
            <w:tcW w:w="992"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4B01D25E" w14:textId="77777777" w:rsidR="005B35C8" w:rsidRPr="005B35C8" w:rsidRDefault="005B35C8" w:rsidP="005B35C8">
            <w:pPr>
              <w:pStyle w:val="CDITable-RowCentre"/>
              <w:rPr>
                <w:sz w:val="16"/>
              </w:rPr>
            </w:pPr>
            <w:r w:rsidRPr="005B35C8">
              <w:rPr>
                <w:sz w:val="16"/>
              </w:rPr>
              <w:t>12.1–23.3</w:t>
            </w:r>
          </w:p>
        </w:tc>
      </w:tr>
      <w:tr w:rsidR="005B35C8" w:rsidRPr="005B35C8" w14:paraId="06A105C3" w14:textId="77777777" w:rsidTr="005B35C8">
        <w:trPr>
          <w:trHeight w:val="60"/>
        </w:trPr>
        <w:tc>
          <w:tcPr>
            <w:tcW w:w="1417" w:type="dxa"/>
            <w:vMerge/>
            <w:tcBorders>
              <w:bottom w:val="single" w:sz="6" w:space="0" w:color="1E4496" w:themeColor="text2"/>
            </w:tcBorders>
            <w:shd w:val="clear" w:color="auto" w:fill="DCF4FC" w:themeFill="background2" w:themeFillTint="33"/>
            <w:tcMar>
              <w:top w:w="102" w:type="dxa"/>
              <w:bottom w:w="102" w:type="dxa"/>
            </w:tcMar>
          </w:tcPr>
          <w:p w14:paraId="60321675" w14:textId="77777777" w:rsidR="005B35C8" w:rsidRPr="005B35C8" w:rsidRDefault="005B35C8" w:rsidP="005B35C8"/>
        </w:tc>
        <w:tc>
          <w:tcPr>
            <w:tcW w:w="1474"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7C946B6E" w14:textId="77777777" w:rsidR="005B35C8" w:rsidRPr="005B35C8" w:rsidRDefault="005B35C8" w:rsidP="005B35C8">
            <w:pPr>
              <w:pStyle w:val="CDITable-RowLeft"/>
              <w:rPr>
                <w:sz w:val="16"/>
              </w:rPr>
            </w:pPr>
            <w:r w:rsidRPr="005B35C8">
              <w:rPr>
                <w:sz w:val="16"/>
              </w:rPr>
              <w:t>29–90 days</w:t>
            </w:r>
          </w:p>
        </w:tc>
        <w:tc>
          <w:tcPr>
            <w:tcW w:w="624"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64EA4E80" w14:textId="77777777" w:rsidR="005B35C8" w:rsidRPr="005B35C8" w:rsidRDefault="005B35C8" w:rsidP="005B35C8">
            <w:pPr>
              <w:pStyle w:val="CDITable-RowCentre"/>
              <w:rPr>
                <w:sz w:val="16"/>
              </w:rPr>
            </w:pPr>
            <w:r w:rsidRPr="005B35C8">
              <w:rPr>
                <w:sz w:val="16"/>
              </w:rPr>
              <w:t>108</w:t>
            </w:r>
          </w:p>
        </w:tc>
        <w:tc>
          <w:tcPr>
            <w:tcW w:w="624"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0BD261F0" w14:textId="77777777" w:rsidR="005B35C8" w:rsidRPr="005B35C8" w:rsidRDefault="005B35C8" w:rsidP="005B35C8">
            <w:pPr>
              <w:pStyle w:val="CDITable-RowCentre"/>
              <w:rPr>
                <w:sz w:val="16"/>
              </w:rPr>
            </w:pPr>
            <w:r w:rsidRPr="005B35C8">
              <w:rPr>
                <w:sz w:val="16"/>
              </w:rPr>
              <w:t>9</w:t>
            </w:r>
          </w:p>
        </w:tc>
        <w:tc>
          <w:tcPr>
            <w:tcW w:w="623"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2103FB12" w14:textId="77777777" w:rsidR="005B35C8" w:rsidRPr="005B35C8" w:rsidRDefault="005B35C8" w:rsidP="005B35C8">
            <w:pPr>
              <w:pStyle w:val="CDITable-RowCentre"/>
              <w:rPr>
                <w:sz w:val="16"/>
              </w:rPr>
            </w:pPr>
            <w:r w:rsidRPr="005B35C8">
              <w:rPr>
                <w:sz w:val="16"/>
              </w:rPr>
              <w:t>8.3</w:t>
            </w:r>
          </w:p>
        </w:tc>
        <w:tc>
          <w:tcPr>
            <w:tcW w:w="992" w:type="dxa"/>
            <w:tcBorders>
              <w:top w:val="single" w:sz="6" w:space="0" w:color="1E4496" w:themeColor="text2"/>
              <w:bottom w:val="single" w:sz="6" w:space="0" w:color="1E4496" w:themeColor="text2"/>
              <w:right w:val="single" w:sz="6" w:space="0" w:color="1E4496" w:themeColor="text2"/>
            </w:tcBorders>
            <w:tcMar>
              <w:top w:w="102" w:type="dxa"/>
              <w:left w:w="113" w:type="dxa"/>
              <w:bottom w:w="102" w:type="dxa"/>
              <w:right w:w="113" w:type="dxa"/>
            </w:tcMar>
            <w:vAlign w:val="center"/>
          </w:tcPr>
          <w:p w14:paraId="30C3B4EF" w14:textId="77777777" w:rsidR="005B35C8" w:rsidRPr="005B35C8" w:rsidRDefault="005B35C8" w:rsidP="005B35C8">
            <w:pPr>
              <w:pStyle w:val="CDITable-RowCentre"/>
              <w:rPr>
                <w:sz w:val="16"/>
              </w:rPr>
            </w:pPr>
            <w:r w:rsidRPr="005B35C8">
              <w:rPr>
                <w:sz w:val="16"/>
              </w:rPr>
              <w:t>3.9–15.2</w:t>
            </w:r>
          </w:p>
        </w:tc>
        <w:tc>
          <w:tcPr>
            <w:tcW w:w="624" w:type="dxa"/>
            <w:tcBorders>
              <w:top w:val="single" w:sz="6" w:space="0" w:color="1E4496" w:themeColor="text2"/>
              <w:left w:val="single" w:sz="6" w:space="0" w:color="1E4496" w:themeColor="text2"/>
              <w:bottom w:val="single" w:sz="6" w:space="0" w:color="1E4496" w:themeColor="text2"/>
            </w:tcBorders>
            <w:tcMar>
              <w:top w:w="102" w:type="dxa"/>
              <w:left w:w="113" w:type="dxa"/>
              <w:bottom w:w="102" w:type="dxa"/>
              <w:right w:w="113" w:type="dxa"/>
            </w:tcMar>
            <w:vAlign w:val="center"/>
          </w:tcPr>
          <w:p w14:paraId="5F011508" w14:textId="77777777" w:rsidR="005B35C8" w:rsidRPr="005B35C8" w:rsidRDefault="005B35C8" w:rsidP="005B35C8">
            <w:pPr>
              <w:pStyle w:val="CDITable-RowCentre"/>
              <w:rPr>
                <w:sz w:val="16"/>
              </w:rPr>
            </w:pPr>
            <w:r w:rsidRPr="005B35C8">
              <w:rPr>
                <w:sz w:val="16"/>
              </w:rPr>
              <w:t>108</w:t>
            </w:r>
          </w:p>
        </w:tc>
        <w:tc>
          <w:tcPr>
            <w:tcW w:w="624"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4790B670" w14:textId="77777777" w:rsidR="005B35C8" w:rsidRPr="005B35C8" w:rsidRDefault="005B35C8" w:rsidP="005B35C8">
            <w:pPr>
              <w:pStyle w:val="CDITable-RowCentre"/>
              <w:rPr>
                <w:sz w:val="16"/>
              </w:rPr>
            </w:pPr>
            <w:r w:rsidRPr="005B35C8">
              <w:rPr>
                <w:sz w:val="16"/>
              </w:rPr>
              <w:t>11</w:t>
            </w:r>
          </w:p>
        </w:tc>
        <w:tc>
          <w:tcPr>
            <w:tcW w:w="623"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15B3BB0F" w14:textId="77777777" w:rsidR="005B35C8" w:rsidRPr="005B35C8" w:rsidRDefault="005B35C8" w:rsidP="005B35C8">
            <w:pPr>
              <w:pStyle w:val="CDITable-RowCentre"/>
              <w:rPr>
                <w:sz w:val="16"/>
              </w:rPr>
            </w:pPr>
            <w:r w:rsidRPr="005B35C8">
              <w:rPr>
                <w:sz w:val="16"/>
              </w:rPr>
              <w:t>10.2</w:t>
            </w:r>
          </w:p>
        </w:tc>
        <w:tc>
          <w:tcPr>
            <w:tcW w:w="992" w:type="dxa"/>
            <w:tcBorders>
              <w:top w:val="single" w:sz="6" w:space="0" w:color="1E4496" w:themeColor="text2"/>
              <w:bottom w:val="single" w:sz="6" w:space="0" w:color="1E4496" w:themeColor="text2"/>
              <w:right w:val="single" w:sz="6" w:space="0" w:color="1E4496" w:themeColor="text2"/>
            </w:tcBorders>
            <w:tcMar>
              <w:top w:w="102" w:type="dxa"/>
              <w:left w:w="113" w:type="dxa"/>
              <w:bottom w:w="102" w:type="dxa"/>
              <w:right w:w="113" w:type="dxa"/>
            </w:tcMar>
            <w:vAlign w:val="center"/>
          </w:tcPr>
          <w:p w14:paraId="2B1BF628" w14:textId="77777777" w:rsidR="005B35C8" w:rsidRPr="005B35C8" w:rsidRDefault="005B35C8" w:rsidP="005B35C8">
            <w:pPr>
              <w:pStyle w:val="CDITable-RowCentre"/>
              <w:rPr>
                <w:sz w:val="16"/>
              </w:rPr>
            </w:pPr>
            <w:r w:rsidRPr="005B35C8">
              <w:rPr>
                <w:sz w:val="16"/>
              </w:rPr>
              <w:t>5.2–17.5</w:t>
            </w:r>
          </w:p>
        </w:tc>
        <w:tc>
          <w:tcPr>
            <w:tcW w:w="624" w:type="dxa"/>
            <w:tcBorders>
              <w:top w:val="single" w:sz="6" w:space="0" w:color="1E4496" w:themeColor="text2"/>
              <w:left w:val="single" w:sz="6" w:space="0" w:color="1E4496" w:themeColor="text2"/>
              <w:bottom w:val="single" w:sz="6" w:space="0" w:color="1E4496" w:themeColor="text2"/>
            </w:tcBorders>
            <w:tcMar>
              <w:top w:w="102" w:type="dxa"/>
              <w:left w:w="113" w:type="dxa"/>
              <w:bottom w:w="102" w:type="dxa"/>
              <w:right w:w="113" w:type="dxa"/>
            </w:tcMar>
            <w:vAlign w:val="center"/>
          </w:tcPr>
          <w:p w14:paraId="6ABF2FD9" w14:textId="77777777" w:rsidR="005B35C8" w:rsidRPr="005B35C8" w:rsidRDefault="005B35C8" w:rsidP="005B35C8">
            <w:pPr>
              <w:pStyle w:val="CDITable-RowCentre"/>
              <w:rPr>
                <w:sz w:val="16"/>
              </w:rPr>
            </w:pPr>
            <w:r w:rsidRPr="005B35C8">
              <w:rPr>
                <w:sz w:val="16"/>
              </w:rPr>
              <w:t>105</w:t>
            </w:r>
          </w:p>
        </w:tc>
        <w:tc>
          <w:tcPr>
            <w:tcW w:w="624"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439B976F" w14:textId="77777777" w:rsidR="005B35C8" w:rsidRPr="005B35C8" w:rsidRDefault="005B35C8" w:rsidP="005B35C8">
            <w:pPr>
              <w:pStyle w:val="CDITable-RowCentre"/>
              <w:rPr>
                <w:sz w:val="16"/>
              </w:rPr>
            </w:pPr>
            <w:r w:rsidRPr="005B35C8">
              <w:rPr>
                <w:sz w:val="16"/>
              </w:rPr>
              <w:t>8</w:t>
            </w:r>
          </w:p>
        </w:tc>
        <w:tc>
          <w:tcPr>
            <w:tcW w:w="623"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430D63FA" w14:textId="77777777" w:rsidR="005B35C8" w:rsidRPr="005B35C8" w:rsidRDefault="005B35C8" w:rsidP="005B35C8">
            <w:pPr>
              <w:pStyle w:val="CDITable-RowCentre"/>
              <w:rPr>
                <w:sz w:val="16"/>
              </w:rPr>
            </w:pPr>
            <w:r w:rsidRPr="005B35C8">
              <w:rPr>
                <w:sz w:val="16"/>
              </w:rPr>
              <w:t>7.6</w:t>
            </w:r>
          </w:p>
        </w:tc>
        <w:tc>
          <w:tcPr>
            <w:tcW w:w="992" w:type="dxa"/>
            <w:tcBorders>
              <w:top w:val="single" w:sz="6" w:space="0" w:color="1E4496" w:themeColor="text2"/>
              <w:bottom w:val="single" w:sz="6" w:space="0" w:color="1E4496" w:themeColor="text2"/>
              <w:right w:val="single" w:sz="6" w:space="0" w:color="1E4496" w:themeColor="text2"/>
            </w:tcBorders>
            <w:tcMar>
              <w:top w:w="102" w:type="dxa"/>
              <w:left w:w="113" w:type="dxa"/>
              <w:bottom w:w="102" w:type="dxa"/>
              <w:right w:w="113" w:type="dxa"/>
            </w:tcMar>
            <w:vAlign w:val="center"/>
          </w:tcPr>
          <w:p w14:paraId="73C141D0" w14:textId="77777777" w:rsidR="005B35C8" w:rsidRPr="005B35C8" w:rsidRDefault="005B35C8" w:rsidP="005B35C8">
            <w:pPr>
              <w:pStyle w:val="CDITable-RowCentre"/>
              <w:rPr>
                <w:sz w:val="16"/>
              </w:rPr>
            </w:pPr>
            <w:r w:rsidRPr="005B35C8">
              <w:rPr>
                <w:sz w:val="16"/>
              </w:rPr>
              <w:t>3.3–14.5</w:t>
            </w:r>
          </w:p>
        </w:tc>
        <w:tc>
          <w:tcPr>
            <w:tcW w:w="624" w:type="dxa"/>
            <w:tcBorders>
              <w:top w:val="single" w:sz="6" w:space="0" w:color="1E4496" w:themeColor="text2"/>
              <w:left w:val="single" w:sz="6" w:space="0" w:color="1E4496" w:themeColor="text2"/>
              <w:bottom w:val="single" w:sz="6" w:space="0" w:color="1E4496" w:themeColor="text2"/>
            </w:tcBorders>
            <w:tcMar>
              <w:top w:w="102" w:type="dxa"/>
              <w:left w:w="113" w:type="dxa"/>
              <w:bottom w:w="102" w:type="dxa"/>
              <w:right w:w="113" w:type="dxa"/>
            </w:tcMar>
            <w:vAlign w:val="center"/>
          </w:tcPr>
          <w:p w14:paraId="5806BA27" w14:textId="77777777" w:rsidR="005B35C8" w:rsidRPr="005B35C8" w:rsidRDefault="005B35C8" w:rsidP="005B35C8">
            <w:pPr>
              <w:pStyle w:val="CDITable-RowCentre"/>
              <w:rPr>
                <w:sz w:val="16"/>
              </w:rPr>
            </w:pPr>
            <w:r w:rsidRPr="005B35C8">
              <w:rPr>
                <w:sz w:val="16"/>
              </w:rPr>
              <w:t>107</w:t>
            </w:r>
          </w:p>
        </w:tc>
        <w:tc>
          <w:tcPr>
            <w:tcW w:w="624"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15205219" w14:textId="77777777" w:rsidR="005B35C8" w:rsidRPr="005B35C8" w:rsidRDefault="005B35C8" w:rsidP="005B35C8">
            <w:pPr>
              <w:pStyle w:val="CDITable-RowCentre"/>
              <w:rPr>
                <w:sz w:val="16"/>
              </w:rPr>
            </w:pPr>
            <w:r w:rsidRPr="005B35C8">
              <w:rPr>
                <w:sz w:val="16"/>
              </w:rPr>
              <w:t>4</w:t>
            </w:r>
          </w:p>
        </w:tc>
        <w:tc>
          <w:tcPr>
            <w:tcW w:w="623"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13FA3A17" w14:textId="77777777" w:rsidR="005B35C8" w:rsidRPr="005B35C8" w:rsidRDefault="005B35C8" w:rsidP="005B35C8">
            <w:pPr>
              <w:pStyle w:val="CDITable-RowCentre"/>
              <w:rPr>
                <w:sz w:val="16"/>
              </w:rPr>
            </w:pPr>
            <w:r w:rsidRPr="005B35C8">
              <w:rPr>
                <w:sz w:val="16"/>
              </w:rPr>
              <w:t>3.7</w:t>
            </w:r>
          </w:p>
        </w:tc>
        <w:tc>
          <w:tcPr>
            <w:tcW w:w="992"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01932FE5" w14:textId="77777777" w:rsidR="005B35C8" w:rsidRPr="005B35C8" w:rsidRDefault="005B35C8" w:rsidP="005B35C8">
            <w:pPr>
              <w:pStyle w:val="CDITable-RowCentre"/>
              <w:rPr>
                <w:sz w:val="16"/>
              </w:rPr>
            </w:pPr>
            <w:r w:rsidRPr="005B35C8">
              <w:rPr>
                <w:sz w:val="16"/>
              </w:rPr>
              <w:t>1.0–9.3</w:t>
            </w:r>
          </w:p>
        </w:tc>
      </w:tr>
      <w:tr w:rsidR="005B35C8" w:rsidRPr="005B35C8" w14:paraId="7666D3E4" w14:textId="77777777" w:rsidTr="005B35C8">
        <w:trPr>
          <w:trHeight w:val="60"/>
        </w:trPr>
        <w:tc>
          <w:tcPr>
            <w:tcW w:w="1417" w:type="dxa"/>
            <w:vMerge/>
            <w:tcBorders>
              <w:bottom w:val="single" w:sz="6" w:space="0" w:color="1E4496" w:themeColor="text2"/>
            </w:tcBorders>
            <w:shd w:val="clear" w:color="auto" w:fill="DCF4FC" w:themeFill="background2" w:themeFillTint="33"/>
            <w:tcMar>
              <w:top w:w="102" w:type="dxa"/>
              <w:bottom w:w="102" w:type="dxa"/>
            </w:tcMar>
          </w:tcPr>
          <w:p w14:paraId="6A66CBB3" w14:textId="77777777" w:rsidR="005B35C8" w:rsidRPr="005B35C8" w:rsidRDefault="005B35C8" w:rsidP="005B35C8"/>
        </w:tc>
        <w:tc>
          <w:tcPr>
            <w:tcW w:w="1474"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04A190C5" w14:textId="77777777" w:rsidR="005B35C8" w:rsidRPr="005B35C8" w:rsidRDefault="005B35C8" w:rsidP="005B35C8">
            <w:pPr>
              <w:pStyle w:val="CDITable-RowLeft"/>
              <w:rPr>
                <w:sz w:val="16"/>
              </w:rPr>
            </w:pPr>
            <w:r w:rsidRPr="005B35C8">
              <w:rPr>
                <w:sz w:val="16"/>
              </w:rPr>
              <w:t>91–364 days</w:t>
            </w:r>
          </w:p>
        </w:tc>
        <w:tc>
          <w:tcPr>
            <w:tcW w:w="624"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453B77A9" w14:textId="77777777" w:rsidR="005B35C8" w:rsidRPr="005B35C8" w:rsidRDefault="005B35C8" w:rsidP="005B35C8">
            <w:pPr>
              <w:pStyle w:val="CDITable-RowCentre"/>
              <w:rPr>
                <w:sz w:val="16"/>
              </w:rPr>
            </w:pPr>
            <w:r w:rsidRPr="005B35C8">
              <w:rPr>
                <w:sz w:val="16"/>
              </w:rPr>
              <w:t>141</w:t>
            </w:r>
          </w:p>
        </w:tc>
        <w:tc>
          <w:tcPr>
            <w:tcW w:w="624"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156A5AAD" w14:textId="77777777" w:rsidR="005B35C8" w:rsidRPr="005B35C8" w:rsidRDefault="005B35C8" w:rsidP="005B35C8">
            <w:pPr>
              <w:pStyle w:val="CDITable-RowCentre"/>
              <w:rPr>
                <w:sz w:val="16"/>
              </w:rPr>
            </w:pPr>
            <w:r w:rsidRPr="005B35C8">
              <w:rPr>
                <w:sz w:val="16"/>
              </w:rPr>
              <w:t>13</w:t>
            </w:r>
          </w:p>
        </w:tc>
        <w:tc>
          <w:tcPr>
            <w:tcW w:w="623"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2C254EE1" w14:textId="77777777" w:rsidR="005B35C8" w:rsidRPr="005B35C8" w:rsidRDefault="005B35C8" w:rsidP="005B35C8">
            <w:pPr>
              <w:pStyle w:val="CDITable-RowCentre"/>
              <w:rPr>
                <w:sz w:val="16"/>
              </w:rPr>
            </w:pPr>
            <w:r w:rsidRPr="005B35C8">
              <w:rPr>
                <w:sz w:val="16"/>
              </w:rPr>
              <w:t>9.2</w:t>
            </w:r>
          </w:p>
        </w:tc>
        <w:tc>
          <w:tcPr>
            <w:tcW w:w="992" w:type="dxa"/>
            <w:tcBorders>
              <w:top w:val="single" w:sz="6" w:space="0" w:color="1E4496" w:themeColor="text2"/>
              <w:bottom w:val="single" w:sz="6" w:space="0" w:color="1E4496" w:themeColor="text2"/>
              <w:right w:val="single" w:sz="6" w:space="0" w:color="1E4496" w:themeColor="text2"/>
            </w:tcBorders>
            <w:tcMar>
              <w:top w:w="102" w:type="dxa"/>
              <w:left w:w="113" w:type="dxa"/>
              <w:bottom w:w="102" w:type="dxa"/>
              <w:right w:w="113" w:type="dxa"/>
            </w:tcMar>
            <w:vAlign w:val="center"/>
          </w:tcPr>
          <w:p w14:paraId="2E4FD1C6" w14:textId="77777777" w:rsidR="005B35C8" w:rsidRPr="005B35C8" w:rsidRDefault="005B35C8" w:rsidP="005B35C8">
            <w:pPr>
              <w:pStyle w:val="CDITable-RowCentre"/>
              <w:rPr>
                <w:sz w:val="16"/>
              </w:rPr>
            </w:pPr>
            <w:r w:rsidRPr="005B35C8">
              <w:rPr>
                <w:sz w:val="16"/>
              </w:rPr>
              <w:t>5.0–15.3</w:t>
            </w:r>
          </w:p>
        </w:tc>
        <w:tc>
          <w:tcPr>
            <w:tcW w:w="624" w:type="dxa"/>
            <w:tcBorders>
              <w:top w:val="single" w:sz="6" w:space="0" w:color="1E4496" w:themeColor="text2"/>
              <w:left w:val="single" w:sz="6" w:space="0" w:color="1E4496" w:themeColor="text2"/>
              <w:bottom w:val="single" w:sz="6" w:space="0" w:color="1E4496" w:themeColor="text2"/>
            </w:tcBorders>
            <w:tcMar>
              <w:top w:w="102" w:type="dxa"/>
              <w:left w:w="113" w:type="dxa"/>
              <w:bottom w:w="102" w:type="dxa"/>
              <w:right w:w="113" w:type="dxa"/>
            </w:tcMar>
            <w:vAlign w:val="center"/>
          </w:tcPr>
          <w:p w14:paraId="472F7012" w14:textId="77777777" w:rsidR="005B35C8" w:rsidRPr="005B35C8" w:rsidRDefault="005B35C8" w:rsidP="005B35C8">
            <w:pPr>
              <w:pStyle w:val="CDITable-RowCentre"/>
              <w:rPr>
                <w:sz w:val="16"/>
              </w:rPr>
            </w:pPr>
            <w:r w:rsidRPr="005B35C8">
              <w:rPr>
                <w:sz w:val="16"/>
              </w:rPr>
              <w:t>141</w:t>
            </w:r>
          </w:p>
        </w:tc>
        <w:tc>
          <w:tcPr>
            <w:tcW w:w="624"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01EB45E6" w14:textId="77777777" w:rsidR="005B35C8" w:rsidRPr="005B35C8" w:rsidRDefault="005B35C8" w:rsidP="005B35C8">
            <w:pPr>
              <w:pStyle w:val="CDITable-RowCentre"/>
              <w:rPr>
                <w:sz w:val="16"/>
              </w:rPr>
            </w:pPr>
            <w:r w:rsidRPr="005B35C8">
              <w:rPr>
                <w:sz w:val="16"/>
              </w:rPr>
              <w:t>21</w:t>
            </w:r>
          </w:p>
        </w:tc>
        <w:tc>
          <w:tcPr>
            <w:tcW w:w="623"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39E5367D" w14:textId="77777777" w:rsidR="005B35C8" w:rsidRPr="005B35C8" w:rsidRDefault="005B35C8" w:rsidP="005B35C8">
            <w:pPr>
              <w:pStyle w:val="CDITable-RowCentre"/>
              <w:rPr>
                <w:sz w:val="16"/>
              </w:rPr>
            </w:pPr>
            <w:r w:rsidRPr="005B35C8">
              <w:rPr>
                <w:sz w:val="16"/>
              </w:rPr>
              <w:t>14.9</w:t>
            </w:r>
          </w:p>
        </w:tc>
        <w:tc>
          <w:tcPr>
            <w:tcW w:w="992" w:type="dxa"/>
            <w:tcBorders>
              <w:top w:val="single" w:sz="6" w:space="0" w:color="1E4496" w:themeColor="text2"/>
              <w:bottom w:val="single" w:sz="6" w:space="0" w:color="1E4496" w:themeColor="text2"/>
              <w:right w:val="single" w:sz="6" w:space="0" w:color="1E4496" w:themeColor="text2"/>
            </w:tcBorders>
            <w:tcMar>
              <w:top w:w="102" w:type="dxa"/>
              <w:left w:w="113" w:type="dxa"/>
              <w:bottom w:w="102" w:type="dxa"/>
              <w:right w:w="113" w:type="dxa"/>
            </w:tcMar>
            <w:vAlign w:val="center"/>
          </w:tcPr>
          <w:p w14:paraId="29681A27" w14:textId="77777777" w:rsidR="005B35C8" w:rsidRPr="005B35C8" w:rsidRDefault="005B35C8" w:rsidP="005B35C8">
            <w:pPr>
              <w:pStyle w:val="CDITable-RowCentre"/>
              <w:rPr>
                <w:sz w:val="16"/>
              </w:rPr>
            </w:pPr>
            <w:r w:rsidRPr="005B35C8">
              <w:rPr>
                <w:sz w:val="16"/>
              </w:rPr>
              <w:t>9.5–21.9</w:t>
            </w:r>
          </w:p>
        </w:tc>
        <w:tc>
          <w:tcPr>
            <w:tcW w:w="624" w:type="dxa"/>
            <w:tcBorders>
              <w:top w:val="single" w:sz="6" w:space="0" w:color="1E4496" w:themeColor="text2"/>
              <w:left w:val="single" w:sz="6" w:space="0" w:color="1E4496" w:themeColor="text2"/>
              <w:bottom w:val="single" w:sz="6" w:space="0" w:color="1E4496" w:themeColor="text2"/>
            </w:tcBorders>
            <w:tcMar>
              <w:top w:w="102" w:type="dxa"/>
              <w:left w:w="113" w:type="dxa"/>
              <w:bottom w:w="102" w:type="dxa"/>
              <w:right w:w="113" w:type="dxa"/>
            </w:tcMar>
            <w:vAlign w:val="center"/>
          </w:tcPr>
          <w:p w14:paraId="19C01240" w14:textId="77777777" w:rsidR="005B35C8" w:rsidRPr="005B35C8" w:rsidRDefault="005B35C8" w:rsidP="005B35C8">
            <w:pPr>
              <w:pStyle w:val="CDITable-RowCentre"/>
              <w:rPr>
                <w:sz w:val="16"/>
              </w:rPr>
            </w:pPr>
            <w:r w:rsidRPr="005B35C8">
              <w:rPr>
                <w:sz w:val="16"/>
              </w:rPr>
              <w:t>136</w:t>
            </w:r>
          </w:p>
        </w:tc>
        <w:tc>
          <w:tcPr>
            <w:tcW w:w="624"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7888F10C" w14:textId="77777777" w:rsidR="005B35C8" w:rsidRPr="005B35C8" w:rsidRDefault="005B35C8" w:rsidP="005B35C8">
            <w:pPr>
              <w:pStyle w:val="CDITable-RowCentre"/>
              <w:rPr>
                <w:sz w:val="16"/>
              </w:rPr>
            </w:pPr>
            <w:r w:rsidRPr="005B35C8">
              <w:rPr>
                <w:sz w:val="16"/>
              </w:rPr>
              <w:t>12</w:t>
            </w:r>
          </w:p>
        </w:tc>
        <w:tc>
          <w:tcPr>
            <w:tcW w:w="623"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3894445C" w14:textId="77777777" w:rsidR="005B35C8" w:rsidRPr="005B35C8" w:rsidRDefault="005B35C8" w:rsidP="005B35C8">
            <w:pPr>
              <w:pStyle w:val="CDITable-RowCentre"/>
              <w:rPr>
                <w:sz w:val="16"/>
              </w:rPr>
            </w:pPr>
            <w:r w:rsidRPr="005B35C8">
              <w:rPr>
                <w:sz w:val="16"/>
              </w:rPr>
              <w:t>8.8</w:t>
            </w:r>
          </w:p>
        </w:tc>
        <w:tc>
          <w:tcPr>
            <w:tcW w:w="992" w:type="dxa"/>
            <w:tcBorders>
              <w:top w:val="single" w:sz="6" w:space="0" w:color="1E4496" w:themeColor="text2"/>
              <w:bottom w:val="single" w:sz="6" w:space="0" w:color="1E4496" w:themeColor="text2"/>
              <w:right w:val="single" w:sz="6" w:space="0" w:color="1E4496" w:themeColor="text2"/>
            </w:tcBorders>
            <w:tcMar>
              <w:top w:w="102" w:type="dxa"/>
              <w:left w:w="113" w:type="dxa"/>
              <w:bottom w:w="102" w:type="dxa"/>
              <w:right w:w="113" w:type="dxa"/>
            </w:tcMar>
            <w:vAlign w:val="center"/>
          </w:tcPr>
          <w:p w14:paraId="2B0F3F96" w14:textId="77777777" w:rsidR="005B35C8" w:rsidRPr="005B35C8" w:rsidRDefault="005B35C8" w:rsidP="005B35C8">
            <w:pPr>
              <w:pStyle w:val="CDITable-RowCentre"/>
              <w:rPr>
                <w:sz w:val="16"/>
              </w:rPr>
            </w:pPr>
            <w:r w:rsidRPr="005B35C8">
              <w:rPr>
                <w:sz w:val="16"/>
              </w:rPr>
              <w:t>4.6–14.9</w:t>
            </w:r>
          </w:p>
        </w:tc>
        <w:tc>
          <w:tcPr>
            <w:tcW w:w="624" w:type="dxa"/>
            <w:tcBorders>
              <w:top w:val="single" w:sz="6" w:space="0" w:color="1E4496" w:themeColor="text2"/>
              <w:left w:val="single" w:sz="6" w:space="0" w:color="1E4496" w:themeColor="text2"/>
              <w:bottom w:val="single" w:sz="6" w:space="0" w:color="1E4496" w:themeColor="text2"/>
            </w:tcBorders>
            <w:tcMar>
              <w:top w:w="102" w:type="dxa"/>
              <w:left w:w="113" w:type="dxa"/>
              <w:bottom w:w="102" w:type="dxa"/>
              <w:right w:w="113" w:type="dxa"/>
            </w:tcMar>
            <w:vAlign w:val="center"/>
          </w:tcPr>
          <w:p w14:paraId="03071FE2" w14:textId="77777777" w:rsidR="005B35C8" w:rsidRPr="005B35C8" w:rsidRDefault="005B35C8" w:rsidP="005B35C8">
            <w:pPr>
              <w:pStyle w:val="CDITable-RowCentre"/>
              <w:rPr>
                <w:sz w:val="16"/>
              </w:rPr>
            </w:pPr>
            <w:r w:rsidRPr="005B35C8">
              <w:rPr>
                <w:sz w:val="16"/>
              </w:rPr>
              <w:t>142</w:t>
            </w:r>
          </w:p>
        </w:tc>
        <w:tc>
          <w:tcPr>
            <w:tcW w:w="624"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435ED208" w14:textId="77777777" w:rsidR="005B35C8" w:rsidRPr="005B35C8" w:rsidRDefault="005B35C8" w:rsidP="005B35C8">
            <w:pPr>
              <w:pStyle w:val="CDITable-RowCentre"/>
              <w:rPr>
                <w:sz w:val="16"/>
              </w:rPr>
            </w:pPr>
            <w:r w:rsidRPr="005B35C8">
              <w:rPr>
                <w:sz w:val="16"/>
              </w:rPr>
              <w:t>11</w:t>
            </w:r>
          </w:p>
        </w:tc>
        <w:tc>
          <w:tcPr>
            <w:tcW w:w="623"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27AC47D7" w14:textId="77777777" w:rsidR="005B35C8" w:rsidRPr="005B35C8" w:rsidRDefault="005B35C8" w:rsidP="005B35C8">
            <w:pPr>
              <w:pStyle w:val="CDITable-RowCentre"/>
              <w:rPr>
                <w:sz w:val="16"/>
              </w:rPr>
            </w:pPr>
            <w:r w:rsidRPr="005B35C8">
              <w:rPr>
                <w:sz w:val="16"/>
              </w:rPr>
              <w:t>7.7</w:t>
            </w:r>
          </w:p>
        </w:tc>
        <w:tc>
          <w:tcPr>
            <w:tcW w:w="992"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174CBFCD" w14:textId="77777777" w:rsidR="005B35C8" w:rsidRPr="005B35C8" w:rsidRDefault="005B35C8" w:rsidP="005B35C8">
            <w:pPr>
              <w:pStyle w:val="CDITable-RowCentre"/>
              <w:rPr>
                <w:sz w:val="16"/>
              </w:rPr>
            </w:pPr>
            <w:r w:rsidRPr="005B35C8">
              <w:rPr>
                <w:sz w:val="16"/>
              </w:rPr>
              <w:t>3.9–13.4</w:t>
            </w:r>
          </w:p>
        </w:tc>
      </w:tr>
      <w:tr w:rsidR="005B35C8" w:rsidRPr="005B35C8" w14:paraId="7ECD29EF" w14:textId="77777777" w:rsidTr="005B35C8">
        <w:trPr>
          <w:trHeight w:val="60"/>
        </w:trPr>
        <w:tc>
          <w:tcPr>
            <w:tcW w:w="1417" w:type="dxa"/>
            <w:vMerge/>
            <w:tcBorders>
              <w:bottom w:val="single" w:sz="6" w:space="0" w:color="1E4496" w:themeColor="text2"/>
            </w:tcBorders>
            <w:shd w:val="clear" w:color="auto" w:fill="DCF4FC" w:themeFill="background2" w:themeFillTint="33"/>
            <w:tcMar>
              <w:top w:w="102" w:type="dxa"/>
              <w:bottom w:w="102" w:type="dxa"/>
            </w:tcMar>
          </w:tcPr>
          <w:p w14:paraId="61DBC969" w14:textId="77777777" w:rsidR="005B35C8" w:rsidRPr="005B35C8" w:rsidRDefault="005B35C8" w:rsidP="005B35C8"/>
        </w:tc>
        <w:tc>
          <w:tcPr>
            <w:tcW w:w="1474"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47CABD73" w14:textId="77777777" w:rsidR="005B35C8" w:rsidRPr="005B35C8" w:rsidRDefault="005B35C8" w:rsidP="005B35C8">
            <w:pPr>
              <w:pStyle w:val="CDITable-RowLeft"/>
              <w:rPr>
                <w:sz w:val="16"/>
              </w:rPr>
            </w:pPr>
            <w:r w:rsidRPr="005B35C8">
              <w:rPr>
                <w:sz w:val="16"/>
              </w:rPr>
              <w:t>1–4 years</w:t>
            </w:r>
          </w:p>
        </w:tc>
        <w:tc>
          <w:tcPr>
            <w:tcW w:w="624"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47D2CBBB" w14:textId="77777777" w:rsidR="005B35C8" w:rsidRPr="005B35C8" w:rsidRDefault="005B35C8" w:rsidP="005B35C8">
            <w:pPr>
              <w:pStyle w:val="CDITable-RowCentre"/>
              <w:rPr>
                <w:sz w:val="16"/>
              </w:rPr>
            </w:pPr>
            <w:r w:rsidRPr="005B35C8">
              <w:rPr>
                <w:sz w:val="16"/>
              </w:rPr>
              <w:t>166</w:t>
            </w:r>
          </w:p>
        </w:tc>
        <w:tc>
          <w:tcPr>
            <w:tcW w:w="624"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7CDE8E6F" w14:textId="77777777" w:rsidR="005B35C8" w:rsidRPr="005B35C8" w:rsidRDefault="005B35C8" w:rsidP="005B35C8">
            <w:pPr>
              <w:pStyle w:val="CDITable-RowCentre"/>
              <w:rPr>
                <w:sz w:val="16"/>
              </w:rPr>
            </w:pPr>
            <w:r w:rsidRPr="005B35C8">
              <w:rPr>
                <w:sz w:val="16"/>
              </w:rPr>
              <w:t>15</w:t>
            </w:r>
          </w:p>
        </w:tc>
        <w:tc>
          <w:tcPr>
            <w:tcW w:w="623"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010B3FCC" w14:textId="77777777" w:rsidR="005B35C8" w:rsidRPr="005B35C8" w:rsidRDefault="005B35C8" w:rsidP="005B35C8">
            <w:pPr>
              <w:pStyle w:val="CDITable-RowCentre"/>
              <w:rPr>
                <w:sz w:val="16"/>
              </w:rPr>
            </w:pPr>
            <w:r w:rsidRPr="005B35C8">
              <w:rPr>
                <w:sz w:val="16"/>
              </w:rPr>
              <w:t>9</w:t>
            </w:r>
          </w:p>
        </w:tc>
        <w:tc>
          <w:tcPr>
            <w:tcW w:w="992" w:type="dxa"/>
            <w:tcBorders>
              <w:top w:val="single" w:sz="6" w:space="0" w:color="1E4496" w:themeColor="text2"/>
              <w:bottom w:val="single" w:sz="6" w:space="0" w:color="1E4496" w:themeColor="text2"/>
              <w:right w:val="single" w:sz="6" w:space="0" w:color="1E4496" w:themeColor="text2"/>
            </w:tcBorders>
            <w:tcMar>
              <w:top w:w="102" w:type="dxa"/>
              <w:left w:w="113" w:type="dxa"/>
              <w:bottom w:w="102" w:type="dxa"/>
              <w:right w:w="113" w:type="dxa"/>
            </w:tcMar>
            <w:vAlign w:val="center"/>
          </w:tcPr>
          <w:p w14:paraId="279B382C" w14:textId="77777777" w:rsidR="005B35C8" w:rsidRPr="005B35C8" w:rsidRDefault="005B35C8" w:rsidP="005B35C8">
            <w:pPr>
              <w:pStyle w:val="CDITable-RowCentre"/>
              <w:rPr>
                <w:sz w:val="16"/>
              </w:rPr>
            </w:pPr>
            <w:r w:rsidRPr="005B35C8">
              <w:rPr>
                <w:sz w:val="16"/>
              </w:rPr>
              <w:t>5.1–14.5</w:t>
            </w:r>
          </w:p>
        </w:tc>
        <w:tc>
          <w:tcPr>
            <w:tcW w:w="624" w:type="dxa"/>
            <w:tcBorders>
              <w:top w:val="single" w:sz="6" w:space="0" w:color="1E4496" w:themeColor="text2"/>
              <w:left w:val="single" w:sz="6" w:space="0" w:color="1E4496" w:themeColor="text2"/>
              <w:bottom w:val="single" w:sz="6" w:space="0" w:color="1E4496" w:themeColor="text2"/>
            </w:tcBorders>
            <w:tcMar>
              <w:top w:w="102" w:type="dxa"/>
              <w:left w:w="113" w:type="dxa"/>
              <w:bottom w:w="102" w:type="dxa"/>
              <w:right w:w="113" w:type="dxa"/>
            </w:tcMar>
            <w:vAlign w:val="center"/>
          </w:tcPr>
          <w:p w14:paraId="08C6B945" w14:textId="77777777" w:rsidR="005B35C8" w:rsidRPr="005B35C8" w:rsidRDefault="005B35C8" w:rsidP="005B35C8">
            <w:pPr>
              <w:pStyle w:val="CDITable-RowCentre"/>
              <w:rPr>
                <w:sz w:val="16"/>
              </w:rPr>
            </w:pPr>
            <w:r w:rsidRPr="005B35C8">
              <w:rPr>
                <w:sz w:val="16"/>
              </w:rPr>
              <w:t>166</w:t>
            </w:r>
          </w:p>
        </w:tc>
        <w:tc>
          <w:tcPr>
            <w:tcW w:w="624"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4ABE3D68" w14:textId="77777777" w:rsidR="005B35C8" w:rsidRPr="005B35C8" w:rsidRDefault="005B35C8" w:rsidP="005B35C8">
            <w:pPr>
              <w:pStyle w:val="CDITable-RowCentre"/>
              <w:rPr>
                <w:sz w:val="16"/>
              </w:rPr>
            </w:pPr>
            <w:r w:rsidRPr="005B35C8">
              <w:rPr>
                <w:sz w:val="16"/>
              </w:rPr>
              <w:t>25</w:t>
            </w:r>
          </w:p>
        </w:tc>
        <w:tc>
          <w:tcPr>
            <w:tcW w:w="623"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7F469CDA" w14:textId="77777777" w:rsidR="005B35C8" w:rsidRPr="005B35C8" w:rsidRDefault="005B35C8" w:rsidP="005B35C8">
            <w:pPr>
              <w:pStyle w:val="CDITable-RowCentre"/>
              <w:rPr>
                <w:sz w:val="16"/>
              </w:rPr>
            </w:pPr>
            <w:r w:rsidRPr="005B35C8">
              <w:rPr>
                <w:sz w:val="16"/>
              </w:rPr>
              <w:t>15.1</w:t>
            </w:r>
          </w:p>
        </w:tc>
        <w:tc>
          <w:tcPr>
            <w:tcW w:w="992" w:type="dxa"/>
            <w:tcBorders>
              <w:top w:val="single" w:sz="6" w:space="0" w:color="1E4496" w:themeColor="text2"/>
              <w:bottom w:val="single" w:sz="6" w:space="0" w:color="1E4496" w:themeColor="text2"/>
              <w:right w:val="single" w:sz="6" w:space="0" w:color="1E4496" w:themeColor="text2"/>
            </w:tcBorders>
            <w:tcMar>
              <w:top w:w="102" w:type="dxa"/>
              <w:left w:w="113" w:type="dxa"/>
              <w:bottom w:w="102" w:type="dxa"/>
              <w:right w:w="113" w:type="dxa"/>
            </w:tcMar>
            <w:vAlign w:val="center"/>
          </w:tcPr>
          <w:p w14:paraId="52FC4617" w14:textId="77777777" w:rsidR="005B35C8" w:rsidRPr="005B35C8" w:rsidRDefault="005B35C8" w:rsidP="005B35C8">
            <w:pPr>
              <w:pStyle w:val="CDITable-RowCentre"/>
              <w:rPr>
                <w:sz w:val="16"/>
              </w:rPr>
            </w:pPr>
            <w:r w:rsidRPr="005B35C8">
              <w:rPr>
                <w:sz w:val="16"/>
              </w:rPr>
              <w:t>10.0–21.4</w:t>
            </w:r>
          </w:p>
        </w:tc>
        <w:tc>
          <w:tcPr>
            <w:tcW w:w="624" w:type="dxa"/>
            <w:tcBorders>
              <w:top w:val="single" w:sz="6" w:space="0" w:color="1E4496" w:themeColor="text2"/>
              <w:left w:val="single" w:sz="6" w:space="0" w:color="1E4496" w:themeColor="text2"/>
              <w:bottom w:val="single" w:sz="6" w:space="0" w:color="1E4496" w:themeColor="text2"/>
            </w:tcBorders>
            <w:tcMar>
              <w:top w:w="102" w:type="dxa"/>
              <w:left w:w="113" w:type="dxa"/>
              <w:bottom w:w="102" w:type="dxa"/>
              <w:right w:w="113" w:type="dxa"/>
            </w:tcMar>
            <w:vAlign w:val="center"/>
          </w:tcPr>
          <w:p w14:paraId="3319B39A" w14:textId="77777777" w:rsidR="005B35C8" w:rsidRPr="005B35C8" w:rsidRDefault="005B35C8" w:rsidP="005B35C8">
            <w:pPr>
              <w:pStyle w:val="CDITable-RowCentre"/>
              <w:rPr>
                <w:sz w:val="16"/>
              </w:rPr>
            </w:pPr>
            <w:r w:rsidRPr="005B35C8">
              <w:rPr>
                <w:sz w:val="16"/>
              </w:rPr>
              <w:t>165</w:t>
            </w:r>
          </w:p>
        </w:tc>
        <w:tc>
          <w:tcPr>
            <w:tcW w:w="624"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7C0BED37" w14:textId="77777777" w:rsidR="005B35C8" w:rsidRPr="005B35C8" w:rsidRDefault="005B35C8" w:rsidP="005B35C8">
            <w:pPr>
              <w:pStyle w:val="CDITable-RowCentre"/>
              <w:rPr>
                <w:sz w:val="16"/>
              </w:rPr>
            </w:pPr>
            <w:r w:rsidRPr="005B35C8">
              <w:rPr>
                <w:sz w:val="16"/>
              </w:rPr>
              <w:t>16</w:t>
            </w:r>
          </w:p>
        </w:tc>
        <w:tc>
          <w:tcPr>
            <w:tcW w:w="623"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709841C0" w14:textId="77777777" w:rsidR="005B35C8" w:rsidRPr="005B35C8" w:rsidRDefault="005B35C8" w:rsidP="005B35C8">
            <w:pPr>
              <w:pStyle w:val="CDITable-RowCentre"/>
              <w:rPr>
                <w:sz w:val="16"/>
              </w:rPr>
            </w:pPr>
            <w:r w:rsidRPr="005B35C8">
              <w:rPr>
                <w:sz w:val="16"/>
              </w:rPr>
              <w:t>9.7</w:t>
            </w:r>
          </w:p>
        </w:tc>
        <w:tc>
          <w:tcPr>
            <w:tcW w:w="992" w:type="dxa"/>
            <w:tcBorders>
              <w:top w:val="single" w:sz="6" w:space="0" w:color="1E4496" w:themeColor="text2"/>
              <w:bottom w:val="single" w:sz="6" w:space="0" w:color="1E4496" w:themeColor="text2"/>
              <w:right w:val="single" w:sz="6" w:space="0" w:color="1E4496" w:themeColor="text2"/>
            </w:tcBorders>
            <w:tcMar>
              <w:top w:w="102" w:type="dxa"/>
              <w:left w:w="113" w:type="dxa"/>
              <w:bottom w:w="102" w:type="dxa"/>
              <w:right w:w="113" w:type="dxa"/>
            </w:tcMar>
            <w:vAlign w:val="center"/>
          </w:tcPr>
          <w:p w14:paraId="1C1F5CD0" w14:textId="77777777" w:rsidR="005B35C8" w:rsidRPr="005B35C8" w:rsidRDefault="005B35C8" w:rsidP="005B35C8">
            <w:pPr>
              <w:pStyle w:val="CDITable-RowCentre"/>
              <w:rPr>
                <w:sz w:val="16"/>
              </w:rPr>
            </w:pPr>
            <w:r w:rsidRPr="005B35C8">
              <w:rPr>
                <w:sz w:val="16"/>
              </w:rPr>
              <w:t>5.6–15.3</w:t>
            </w:r>
          </w:p>
        </w:tc>
        <w:tc>
          <w:tcPr>
            <w:tcW w:w="624" w:type="dxa"/>
            <w:tcBorders>
              <w:top w:val="single" w:sz="6" w:space="0" w:color="1E4496" w:themeColor="text2"/>
              <w:left w:val="single" w:sz="6" w:space="0" w:color="1E4496" w:themeColor="text2"/>
              <w:bottom w:val="single" w:sz="6" w:space="0" w:color="1E4496" w:themeColor="text2"/>
            </w:tcBorders>
            <w:tcMar>
              <w:top w:w="102" w:type="dxa"/>
              <w:left w:w="113" w:type="dxa"/>
              <w:bottom w:w="102" w:type="dxa"/>
              <w:right w:w="113" w:type="dxa"/>
            </w:tcMar>
            <w:vAlign w:val="center"/>
          </w:tcPr>
          <w:p w14:paraId="7A3846FD" w14:textId="77777777" w:rsidR="005B35C8" w:rsidRPr="005B35C8" w:rsidRDefault="005B35C8" w:rsidP="005B35C8">
            <w:pPr>
              <w:pStyle w:val="CDITable-RowCentre"/>
              <w:rPr>
                <w:sz w:val="16"/>
              </w:rPr>
            </w:pPr>
            <w:r w:rsidRPr="005B35C8">
              <w:rPr>
                <w:sz w:val="16"/>
              </w:rPr>
              <w:t>165</w:t>
            </w:r>
          </w:p>
        </w:tc>
        <w:tc>
          <w:tcPr>
            <w:tcW w:w="624"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5C085749" w14:textId="77777777" w:rsidR="005B35C8" w:rsidRPr="005B35C8" w:rsidRDefault="005B35C8" w:rsidP="005B35C8">
            <w:pPr>
              <w:pStyle w:val="CDITable-RowCentre"/>
              <w:rPr>
                <w:sz w:val="16"/>
              </w:rPr>
            </w:pPr>
            <w:r w:rsidRPr="005B35C8">
              <w:rPr>
                <w:sz w:val="16"/>
              </w:rPr>
              <w:t>37</w:t>
            </w:r>
          </w:p>
        </w:tc>
        <w:tc>
          <w:tcPr>
            <w:tcW w:w="623"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470983A1" w14:textId="77777777" w:rsidR="005B35C8" w:rsidRPr="005B35C8" w:rsidRDefault="005B35C8" w:rsidP="005B35C8">
            <w:pPr>
              <w:pStyle w:val="CDITable-RowCentre"/>
              <w:rPr>
                <w:sz w:val="16"/>
              </w:rPr>
            </w:pPr>
            <w:r w:rsidRPr="005B35C8">
              <w:rPr>
                <w:sz w:val="16"/>
              </w:rPr>
              <w:t>22.4</w:t>
            </w:r>
          </w:p>
        </w:tc>
        <w:tc>
          <w:tcPr>
            <w:tcW w:w="992"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530B97D8" w14:textId="77777777" w:rsidR="005B35C8" w:rsidRPr="005B35C8" w:rsidRDefault="005B35C8" w:rsidP="005B35C8">
            <w:pPr>
              <w:pStyle w:val="CDITable-RowCentre"/>
              <w:rPr>
                <w:sz w:val="16"/>
              </w:rPr>
            </w:pPr>
            <w:r w:rsidRPr="005B35C8">
              <w:rPr>
                <w:sz w:val="16"/>
              </w:rPr>
              <w:t>16.3–29.6</w:t>
            </w:r>
          </w:p>
        </w:tc>
      </w:tr>
      <w:tr w:rsidR="005B35C8" w:rsidRPr="005B35C8" w14:paraId="68E146F8" w14:textId="77777777" w:rsidTr="005B35C8">
        <w:trPr>
          <w:trHeight w:val="60"/>
        </w:trPr>
        <w:tc>
          <w:tcPr>
            <w:tcW w:w="1417" w:type="dxa"/>
            <w:vMerge/>
            <w:tcBorders>
              <w:bottom w:val="single" w:sz="6" w:space="0" w:color="1E4496" w:themeColor="text2"/>
            </w:tcBorders>
            <w:shd w:val="clear" w:color="auto" w:fill="DCF4FC" w:themeFill="background2" w:themeFillTint="33"/>
            <w:tcMar>
              <w:top w:w="102" w:type="dxa"/>
              <w:bottom w:w="102" w:type="dxa"/>
            </w:tcMar>
          </w:tcPr>
          <w:p w14:paraId="1FCEA851" w14:textId="77777777" w:rsidR="005B35C8" w:rsidRPr="005B35C8" w:rsidRDefault="005B35C8" w:rsidP="005B35C8"/>
        </w:tc>
        <w:tc>
          <w:tcPr>
            <w:tcW w:w="1474"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561BF3E1" w14:textId="77777777" w:rsidR="005B35C8" w:rsidRPr="005B35C8" w:rsidRDefault="005B35C8" w:rsidP="005B35C8">
            <w:pPr>
              <w:pStyle w:val="CDITable-RowLeft"/>
              <w:rPr>
                <w:sz w:val="16"/>
              </w:rPr>
            </w:pPr>
            <w:r w:rsidRPr="005B35C8">
              <w:rPr>
                <w:sz w:val="16"/>
              </w:rPr>
              <w:t>5–11 years</w:t>
            </w:r>
          </w:p>
        </w:tc>
        <w:tc>
          <w:tcPr>
            <w:tcW w:w="624"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0967F162" w14:textId="77777777" w:rsidR="005B35C8" w:rsidRPr="005B35C8" w:rsidRDefault="005B35C8" w:rsidP="005B35C8">
            <w:pPr>
              <w:pStyle w:val="CDITable-RowCentre"/>
              <w:rPr>
                <w:sz w:val="16"/>
              </w:rPr>
            </w:pPr>
            <w:r w:rsidRPr="005B35C8">
              <w:rPr>
                <w:sz w:val="16"/>
              </w:rPr>
              <w:t>152</w:t>
            </w:r>
          </w:p>
        </w:tc>
        <w:tc>
          <w:tcPr>
            <w:tcW w:w="624"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73A3ECA1" w14:textId="77777777" w:rsidR="005B35C8" w:rsidRPr="005B35C8" w:rsidRDefault="005B35C8" w:rsidP="005B35C8">
            <w:pPr>
              <w:pStyle w:val="CDITable-RowCentre"/>
              <w:rPr>
                <w:sz w:val="16"/>
              </w:rPr>
            </w:pPr>
            <w:r w:rsidRPr="005B35C8">
              <w:rPr>
                <w:sz w:val="16"/>
              </w:rPr>
              <w:t>10</w:t>
            </w:r>
          </w:p>
        </w:tc>
        <w:tc>
          <w:tcPr>
            <w:tcW w:w="623"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72B9C6E2" w14:textId="77777777" w:rsidR="005B35C8" w:rsidRPr="005B35C8" w:rsidRDefault="005B35C8" w:rsidP="005B35C8">
            <w:pPr>
              <w:pStyle w:val="CDITable-RowCentre"/>
              <w:rPr>
                <w:sz w:val="16"/>
              </w:rPr>
            </w:pPr>
            <w:r w:rsidRPr="005B35C8">
              <w:rPr>
                <w:sz w:val="16"/>
              </w:rPr>
              <w:t>6.6</w:t>
            </w:r>
          </w:p>
        </w:tc>
        <w:tc>
          <w:tcPr>
            <w:tcW w:w="992" w:type="dxa"/>
            <w:tcBorders>
              <w:top w:val="single" w:sz="6" w:space="0" w:color="1E4496" w:themeColor="text2"/>
              <w:bottom w:val="single" w:sz="6" w:space="0" w:color="1E4496" w:themeColor="text2"/>
              <w:right w:val="single" w:sz="6" w:space="0" w:color="1E4496" w:themeColor="text2"/>
            </w:tcBorders>
            <w:tcMar>
              <w:top w:w="102" w:type="dxa"/>
              <w:left w:w="113" w:type="dxa"/>
              <w:bottom w:w="102" w:type="dxa"/>
              <w:right w:w="113" w:type="dxa"/>
            </w:tcMar>
            <w:vAlign w:val="center"/>
          </w:tcPr>
          <w:p w14:paraId="5C0FC99B" w14:textId="77777777" w:rsidR="005B35C8" w:rsidRPr="005B35C8" w:rsidRDefault="005B35C8" w:rsidP="005B35C8">
            <w:pPr>
              <w:pStyle w:val="CDITable-RowCentre"/>
              <w:rPr>
                <w:sz w:val="16"/>
              </w:rPr>
            </w:pPr>
            <w:r w:rsidRPr="005B35C8">
              <w:rPr>
                <w:sz w:val="16"/>
              </w:rPr>
              <w:t>3.2–11.8</w:t>
            </w:r>
          </w:p>
        </w:tc>
        <w:tc>
          <w:tcPr>
            <w:tcW w:w="624" w:type="dxa"/>
            <w:tcBorders>
              <w:top w:val="single" w:sz="6" w:space="0" w:color="1E4496" w:themeColor="text2"/>
              <w:left w:val="single" w:sz="6" w:space="0" w:color="1E4496" w:themeColor="text2"/>
              <w:bottom w:val="single" w:sz="6" w:space="0" w:color="1E4496" w:themeColor="text2"/>
            </w:tcBorders>
            <w:tcMar>
              <w:top w:w="102" w:type="dxa"/>
              <w:left w:w="113" w:type="dxa"/>
              <w:bottom w:w="102" w:type="dxa"/>
              <w:right w:w="113" w:type="dxa"/>
            </w:tcMar>
            <w:vAlign w:val="center"/>
          </w:tcPr>
          <w:p w14:paraId="64B622BD" w14:textId="77777777" w:rsidR="005B35C8" w:rsidRPr="005B35C8" w:rsidRDefault="005B35C8" w:rsidP="005B35C8">
            <w:pPr>
              <w:pStyle w:val="CDITable-RowCentre"/>
              <w:rPr>
                <w:sz w:val="16"/>
              </w:rPr>
            </w:pPr>
            <w:r w:rsidRPr="005B35C8">
              <w:rPr>
                <w:sz w:val="16"/>
              </w:rPr>
              <w:t>152</w:t>
            </w:r>
          </w:p>
        </w:tc>
        <w:tc>
          <w:tcPr>
            <w:tcW w:w="624"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3A5F87EC" w14:textId="77777777" w:rsidR="005B35C8" w:rsidRPr="005B35C8" w:rsidRDefault="005B35C8" w:rsidP="005B35C8">
            <w:pPr>
              <w:pStyle w:val="CDITable-RowCentre"/>
              <w:rPr>
                <w:sz w:val="16"/>
              </w:rPr>
            </w:pPr>
            <w:r w:rsidRPr="005B35C8">
              <w:rPr>
                <w:sz w:val="16"/>
              </w:rPr>
              <w:t>16</w:t>
            </w:r>
          </w:p>
        </w:tc>
        <w:tc>
          <w:tcPr>
            <w:tcW w:w="623"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7DEE4BB6" w14:textId="77777777" w:rsidR="005B35C8" w:rsidRPr="005B35C8" w:rsidRDefault="005B35C8" w:rsidP="005B35C8">
            <w:pPr>
              <w:pStyle w:val="CDITable-RowCentre"/>
              <w:rPr>
                <w:sz w:val="16"/>
              </w:rPr>
            </w:pPr>
            <w:r w:rsidRPr="005B35C8">
              <w:rPr>
                <w:sz w:val="16"/>
              </w:rPr>
              <w:t>10.5</w:t>
            </w:r>
          </w:p>
        </w:tc>
        <w:tc>
          <w:tcPr>
            <w:tcW w:w="992" w:type="dxa"/>
            <w:tcBorders>
              <w:top w:val="single" w:sz="6" w:space="0" w:color="1E4496" w:themeColor="text2"/>
              <w:bottom w:val="single" w:sz="6" w:space="0" w:color="1E4496" w:themeColor="text2"/>
              <w:right w:val="single" w:sz="6" w:space="0" w:color="1E4496" w:themeColor="text2"/>
            </w:tcBorders>
            <w:tcMar>
              <w:top w:w="102" w:type="dxa"/>
              <w:left w:w="113" w:type="dxa"/>
              <w:bottom w:w="102" w:type="dxa"/>
              <w:right w:w="113" w:type="dxa"/>
            </w:tcMar>
            <w:vAlign w:val="center"/>
          </w:tcPr>
          <w:p w14:paraId="39DB834C" w14:textId="77777777" w:rsidR="005B35C8" w:rsidRPr="005B35C8" w:rsidRDefault="005B35C8" w:rsidP="005B35C8">
            <w:pPr>
              <w:pStyle w:val="CDITable-RowCentre"/>
              <w:rPr>
                <w:sz w:val="16"/>
              </w:rPr>
            </w:pPr>
            <w:r w:rsidRPr="005B35C8">
              <w:rPr>
                <w:sz w:val="16"/>
              </w:rPr>
              <w:t>6.1–16.5</w:t>
            </w:r>
          </w:p>
        </w:tc>
        <w:tc>
          <w:tcPr>
            <w:tcW w:w="624" w:type="dxa"/>
            <w:tcBorders>
              <w:top w:val="single" w:sz="6" w:space="0" w:color="1E4496" w:themeColor="text2"/>
              <w:left w:val="single" w:sz="6" w:space="0" w:color="1E4496" w:themeColor="text2"/>
              <w:bottom w:val="single" w:sz="6" w:space="0" w:color="1E4496" w:themeColor="text2"/>
            </w:tcBorders>
            <w:tcMar>
              <w:top w:w="102" w:type="dxa"/>
              <w:left w:w="113" w:type="dxa"/>
              <w:bottom w:w="102" w:type="dxa"/>
              <w:right w:w="113" w:type="dxa"/>
            </w:tcMar>
            <w:vAlign w:val="center"/>
          </w:tcPr>
          <w:p w14:paraId="3548CFF4" w14:textId="77777777" w:rsidR="005B35C8" w:rsidRPr="005B35C8" w:rsidRDefault="005B35C8" w:rsidP="005B35C8">
            <w:pPr>
              <w:pStyle w:val="CDITable-RowCentre"/>
              <w:rPr>
                <w:sz w:val="16"/>
              </w:rPr>
            </w:pPr>
            <w:r w:rsidRPr="005B35C8">
              <w:rPr>
                <w:sz w:val="16"/>
              </w:rPr>
              <w:t>151</w:t>
            </w:r>
          </w:p>
        </w:tc>
        <w:tc>
          <w:tcPr>
            <w:tcW w:w="624"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455E9935" w14:textId="77777777" w:rsidR="005B35C8" w:rsidRPr="005B35C8" w:rsidRDefault="005B35C8" w:rsidP="005B35C8">
            <w:pPr>
              <w:pStyle w:val="CDITable-RowCentre"/>
              <w:rPr>
                <w:sz w:val="16"/>
              </w:rPr>
            </w:pPr>
            <w:r w:rsidRPr="005B35C8">
              <w:rPr>
                <w:sz w:val="16"/>
              </w:rPr>
              <w:t>14</w:t>
            </w:r>
          </w:p>
        </w:tc>
        <w:tc>
          <w:tcPr>
            <w:tcW w:w="623"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592870BA" w14:textId="77777777" w:rsidR="005B35C8" w:rsidRPr="005B35C8" w:rsidRDefault="005B35C8" w:rsidP="005B35C8">
            <w:pPr>
              <w:pStyle w:val="CDITable-RowCentre"/>
              <w:rPr>
                <w:sz w:val="16"/>
              </w:rPr>
            </w:pPr>
            <w:r w:rsidRPr="005B35C8">
              <w:rPr>
                <w:sz w:val="16"/>
              </w:rPr>
              <w:t>9.3</w:t>
            </w:r>
          </w:p>
        </w:tc>
        <w:tc>
          <w:tcPr>
            <w:tcW w:w="992" w:type="dxa"/>
            <w:tcBorders>
              <w:top w:val="single" w:sz="6" w:space="0" w:color="1E4496" w:themeColor="text2"/>
              <w:bottom w:val="single" w:sz="6" w:space="0" w:color="1E4496" w:themeColor="text2"/>
              <w:right w:val="single" w:sz="6" w:space="0" w:color="1E4496" w:themeColor="text2"/>
            </w:tcBorders>
            <w:tcMar>
              <w:top w:w="102" w:type="dxa"/>
              <w:left w:w="113" w:type="dxa"/>
              <w:bottom w:w="102" w:type="dxa"/>
              <w:right w:w="113" w:type="dxa"/>
            </w:tcMar>
            <w:vAlign w:val="center"/>
          </w:tcPr>
          <w:p w14:paraId="7F796DAD" w14:textId="77777777" w:rsidR="005B35C8" w:rsidRPr="005B35C8" w:rsidRDefault="005B35C8" w:rsidP="005B35C8">
            <w:pPr>
              <w:pStyle w:val="CDITable-RowCentre"/>
              <w:rPr>
                <w:sz w:val="16"/>
              </w:rPr>
            </w:pPr>
            <w:r w:rsidRPr="005B35C8">
              <w:rPr>
                <w:sz w:val="16"/>
              </w:rPr>
              <w:t>5.2–15.1</w:t>
            </w:r>
          </w:p>
        </w:tc>
        <w:tc>
          <w:tcPr>
            <w:tcW w:w="624" w:type="dxa"/>
            <w:tcBorders>
              <w:top w:val="single" w:sz="6" w:space="0" w:color="1E4496" w:themeColor="text2"/>
              <w:left w:val="single" w:sz="6" w:space="0" w:color="1E4496" w:themeColor="text2"/>
              <w:bottom w:val="single" w:sz="6" w:space="0" w:color="1E4496" w:themeColor="text2"/>
            </w:tcBorders>
            <w:tcMar>
              <w:top w:w="102" w:type="dxa"/>
              <w:left w:w="113" w:type="dxa"/>
              <w:bottom w:w="102" w:type="dxa"/>
              <w:right w:w="113" w:type="dxa"/>
            </w:tcMar>
            <w:vAlign w:val="center"/>
          </w:tcPr>
          <w:p w14:paraId="70718B71" w14:textId="77777777" w:rsidR="005B35C8" w:rsidRPr="005B35C8" w:rsidRDefault="005B35C8" w:rsidP="005B35C8">
            <w:pPr>
              <w:pStyle w:val="CDITable-RowCentre"/>
              <w:rPr>
                <w:sz w:val="16"/>
              </w:rPr>
            </w:pPr>
            <w:r w:rsidRPr="005B35C8">
              <w:rPr>
                <w:sz w:val="16"/>
              </w:rPr>
              <w:t>151</w:t>
            </w:r>
          </w:p>
        </w:tc>
        <w:tc>
          <w:tcPr>
            <w:tcW w:w="624"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4EFF6928" w14:textId="77777777" w:rsidR="005B35C8" w:rsidRPr="005B35C8" w:rsidRDefault="005B35C8" w:rsidP="005B35C8">
            <w:pPr>
              <w:pStyle w:val="CDITable-RowCentre"/>
              <w:rPr>
                <w:sz w:val="16"/>
              </w:rPr>
            </w:pPr>
            <w:r w:rsidRPr="005B35C8">
              <w:rPr>
                <w:sz w:val="16"/>
              </w:rPr>
              <w:t>52</w:t>
            </w:r>
          </w:p>
        </w:tc>
        <w:tc>
          <w:tcPr>
            <w:tcW w:w="623"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37720E28" w14:textId="77777777" w:rsidR="005B35C8" w:rsidRPr="005B35C8" w:rsidRDefault="005B35C8" w:rsidP="005B35C8">
            <w:pPr>
              <w:pStyle w:val="CDITable-RowCentre"/>
              <w:rPr>
                <w:sz w:val="16"/>
              </w:rPr>
            </w:pPr>
            <w:r w:rsidRPr="005B35C8">
              <w:rPr>
                <w:sz w:val="16"/>
              </w:rPr>
              <w:t>34.4</w:t>
            </w:r>
          </w:p>
        </w:tc>
        <w:tc>
          <w:tcPr>
            <w:tcW w:w="992"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2D95DA37" w14:textId="77777777" w:rsidR="005B35C8" w:rsidRPr="005B35C8" w:rsidRDefault="005B35C8" w:rsidP="005B35C8">
            <w:pPr>
              <w:pStyle w:val="CDITable-RowCentre"/>
              <w:rPr>
                <w:sz w:val="16"/>
              </w:rPr>
            </w:pPr>
            <w:r w:rsidRPr="005B35C8">
              <w:rPr>
                <w:sz w:val="16"/>
              </w:rPr>
              <w:t>26.9–42.6</w:t>
            </w:r>
          </w:p>
        </w:tc>
      </w:tr>
      <w:tr w:rsidR="005B35C8" w:rsidRPr="005B35C8" w14:paraId="4EBDE4C5" w14:textId="77777777" w:rsidTr="005B35C8">
        <w:trPr>
          <w:trHeight w:val="60"/>
        </w:trPr>
        <w:tc>
          <w:tcPr>
            <w:tcW w:w="1417" w:type="dxa"/>
            <w:vMerge/>
            <w:tcBorders>
              <w:bottom w:val="single" w:sz="6" w:space="0" w:color="1E4496" w:themeColor="text2"/>
            </w:tcBorders>
            <w:shd w:val="clear" w:color="auto" w:fill="DCF4FC" w:themeFill="background2" w:themeFillTint="33"/>
            <w:tcMar>
              <w:top w:w="102" w:type="dxa"/>
              <w:bottom w:w="102" w:type="dxa"/>
            </w:tcMar>
          </w:tcPr>
          <w:p w14:paraId="256C93E1" w14:textId="77777777" w:rsidR="005B35C8" w:rsidRPr="005B35C8" w:rsidRDefault="005B35C8" w:rsidP="005B35C8"/>
        </w:tc>
        <w:tc>
          <w:tcPr>
            <w:tcW w:w="1474"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5171D4E9" w14:textId="77777777" w:rsidR="005B35C8" w:rsidRPr="005B35C8" w:rsidRDefault="005B35C8" w:rsidP="005B35C8">
            <w:pPr>
              <w:pStyle w:val="CDITable-RowLeft"/>
              <w:rPr>
                <w:sz w:val="16"/>
              </w:rPr>
            </w:pPr>
            <w:r w:rsidRPr="005B35C8">
              <w:rPr>
                <w:sz w:val="16"/>
              </w:rPr>
              <w:t>12–17 years</w:t>
            </w:r>
          </w:p>
        </w:tc>
        <w:tc>
          <w:tcPr>
            <w:tcW w:w="624"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1701D500" w14:textId="77777777" w:rsidR="005B35C8" w:rsidRPr="005B35C8" w:rsidRDefault="005B35C8" w:rsidP="005B35C8">
            <w:pPr>
              <w:pStyle w:val="CDITable-RowCentre"/>
              <w:rPr>
                <w:sz w:val="16"/>
              </w:rPr>
            </w:pPr>
            <w:r w:rsidRPr="005B35C8">
              <w:rPr>
                <w:sz w:val="16"/>
              </w:rPr>
              <w:t>168</w:t>
            </w:r>
          </w:p>
        </w:tc>
        <w:tc>
          <w:tcPr>
            <w:tcW w:w="624"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3C55191F" w14:textId="77777777" w:rsidR="005B35C8" w:rsidRPr="005B35C8" w:rsidRDefault="005B35C8" w:rsidP="005B35C8">
            <w:pPr>
              <w:pStyle w:val="CDITable-RowCentre"/>
              <w:rPr>
                <w:sz w:val="16"/>
              </w:rPr>
            </w:pPr>
            <w:r w:rsidRPr="005B35C8">
              <w:rPr>
                <w:sz w:val="16"/>
              </w:rPr>
              <w:t>23</w:t>
            </w:r>
          </w:p>
        </w:tc>
        <w:tc>
          <w:tcPr>
            <w:tcW w:w="623"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27B195FA" w14:textId="77777777" w:rsidR="005B35C8" w:rsidRPr="005B35C8" w:rsidRDefault="005B35C8" w:rsidP="005B35C8">
            <w:pPr>
              <w:pStyle w:val="CDITable-RowCentre"/>
              <w:rPr>
                <w:sz w:val="16"/>
              </w:rPr>
            </w:pPr>
            <w:r w:rsidRPr="005B35C8">
              <w:rPr>
                <w:sz w:val="16"/>
              </w:rPr>
              <w:t>13.7</w:t>
            </w:r>
          </w:p>
        </w:tc>
        <w:tc>
          <w:tcPr>
            <w:tcW w:w="992" w:type="dxa"/>
            <w:tcBorders>
              <w:top w:val="single" w:sz="6" w:space="0" w:color="1E4496" w:themeColor="text2"/>
              <w:bottom w:val="single" w:sz="6" w:space="0" w:color="1E4496" w:themeColor="text2"/>
              <w:right w:val="single" w:sz="6" w:space="0" w:color="1E4496" w:themeColor="text2"/>
            </w:tcBorders>
            <w:tcMar>
              <w:top w:w="102" w:type="dxa"/>
              <w:left w:w="113" w:type="dxa"/>
              <w:bottom w:w="102" w:type="dxa"/>
              <w:right w:w="113" w:type="dxa"/>
            </w:tcMar>
            <w:vAlign w:val="center"/>
          </w:tcPr>
          <w:p w14:paraId="62D357E2" w14:textId="77777777" w:rsidR="005B35C8" w:rsidRPr="005B35C8" w:rsidRDefault="005B35C8" w:rsidP="005B35C8">
            <w:pPr>
              <w:pStyle w:val="CDITable-RowCentre"/>
              <w:rPr>
                <w:sz w:val="16"/>
              </w:rPr>
            </w:pPr>
            <w:r w:rsidRPr="005B35C8">
              <w:rPr>
                <w:sz w:val="16"/>
              </w:rPr>
              <w:t>8.9–19.8</w:t>
            </w:r>
          </w:p>
        </w:tc>
        <w:tc>
          <w:tcPr>
            <w:tcW w:w="624" w:type="dxa"/>
            <w:tcBorders>
              <w:top w:val="single" w:sz="6" w:space="0" w:color="1E4496" w:themeColor="text2"/>
              <w:left w:val="single" w:sz="6" w:space="0" w:color="1E4496" w:themeColor="text2"/>
              <w:bottom w:val="single" w:sz="6" w:space="0" w:color="1E4496" w:themeColor="text2"/>
            </w:tcBorders>
            <w:tcMar>
              <w:top w:w="102" w:type="dxa"/>
              <w:left w:w="113" w:type="dxa"/>
              <w:bottom w:w="102" w:type="dxa"/>
              <w:right w:w="113" w:type="dxa"/>
            </w:tcMar>
            <w:vAlign w:val="center"/>
          </w:tcPr>
          <w:p w14:paraId="60DF5E8E" w14:textId="77777777" w:rsidR="005B35C8" w:rsidRPr="005B35C8" w:rsidRDefault="005B35C8" w:rsidP="005B35C8">
            <w:pPr>
              <w:pStyle w:val="CDITable-RowCentre"/>
              <w:rPr>
                <w:sz w:val="16"/>
              </w:rPr>
            </w:pPr>
            <w:r w:rsidRPr="005B35C8">
              <w:rPr>
                <w:sz w:val="16"/>
              </w:rPr>
              <w:t>168</w:t>
            </w:r>
          </w:p>
        </w:tc>
        <w:tc>
          <w:tcPr>
            <w:tcW w:w="624"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743B452D" w14:textId="77777777" w:rsidR="005B35C8" w:rsidRPr="005B35C8" w:rsidRDefault="005B35C8" w:rsidP="005B35C8">
            <w:pPr>
              <w:pStyle w:val="CDITable-RowCentre"/>
              <w:rPr>
                <w:sz w:val="16"/>
              </w:rPr>
            </w:pPr>
            <w:r w:rsidRPr="005B35C8">
              <w:rPr>
                <w:sz w:val="16"/>
              </w:rPr>
              <w:t>27</w:t>
            </w:r>
          </w:p>
        </w:tc>
        <w:tc>
          <w:tcPr>
            <w:tcW w:w="623"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20D9B627" w14:textId="77777777" w:rsidR="005B35C8" w:rsidRPr="005B35C8" w:rsidRDefault="005B35C8" w:rsidP="005B35C8">
            <w:pPr>
              <w:pStyle w:val="CDITable-RowCentre"/>
              <w:rPr>
                <w:sz w:val="16"/>
              </w:rPr>
            </w:pPr>
            <w:r w:rsidRPr="005B35C8">
              <w:rPr>
                <w:sz w:val="16"/>
              </w:rPr>
              <w:t>16.1</w:t>
            </w:r>
          </w:p>
        </w:tc>
        <w:tc>
          <w:tcPr>
            <w:tcW w:w="992" w:type="dxa"/>
            <w:tcBorders>
              <w:top w:val="single" w:sz="6" w:space="0" w:color="1E4496" w:themeColor="text2"/>
              <w:bottom w:val="single" w:sz="6" w:space="0" w:color="1E4496" w:themeColor="text2"/>
              <w:right w:val="single" w:sz="6" w:space="0" w:color="1E4496" w:themeColor="text2"/>
            </w:tcBorders>
            <w:tcMar>
              <w:top w:w="102" w:type="dxa"/>
              <w:left w:w="113" w:type="dxa"/>
              <w:bottom w:w="102" w:type="dxa"/>
              <w:right w:w="113" w:type="dxa"/>
            </w:tcMar>
            <w:vAlign w:val="center"/>
          </w:tcPr>
          <w:p w14:paraId="5B2DB1BC" w14:textId="77777777" w:rsidR="005B35C8" w:rsidRPr="005B35C8" w:rsidRDefault="005B35C8" w:rsidP="005B35C8">
            <w:pPr>
              <w:pStyle w:val="CDITable-RowCentre"/>
              <w:rPr>
                <w:sz w:val="16"/>
              </w:rPr>
            </w:pPr>
            <w:r w:rsidRPr="005B35C8">
              <w:rPr>
                <w:sz w:val="16"/>
              </w:rPr>
              <w:t>10.9–22.5</w:t>
            </w:r>
          </w:p>
        </w:tc>
        <w:tc>
          <w:tcPr>
            <w:tcW w:w="624" w:type="dxa"/>
            <w:tcBorders>
              <w:top w:val="single" w:sz="6" w:space="0" w:color="1E4496" w:themeColor="text2"/>
              <w:left w:val="single" w:sz="6" w:space="0" w:color="1E4496" w:themeColor="text2"/>
              <w:bottom w:val="single" w:sz="6" w:space="0" w:color="1E4496" w:themeColor="text2"/>
            </w:tcBorders>
            <w:tcMar>
              <w:top w:w="102" w:type="dxa"/>
              <w:left w:w="113" w:type="dxa"/>
              <w:bottom w:w="102" w:type="dxa"/>
              <w:right w:w="113" w:type="dxa"/>
            </w:tcMar>
            <w:vAlign w:val="center"/>
          </w:tcPr>
          <w:p w14:paraId="030862A6" w14:textId="77777777" w:rsidR="005B35C8" w:rsidRPr="005B35C8" w:rsidRDefault="005B35C8" w:rsidP="005B35C8">
            <w:pPr>
              <w:pStyle w:val="CDITable-RowCentre"/>
              <w:rPr>
                <w:sz w:val="16"/>
              </w:rPr>
            </w:pPr>
            <w:r w:rsidRPr="005B35C8">
              <w:rPr>
                <w:sz w:val="16"/>
              </w:rPr>
              <w:t>168</w:t>
            </w:r>
          </w:p>
        </w:tc>
        <w:tc>
          <w:tcPr>
            <w:tcW w:w="624"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73BD3C9D" w14:textId="77777777" w:rsidR="005B35C8" w:rsidRPr="005B35C8" w:rsidRDefault="005B35C8" w:rsidP="005B35C8">
            <w:pPr>
              <w:pStyle w:val="CDITable-RowCentre"/>
              <w:rPr>
                <w:sz w:val="16"/>
              </w:rPr>
            </w:pPr>
            <w:r w:rsidRPr="005B35C8">
              <w:rPr>
                <w:sz w:val="16"/>
              </w:rPr>
              <w:t>22</w:t>
            </w:r>
          </w:p>
        </w:tc>
        <w:tc>
          <w:tcPr>
            <w:tcW w:w="623"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3DCB49B9" w14:textId="77777777" w:rsidR="005B35C8" w:rsidRPr="005B35C8" w:rsidRDefault="005B35C8" w:rsidP="005B35C8">
            <w:pPr>
              <w:pStyle w:val="CDITable-RowCentre"/>
              <w:rPr>
                <w:sz w:val="16"/>
              </w:rPr>
            </w:pPr>
            <w:r w:rsidRPr="005B35C8">
              <w:rPr>
                <w:sz w:val="16"/>
              </w:rPr>
              <w:t>13.1</w:t>
            </w:r>
          </w:p>
        </w:tc>
        <w:tc>
          <w:tcPr>
            <w:tcW w:w="992" w:type="dxa"/>
            <w:tcBorders>
              <w:top w:val="single" w:sz="6" w:space="0" w:color="1E4496" w:themeColor="text2"/>
              <w:bottom w:val="single" w:sz="6" w:space="0" w:color="1E4496" w:themeColor="text2"/>
              <w:right w:val="single" w:sz="6" w:space="0" w:color="1E4496" w:themeColor="text2"/>
            </w:tcBorders>
            <w:tcMar>
              <w:top w:w="102" w:type="dxa"/>
              <w:left w:w="113" w:type="dxa"/>
              <w:bottom w:w="102" w:type="dxa"/>
              <w:right w:w="113" w:type="dxa"/>
            </w:tcMar>
            <w:vAlign w:val="center"/>
          </w:tcPr>
          <w:p w14:paraId="3AD82456" w14:textId="77777777" w:rsidR="005B35C8" w:rsidRPr="005B35C8" w:rsidRDefault="005B35C8" w:rsidP="005B35C8">
            <w:pPr>
              <w:pStyle w:val="CDITable-RowCentre"/>
              <w:rPr>
                <w:sz w:val="16"/>
              </w:rPr>
            </w:pPr>
            <w:r w:rsidRPr="005B35C8">
              <w:rPr>
                <w:sz w:val="16"/>
              </w:rPr>
              <w:t>8.4–19.2</w:t>
            </w:r>
          </w:p>
        </w:tc>
        <w:tc>
          <w:tcPr>
            <w:tcW w:w="624" w:type="dxa"/>
            <w:tcBorders>
              <w:top w:val="single" w:sz="6" w:space="0" w:color="1E4496" w:themeColor="text2"/>
              <w:left w:val="single" w:sz="6" w:space="0" w:color="1E4496" w:themeColor="text2"/>
              <w:bottom w:val="single" w:sz="6" w:space="0" w:color="1E4496" w:themeColor="text2"/>
            </w:tcBorders>
            <w:tcMar>
              <w:top w:w="102" w:type="dxa"/>
              <w:left w:w="113" w:type="dxa"/>
              <w:bottom w:w="102" w:type="dxa"/>
              <w:right w:w="113" w:type="dxa"/>
            </w:tcMar>
            <w:vAlign w:val="center"/>
          </w:tcPr>
          <w:p w14:paraId="10F6C0D3" w14:textId="77777777" w:rsidR="005B35C8" w:rsidRPr="005B35C8" w:rsidRDefault="005B35C8" w:rsidP="005B35C8">
            <w:pPr>
              <w:pStyle w:val="CDITable-RowCentre"/>
              <w:rPr>
                <w:sz w:val="16"/>
              </w:rPr>
            </w:pPr>
            <w:r w:rsidRPr="005B35C8">
              <w:rPr>
                <w:sz w:val="16"/>
              </w:rPr>
              <w:t>168</w:t>
            </w:r>
          </w:p>
        </w:tc>
        <w:tc>
          <w:tcPr>
            <w:tcW w:w="624"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6550205D" w14:textId="77777777" w:rsidR="005B35C8" w:rsidRPr="005B35C8" w:rsidRDefault="005B35C8" w:rsidP="005B35C8">
            <w:pPr>
              <w:pStyle w:val="CDITable-RowCentre"/>
              <w:rPr>
                <w:sz w:val="16"/>
              </w:rPr>
            </w:pPr>
            <w:r w:rsidRPr="005B35C8">
              <w:rPr>
                <w:sz w:val="16"/>
              </w:rPr>
              <w:t>29</w:t>
            </w:r>
          </w:p>
        </w:tc>
        <w:tc>
          <w:tcPr>
            <w:tcW w:w="623"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4DF67516" w14:textId="77777777" w:rsidR="005B35C8" w:rsidRPr="005B35C8" w:rsidRDefault="005B35C8" w:rsidP="005B35C8">
            <w:pPr>
              <w:pStyle w:val="CDITable-RowCentre"/>
              <w:rPr>
                <w:sz w:val="16"/>
              </w:rPr>
            </w:pPr>
            <w:r w:rsidRPr="005B35C8">
              <w:rPr>
                <w:sz w:val="16"/>
              </w:rPr>
              <w:t>17.3</w:t>
            </w:r>
          </w:p>
        </w:tc>
        <w:tc>
          <w:tcPr>
            <w:tcW w:w="992"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02F6BD04" w14:textId="77777777" w:rsidR="005B35C8" w:rsidRPr="005B35C8" w:rsidRDefault="005B35C8" w:rsidP="005B35C8">
            <w:pPr>
              <w:pStyle w:val="CDITable-RowCentre"/>
              <w:rPr>
                <w:sz w:val="16"/>
              </w:rPr>
            </w:pPr>
            <w:r w:rsidRPr="005B35C8">
              <w:rPr>
                <w:sz w:val="16"/>
              </w:rPr>
              <w:t>11.9–23.8</w:t>
            </w:r>
          </w:p>
        </w:tc>
      </w:tr>
      <w:tr w:rsidR="005B35C8" w:rsidRPr="005B35C8" w14:paraId="151F5771" w14:textId="77777777" w:rsidTr="005B35C8">
        <w:trPr>
          <w:trHeight w:val="60"/>
        </w:trPr>
        <w:tc>
          <w:tcPr>
            <w:tcW w:w="1417" w:type="dxa"/>
            <w:vMerge w:val="restart"/>
            <w:tcBorders>
              <w:top w:val="single" w:sz="6" w:space="0" w:color="1E4496" w:themeColor="text2"/>
              <w:bottom w:val="single" w:sz="6" w:space="0" w:color="1E4496" w:themeColor="text2"/>
            </w:tcBorders>
            <w:shd w:val="clear" w:color="auto" w:fill="DCF4FC" w:themeFill="background2" w:themeFillTint="33"/>
            <w:tcMar>
              <w:top w:w="102" w:type="dxa"/>
              <w:left w:w="113" w:type="dxa"/>
              <w:bottom w:w="102" w:type="dxa"/>
              <w:right w:w="113" w:type="dxa"/>
            </w:tcMar>
            <w:vAlign w:val="center"/>
          </w:tcPr>
          <w:p w14:paraId="65FE3AC0" w14:textId="77777777" w:rsidR="005B35C8" w:rsidRPr="005B35C8" w:rsidRDefault="005B35C8" w:rsidP="005B35C8">
            <w:pPr>
              <w:pStyle w:val="CDITable-RowLeft"/>
              <w:rPr>
                <w:sz w:val="16"/>
              </w:rPr>
            </w:pPr>
            <w:r w:rsidRPr="005B35C8">
              <w:rPr>
                <w:sz w:val="16"/>
              </w:rPr>
              <w:t>Onset location</w:t>
            </w:r>
          </w:p>
        </w:tc>
        <w:tc>
          <w:tcPr>
            <w:tcW w:w="1474"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6520B8C8" w14:textId="77777777" w:rsidR="005B35C8" w:rsidRPr="005B35C8" w:rsidRDefault="005B35C8" w:rsidP="005B35C8">
            <w:pPr>
              <w:pStyle w:val="CDITable-RowLeft"/>
              <w:rPr>
                <w:sz w:val="16"/>
              </w:rPr>
            </w:pPr>
            <w:r w:rsidRPr="005B35C8">
              <w:rPr>
                <w:sz w:val="16"/>
              </w:rPr>
              <w:t>Community</w:t>
            </w:r>
          </w:p>
        </w:tc>
        <w:tc>
          <w:tcPr>
            <w:tcW w:w="624"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335DB31D" w14:textId="77777777" w:rsidR="005B35C8" w:rsidRPr="005B35C8" w:rsidRDefault="005B35C8" w:rsidP="005B35C8">
            <w:pPr>
              <w:pStyle w:val="CDITable-RowCentre"/>
              <w:rPr>
                <w:sz w:val="16"/>
              </w:rPr>
            </w:pPr>
            <w:r w:rsidRPr="005B35C8">
              <w:rPr>
                <w:sz w:val="16"/>
              </w:rPr>
              <w:t>641</w:t>
            </w:r>
          </w:p>
        </w:tc>
        <w:tc>
          <w:tcPr>
            <w:tcW w:w="624"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2CAD2CF0" w14:textId="77777777" w:rsidR="005B35C8" w:rsidRPr="005B35C8" w:rsidRDefault="005B35C8" w:rsidP="005B35C8">
            <w:pPr>
              <w:pStyle w:val="CDITable-RowCentre"/>
              <w:rPr>
                <w:sz w:val="16"/>
              </w:rPr>
            </w:pPr>
            <w:r w:rsidRPr="005B35C8">
              <w:rPr>
                <w:sz w:val="16"/>
              </w:rPr>
              <w:t>47</w:t>
            </w:r>
          </w:p>
        </w:tc>
        <w:tc>
          <w:tcPr>
            <w:tcW w:w="623"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0AA1BF05" w14:textId="77777777" w:rsidR="005B35C8" w:rsidRPr="005B35C8" w:rsidRDefault="005B35C8" w:rsidP="005B35C8">
            <w:pPr>
              <w:pStyle w:val="CDITable-RowCentre"/>
              <w:rPr>
                <w:sz w:val="16"/>
              </w:rPr>
            </w:pPr>
            <w:r w:rsidRPr="005B35C8">
              <w:rPr>
                <w:sz w:val="16"/>
              </w:rPr>
              <w:t>7.3</w:t>
            </w:r>
          </w:p>
        </w:tc>
        <w:tc>
          <w:tcPr>
            <w:tcW w:w="992" w:type="dxa"/>
            <w:tcBorders>
              <w:top w:val="single" w:sz="6" w:space="0" w:color="1E4496" w:themeColor="text2"/>
              <w:bottom w:val="single" w:sz="6" w:space="0" w:color="1E4496" w:themeColor="text2"/>
              <w:right w:val="single" w:sz="6" w:space="0" w:color="1E4496" w:themeColor="text2"/>
            </w:tcBorders>
            <w:tcMar>
              <w:top w:w="102" w:type="dxa"/>
              <w:left w:w="113" w:type="dxa"/>
              <w:bottom w:w="102" w:type="dxa"/>
              <w:right w:w="113" w:type="dxa"/>
            </w:tcMar>
            <w:vAlign w:val="center"/>
          </w:tcPr>
          <w:p w14:paraId="7A29CF65" w14:textId="77777777" w:rsidR="005B35C8" w:rsidRPr="005B35C8" w:rsidRDefault="005B35C8" w:rsidP="005B35C8">
            <w:pPr>
              <w:pStyle w:val="CDITable-RowCentre"/>
              <w:rPr>
                <w:sz w:val="16"/>
              </w:rPr>
            </w:pPr>
            <w:r w:rsidRPr="005B35C8">
              <w:rPr>
                <w:sz w:val="16"/>
              </w:rPr>
              <w:t>5.4–9.6</w:t>
            </w:r>
          </w:p>
        </w:tc>
        <w:tc>
          <w:tcPr>
            <w:tcW w:w="624" w:type="dxa"/>
            <w:tcBorders>
              <w:top w:val="single" w:sz="6" w:space="0" w:color="1E4496" w:themeColor="text2"/>
              <w:left w:val="single" w:sz="6" w:space="0" w:color="1E4496" w:themeColor="text2"/>
              <w:bottom w:val="single" w:sz="6" w:space="0" w:color="1E4496" w:themeColor="text2"/>
            </w:tcBorders>
            <w:tcMar>
              <w:top w:w="102" w:type="dxa"/>
              <w:left w:w="113" w:type="dxa"/>
              <w:bottom w:w="102" w:type="dxa"/>
              <w:right w:w="113" w:type="dxa"/>
            </w:tcMar>
            <w:vAlign w:val="center"/>
          </w:tcPr>
          <w:p w14:paraId="310658D1" w14:textId="77777777" w:rsidR="005B35C8" w:rsidRPr="005B35C8" w:rsidRDefault="005B35C8" w:rsidP="005B35C8">
            <w:pPr>
              <w:pStyle w:val="CDITable-RowCentre"/>
              <w:rPr>
                <w:sz w:val="16"/>
              </w:rPr>
            </w:pPr>
            <w:r w:rsidRPr="005B35C8">
              <w:rPr>
                <w:sz w:val="16"/>
              </w:rPr>
              <w:t>641</w:t>
            </w:r>
          </w:p>
        </w:tc>
        <w:tc>
          <w:tcPr>
            <w:tcW w:w="624"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5B8A1EF8" w14:textId="77777777" w:rsidR="005B35C8" w:rsidRPr="005B35C8" w:rsidRDefault="005B35C8" w:rsidP="005B35C8">
            <w:pPr>
              <w:pStyle w:val="CDITable-RowCentre"/>
              <w:rPr>
                <w:sz w:val="16"/>
              </w:rPr>
            </w:pPr>
            <w:r w:rsidRPr="005B35C8">
              <w:rPr>
                <w:sz w:val="16"/>
              </w:rPr>
              <w:t>71</w:t>
            </w:r>
          </w:p>
        </w:tc>
        <w:tc>
          <w:tcPr>
            <w:tcW w:w="623"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5CD2F026" w14:textId="77777777" w:rsidR="005B35C8" w:rsidRPr="005B35C8" w:rsidRDefault="005B35C8" w:rsidP="005B35C8">
            <w:pPr>
              <w:pStyle w:val="CDITable-RowCentre"/>
              <w:rPr>
                <w:sz w:val="16"/>
              </w:rPr>
            </w:pPr>
            <w:r w:rsidRPr="005B35C8">
              <w:rPr>
                <w:sz w:val="16"/>
              </w:rPr>
              <w:t>11.1</w:t>
            </w:r>
          </w:p>
        </w:tc>
        <w:tc>
          <w:tcPr>
            <w:tcW w:w="992" w:type="dxa"/>
            <w:tcBorders>
              <w:top w:val="single" w:sz="6" w:space="0" w:color="1E4496" w:themeColor="text2"/>
              <w:bottom w:val="single" w:sz="6" w:space="0" w:color="1E4496" w:themeColor="text2"/>
              <w:right w:val="single" w:sz="6" w:space="0" w:color="1E4496" w:themeColor="text2"/>
            </w:tcBorders>
            <w:tcMar>
              <w:top w:w="102" w:type="dxa"/>
              <w:left w:w="113" w:type="dxa"/>
              <w:bottom w:w="102" w:type="dxa"/>
              <w:right w:w="113" w:type="dxa"/>
            </w:tcMar>
            <w:vAlign w:val="center"/>
          </w:tcPr>
          <w:p w14:paraId="2353DCC4" w14:textId="77777777" w:rsidR="005B35C8" w:rsidRPr="005B35C8" w:rsidRDefault="005B35C8" w:rsidP="005B35C8">
            <w:pPr>
              <w:pStyle w:val="CDITable-RowCentre"/>
              <w:rPr>
                <w:sz w:val="16"/>
              </w:rPr>
            </w:pPr>
            <w:r w:rsidRPr="005B35C8">
              <w:rPr>
                <w:sz w:val="16"/>
              </w:rPr>
              <w:t>8.8–13.8</w:t>
            </w:r>
          </w:p>
        </w:tc>
        <w:tc>
          <w:tcPr>
            <w:tcW w:w="624" w:type="dxa"/>
            <w:tcBorders>
              <w:top w:val="single" w:sz="6" w:space="0" w:color="1E4496" w:themeColor="text2"/>
              <w:left w:val="single" w:sz="6" w:space="0" w:color="1E4496" w:themeColor="text2"/>
              <w:bottom w:val="single" w:sz="6" w:space="0" w:color="1E4496" w:themeColor="text2"/>
            </w:tcBorders>
            <w:tcMar>
              <w:top w:w="102" w:type="dxa"/>
              <w:left w:w="113" w:type="dxa"/>
              <w:bottom w:w="102" w:type="dxa"/>
              <w:right w:w="113" w:type="dxa"/>
            </w:tcMar>
            <w:vAlign w:val="center"/>
          </w:tcPr>
          <w:p w14:paraId="63490173" w14:textId="77777777" w:rsidR="005B35C8" w:rsidRPr="005B35C8" w:rsidRDefault="005B35C8" w:rsidP="005B35C8">
            <w:pPr>
              <w:pStyle w:val="CDITable-RowCentre"/>
              <w:rPr>
                <w:sz w:val="16"/>
              </w:rPr>
            </w:pPr>
            <w:r w:rsidRPr="005B35C8">
              <w:rPr>
                <w:sz w:val="16"/>
              </w:rPr>
              <w:t>636</w:t>
            </w:r>
          </w:p>
        </w:tc>
        <w:tc>
          <w:tcPr>
            <w:tcW w:w="624"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02C9861A" w14:textId="77777777" w:rsidR="005B35C8" w:rsidRPr="005B35C8" w:rsidRDefault="005B35C8" w:rsidP="005B35C8">
            <w:pPr>
              <w:pStyle w:val="CDITable-RowCentre"/>
              <w:rPr>
                <w:sz w:val="16"/>
              </w:rPr>
            </w:pPr>
            <w:r w:rsidRPr="005B35C8">
              <w:rPr>
                <w:sz w:val="16"/>
              </w:rPr>
              <w:t>29</w:t>
            </w:r>
          </w:p>
        </w:tc>
        <w:tc>
          <w:tcPr>
            <w:tcW w:w="623"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082A4773" w14:textId="77777777" w:rsidR="005B35C8" w:rsidRPr="005B35C8" w:rsidRDefault="005B35C8" w:rsidP="005B35C8">
            <w:pPr>
              <w:pStyle w:val="CDITable-RowCentre"/>
              <w:rPr>
                <w:sz w:val="16"/>
              </w:rPr>
            </w:pPr>
            <w:r w:rsidRPr="005B35C8">
              <w:rPr>
                <w:sz w:val="16"/>
              </w:rPr>
              <w:t>4.6</w:t>
            </w:r>
          </w:p>
        </w:tc>
        <w:tc>
          <w:tcPr>
            <w:tcW w:w="992" w:type="dxa"/>
            <w:tcBorders>
              <w:top w:val="single" w:sz="6" w:space="0" w:color="1E4496" w:themeColor="text2"/>
              <w:bottom w:val="single" w:sz="6" w:space="0" w:color="1E4496" w:themeColor="text2"/>
              <w:right w:val="single" w:sz="6" w:space="0" w:color="1E4496" w:themeColor="text2"/>
            </w:tcBorders>
            <w:tcMar>
              <w:top w:w="102" w:type="dxa"/>
              <w:left w:w="113" w:type="dxa"/>
              <w:bottom w:w="102" w:type="dxa"/>
              <w:right w:w="113" w:type="dxa"/>
            </w:tcMar>
            <w:vAlign w:val="center"/>
          </w:tcPr>
          <w:p w14:paraId="5903BC81" w14:textId="77777777" w:rsidR="005B35C8" w:rsidRPr="005B35C8" w:rsidRDefault="005B35C8" w:rsidP="005B35C8">
            <w:pPr>
              <w:pStyle w:val="CDITable-RowCentre"/>
              <w:rPr>
                <w:sz w:val="16"/>
              </w:rPr>
            </w:pPr>
            <w:r w:rsidRPr="005B35C8">
              <w:rPr>
                <w:sz w:val="16"/>
              </w:rPr>
              <w:t>3.1–6.5</w:t>
            </w:r>
          </w:p>
        </w:tc>
        <w:tc>
          <w:tcPr>
            <w:tcW w:w="624" w:type="dxa"/>
            <w:tcBorders>
              <w:top w:val="single" w:sz="6" w:space="0" w:color="1E4496" w:themeColor="text2"/>
              <w:left w:val="single" w:sz="6" w:space="0" w:color="1E4496" w:themeColor="text2"/>
              <w:bottom w:val="single" w:sz="6" w:space="0" w:color="1E4496" w:themeColor="text2"/>
            </w:tcBorders>
            <w:tcMar>
              <w:top w:w="102" w:type="dxa"/>
              <w:left w:w="113" w:type="dxa"/>
              <w:bottom w:w="102" w:type="dxa"/>
              <w:right w:w="113" w:type="dxa"/>
            </w:tcMar>
            <w:vAlign w:val="center"/>
          </w:tcPr>
          <w:p w14:paraId="7F637465" w14:textId="77777777" w:rsidR="005B35C8" w:rsidRPr="005B35C8" w:rsidRDefault="005B35C8" w:rsidP="005B35C8">
            <w:pPr>
              <w:pStyle w:val="CDITable-RowCentre"/>
              <w:rPr>
                <w:sz w:val="16"/>
              </w:rPr>
            </w:pPr>
            <w:r w:rsidRPr="005B35C8">
              <w:rPr>
                <w:sz w:val="16"/>
              </w:rPr>
              <w:t>639</w:t>
            </w:r>
          </w:p>
        </w:tc>
        <w:tc>
          <w:tcPr>
            <w:tcW w:w="624"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25754BEA" w14:textId="77777777" w:rsidR="005B35C8" w:rsidRPr="005B35C8" w:rsidRDefault="005B35C8" w:rsidP="005B35C8">
            <w:pPr>
              <w:pStyle w:val="CDITable-RowCentre"/>
              <w:rPr>
                <w:sz w:val="16"/>
              </w:rPr>
            </w:pPr>
            <w:r w:rsidRPr="005B35C8">
              <w:rPr>
                <w:sz w:val="16"/>
              </w:rPr>
              <w:t>123</w:t>
            </w:r>
          </w:p>
        </w:tc>
        <w:tc>
          <w:tcPr>
            <w:tcW w:w="623"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1FEE285A" w14:textId="77777777" w:rsidR="005B35C8" w:rsidRPr="005B35C8" w:rsidRDefault="005B35C8" w:rsidP="005B35C8">
            <w:pPr>
              <w:pStyle w:val="CDITable-RowCentre"/>
              <w:rPr>
                <w:sz w:val="16"/>
              </w:rPr>
            </w:pPr>
            <w:r w:rsidRPr="005B35C8">
              <w:rPr>
                <w:sz w:val="16"/>
              </w:rPr>
              <w:t>19.3</w:t>
            </w:r>
          </w:p>
        </w:tc>
        <w:tc>
          <w:tcPr>
            <w:tcW w:w="992"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0E8EBE18" w14:textId="77777777" w:rsidR="005B35C8" w:rsidRPr="005B35C8" w:rsidRDefault="005B35C8" w:rsidP="005B35C8">
            <w:pPr>
              <w:pStyle w:val="CDITable-RowCentre"/>
              <w:rPr>
                <w:sz w:val="16"/>
              </w:rPr>
            </w:pPr>
            <w:r w:rsidRPr="005B35C8">
              <w:rPr>
                <w:sz w:val="16"/>
              </w:rPr>
              <w:t>16.3–22.5</w:t>
            </w:r>
          </w:p>
        </w:tc>
      </w:tr>
      <w:tr w:rsidR="005B35C8" w:rsidRPr="005B35C8" w14:paraId="2F5F1D04" w14:textId="77777777" w:rsidTr="005B35C8">
        <w:trPr>
          <w:trHeight w:val="60"/>
        </w:trPr>
        <w:tc>
          <w:tcPr>
            <w:tcW w:w="1417" w:type="dxa"/>
            <w:vMerge/>
            <w:tcBorders>
              <w:bottom w:val="single" w:sz="6" w:space="0" w:color="1E4496" w:themeColor="text2"/>
            </w:tcBorders>
            <w:shd w:val="clear" w:color="auto" w:fill="DCF4FC" w:themeFill="background2" w:themeFillTint="33"/>
            <w:tcMar>
              <w:top w:w="102" w:type="dxa"/>
              <w:bottom w:w="102" w:type="dxa"/>
            </w:tcMar>
          </w:tcPr>
          <w:p w14:paraId="6E6A50C8" w14:textId="77777777" w:rsidR="005B35C8" w:rsidRPr="005B35C8" w:rsidRDefault="005B35C8" w:rsidP="005B35C8"/>
        </w:tc>
        <w:tc>
          <w:tcPr>
            <w:tcW w:w="1474"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7FA9F479" w14:textId="77777777" w:rsidR="005B35C8" w:rsidRPr="005B35C8" w:rsidRDefault="005B35C8" w:rsidP="005B35C8">
            <w:pPr>
              <w:pStyle w:val="CDITable-RowLeft"/>
              <w:rPr>
                <w:sz w:val="16"/>
              </w:rPr>
            </w:pPr>
            <w:r w:rsidRPr="005B35C8">
              <w:rPr>
                <w:sz w:val="16"/>
              </w:rPr>
              <w:t>Hospital</w:t>
            </w:r>
          </w:p>
        </w:tc>
        <w:tc>
          <w:tcPr>
            <w:tcW w:w="624"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3614D4D9" w14:textId="77777777" w:rsidR="005B35C8" w:rsidRPr="005B35C8" w:rsidRDefault="005B35C8" w:rsidP="005B35C8">
            <w:pPr>
              <w:pStyle w:val="CDITable-RowCentre"/>
              <w:rPr>
                <w:sz w:val="16"/>
              </w:rPr>
            </w:pPr>
            <w:r w:rsidRPr="005B35C8">
              <w:rPr>
                <w:sz w:val="16"/>
              </w:rPr>
              <w:t>286</w:t>
            </w:r>
          </w:p>
        </w:tc>
        <w:tc>
          <w:tcPr>
            <w:tcW w:w="624"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58364B4B" w14:textId="77777777" w:rsidR="005B35C8" w:rsidRPr="005B35C8" w:rsidRDefault="005B35C8" w:rsidP="005B35C8">
            <w:pPr>
              <w:pStyle w:val="CDITable-RowCentre"/>
              <w:rPr>
                <w:sz w:val="16"/>
              </w:rPr>
            </w:pPr>
            <w:r w:rsidRPr="005B35C8">
              <w:rPr>
                <w:sz w:val="16"/>
              </w:rPr>
              <w:t>41</w:t>
            </w:r>
          </w:p>
        </w:tc>
        <w:tc>
          <w:tcPr>
            <w:tcW w:w="623"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35F35A82" w14:textId="77777777" w:rsidR="005B35C8" w:rsidRPr="005B35C8" w:rsidRDefault="005B35C8" w:rsidP="005B35C8">
            <w:pPr>
              <w:pStyle w:val="CDITable-RowCentre"/>
              <w:rPr>
                <w:sz w:val="16"/>
              </w:rPr>
            </w:pPr>
            <w:r w:rsidRPr="005B35C8">
              <w:rPr>
                <w:sz w:val="16"/>
              </w:rPr>
              <w:t>14.3</w:t>
            </w:r>
          </w:p>
        </w:tc>
        <w:tc>
          <w:tcPr>
            <w:tcW w:w="992" w:type="dxa"/>
            <w:tcBorders>
              <w:top w:val="single" w:sz="6" w:space="0" w:color="1E4496" w:themeColor="text2"/>
              <w:bottom w:val="single" w:sz="6" w:space="0" w:color="1E4496" w:themeColor="text2"/>
              <w:right w:val="single" w:sz="6" w:space="0" w:color="1E4496" w:themeColor="text2"/>
            </w:tcBorders>
            <w:tcMar>
              <w:top w:w="102" w:type="dxa"/>
              <w:left w:w="113" w:type="dxa"/>
              <w:bottom w:w="102" w:type="dxa"/>
              <w:right w:w="113" w:type="dxa"/>
            </w:tcMar>
            <w:vAlign w:val="center"/>
          </w:tcPr>
          <w:p w14:paraId="53E3F408" w14:textId="77777777" w:rsidR="005B35C8" w:rsidRPr="005B35C8" w:rsidRDefault="005B35C8" w:rsidP="005B35C8">
            <w:pPr>
              <w:pStyle w:val="CDITable-RowCentre"/>
              <w:rPr>
                <w:sz w:val="16"/>
              </w:rPr>
            </w:pPr>
            <w:r w:rsidRPr="005B35C8">
              <w:rPr>
                <w:sz w:val="16"/>
              </w:rPr>
              <w:t>10.5–18.9</w:t>
            </w:r>
          </w:p>
        </w:tc>
        <w:tc>
          <w:tcPr>
            <w:tcW w:w="624" w:type="dxa"/>
            <w:tcBorders>
              <w:top w:val="single" w:sz="6" w:space="0" w:color="1E4496" w:themeColor="text2"/>
              <w:left w:val="single" w:sz="6" w:space="0" w:color="1E4496" w:themeColor="text2"/>
              <w:bottom w:val="single" w:sz="6" w:space="0" w:color="1E4496" w:themeColor="text2"/>
            </w:tcBorders>
            <w:tcMar>
              <w:top w:w="102" w:type="dxa"/>
              <w:left w:w="113" w:type="dxa"/>
              <w:bottom w:w="102" w:type="dxa"/>
              <w:right w:w="113" w:type="dxa"/>
            </w:tcMar>
            <w:vAlign w:val="center"/>
          </w:tcPr>
          <w:p w14:paraId="6B15C9B2" w14:textId="77777777" w:rsidR="005B35C8" w:rsidRPr="005B35C8" w:rsidRDefault="005B35C8" w:rsidP="005B35C8">
            <w:pPr>
              <w:pStyle w:val="CDITable-RowCentre"/>
              <w:rPr>
                <w:sz w:val="16"/>
              </w:rPr>
            </w:pPr>
            <w:r w:rsidRPr="005B35C8">
              <w:rPr>
                <w:sz w:val="16"/>
              </w:rPr>
              <w:t>286</w:t>
            </w:r>
          </w:p>
        </w:tc>
        <w:tc>
          <w:tcPr>
            <w:tcW w:w="624"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3DE795FE" w14:textId="77777777" w:rsidR="005B35C8" w:rsidRPr="005B35C8" w:rsidRDefault="005B35C8" w:rsidP="005B35C8">
            <w:pPr>
              <w:pStyle w:val="CDITable-RowCentre"/>
              <w:rPr>
                <w:sz w:val="16"/>
              </w:rPr>
            </w:pPr>
            <w:r w:rsidRPr="005B35C8">
              <w:rPr>
                <w:sz w:val="16"/>
              </w:rPr>
              <w:t>59</w:t>
            </w:r>
          </w:p>
        </w:tc>
        <w:tc>
          <w:tcPr>
            <w:tcW w:w="623"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78721380" w14:textId="77777777" w:rsidR="005B35C8" w:rsidRPr="005B35C8" w:rsidRDefault="005B35C8" w:rsidP="005B35C8">
            <w:pPr>
              <w:pStyle w:val="CDITable-RowCentre"/>
              <w:rPr>
                <w:sz w:val="16"/>
              </w:rPr>
            </w:pPr>
            <w:r w:rsidRPr="005B35C8">
              <w:rPr>
                <w:sz w:val="16"/>
              </w:rPr>
              <w:t>20.6</w:t>
            </w:r>
          </w:p>
        </w:tc>
        <w:tc>
          <w:tcPr>
            <w:tcW w:w="992" w:type="dxa"/>
            <w:tcBorders>
              <w:top w:val="single" w:sz="6" w:space="0" w:color="1E4496" w:themeColor="text2"/>
              <w:bottom w:val="single" w:sz="6" w:space="0" w:color="1E4496" w:themeColor="text2"/>
              <w:right w:val="single" w:sz="6" w:space="0" w:color="1E4496" w:themeColor="text2"/>
            </w:tcBorders>
            <w:tcMar>
              <w:top w:w="102" w:type="dxa"/>
              <w:left w:w="113" w:type="dxa"/>
              <w:bottom w:w="102" w:type="dxa"/>
              <w:right w:w="113" w:type="dxa"/>
            </w:tcMar>
            <w:vAlign w:val="center"/>
          </w:tcPr>
          <w:p w14:paraId="4B631AB9" w14:textId="77777777" w:rsidR="005B35C8" w:rsidRPr="005B35C8" w:rsidRDefault="005B35C8" w:rsidP="005B35C8">
            <w:pPr>
              <w:pStyle w:val="CDITable-RowCentre"/>
              <w:rPr>
                <w:sz w:val="16"/>
              </w:rPr>
            </w:pPr>
            <w:r w:rsidRPr="005B35C8">
              <w:rPr>
                <w:sz w:val="16"/>
              </w:rPr>
              <w:t>16.1–25.8</w:t>
            </w:r>
          </w:p>
        </w:tc>
        <w:tc>
          <w:tcPr>
            <w:tcW w:w="624" w:type="dxa"/>
            <w:tcBorders>
              <w:top w:val="single" w:sz="6" w:space="0" w:color="1E4496" w:themeColor="text2"/>
              <w:left w:val="single" w:sz="6" w:space="0" w:color="1E4496" w:themeColor="text2"/>
              <w:bottom w:val="single" w:sz="6" w:space="0" w:color="1E4496" w:themeColor="text2"/>
            </w:tcBorders>
            <w:tcMar>
              <w:top w:w="102" w:type="dxa"/>
              <w:left w:w="113" w:type="dxa"/>
              <w:bottom w:w="102" w:type="dxa"/>
              <w:right w:w="113" w:type="dxa"/>
            </w:tcMar>
            <w:vAlign w:val="center"/>
          </w:tcPr>
          <w:p w14:paraId="3405038C" w14:textId="77777777" w:rsidR="005B35C8" w:rsidRPr="005B35C8" w:rsidRDefault="005B35C8" w:rsidP="005B35C8">
            <w:pPr>
              <w:pStyle w:val="CDITable-RowCentre"/>
              <w:rPr>
                <w:sz w:val="16"/>
              </w:rPr>
            </w:pPr>
            <w:r w:rsidRPr="005B35C8">
              <w:rPr>
                <w:sz w:val="16"/>
              </w:rPr>
              <w:t>281</w:t>
            </w:r>
          </w:p>
        </w:tc>
        <w:tc>
          <w:tcPr>
            <w:tcW w:w="624"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3F65F19E" w14:textId="77777777" w:rsidR="005B35C8" w:rsidRPr="005B35C8" w:rsidRDefault="005B35C8" w:rsidP="005B35C8">
            <w:pPr>
              <w:pStyle w:val="CDITable-RowCentre"/>
              <w:rPr>
                <w:sz w:val="16"/>
              </w:rPr>
            </w:pPr>
            <w:r w:rsidRPr="005B35C8">
              <w:rPr>
                <w:sz w:val="16"/>
              </w:rPr>
              <w:t>53</w:t>
            </w:r>
          </w:p>
        </w:tc>
        <w:tc>
          <w:tcPr>
            <w:tcW w:w="623"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44F3197C" w14:textId="77777777" w:rsidR="005B35C8" w:rsidRPr="005B35C8" w:rsidRDefault="005B35C8" w:rsidP="005B35C8">
            <w:pPr>
              <w:pStyle w:val="CDITable-RowCentre"/>
              <w:rPr>
                <w:sz w:val="16"/>
              </w:rPr>
            </w:pPr>
            <w:r w:rsidRPr="005B35C8">
              <w:rPr>
                <w:sz w:val="16"/>
              </w:rPr>
              <w:t>18.9</w:t>
            </w:r>
          </w:p>
        </w:tc>
        <w:tc>
          <w:tcPr>
            <w:tcW w:w="992" w:type="dxa"/>
            <w:tcBorders>
              <w:top w:val="single" w:sz="6" w:space="0" w:color="1E4496" w:themeColor="text2"/>
              <w:bottom w:val="single" w:sz="6" w:space="0" w:color="1E4496" w:themeColor="text2"/>
              <w:right w:val="single" w:sz="6" w:space="0" w:color="1E4496" w:themeColor="text2"/>
            </w:tcBorders>
            <w:tcMar>
              <w:top w:w="102" w:type="dxa"/>
              <w:left w:w="113" w:type="dxa"/>
              <w:bottom w:w="102" w:type="dxa"/>
              <w:right w:w="113" w:type="dxa"/>
            </w:tcMar>
            <w:vAlign w:val="center"/>
          </w:tcPr>
          <w:p w14:paraId="3D2570C8" w14:textId="77777777" w:rsidR="005B35C8" w:rsidRPr="005B35C8" w:rsidRDefault="005B35C8" w:rsidP="005B35C8">
            <w:pPr>
              <w:pStyle w:val="CDITable-RowCentre"/>
              <w:rPr>
                <w:sz w:val="16"/>
              </w:rPr>
            </w:pPr>
            <w:r w:rsidRPr="005B35C8">
              <w:rPr>
                <w:sz w:val="16"/>
              </w:rPr>
              <w:t>14.5–23.9</w:t>
            </w:r>
          </w:p>
        </w:tc>
        <w:tc>
          <w:tcPr>
            <w:tcW w:w="624" w:type="dxa"/>
            <w:tcBorders>
              <w:top w:val="single" w:sz="6" w:space="0" w:color="1E4496" w:themeColor="text2"/>
              <w:left w:val="single" w:sz="6" w:space="0" w:color="1E4496" w:themeColor="text2"/>
              <w:bottom w:val="single" w:sz="6" w:space="0" w:color="1E4496" w:themeColor="text2"/>
            </w:tcBorders>
            <w:tcMar>
              <w:top w:w="102" w:type="dxa"/>
              <w:left w:w="113" w:type="dxa"/>
              <w:bottom w:w="102" w:type="dxa"/>
              <w:right w:w="113" w:type="dxa"/>
            </w:tcMar>
            <w:vAlign w:val="center"/>
          </w:tcPr>
          <w:p w14:paraId="60646E1D" w14:textId="77777777" w:rsidR="005B35C8" w:rsidRPr="005B35C8" w:rsidRDefault="005B35C8" w:rsidP="005B35C8">
            <w:pPr>
              <w:pStyle w:val="CDITable-RowCentre"/>
              <w:rPr>
                <w:sz w:val="16"/>
              </w:rPr>
            </w:pPr>
            <w:r w:rsidRPr="005B35C8">
              <w:rPr>
                <w:sz w:val="16"/>
              </w:rPr>
              <w:t>286</w:t>
            </w:r>
          </w:p>
        </w:tc>
        <w:tc>
          <w:tcPr>
            <w:tcW w:w="624"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07E136FD" w14:textId="77777777" w:rsidR="005B35C8" w:rsidRPr="005B35C8" w:rsidRDefault="005B35C8" w:rsidP="005B35C8">
            <w:pPr>
              <w:pStyle w:val="CDITable-RowCentre"/>
              <w:rPr>
                <w:sz w:val="16"/>
              </w:rPr>
            </w:pPr>
            <w:r w:rsidRPr="005B35C8">
              <w:rPr>
                <w:sz w:val="16"/>
              </w:rPr>
              <w:t>43</w:t>
            </w:r>
          </w:p>
        </w:tc>
        <w:tc>
          <w:tcPr>
            <w:tcW w:w="623"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66074354" w14:textId="77777777" w:rsidR="005B35C8" w:rsidRPr="005B35C8" w:rsidRDefault="005B35C8" w:rsidP="005B35C8">
            <w:pPr>
              <w:pStyle w:val="CDITable-RowCentre"/>
              <w:rPr>
                <w:sz w:val="16"/>
              </w:rPr>
            </w:pPr>
            <w:r w:rsidRPr="005B35C8">
              <w:rPr>
                <w:sz w:val="16"/>
              </w:rPr>
              <w:t>15</w:t>
            </w:r>
          </w:p>
        </w:tc>
        <w:tc>
          <w:tcPr>
            <w:tcW w:w="992"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3FAEC8EE" w14:textId="77777777" w:rsidR="005B35C8" w:rsidRPr="005B35C8" w:rsidRDefault="005B35C8" w:rsidP="005B35C8">
            <w:pPr>
              <w:pStyle w:val="CDITable-RowCentre"/>
              <w:rPr>
                <w:sz w:val="16"/>
              </w:rPr>
            </w:pPr>
            <w:r w:rsidRPr="005B35C8">
              <w:rPr>
                <w:sz w:val="16"/>
              </w:rPr>
              <w:t>11.1–19.7</w:t>
            </w:r>
          </w:p>
        </w:tc>
      </w:tr>
    </w:tbl>
    <w:p w14:paraId="5FC89E1B" w14:textId="77777777" w:rsidR="000449DD" w:rsidRPr="000449DD" w:rsidRDefault="000449DD" w:rsidP="005B35C8">
      <w:pPr>
        <w:pStyle w:val="CDITable-FirstFootnote"/>
        <w:rPr>
          <w:lang w:val="en-GB"/>
        </w:rPr>
      </w:pPr>
      <w:r w:rsidRPr="000449DD">
        <w:rPr>
          <w:lang w:val="en-GB"/>
        </w:rPr>
        <w:t>a</w:t>
      </w:r>
      <w:r w:rsidRPr="000449DD">
        <w:rPr>
          <w:lang w:val="en-GB"/>
        </w:rPr>
        <w:tab/>
        <w:t>N: number of isolates tested; n: number of resistant isolates; R%: proportion of resistant isolates; 95% CI: 95% confidence interval.</w:t>
      </w:r>
    </w:p>
    <w:p w14:paraId="57C6AE7D" w14:textId="33BAEEBB" w:rsidR="00AA023A" w:rsidRDefault="000449DD" w:rsidP="000449DD">
      <w:pPr>
        <w:pStyle w:val="CDITable-Footnote"/>
        <w:rPr>
          <w:lang w:val="en-GB"/>
        </w:rPr>
      </w:pPr>
      <w:r w:rsidRPr="000449DD">
        <w:rPr>
          <w:lang w:val="en-GB"/>
        </w:rPr>
        <w:t>b</w:t>
      </w:r>
      <w:r w:rsidRPr="000449DD">
        <w:rPr>
          <w:lang w:val="en-GB"/>
        </w:rPr>
        <w:tab/>
        <w:t>ACT: Australian Capital Territory; NSW: New South Wales; NT: Northern Territory; Qld: Queensland; SA: South Australia; Tas: Tasmania; Vic: Victoria; WA: Western Australia.</w:t>
      </w:r>
    </w:p>
    <w:p w14:paraId="27228771" w14:textId="77777777" w:rsidR="000449DD" w:rsidRDefault="000449DD" w:rsidP="00AC46DC">
      <w:pPr>
        <w:rPr>
          <w:lang w:val="en-GB"/>
        </w:rPr>
        <w:sectPr w:rsidR="000449DD" w:rsidSect="000449DD">
          <w:footnotePr>
            <w:numFmt w:val="lowerRoman"/>
          </w:footnotePr>
          <w:pgSz w:w="16840" w:h="11907" w:orient="landscape" w:code="9"/>
          <w:pgMar w:top="1134" w:right="1134" w:bottom="1134" w:left="1134" w:header="709" w:footer="567" w:gutter="0"/>
          <w:cols w:space="708"/>
          <w:docGrid w:linePitch="360"/>
        </w:sectPr>
      </w:pPr>
    </w:p>
    <w:p w14:paraId="484BD94B" w14:textId="77777777" w:rsidR="000449DD" w:rsidRPr="000449DD" w:rsidRDefault="000449DD" w:rsidP="000449DD">
      <w:pPr>
        <w:pStyle w:val="Heading3-nospacebefore"/>
        <w:rPr>
          <w:b/>
          <w:i/>
          <w:iCs/>
        </w:rPr>
      </w:pPr>
      <w:r w:rsidRPr="000449DD">
        <w:rPr>
          <w:i/>
          <w:iCs/>
        </w:rPr>
        <w:lastRenderedPageBreak/>
        <w:t>Pseudomonas aeruginosa</w:t>
      </w:r>
    </w:p>
    <w:p w14:paraId="20DBE86A" w14:textId="39DED2EA" w:rsidR="000449DD" w:rsidRPr="000449DD" w:rsidRDefault="000449DD" w:rsidP="000449DD">
      <w:pPr>
        <w:rPr>
          <w:lang w:val="en-GB"/>
        </w:rPr>
      </w:pPr>
      <w:r w:rsidRPr="000449DD">
        <w:rPr>
          <w:lang w:val="en-GB"/>
        </w:rPr>
        <w:t xml:space="preserve">Over the two years, 64 </w:t>
      </w:r>
      <w:r w:rsidRPr="000449DD">
        <w:rPr>
          <w:i/>
          <w:iCs/>
          <w:lang w:val="en-GB"/>
        </w:rPr>
        <w:t>P. aeruginosa</w:t>
      </w:r>
      <w:r w:rsidRPr="000449DD">
        <w:rPr>
          <w:lang w:val="en-GB"/>
        </w:rPr>
        <w:t xml:space="preserve"> isolates were reported: 36 in 2022 and 28 in 2023. No</w:t>
      </w:r>
      <w:r>
        <w:rPr>
          <w:lang w:val="en-GB"/>
        </w:rPr>
        <w:t> </w:t>
      </w:r>
      <w:r w:rsidRPr="000449DD">
        <w:rPr>
          <w:i/>
          <w:iCs/>
          <w:lang w:val="en-GB"/>
        </w:rPr>
        <w:t>P.</w:t>
      </w:r>
      <w:r>
        <w:rPr>
          <w:i/>
          <w:iCs/>
          <w:lang w:val="en-GB"/>
        </w:rPr>
        <w:t> </w:t>
      </w:r>
      <w:r w:rsidRPr="000449DD">
        <w:rPr>
          <w:i/>
          <w:iCs/>
          <w:lang w:val="en-GB"/>
        </w:rPr>
        <w:t>aeruginosa</w:t>
      </w:r>
      <w:r w:rsidRPr="000449DD">
        <w:rPr>
          <w:lang w:val="en-GB"/>
        </w:rPr>
        <w:t xml:space="preserve"> isolates were reported from the Northern Territory (as in 2020–2021) or from Tasmania. Thirteen </w:t>
      </w:r>
      <w:r w:rsidRPr="000449DD">
        <w:rPr>
          <w:i/>
          <w:iCs/>
          <w:lang w:val="en-GB"/>
        </w:rPr>
        <w:t>P. aeruginosa</w:t>
      </w:r>
      <w:r w:rsidRPr="000449DD">
        <w:rPr>
          <w:lang w:val="en-GB"/>
        </w:rPr>
        <w:t xml:space="preserve"> isolates were piperacillin-tazobactam resistant (13/68; 19.1%; 95% CI: 10.6–30.5); nine were cefepime and/or ceftazidime resistant (13.2%; 95% CI: 6.2–23.6); seven were ciprofloxacin resistant (10.3%; 95% CI: 4.2–20.1). One isolate was meropenem resistant (1.5%; 95% CI: 0.0–7.9) and no </w:t>
      </w:r>
      <w:r w:rsidRPr="000449DD">
        <w:rPr>
          <w:i/>
          <w:iCs/>
          <w:lang w:val="en-GB"/>
        </w:rPr>
        <w:t>P. aeruginosa</w:t>
      </w:r>
      <w:r w:rsidRPr="000449DD">
        <w:rPr>
          <w:lang w:val="en-GB"/>
        </w:rPr>
        <w:t xml:space="preserve"> isolates were tobramycin resistant. The two MDR </w:t>
      </w:r>
      <w:r w:rsidRPr="000449DD">
        <w:rPr>
          <w:i/>
          <w:iCs/>
          <w:lang w:val="en-GB"/>
        </w:rPr>
        <w:t>P. aeruginosa</w:t>
      </w:r>
      <w:r w:rsidRPr="000449DD">
        <w:rPr>
          <w:lang w:val="en-GB"/>
        </w:rPr>
        <w:t xml:space="preserve"> isolates reported (3.1%) reported were from children aged 5–11 years old with hospital-onset BSIs. </w:t>
      </w:r>
    </w:p>
    <w:p w14:paraId="2F700001" w14:textId="77777777" w:rsidR="000449DD" w:rsidRPr="000449DD" w:rsidRDefault="000449DD" w:rsidP="000449DD">
      <w:pPr>
        <w:pStyle w:val="Heading3"/>
      </w:pPr>
      <w:r w:rsidRPr="000449DD">
        <w:rPr>
          <w:i/>
          <w:iCs/>
        </w:rPr>
        <w:t>Acinetobacter</w:t>
      </w:r>
      <w:r w:rsidRPr="000449DD">
        <w:t xml:space="preserve"> spp. </w:t>
      </w:r>
    </w:p>
    <w:p w14:paraId="76BCE380" w14:textId="77777777" w:rsidR="000449DD" w:rsidRPr="000449DD" w:rsidRDefault="000449DD" w:rsidP="000449DD">
      <w:pPr>
        <w:rPr>
          <w:lang w:val="en-GB"/>
        </w:rPr>
      </w:pPr>
      <w:r w:rsidRPr="000449DD">
        <w:rPr>
          <w:lang w:val="en-GB"/>
        </w:rPr>
        <w:t xml:space="preserve">In total, 34 </w:t>
      </w:r>
      <w:r w:rsidRPr="000449DD">
        <w:rPr>
          <w:i/>
          <w:iCs/>
          <w:lang w:val="en-GB"/>
        </w:rPr>
        <w:t>Acinetobacter</w:t>
      </w:r>
      <w:r w:rsidRPr="000449DD">
        <w:rPr>
          <w:lang w:val="en-GB"/>
        </w:rPr>
        <w:t xml:space="preserve"> spp. isolates from 30 patients were reported over the two years; however, 71% of such isolates were reported in 2023 (24/34; 70.6%). One </w:t>
      </w:r>
      <w:r w:rsidRPr="000449DD">
        <w:rPr>
          <w:i/>
          <w:iCs/>
          <w:lang w:val="en-GB"/>
        </w:rPr>
        <w:t>Acinetobacter</w:t>
      </w:r>
      <w:r w:rsidRPr="000449DD">
        <w:rPr>
          <w:lang w:val="en-GB"/>
        </w:rPr>
        <w:t xml:space="preserve"> isolate, identified as </w:t>
      </w:r>
      <w:r w:rsidRPr="000449DD">
        <w:rPr>
          <w:i/>
          <w:iCs/>
          <w:lang w:val="en-GB"/>
        </w:rPr>
        <w:t>A. lwoffii</w:t>
      </w:r>
      <w:r w:rsidRPr="000449DD">
        <w:rPr>
          <w:lang w:val="en-GB"/>
        </w:rPr>
        <w:t xml:space="preserve">, was ciprofloxacin and co-trimoxazole resistant. No other </w:t>
      </w:r>
      <w:r w:rsidRPr="000449DD">
        <w:rPr>
          <w:i/>
          <w:iCs/>
          <w:lang w:val="en-GB"/>
        </w:rPr>
        <w:t>Acinetobacter</w:t>
      </w:r>
      <w:r w:rsidRPr="000449DD">
        <w:rPr>
          <w:lang w:val="en-GB"/>
        </w:rPr>
        <w:t xml:space="preserve"> isolates were resistant to the antimicrobials tested, including meropenem or amikacin. </w:t>
      </w:r>
    </w:p>
    <w:p w14:paraId="4770AE18" w14:textId="77777777" w:rsidR="000449DD" w:rsidRPr="000449DD" w:rsidRDefault="000449DD" w:rsidP="000449DD">
      <w:pPr>
        <w:pStyle w:val="Heading3"/>
        <w:rPr>
          <w:lang w:val="en-GB"/>
        </w:rPr>
      </w:pPr>
      <w:r w:rsidRPr="000449DD">
        <w:rPr>
          <w:lang w:val="en-GB"/>
        </w:rPr>
        <w:t>Molecular analysis</w:t>
      </w:r>
    </w:p>
    <w:p w14:paraId="48D3ADA7" w14:textId="77777777" w:rsidR="000449DD" w:rsidRPr="000449DD" w:rsidRDefault="000449DD" w:rsidP="000449DD">
      <w:pPr>
        <w:rPr>
          <w:lang w:val="en-GB"/>
        </w:rPr>
      </w:pPr>
      <w:r w:rsidRPr="000449DD">
        <w:rPr>
          <w:lang w:val="en-GB"/>
        </w:rPr>
        <w:t xml:space="preserve">One in four gram-negative isolates were referred for molecular analysis of resistance genes in 2022-2023 (266/1,034; 25.7%), with results available for 264 at the time of analysis. In approximately 40% of the isolates referred for WGS, a β-lactamase resistance gene was detected (38.3%; 101/264), including </w:t>
      </w:r>
      <w:proofErr w:type="gramStart"/>
      <w:r w:rsidRPr="000449DD">
        <w:rPr>
          <w:lang w:val="en-GB"/>
        </w:rPr>
        <w:t>the majority of</w:t>
      </w:r>
      <w:proofErr w:type="gramEnd"/>
      <w:r w:rsidRPr="000449DD">
        <w:rPr>
          <w:lang w:val="en-GB"/>
        </w:rPr>
        <w:t xml:space="preserve"> </w:t>
      </w:r>
      <w:r w:rsidRPr="000449DD">
        <w:rPr>
          <w:i/>
          <w:iCs/>
          <w:lang w:val="en-GB"/>
        </w:rPr>
        <w:t>E. coli</w:t>
      </w:r>
      <w:r w:rsidRPr="000449DD">
        <w:rPr>
          <w:lang w:val="en-GB"/>
        </w:rPr>
        <w:t xml:space="preserve"> (73/81) and </w:t>
      </w:r>
      <w:r w:rsidRPr="000449DD">
        <w:rPr>
          <w:i/>
          <w:iCs/>
          <w:lang w:val="en-GB"/>
        </w:rPr>
        <w:t>Klebsiella pneumoniae</w:t>
      </w:r>
      <w:r w:rsidRPr="000449DD">
        <w:rPr>
          <w:lang w:val="en-GB"/>
        </w:rPr>
        <w:t xml:space="preserve"> complex (22/26) isolates. More detailed genomic analysis is available in the 2022 and 2023 AGAR amalgam reports.</w:t>
      </w:r>
      <w:r w:rsidRPr="000449DD">
        <w:rPr>
          <w:vertAlign w:val="superscript"/>
          <w:lang w:val="en-GB"/>
        </w:rPr>
        <w:t>9,13</w:t>
      </w:r>
      <w:r w:rsidRPr="000449DD">
        <w:rPr>
          <w:lang w:val="en-GB"/>
        </w:rPr>
        <w:t xml:space="preserve"> The proportion of ESBL gene detection in referred isolates was not significantly different to that seen in previous years (37.5% in 2018–2019 and 38.7% in 2020–2021).</w:t>
      </w:r>
    </w:p>
    <w:p w14:paraId="7BB9BED3" w14:textId="77777777" w:rsidR="000449DD" w:rsidRPr="000449DD" w:rsidRDefault="000449DD" w:rsidP="000449DD">
      <w:pPr>
        <w:rPr>
          <w:lang w:val="en-GB"/>
        </w:rPr>
      </w:pPr>
      <w:r w:rsidRPr="000449DD">
        <w:rPr>
          <w:lang w:val="en-GB"/>
        </w:rPr>
        <w:t xml:space="preserve">Genes conferring resistance to the carbapenems were detected in seven gram-negative isolates: </w:t>
      </w:r>
      <w:r w:rsidRPr="000449DD">
        <w:rPr>
          <w:i/>
          <w:iCs/>
          <w:lang w:val="en-GB"/>
        </w:rPr>
        <w:t>bla</w:t>
      </w:r>
      <w:r w:rsidRPr="00116D90">
        <w:rPr>
          <w:rStyle w:val="Subscript"/>
        </w:rPr>
        <w:t>OXA-23</w:t>
      </w:r>
      <w:r w:rsidRPr="000449DD">
        <w:rPr>
          <w:lang w:val="en-GB"/>
        </w:rPr>
        <w:t xml:space="preserve"> was detected in an </w:t>
      </w:r>
      <w:r w:rsidRPr="000449DD">
        <w:rPr>
          <w:i/>
          <w:iCs/>
          <w:lang w:val="en-GB"/>
        </w:rPr>
        <w:t>A. baumanii</w:t>
      </w:r>
      <w:r w:rsidRPr="000449DD">
        <w:rPr>
          <w:lang w:val="en-GB"/>
        </w:rPr>
        <w:t xml:space="preserve"> isolate, </w:t>
      </w:r>
      <w:r w:rsidRPr="00116D90">
        <w:rPr>
          <w:rStyle w:val="Subscript"/>
          <w:i/>
          <w:iCs/>
          <w:position w:val="0"/>
          <w:vertAlign w:val="baseline"/>
        </w:rPr>
        <w:t>bla</w:t>
      </w:r>
      <w:r w:rsidRPr="00116D90">
        <w:rPr>
          <w:rStyle w:val="Subscript"/>
        </w:rPr>
        <w:t>NDM</w:t>
      </w:r>
      <w:r w:rsidRPr="000449DD">
        <w:rPr>
          <w:lang w:val="en-GB"/>
        </w:rPr>
        <w:t xml:space="preserve"> in two </w:t>
      </w:r>
      <w:r w:rsidRPr="000449DD">
        <w:rPr>
          <w:i/>
          <w:iCs/>
          <w:lang w:val="en-GB"/>
        </w:rPr>
        <w:t>E. coli</w:t>
      </w:r>
      <w:r w:rsidRPr="000449DD">
        <w:rPr>
          <w:lang w:val="en-GB"/>
        </w:rPr>
        <w:t xml:space="preserve"> isolates, and </w:t>
      </w:r>
      <w:r w:rsidRPr="000449DD">
        <w:rPr>
          <w:i/>
          <w:iCs/>
          <w:lang w:val="en-GB"/>
        </w:rPr>
        <w:t>bla</w:t>
      </w:r>
      <w:r w:rsidRPr="00116D90">
        <w:rPr>
          <w:rStyle w:val="Subscript"/>
        </w:rPr>
        <w:t>IMP-4</w:t>
      </w:r>
      <w:r w:rsidRPr="000449DD">
        <w:rPr>
          <w:lang w:val="en-GB"/>
        </w:rPr>
        <w:t xml:space="preserve"> in four isolates: an </w:t>
      </w:r>
      <w:r w:rsidRPr="000449DD">
        <w:rPr>
          <w:i/>
          <w:iCs/>
          <w:lang w:val="en-GB"/>
        </w:rPr>
        <w:t>E. coli</w:t>
      </w:r>
      <w:r w:rsidRPr="000449DD">
        <w:rPr>
          <w:lang w:val="en-GB"/>
        </w:rPr>
        <w:t xml:space="preserve">, an </w:t>
      </w:r>
      <w:r w:rsidRPr="000449DD">
        <w:rPr>
          <w:i/>
          <w:iCs/>
          <w:lang w:val="en-GB"/>
        </w:rPr>
        <w:t>Enterobacter cloacae</w:t>
      </w:r>
      <w:r w:rsidRPr="000449DD">
        <w:rPr>
          <w:lang w:val="en-GB"/>
        </w:rPr>
        <w:t xml:space="preserve"> complex isolate, a </w:t>
      </w:r>
      <w:r w:rsidRPr="000449DD">
        <w:rPr>
          <w:i/>
          <w:iCs/>
          <w:lang w:val="en-GB"/>
        </w:rPr>
        <w:t>K. pneumoniae</w:t>
      </w:r>
      <w:r w:rsidRPr="000449DD">
        <w:rPr>
          <w:lang w:val="en-GB"/>
        </w:rPr>
        <w:t xml:space="preserve"> complex and a </w:t>
      </w:r>
      <w:r w:rsidRPr="000449DD">
        <w:rPr>
          <w:i/>
          <w:iCs/>
          <w:lang w:val="en-GB"/>
        </w:rPr>
        <w:t>Serratia marcescens</w:t>
      </w:r>
      <w:r w:rsidRPr="000449DD">
        <w:rPr>
          <w:lang w:val="en-GB"/>
        </w:rPr>
        <w:t>.</w:t>
      </w:r>
    </w:p>
    <w:p w14:paraId="1FDA98B8" w14:textId="77777777" w:rsidR="000449DD" w:rsidRPr="000449DD" w:rsidRDefault="000449DD" w:rsidP="000449DD">
      <w:pPr>
        <w:pStyle w:val="Heading2-newpage"/>
        <w:rPr>
          <w:lang w:val="en-GB"/>
        </w:rPr>
      </w:pPr>
      <w:bookmarkStart w:id="29" w:name="_Toc213228004"/>
      <w:r w:rsidRPr="000449DD">
        <w:rPr>
          <w:lang w:val="en-GB"/>
        </w:rPr>
        <w:lastRenderedPageBreak/>
        <w:t>Gram positives</w:t>
      </w:r>
      <w:bookmarkEnd w:id="29"/>
    </w:p>
    <w:p w14:paraId="20218C42" w14:textId="77777777" w:rsidR="000449DD" w:rsidRPr="000449DD" w:rsidRDefault="000449DD" w:rsidP="000449DD">
      <w:pPr>
        <w:pStyle w:val="Heading3-lessspacebefore"/>
        <w:rPr>
          <w:b/>
          <w:i/>
          <w:iCs/>
          <w:lang w:val="en-GB"/>
        </w:rPr>
      </w:pPr>
      <w:r w:rsidRPr="000449DD">
        <w:rPr>
          <w:i/>
          <w:iCs/>
          <w:lang w:val="en-GB"/>
        </w:rPr>
        <w:t>Staphylococcus aureus</w:t>
      </w:r>
    </w:p>
    <w:p w14:paraId="420E8968" w14:textId="77777777" w:rsidR="000449DD" w:rsidRPr="000449DD" w:rsidRDefault="000449DD" w:rsidP="000449DD">
      <w:pPr>
        <w:rPr>
          <w:lang w:val="en-GB"/>
        </w:rPr>
      </w:pPr>
      <w:r w:rsidRPr="000449DD">
        <w:rPr>
          <w:lang w:val="en-GB"/>
        </w:rPr>
        <w:t xml:space="preserve">There were 601 </w:t>
      </w:r>
      <w:r w:rsidRPr="000449DD">
        <w:rPr>
          <w:i/>
          <w:iCs/>
          <w:lang w:val="en-GB"/>
        </w:rPr>
        <w:t>S. aureus</w:t>
      </w:r>
      <w:r w:rsidRPr="000449DD">
        <w:rPr>
          <w:lang w:val="en-GB"/>
        </w:rPr>
        <w:t xml:space="preserve"> isolates reported from 593 children and adolescents in 2022–2023; 13.6% were MRSA and 5.5% were MDR. The median age of patients with </w:t>
      </w:r>
      <w:r w:rsidRPr="000449DD">
        <w:rPr>
          <w:i/>
          <w:iCs/>
          <w:lang w:val="en-GB"/>
        </w:rPr>
        <w:t>S. aureus</w:t>
      </w:r>
      <w:r w:rsidRPr="000449DD">
        <w:rPr>
          <w:lang w:val="en-GB"/>
        </w:rPr>
        <w:t xml:space="preserve"> bacteraemia (SAB) was 6 years, and 60.0% of patients were male (356/593). Most SABs were community-onset (78.6%; 466/593) and monomicrobial (90.1%; 539/593). Only 16.0% of SABs were </w:t>
      </w:r>
      <w:proofErr w:type="gramStart"/>
      <w:r w:rsidRPr="000449DD">
        <w:rPr>
          <w:lang w:val="en-GB"/>
        </w:rPr>
        <w:t>device-related</w:t>
      </w:r>
      <w:proofErr w:type="gramEnd"/>
      <w:r w:rsidRPr="000449DD">
        <w:rPr>
          <w:lang w:val="en-GB"/>
        </w:rPr>
        <w:t xml:space="preserve">. One in five SAB patients remained in hospital after 30 days (120/593; 20.2%) (Table 1). </w:t>
      </w:r>
    </w:p>
    <w:p w14:paraId="42BA34EC" w14:textId="34D01737" w:rsidR="000449DD" w:rsidRPr="000449DD" w:rsidRDefault="000449DD" w:rsidP="000449DD">
      <w:pPr>
        <w:rPr>
          <w:lang w:val="en-GB"/>
        </w:rPr>
      </w:pPr>
      <w:r w:rsidRPr="000449DD">
        <w:rPr>
          <w:lang w:val="en-GB"/>
        </w:rPr>
        <w:t xml:space="preserve">Overall, 14.4% of </w:t>
      </w:r>
      <w:r w:rsidRPr="000449DD">
        <w:rPr>
          <w:i/>
          <w:iCs/>
          <w:lang w:val="en-GB"/>
        </w:rPr>
        <w:t>S. aureus</w:t>
      </w:r>
      <w:r w:rsidRPr="000449DD">
        <w:rPr>
          <w:lang w:val="en-GB"/>
        </w:rPr>
        <w:t xml:space="preserve"> were erythromycin resistant; 10.3% were clindamycin resistant; and 5.0% were ciprofloxacin resistant. Proportions of resistance in MRSA were significantly higher for erythromycin (</w:t>
      </w:r>
      <w:r w:rsidRPr="000449DD">
        <w:rPr>
          <w:i/>
          <w:iCs/>
          <w:lang w:val="en-GB"/>
        </w:rPr>
        <w:t xml:space="preserve">p </w:t>
      </w:r>
      <w:r w:rsidRPr="000449DD">
        <w:rPr>
          <w:lang w:val="en-GB"/>
        </w:rPr>
        <w:t>= 0.02), clindamycin (</w:t>
      </w:r>
      <w:r w:rsidRPr="000449DD">
        <w:rPr>
          <w:i/>
          <w:iCs/>
          <w:lang w:val="en-GB"/>
        </w:rPr>
        <w:t>p</w:t>
      </w:r>
      <w:r w:rsidRPr="000449DD">
        <w:rPr>
          <w:lang w:val="en-GB"/>
        </w:rPr>
        <w:t xml:space="preserve"> = 0.04) and ciprofloxacin (</w:t>
      </w:r>
      <w:r w:rsidRPr="000449DD">
        <w:rPr>
          <w:i/>
          <w:iCs/>
          <w:lang w:val="en-GB"/>
        </w:rPr>
        <w:t>p</w:t>
      </w:r>
      <w:r w:rsidRPr="000449DD">
        <w:rPr>
          <w:lang w:val="en-GB"/>
        </w:rPr>
        <w:t xml:space="preserve"> &lt; 0.001). No </w:t>
      </w:r>
      <w:r w:rsidRPr="000449DD">
        <w:rPr>
          <w:i/>
          <w:iCs/>
          <w:lang w:val="en-GB"/>
        </w:rPr>
        <w:t>S. aureus</w:t>
      </w:r>
      <w:r w:rsidRPr="000449DD">
        <w:rPr>
          <w:lang w:val="en-GB"/>
        </w:rPr>
        <w:t xml:space="preserve"> was resistant to co-trimoxazole (Table 4). Five percent of </w:t>
      </w:r>
      <w:r w:rsidRPr="000449DD">
        <w:rPr>
          <w:i/>
          <w:iCs/>
          <w:lang w:val="en-GB"/>
        </w:rPr>
        <w:t>S. aureus</w:t>
      </w:r>
      <w:r w:rsidRPr="000449DD">
        <w:rPr>
          <w:lang w:val="en-GB"/>
        </w:rPr>
        <w:t xml:space="preserve"> were MDR; two-thirds of all MDR </w:t>
      </w:r>
      <w:r w:rsidRPr="000449DD">
        <w:rPr>
          <w:i/>
          <w:iCs/>
          <w:lang w:val="en-GB"/>
        </w:rPr>
        <w:t>S.</w:t>
      </w:r>
      <w:r>
        <w:rPr>
          <w:i/>
          <w:iCs/>
          <w:lang w:val="en-GB"/>
        </w:rPr>
        <w:t> </w:t>
      </w:r>
      <w:r w:rsidRPr="000449DD">
        <w:rPr>
          <w:i/>
          <w:iCs/>
          <w:lang w:val="en-GB"/>
        </w:rPr>
        <w:t>aureus</w:t>
      </w:r>
      <w:r w:rsidRPr="000449DD">
        <w:rPr>
          <w:lang w:val="en-GB"/>
        </w:rPr>
        <w:t xml:space="preserve"> were MRSA (21/33; 63.6%). More than half of MDR SABs were community-onset (19/33; 57.5%) (Table 2).</w:t>
      </w:r>
    </w:p>
    <w:p w14:paraId="09E2DB0A" w14:textId="77777777" w:rsidR="000449DD" w:rsidRDefault="000449DD" w:rsidP="000449DD">
      <w:pPr>
        <w:rPr>
          <w:lang w:val="en-GB"/>
        </w:rPr>
      </w:pPr>
      <w:r w:rsidRPr="000449DD">
        <w:rPr>
          <w:lang w:val="en-GB"/>
        </w:rPr>
        <w:t xml:space="preserve">Although the proportion of </w:t>
      </w:r>
      <w:r w:rsidRPr="000449DD">
        <w:rPr>
          <w:i/>
          <w:iCs/>
          <w:lang w:val="en-GB"/>
        </w:rPr>
        <w:t>S. aureus</w:t>
      </w:r>
      <w:r w:rsidRPr="000449DD">
        <w:rPr>
          <w:lang w:val="en-GB"/>
        </w:rPr>
        <w:t xml:space="preserve"> that were methicillin resistant in the Northern Territory was higher in 2022–2023 than in 2020–2021, the difference was not statistically significant (52.8% vs 48.3%; </w:t>
      </w:r>
      <w:r w:rsidRPr="000449DD">
        <w:rPr>
          <w:i/>
          <w:iCs/>
          <w:lang w:val="en-GB"/>
        </w:rPr>
        <w:t>p</w:t>
      </w:r>
      <w:r w:rsidRPr="000449DD">
        <w:rPr>
          <w:lang w:val="en-GB"/>
        </w:rPr>
        <w:t xml:space="preserve"> = 0.9). Of the total 82 MRSA isolates, WGS results were available for 72 isolates at the time of analysis. The most frequently identified MRSA clone was ST93-IV (29/72; 40.3%). The</w:t>
      </w:r>
      <w:r>
        <w:rPr>
          <w:lang w:val="en-GB"/>
        </w:rPr>
        <w:t> </w:t>
      </w:r>
      <w:r w:rsidRPr="000449DD">
        <w:rPr>
          <w:lang w:val="en-GB"/>
        </w:rPr>
        <w:t>Panton-Valentine Leucocidin (PVL) toxin associated-genes were detected in 71.0% of MRSA (54/72), with the Northern Territory having the highest proportion of MRSA that were PVL positive (17/18; 94.4%).</w:t>
      </w:r>
    </w:p>
    <w:p w14:paraId="006E4B40" w14:textId="0DE5C6CF" w:rsidR="000E0216" w:rsidRPr="000E0216" w:rsidRDefault="000E0216" w:rsidP="000E0216">
      <w:pPr>
        <w:pStyle w:val="Heading3"/>
      </w:pPr>
      <w:r w:rsidRPr="000E0216">
        <w:rPr>
          <w:i/>
          <w:iCs/>
        </w:rPr>
        <w:t>Enterococcus</w:t>
      </w:r>
      <w:r w:rsidRPr="000E0216">
        <w:t xml:space="preserve"> spp.</w:t>
      </w:r>
    </w:p>
    <w:p w14:paraId="224990EC" w14:textId="55B4F45A" w:rsidR="000E0216" w:rsidRPr="000E0216" w:rsidRDefault="000E0216" w:rsidP="000E0216">
      <w:pPr>
        <w:rPr>
          <w:lang w:val="en-GB"/>
        </w:rPr>
      </w:pPr>
      <w:r w:rsidRPr="000E0216">
        <w:rPr>
          <w:lang w:val="en-GB"/>
        </w:rPr>
        <w:t xml:space="preserve">Over the two years there were 192 </w:t>
      </w:r>
      <w:r w:rsidRPr="000E0216">
        <w:rPr>
          <w:i/>
          <w:iCs/>
          <w:lang w:val="en-GB"/>
        </w:rPr>
        <w:t>Enterococcus</w:t>
      </w:r>
      <w:r w:rsidRPr="000E0216">
        <w:rPr>
          <w:lang w:val="en-GB"/>
        </w:rPr>
        <w:t xml:space="preserve"> spp. isolates reported from 182 patients. </w:t>
      </w:r>
      <w:proofErr w:type="gramStart"/>
      <w:r w:rsidRPr="000E0216">
        <w:rPr>
          <w:lang w:val="en-GB"/>
        </w:rPr>
        <w:t>The</w:t>
      </w:r>
      <w:r>
        <w:rPr>
          <w:lang w:val="en-GB"/>
        </w:rPr>
        <w:t> </w:t>
      </w:r>
      <w:r w:rsidRPr="000E0216">
        <w:rPr>
          <w:lang w:val="en-GB"/>
        </w:rPr>
        <w:t>majority of</w:t>
      </w:r>
      <w:proofErr w:type="gramEnd"/>
      <w:r w:rsidRPr="000E0216">
        <w:rPr>
          <w:lang w:val="en-GB"/>
        </w:rPr>
        <w:t xml:space="preserve"> isolates were </w:t>
      </w:r>
      <w:r w:rsidRPr="000E0216">
        <w:rPr>
          <w:i/>
          <w:iCs/>
          <w:lang w:val="en-GB"/>
        </w:rPr>
        <w:t>E. faecalis</w:t>
      </w:r>
      <w:r w:rsidRPr="000E0216">
        <w:rPr>
          <w:lang w:val="en-GB"/>
        </w:rPr>
        <w:t xml:space="preserve"> (70.8%; 136/192), and 17.2% of enterococci were </w:t>
      </w:r>
      <w:proofErr w:type="gramStart"/>
      <w:r w:rsidRPr="000E0216">
        <w:rPr>
          <w:i/>
          <w:iCs/>
          <w:lang w:val="en-GB"/>
        </w:rPr>
        <w:t>E</w:t>
      </w:r>
      <w:r>
        <w:rPr>
          <w:i/>
          <w:iCs/>
          <w:lang w:val="en-GB"/>
        </w:rPr>
        <w:t> </w:t>
      </w:r>
      <w:r w:rsidRPr="000E0216">
        <w:rPr>
          <w:i/>
          <w:iCs/>
          <w:lang w:val="en-GB"/>
        </w:rPr>
        <w:t xml:space="preserve"> faecium</w:t>
      </w:r>
      <w:proofErr w:type="gramEnd"/>
      <w:r w:rsidRPr="000E0216">
        <w:rPr>
          <w:lang w:val="en-GB"/>
        </w:rPr>
        <w:t xml:space="preserve"> (33/192). More than half of all </w:t>
      </w:r>
      <w:r w:rsidRPr="000E0216">
        <w:rPr>
          <w:i/>
          <w:iCs/>
          <w:lang w:val="en-GB"/>
        </w:rPr>
        <w:t>E. faecium</w:t>
      </w:r>
      <w:r w:rsidRPr="000E0216">
        <w:rPr>
          <w:lang w:val="en-GB"/>
        </w:rPr>
        <w:t xml:space="preserve"> isolates were isolated in New South Wales (19/33; 57.6%). </w:t>
      </w:r>
      <w:r w:rsidRPr="000E0216">
        <w:rPr>
          <w:i/>
          <w:iCs/>
          <w:lang w:val="en-GB"/>
        </w:rPr>
        <w:t>E. faecium</w:t>
      </w:r>
      <w:r w:rsidRPr="000E0216">
        <w:rPr>
          <w:lang w:val="en-GB"/>
        </w:rPr>
        <w:t xml:space="preserve"> BSI episodes were more frequently hospital-onset (χ</w:t>
      </w:r>
      <w:r w:rsidRPr="000E0216">
        <w:rPr>
          <w:vertAlign w:val="superscript"/>
          <w:lang w:val="en-GB"/>
        </w:rPr>
        <w:t>2</w:t>
      </w:r>
      <w:r w:rsidRPr="000E0216">
        <w:rPr>
          <w:lang w:val="en-GB"/>
        </w:rPr>
        <w:t xml:space="preserve">: 5.3; </w:t>
      </w:r>
      <w:r w:rsidRPr="000E0216">
        <w:rPr>
          <w:i/>
          <w:iCs/>
          <w:lang w:val="en-GB"/>
        </w:rPr>
        <w:t>p</w:t>
      </w:r>
      <w:r w:rsidRPr="000E0216">
        <w:rPr>
          <w:lang w:val="en-GB"/>
        </w:rPr>
        <w:t xml:space="preserve"> = 0.02), and most neonatal enterococcal BSIs were caused by </w:t>
      </w:r>
      <w:r w:rsidRPr="000E0216">
        <w:rPr>
          <w:i/>
          <w:iCs/>
          <w:lang w:val="en-GB"/>
        </w:rPr>
        <w:t>E. faecalis</w:t>
      </w:r>
      <w:r w:rsidRPr="000E0216">
        <w:rPr>
          <w:lang w:val="en-GB"/>
        </w:rPr>
        <w:t xml:space="preserve"> (41/46, 89.1%). </w:t>
      </w:r>
    </w:p>
    <w:p w14:paraId="7B4969D3" w14:textId="77777777" w:rsidR="000E0216" w:rsidRPr="000E0216" w:rsidRDefault="000E0216" w:rsidP="000E0216">
      <w:pPr>
        <w:rPr>
          <w:lang w:val="en-GB"/>
        </w:rPr>
      </w:pPr>
      <w:r w:rsidRPr="000E0216">
        <w:rPr>
          <w:lang w:val="en-GB"/>
        </w:rPr>
        <w:t xml:space="preserve">Although only 14.2% of </w:t>
      </w:r>
      <w:r w:rsidRPr="000E0216">
        <w:rPr>
          <w:i/>
          <w:iCs/>
          <w:lang w:val="en-GB"/>
        </w:rPr>
        <w:t>Enterococcus</w:t>
      </w:r>
      <w:r w:rsidRPr="000E0216">
        <w:rPr>
          <w:lang w:val="en-GB"/>
        </w:rPr>
        <w:t xml:space="preserve"> isolates were ampicillin resistant (26/183), all ampicillin-resistant isolates were identified as </w:t>
      </w:r>
      <w:r w:rsidRPr="000E0216">
        <w:rPr>
          <w:i/>
          <w:iCs/>
          <w:lang w:val="en-GB"/>
        </w:rPr>
        <w:t>E. faecium</w:t>
      </w:r>
      <w:r w:rsidRPr="000E0216">
        <w:rPr>
          <w:lang w:val="en-GB"/>
        </w:rPr>
        <w:t xml:space="preserve">. Overall, 81.3% of </w:t>
      </w:r>
      <w:r w:rsidRPr="000E0216">
        <w:rPr>
          <w:i/>
          <w:iCs/>
          <w:lang w:val="en-GB"/>
        </w:rPr>
        <w:t>E. faecium</w:t>
      </w:r>
      <w:r w:rsidRPr="000E0216">
        <w:rPr>
          <w:lang w:val="en-GB"/>
        </w:rPr>
        <w:t xml:space="preserve"> were ampicillin resistant (26/32). Ampicillin-resistant enterococcal BSIs were primarily hospital-onset or in adolescents 12–17 years of age (Table 5). </w:t>
      </w:r>
    </w:p>
    <w:p w14:paraId="4A6DC2EB" w14:textId="77777777" w:rsidR="000E0216" w:rsidRPr="000E0216" w:rsidRDefault="000E0216" w:rsidP="000E0216">
      <w:pPr>
        <w:rPr>
          <w:lang w:val="en-GB"/>
        </w:rPr>
      </w:pPr>
      <w:r w:rsidRPr="000E0216">
        <w:rPr>
          <w:lang w:val="en-GB"/>
        </w:rPr>
        <w:t xml:space="preserve">Vancomycin resistance was only detected in </w:t>
      </w:r>
      <w:r w:rsidRPr="000E0216">
        <w:rPr>
          <w:i/>
          <w:iCs/>
          <w:lang w:val="en-GB"/>
        </w:rPr>
        <w:t>E. faecium</w:t>
      </w:r>
      <w:r w:rsidRPr="000E0216">
        <w:rPr>
          <w:lang w:val="en-GB"/>
        </w:rPr>
        <w:t xml:space="preserve"> isolates; 40.6% of </w:t>
      </w:r>
      <w:r w:rsidRPr="000E0216">
        <w:rPr>
          <w:i/>
          <w:iCs/>
          <w:lang w:val="en-GB"/>
        </w:rPr>
        <w:t>E. faecium</w:t>
      </w:r>
      <w:r w:rsidRPr="000E0216">
        <w:rPr>
          <w:lang w:val="en-GB"/>
        </w:rPr>
        <w:t xml:space="preserve"> isolates were vancomycin resistant (13/32). While there was an increase in the proportion of vancomycin-resistant </w:t>
      </w:r>
      <w:r w:rsidRPr="000E0216">
        <w:rPr>
          <w:i/>
          <w:iCs/>
          <w:lang w:val="en-GB"/>
        </w:rPr>
        <w:t>E. faecium</w:t>
      </w:r>
      <w:r w:rsidRPr="000E0216">
        <w:rPr>
          <w:lang w:val="en-GB"/>
        </w:rPr>
        <w:t xml:space="preserve"> in 2022–2023 compared to 2020–2021, this increase did not attain statistical significance because of the small numbers of isolates reported (40.6% vs 19.5%; χ</w:t>
      </w:r>
      <w:r w:rsidRPr="000E0216">
        <w:rPr>
          <w:vertAlign w:val="superscript"/>
          <w:lang w:val="en-GB"/>
        </w:rPr>
        <w:t>2</w:t>
      </w:r>
      <w:r w:rsidRPr="000E0216">
        <w:rPr>
          <w:lang w:val="en-GB"/>
        </w:rPr>
        <w:t xml:space="preserve">: 3; </w:t>
      </w:r>
      <w:r w:rsidRPr="000E0216">
        <w:rPr>
          <w:i/>
          <w:iCs/>
          <w:lang w:val="en-GB"/>
        </w:rPr>
        <w:t>p</w:t>
      </w:r>
      <w:r w:rsidRPr="000E0216">
        <w:rPr>
          <w:lang w:val="en-GB"/>
        </w:rPr>
        <w:t xml:space="preserve"> = 0.09). Vancomycin-resistant enterococci (VRE) were 21.5% of all hospital-onset enterococcal infections; most VRE occurred in adolescents aged 12–17 years (61.5%; 8/13). Significant differences were also noted between different jurisdictions (Table 5). Of the 13 </w:t>
      </w:r>
      <w:r w:rsidRPr="000E0216">
        <w:rPr>
          <w:i/>
          <w:iCs/>
          <w:lang w:val="en-GB"/>
        </w:rPr>
        <w:t>E. faecium</w:t>
      </w:r>
      <w:r w:rsidRPr="000E0216">
        <w:rPr>
          <w:lang w:val="en-GB"/>
        </w:rPr>
        <w:t xml:space="preserve"> isolates phenotypically resistant to vancomycin, 12 were </w:t>
      </w:r>
      <w:r w:rsidRPr="000E0216">
        <w:rPr>
          <w:i/>
          <w:iCs/>
          <w:lang w:val="en-GB"/>
        </w:rPr>
        <w:t>vanB</w:t>
      </w:r>
      <w:r w:rsidRPr="000E0216">
        <w:rPr>
          <w:lang w:val="en-GB"/>
        </w:rPr>
        <w:t xml:space="preserve"> positive, and one was </w:t>
      </w:r>
      <w:r w:rsidRPr="000E0216">
        <w:rPr>
          <w:i/>
          <w:iCs/>
          <w:lang w:val="en-GB"/>
        </w:rPr>
        <w:t>vanA</w:t>
      </w:r>
      <w:r w:rsidRPr="000E0216">
        <w:rPr>
          <w:lang w:val="en-GB"/>
        </w:rPr>
        <w:t xml:space="preserve"> positive. Only one </w:t>
      </w:r>
      <w:r w:rsidRPr="000E0216">
        <w:rPr>
          <w:i/>
          <w:iCs/>
          <w:lang w:val="en-GB"/>
        </w:rPr>
        <w:t>E. faecium</w:t>
      </w:r>
      <w:r w:rsidRPr="000E0216">
        <w:rPr>
          <w:lang w:val="en-GB"/>
        </w:rPr>
        <w:t xml:space="preserve"> isolate was teicoplanin resistant (Table 5).</w:t>
      </w:r>
    </w:p>
    <w:p w14:paraId="6FDB8BF5" w14:textId="77777777" w:rsidR="000E0216" w:rsidRPr="000E0216" w:rsidRDefault="000E0216" w:rsidP="000E0216">
      <w:pPr>
        <w:rPr>
          <w:lang w:val="en-GB"/>
        </w:rPr>
      </w:pPr>
      <w:r w:rsidRPr="000E0216">
        <w:rPr>
          <w:lang w:val="en-GB"/>
        </w:rPr>
        <w:t xml:space="preserve">Fifteen </w:t>
      </w:r>
      <w:r w:rsidRPr="000E0216">
        <w:rPr>
          <w:i/>
          <w:iCs/>
          <w:lang w:val="en-GB"/>
        </w:rPr>
        <w:t>E. faecium</w:t>
      </w:r>
      <w:r w:rsidRPr="000E0216">
        <w:rPr>
          <w:lang w:val="en-GB"/>
        </w:rPr>
        <w:t xml:space="preserve"> isolates (45.5%) were MDR, of which 14 were hospital-onset (14/15; 93.3%) (Table 3). Of the 44 </w:t>
      </w:r>
      <w:r w:rsidRPr="000E0216">
        <w:rPr>
          <w:i/>
          <w:iCs/>
          <w:lang w:val="en-GB"/>
        </w:rPr>
        <w:t>E. faecium</w:t>
      </w:r>
      <w:r w:rsidRPr="000E0216">
        <w:rPr>
          <w:lang w:val="en-GB"/>
        </w:rPr>
        <w:t xml:space="preserve"> isolates were referred for WGS, there were 23 different sequence types (ST) identified, with ST78 the most frequent (11/44; 25.0%).</w:t>
      </w:r>
    </w:p>
    <w:p w14:paraId="219D8174" w14:textId="77777777" w:rsidR="000E0216" w:rsidRDefault="000E0216" w:rsidP="000449DD">
      <w:pPr>
        <w:rPr>
          <w:lang w:val="en-GB"/>
        </w:rPr>
        <w:sectPr w:rsidR="000E0216" w:rsidSect="001E3ECB">
          <w:footnotePr>
            <w:numFmt w:val="lowerRoman"/>
          </w:footnotePr>
          <w:pgSz w:w="11907" w:h="16840" w:code="9"/>
          <w:pgMar w:top="1134" w:right="1134" w:bottom="1134" w:left="1134" w:header="709" w:footer="567" w:gutter="0"/>
          <w:cols w:space="708"/>
          <w:docGrid w:linePitch="360"/>
        </w:sectPr>
      </w:pPr>
    </w:p>
    <w:p w14:paraId="3C3E7E33" w14:textId="6E6ADD02" w:rsidR="000449DD" w:rsidRPr="000449DD" w:rsidRDefault="000449DD" w:rsidP="000449DD">
      <w:pPr>
        <w:pStyle w:val="CDITable-Title"/>
        <w:spacing w:before="0"/>
        <w:rPr>
          <w:lang w:val="en-GB"/>
        </w:rPr>
      </w:pPr>
      <w:bookmarkStart w:id="30" w:name="_Toc213076656"/>
      <w:r w:rsidRPr="000449DD">
        <w:rPr>
          <w:lang w:val="en-GB"/>
        </w:rPr>
        <w:lastRenderedPageBreak/>
        <w:t xml:space="preserve">Table 4: Number of </w:t>
      </w:r>
      <w:r w:rsidRPr="000449DD">
        <w:rPr>
          <w:i/>
          <w:iCs/>
          <w:lang w:val="en-GB"/>
        </w:rPr>
        <w:t>Staphylococcus aureus</w:t>
      </w:r>
      <w:r w:rsidRPr="000449DD">
        <w:rPr>
          <w:lang w:val="en-GB"/>
        </w:rPr>
        <w:t xml:space="preserve"> isolates tested and proportion of isolates resistant to clindamycin, ciprofloxacin, and erythromycin from patients aged &lt; 18 years as reported to the Australian Group on Antimicrobial Resistance, January 2022 – December</w:t>
      </w:r>
      <w:r>
        <w:rPr>
          <w:lang w:val="en-GB"/>
        </w:rPr>
        <w:t> </w:t>
      </w:r>
      <w:r w:rsidRPr="000449DD">
        <w:rPr>
          <w:lang w:val="en-GB"/>
        </w:rPr>
        <w:t>2023</w:t>
      </w:r>
      <w:bookmarkEnd w:id="30"/>
    </w:p>
    <w:tbl>
      <w:tblPr>
        <w:tblW w:w="0" w:type="auto"/>
        <w:tblLayout w:type="fixed"/>
        <w:tblCellMar>
          <w:left w:w="0" w:type="dxa"/>
          <w:right w:w="0" w:type="dxa"/>
        </w:tblCellMar>
        <w:tblLook w:val="0000" w:firstRow="0" w:lastRow="0" w:firstColumn="0" w:lastColumn="0" w:noHBand="0" w:noVBand="0"/>
        <w:tblCaption w:val="Table 4: Number of Staphylococcus aureus isolates tested and proportion of isolates resistant to clindamycin, ciprofloxacin, and erythromycin from patients aged &lt; 18 years as reported to the Australian Group on Antimicrobial Resistance, January 2022 – December 2023"/>
        <w:tblDescription w:val="Table 4 shows the number of Staphylococcus aureus isolates tested against and proportion (with 95% confidence intervals) of isolates resistant to clindamycin, ciprofloxacin, and erythromycin from children aged &lt;18 years as reported to AGAR, January 2022 – December 202. Data is stratified by jurisdiction, age group, onset location, and methicillin-resistance."/>
      </w:tblPr>
      <w:tblGrid>
        <w:gridCol w:w="2098"/>
        <w:gridCol w:w="1530"/>
        <w:gridCol w:w="794"/>
        <w:gridCol w:w="794"/>
        <w:gridCol w:w="793"/>
        <w:gridCol w:w="1191"/>
        <w:gridCol w:w="794"/>
        <w:gridCol w:w="793"/>
        <w:gridCol w:w="794"/>
        <w:gridCol w:w="1191"/>
        <w:gridCol w:w="793"/>
        <w:gridCol w:w="794"/>
        <w:gridCol w:w="794"/>
        <w:gridCol w:w="1190"/>
      </w:tblGrid>
      <w:tr w:rsidR="00913226" w:rsidRPr="00913226" w14:paraId="5D643A04" w14:textId="77777777" w:rsidTr="00913226">
        <w:trPr>
          <w:trHeight w:val="60"/>
          <w:tblHeader/>
        </w:trPr>
        <w:tc>
          <w:tcPr>
            <w:tcW w:w="2098" w:type="dxa"/>
            <w:vMerge w:val="restart"/>
            <w:shd w:val="clear" w:color="auto" w:fill="1E4496" w:themeFill="text2"/>
            <w:tcMar>
              <w:top w:w="96" w:type="dxa"/>
              <w:left w:w="113" w:type="dxa"/>
              <w:bottom w:w="96" w:type="dxa"/>
              <w:right w:w="113" w:type="dxa"/>
            </w:tcMar>
            <w:vAlign w:val="bottom"/>
          </w:tcPr>
          <w:p w14:paraId="7885A428" w14:textId="77777777" w:rsidR="00913226" w:rsidRPr="00913226" w:rsidRDefault="00913226" w:rsidP="00913226">
            <w:pPr>
              <w:pStyle w:val="CDITable-HeaderRowLeft"/>
              <w:rPr>
                <w:sz w:val="16"/>
              </w:rPr>
            </w:pPr>
            <w:r w:rsidRPr="00913226">
              <w:rPr>
                <w:sz w:val="16"/>
              </w:rPr>
              <w:t>Category</w:t>
            </w:r>
          </w:p>
        </w:tc>
        <w:tc>
          <w:tcPr>
            <w:tcW w:w="1530" w:type="dxa"/>
            <w:vMerge w:val="restart"/>
            <w:shd w:val="clear" w:color="auto" w:fill="1E4496" w:themeFill="text2"/>
            <w:tcMar>
              <w:top w:w="96" w:type="dxa"/>
              <w:left w:w="113" w:type="dxa"/>
              <w:bottom w:w="96" w:type="dxa"/>
              <w:right w:w="113" w:type="dxa"/>
            </w:tcMar>
            <w:vAlign w:val="bottom"/>
          </w:tcPr>
          <w:p w14:paraId="39F77E5B" w14:textId="77777777" w:rsidR="00913226" w:rsidRPr="00913226" w:rsidRDefault="00913226" w:rsidP="00913226">
            <w:pPr>
              <w:pStyle w:val="CDITable-HeaderRowLeft"/>
              <w:rPr>
                <w:sz w:val="16"/>
              </w:rPr>
            </w:pPr>
            <w:r w:rsidRPr="00913226">
              <w:rPr>
                <w:sz w:val="16"/>
              </w:rPr>
              <w:t>Characteristic</w:t>
            </w:r>
          </w:p>
        </w:tc>
        <w:tc>
          <w:tcPr>
            <w:tcW w:w="3572" w:type="dxa"/>
            <w:gridSpan w:val="4"/>
            <w:tcBorders>
              <w:bottom w:val="single" w:sz="6" w:space="0" w:color="FFFFFF" w:themeColor="background1"/>
            </w:tcBorders>
            <w:shd w:val="clear" w:color="auto" w:fill="1E4496" w:themeFill="text2"/>
            <w:tcMar>
              <w:top w:w="96" w:type="dxa"/>
              <w:left w:w="113" w:type="dxa"/>
              <w:bottom w:w="96" w:type="dxa"/>
              <w:right w:w="113" w:type="dxa"/>
            </w:tcMar>
            <w:vAlign w:val="bottom"/>
          </w:tcPr>
          <w:p w14:paraId="66B72B38" w14:textId="77777777" w:rsidR="00913226" w:rsidRPr="00913226" w:rsidRDefault="00913226" w:rsidP="00913226">
            <w:pPr>
              <w:pStyle w:val="CDITable-HeaderRowCentre"/>
              <w:rPr>
                <w:bCs/>
                <w:sz w:val="16"/>
              </w:rPr>
            </w:pPr>
            <w:proofErr w:type="spellStart"/>
            <w:r w:rsidRPr="00913226">
              <w:rPr>
                <w:bCs/>
                <w:sz w:val="16"/>
              </w:rPr>
              <w:t>Clindamycin</w:t>
            </w:r>
            <w:r w:rsidRPr="00913226">
              <w:rPr>
                <w:bCs/>
                <w:sz w:val="16"/>
                <w:vertAlign w:val="superscript"/>
              </w:rPr>
              <w:t>a</w:t>
            </w:r>
            <w:proofErr w:type="spellEnd"/>
          </w:p>
        </w:tc>
        <w:tc>
          <w:tcPr>
            <w:tcW w:w="3572" w:type="dxa"/>
            <w:gridSpan w:val="4"/>
            <w:tcBorders>
              <w:bottom w:val="single" w:sz="6" w:space="0" w:color="FFFFFF" w:themeColor="background1"/>
            </w:tcBorders>
            <w:shd w:val="clear" w:color="auto" w:fill="1E4496" w:themeFill="text2"/>
            <w:tcMar>
              <w:top w:w="96" w:type="dxa"/>
              <w:left w:w="113" w:type="dxa"/>
              <w:bottom w:w="96" w:type="dxa"/>
              <w:right w:w="113" w:type="dxa"/>
            </w:tcMar>
            <w:vAlign w:val="bottom"/>
          </w:tcPr>
          <w:p w14:paraId="1C01EC19" w14:textId="77777777" w:rsidR="00913226" w:rsidRPr="00913226" w:rsidRDefault="00913226" w:rsidP="00913226">
            <w:pPr>
              <w:pStyle w:val="CDITable-HeaderRowCentre"/>
              <w:rPr>
                <w:bCs/>
                <w:sz w:val="16"/>
              </w:rPr>
            </w:pPr>
            <w:proofErr w:type="spellStart"/>
            <w:r w:rsidRPr="00913226">
              <w:rPr>
                <w:bCs/>
                <w:sz w:val="16"/>
              </w:rPr>
              <w:t>Ciprofloxacin</w:t>
            </w:r>
            <w:r w:rsidRPr="00913226">
              <w:rPr>
                <w:bCs/>
                <w:sz w:val="16"/>
                <w:vertAlign w:val="superscript"/>
              </w:rPr>
              <w:t>a</w:t>
            </w:r>
            <w:proofErr w:type="spellEnd"/>
          </w:p>
        </w:tc>
        <w:tc>
          <w:tcPr>
            <w:tcW w:w="3571" w:type="dxa"/>
            <w:gridSpan w:val="4"/>
            <w:tcBorders>
              <w:bottom w:val="single" w:sz="6" w:space="0" w:color="FFFFFF" w:themeColor="background1"/>
            </w:tcBorders>
            <w:shd w:val="clear" w:color="auto" w:fill="1E4496" w:themeFill="text2"/>
            <w:tcMar>
              <w:top w:w="96" w:type="dxa"/>
              <w:left w:w="113" w:type="dxa"/>
              <w:bottom w:w="96" w:type="dxa"/>
              <w:right w:w="113" w:type="dxa"/>
            </w:tcMar>
            <w:vAlign w:val="bottom"/>
          </w:tcPr>
          <w:p w14:paraId="10CB2C03" w14:textId="77777777" w:rsidR="00913226" w:rsidRPr="00913226" w:rsidRDefault="00913226" w:rsidP="00913226">
            <w:pPr>
              <w:pStyle w:val="CDITable-HeaderRowCentre"/>
              <w:rPr>
                <w:bCs/>
                <w:sz w:val="16"/>
              </w:rPr>
            </w:pPr>
            <w:proofErr w:type="spellStart"/>
            <w:r w:rsidRPr="00913226">
              <w:rPr>
                <w:bCs/>
                <w:sz w:val="16"/>
              </w:rPr>
              <w:t>Erythromycin</w:t>
            </w:r>
            <w:r w:rsidRPr="00913226">
              <w:rPr>
                <w:bCs/>
                <w:sz w:val="16"/>
                <w:vertAlign w:val="superscript"/>
              </w:rPr>
              <w:t>a</w:t>
            </w:r>
            <w:proofErr w:type="spellEnd"/>
          </w:p>
        </w:tc>
      </w:tr>
      <w:tr w:rsidR="00913226" w:rsidRPr="00913226" w14:paraId="33E56E3E" w14:textId="77777777" w:rsidTr="00913226">
        <w:trPr>
          <w:trHeight w:val="60"/>
          <w:tblHeader/>
        </w:trPr>
        <w:tc>
          <w:tcPr>
            <w:tcW w:w="2098" w:type="dxa"/>
            <w:vMerge/>
            <w:shd w:val="clear" w:color="auto" w:fill="1E4496" w:themeFill="text2"/>
            <w:tcMar>
              <w:top w:w="96" w:type="dxa"/>
              <w:bottom w:w="96" w:type="dxa"/>
            </w:tcMar>
          </w:tcPr>
          <w:p w14:paraId="69129DDE" w14:textId="77777777" w:rsidR="00913226" w:rsidRPr="00913226" w:rsidRDefault="00913226" w:rsidP="00913226"/>
        </w:tc>
        <w:tc>
          <w:tcPr>
            <w:tcW w:w="1530" w:type="dxa"/>
            <w:vMerge/>
            <w:shd w:val="clear" w:color="auto" w:fill="1E4496" w:themeFill="text2"/>
            <w:tcMar>
              <w:top w:w="96" w:type="dxa"/>
              <w:bottom w:w="96" w:type="dxa"/>
            </w:tcMar>
          </w:tcPr>
          <w:p w14:paraId="0A3F3581" w14:textId="77777777" w:rsidR="00913226" w:rsidRPr="00913226" w:rsidRDefault="00913226" w:rsidP="00913226"/>
        </w:tc>
        <w:tc>
          <w:tcPr>
            <w:tcW w:w="794" w:type="dxa"/>
            <w:tcBorders>
              <w:top w:val="single" w:sz="6" w:space="0" w:color="FFFFFF" w:themeColor="background1"/>
            </w:tcBorders>
            <w:shd w:val="clear" w:color="auto" w:fill="1E4496" w:themeFill="text2"/>
            <w:tcMar>
              <w:top w:w="96" w:type="dxa"/>
              <w:left w:w="113" w:type="dxa"/>
              <w:bottom w:w="96" w:type="dxa"/>
              <w:right w:w="113" w:type="dxa"/>
            </w:tcMar>
            <w:vAlign w:val="bottom"/>
          </w:tcPr>
          <w:p w14:paraId="35F43FE6" w14:textId="77777777" w:rsidR="00913226" w:rsidRPr="00913226" w:rsidRDefault="00913226" w:rsidP="00913226">
            <w:pPr>
              <w:pStyle w:val="CDITable-HeaderRowCentre"/>
              <w:rPr>
                <w:bCs/>
                <w:sz w:val="16"/>
              </w:rPr>
            </w:pPr>
            <w:r w:rsidRPr="00913226">
              <w:rPr>
                <w:bCs/>
                <w:sz w:val="16"/>
              </w:rPr>
              <w:t>N</w:t>
            </w:r>
          </w:p>
        </w:tc>
        <w:tc>
          <w:tcPr>
            <w:tcW w:w="794" w:type="dxa"/>
            <w:tcBorders>
              <w:top w:val="single" w:sz="6" w:space="0" w:color="FFFFFF" w:themeColor="background1"/>
            </w:tcBorders>
            <w:shd w:val="clear" w:color="auto" w:fill="1E4496" w:themeFill="text2"/>
            <w:tcMar>
              <w:top w:w="96" w:type="dxa"/>
              <w:left w:w="113" w:type="dxa"/>
              <w:bottom w:w="96" w:type="dxa"/>
              <w:right w:w="113" w:type="dxa"/>
            </w:tcMar>
            <w:vAlign w:val="bottom"/>
          </w:tcPr>
          <w:p w14:paraId="76443092" w14:textId="77777777" w:rsidR="00913226" w:rsidRPr="00913226" w:rsidRDefault="00913226" w:rsidP="00913226">
            <w:pPr>
              <w:pStyle w:val="CDITable-HeaderRowCentre"/>
              <w:rPr>
                <w:bCs/>
                <w:sz w:val="16"/>
              </w:rPr>
            </w:pPr>
            <w:r w:rsidRPr="00913226">
              <w:rPr>
                <w:bCs/>
                <w:sz w:val="16"/>
              </w:rPr>
              <w:t>n</w:t>
            </w:r>
          </w:p>
        </w:tc>
        <w:tc>
          <w:tcPr>
            <w:tcW w:w="793" w:type="dxa"/>
            <w:tcBorders>
              <w:top w:val="single" w:sz="6" w:space="0" w:color="FFFFFF" w:themeColor="background1"/>
            </w:tcBorders>
            <w:shd w:val="clear" w:color="auto" w:fill="1E4496" w:themeFill="text2"/>
            <w:tcMar>
              <w:top w:w="96" w:type="dxa"/>
              <w:left w:w="113" w:type="dxa"/>
              <w:bottom w:w="96" w:type="dxa"/>
              <w:right w:w="113" w:type="dxa"/>
            </w:tcMar>
            <w:vAlign w:val="bottom"/>
          </w:tcPr>
          <w:p w14:paraId="31083EF6" w14:textId="77777777" w:rsidR="00913226" w:rsidRPr="00913226" w:rsidRDefault="00913226" w:rsidP="00913226">
            <w:pPr>
              <w:pStyle w:val="CDITable-HeaderRowCentre"/>
              <w:rPr>
                <w:bCs/>
                <w:sz w:val="16"/>
              </w:rPr>
            </w:pPr>
            <w:r w:rsidRPr="00913226">
              <w:rPr>
                <w:bCs/>
                <w:sz w:val="16"/>
              </w:rPr>
              <w:t>R%</w:t>
            </w:r>
          </w:p>
        </w:tc>
        <w:tc>
          <w:tcPr>
            <w:tcW w:w="1191" w:type="dxa"/>
            <w:tcBorders>
              <w:top w:val="single" w:sz="6" w:space="0" w:color="FFFFFF" w:themeColor="background1"/>
              <w:right w:val="single" w:sz="6" w:space="0" w:color="FFFFFF" w:themeColor="background1"/>
            </w:tcBorders>
            <w:shd w:val="clear" w:color="auto" w:fill="1E4496" w:themeFill="text2"/>
            <w:tcMar>
              <w:top w:w="96" w:type="dxa"/>
              <w:left w:w="113" w:type="dxa"/>
              <w:bottom w:w="96" w:type="dxa"/>
              <w:right w:w="113" w:type="dxa"/>
            </w:tcMar>
            <w:vAlign w:val="bottom"/>
          </w:tcPr>
          <w:p w14:paraId="246428D4" w14:textId="77777777" w:rsidR="00913226" w:rsidRPr="00913226" w:rsidRDefault="00913226" w:rsidP="00913226">
            <w:pPr>
              <w:pStyle w:val="CDITable-HeaderRowCentre"/>
              <w:rPr>
                <w:bCs/>
                <w:sz w:val="16"/>
              </w:rPr>
            </w:pPr>
            <w:r w:rsidRPr="00913226">
              <w:rPr>
                <w:bCs/>
                <w:sz w:val="16"/>
              </w:rPr>
              <w:t>95% CI</w:t>
            </w:r>
          </w:p>
        </w:tc>
        <w:tc>
          <w:tcPr>
            <w:tcW w:w="794" w:type="dxa"/>
            <w:tcBorders>
              <w:top w:val="single" w:sz="6" w:space="0" w:color="FFFFFF" w:themeColor="background1"/>
              <w:left w:val="single" w:sz="6" w:space="0" w:color="FFFFFF" w:themeColor="background1"/>
            </w:tcBorders>
            <w:shd w:val="clear" w:color="auto" w:fill="1E4496" w:themeFill="text2"/>
            <w:tcMar>
              <w:top w:w="96" w:type="dxa"/>
              <w:left w:w="113" w:type="dxa"/>
              <w:bottom w:w="96" w:type="dxa"/>
              <w:right w:w="113" w:type="dxa"/>
            </w:tcMar>
            <w:vAlign w:val="bottom"/>
          </w:tcPr>
          <w:p w14:paraId="317F0F1B" w14:textId="77777777" w:rsidR="00913226" w:rsidRPr="00913226" w:rsidRDefault="00913226" w:rsidP="00913226">
            <w:pPr>
              <w:pStyle w:val="CDITable-HeaderRowCentre"/>
              <w:rPr>
                <w:bCs/>
                <w:sz w:val="16"/>
              </w:rPr>
            </w:pPr>
            <w:r w:rsidRPr="00913226">
              <w:rPr>
                <w:bCs/>
                <w:sz w:val="16"/>
              </w:rPr>
              <w:t>N</w:t>
            </w:r>
          </w:p>
        </w:tc>
        <w:tc>
          <w:tcPr>
            <w:tcW w:w="793" w:type="dxa"/>
            <w:tcBorders>
              <w:top w:val="single" w:sz="6" w:space="0" w:color="FFFFFF" w:themeColor="background1"/>
            </w:tcBorders>
            <w:shd w:val="clear" w:color="auto" w:fill="1E4496" w:themeFill="text2"/>
            <w:tcMar>
              <w:top w:w="96" w:type="dxa"/>
              <w:left w:w="113" w:type="dxa"/>
              <w:bottom w:w="96" w:type="dxa"/>
              <w:right w:w="113" w:type="dxa"/>
            </w:tcMar>
            <w:vAlign w:val="bottom"/>
          </w:tcPr>
          <w:p w14:paraId="72733A39" w14:textId="77777777" w:rsidR="00913226" w:rsidRPr="00913226" w:rsidRDefault="00913226" w:rsidP="00913226">
            <w:pPr>
              <w:pStyle w:val="CDITable-HeaderRowCentre"/>
              <w:rPr>
                <w:bCs/>
                <w:sz w:val="16"/>
              </w:rPr>
            </w:pPr>
            <w:r w:rsidRPr="00913226">
              <w:rPr>
                <w:bCs/>
                <w:sz w:val="16"/>
              </w:rPr>
              <w:t>n</w:t>
            </w:r>
          </w:p>
        </w:tc>
        <w:tc>
          <w:tcPr>
            <w:tcW w:w="794" w:type="dxa"/>
            <w:tcBorders>
              <w:top w:val="single" w:sz="6" w:space="0" w:color="FFFFFF" w:themeColor="background1"/>
            </w:tcBorders>
            <w:shd w:val="clear" w:color="auto" w:fill="1E4496" w:themeFill="text2"/>
            <w:tcMar>
              <w:top w:w="96" w:type="dxa"/>
              <w:left w:w="113" w:type="dxa"/>
              <w:bottom w:w="96" w:type="dxa"/>
              <w:right w:w="113" w:type="dxa"/>
            </w:tcMar>
            <w:vAlign w:val="bottom"/>
          </w:tcPr>
          <w:p w14:paraId="498D9E7C" w14:textId="77777777" w:rsidR="00913226" w:rsidRPr="00913226" w:rsidRDefault="00913226" w:rsidP="00913226">
            <w:pPr>
              <w:pStyle w:val="CDITable-HeaderRowCentre"/>
              <w:rPr>
                <w:bCs/>
                <w:sz w:val="16"/>
              </w:rPr>
            </w:pPr>
            <w:r w:rsidRPr="00913226">
              <w:rPr>
                <w:bCs/>
                <w:sz w:val="16"/>
              </w:rPr>
              <w:t>R%</w:t>
            </w:r>
          </w:p>
        </w:tc>
        <w:tc>
          <w:tcPr>
            <w:tcW w:w="1191" w:type="dxa"/>
            <w:tcBorders>
              <w:top w:val="single" w:sz="6" w:space="0" w:color="FFFFFF" w:themeColor="background1"/>
              <w:right w:val="single" w:sz="6" w:space="0" w:color="FFFFFF" w:themeColor="background1"/>
            </w:tcBorders>
            <w:shd w:val="clear" w:color="auto" w:fill="1E4496" w:themeFill="text2"/>
            <w:tcMar>
              <w:top w:w="96" w:type="dxa"/>
              <w:left w:w="113" w:type="dxa"/>
              <w:bottom w:w="96" w:type="dxa"/>
              <w:right w:w="113" w:type="dxa"/>
            </w:tcMar>
            <w:vAlign w:val="bottom"/>
          </w:tcPr>
          <w:p w14:paraId="5905C599" w14:textId="77777777" w:rsidR="00913226" w:rsidRPr="00913226" w:rsidRDefault="00913226" w:rsidP="00913226">
            <w:pPr>
              <w:pStyle w:val="CDITable-HeaderRowCentre"/>
              <w:rPr>
                <w:bCs/>
                <w:sz w:val="16"/>
              </w:rPr>
            </w:pPr>
            <w:r w:rsidRPr="00913226">
              <w:rPr>
                <w:bCs/>
                <w:sz w:val="16"/>
              </w:rPr>
              <w:t>95% CI</w:t>
            </w:r>
          </w:p>
        </w:tc>
        <w:tc>
          <w:tcPr>
            <w:tcW w:w="793" w:type="dxa"/>
            <w:tcBorders>
              <w:top w:val="single" w:sz="6" w:space="0" w:color="FFFFFF" w:themeColor="background1"/>
              <w:left w:val="single" w:sz="6" w:space="0" w:color="FFFFFF" w:themeColor="background1"/>
            </w:tcBorders>
            <w:shd w:val="clear" w:color="auto" w:fill="1E4496" w:themeFill="text2"/>
            <w:tcMar>
              <w:top w:w="96" w:type="dxa"/>
              <w:left w:w="113" w:type="dxa"/>
              <w:bottom w:w="96" w:type="dxa"/>
              <w:right w:w="113" w:type="dxa"/>
            </w:tcMar>
            <w:vAlign w:val="bottom"/>
          </w:tcPr>
          <w:p w14:paraId="4D7A7485" w14:textId="77777777" w:rsidR="00913226" w:rsidRPr="00913226" w:rsidRDefault="00913226" w:rsidP="00913226">
            <w:pPr>
              <w:pStyle w:val="CDITable-HeaderRowCentre"/>
              <w:rPr>
                <w:bCs/>
                <w:sz w:val="16"/>
              </w:rPr>
            </w:pPr>
            <w:r w:rsidRPr="00913226">
              <w:rPr>
                <w:bCs/>
                <w:sz w:val="16"/>
              </w:rPr>
              <w:t>N</w:t>
            </w:r>
          </w:p>
        </w:tc>
        <w:tc>
          <w:tcPr>
            <w:tcW w:w="794" w:type="dxa"/>
            <w:tcBorders>
              <w:top w:val="single" w:sz="6" w:space="0" w:color="FFFFFF" w:themeColor="background1"/>
            </w:tcBorders>
            <w:shd w:val="clear" w:color="auto" w:fill="1E4496" w:themeFill="text2"/>
            <w:tcMar>
              <w:top w:w="96" w:type="dxa"/>
              <w:left w:w="113" w:type="dxa"/>
              <w:bottom w:w="96" w:type="dxa"/>
              <w:right w:w="113" w:type="dxa"/>
            </w:tcMar>
            <w:vAlign w:val="bottom"/>
          </w:tcPr>
          <w:p w14:paraId="6DD4E868" w14:textId="77777777" w:rsidR="00913226" w:rsidRPr="00913226" w:rsidRDefault="00913226" w:rsidP="00913226">
            <w:pPr>
              <w:pStyle w:val="CDITable-HeaderRowCentre"/>
              <w:rPr>
                <w:bCs/>
                <w:sz w:val="16"/>
              </w:rPr>
            </w:pPr>
            <w:r w:rsidRPr="00913226">
              <w:rPr>
                <w:bCs/>
                <w:sz w:val="16"/>
              </w:rPr>
              <w:t>n</w:t>
            </w:r>
          </w:p>
        </w:tc>
        <w:tc>
          <w:tcPr>
            <w:tcW w:w="794" w:type="dxa"/>
            <w:tcBorders>
              <w:top w:val="single" w:sz="6" w:space="0" w:color="FFFFFF" w:themeColor="background1"/>
            </w:tcBorders>
            <w:shd w:val="clear" w:color="auto" w:fill="1E4496" w:themeFill="text2"/>
            <w:tcMar>
              <w:top w:w="96" w:type="dxa"/>
              <w:left w:w="113" w:type="dxa"/>
              <w:bottom w:w="96" w:type="dxa"/>
              <w:right w:w="113" w:type="dxa"/>
            </w:tcMar>
            <w:vAlign w:val="bottom"/>
          </w:tcPr>
          <w:p w14:paraId="1BE4D2AC" w14:textId="77777777" w:rsidR="00913226" w:rsidRPr="00913226" w:rsidRDefault="00913226" w:rsidP="00913226">
            <w:pPr>
              <w:pStyle w:val="CDITable-HeaderRowCentre"/>
              <w:rPr>
                <w:bCs/>
                <w:sz w:val="16"/>
              </w:rPr>
            </w:pPr>
            <w:r w:rsidRPr="00913226">
              <w:rPr>
                <w:bCs/>
                <w:sz w:val="16"/>
              </w:rPr>
              <w:t>R%</w:t>
            </w:r>
          </w:p>
        </w:tc>
        <w:tc>
          <w:tcPr>
            <w:tcW w:w="1190" w:type="dxa"/>
            <w:tcBorders>
              <w:top w:val="single" w:sz="6" w:space="0" w:color="FFFFFF" w:themeColor="background1"/>
            </w:tcBorders>
            <w:shd w:val="clear" w:color="auto" w:fill="1E4496" w:themeFill="text2"/>
            <w:tcMar>
              <w:top w:w="96" w:type="dxa"/>
              <w:left w:w="113" w:type="dxa"/>
              <w:bottom w:w="96" w:type="dxa"/>
              <w:right w:w="113" w:type="dxa"/>
            </w:tcMar>
            <w:vAlign w:val="bottom"/>
          </w:tcPr>
          <w:p w14:paraId="3472D1BF" w14:textId="77777777" w:rsidR="00913226" w:rsidRPr="00913226" w:rsidRDefault="00913226" w:rsidP="00913226">
            <w:pPr>
              <w:pStyle w:val="CDITable-HeaderRowCentre"/>
              <w:rPr>
                <w:bCs/>
                <w:sz w:val="16"/>
              </w:rPr>
            </w:pPr>
            <w:r w:rsidRPr="00913226">
              <w:rPr>
                <w:bCs/>
                <w:sz w:val="16"/>
              </w:rPr>
              <w:t>95% CI</w:t>
            </w:r>
          </w:p>
        </w:tc>
      </w:tr>
      <w:tr w:rsidR="00913226" w:rsidRPr="00913226" w14:paraId="5881EDEB" w14:textId="77777777" w:rsidTr="00913226">
        <w:trPr>
          <w:trHeight w:val="60"/>
        </w:trPr>
        <w:tc>
          <w:tcPr>
            <w:tcW w:w="2098" w:type="dxa"/>
            <w:tcBorders>
              <w:bottom w:val="single" w:sz="6" w:space="0" w:color="1E4496" w:themeColor="text2"/>
            </w:tcBorders>
            <w:shd w:val="clear" w:color="auto" w:fill="DCF4FC" w:themeFill="background2" w:themeFillTint="33"/>
            <w:tcMar>
              <w:top w:w="96" w:type="dxa"/>
              <w:left w:w="113" w:type="dxa"/>
              <w:bottom w:w="96" w:type="dxa"/>
              <w:right w:w="113" w:type="dxa"/>
            </w:tcMar>
            <w:vAlign w:val="center"/>
          </w:tcPr>
          <w:p w14:paraId="03C322E9" w14:textId="77777777" w:rsidR="00913226" w:rsidRPr="00913226" w:rsidRDefault="00913226" w:rsidP="002648D3">
            <w:pPr>
              <w:pStyle w:val="CDITable-RowLeft"/>
              <w:rPr>
                <w:sz w:val="16"/>
              </w:rPr>
            </w:pPr>
            <w:r w:rsidRPr="00913226">
              <w:rPr>
                <w:sz w:val="16"/>
              </w:rPr>
              <w:t>Overall</w:t>
            </w:r>
          </w:p>
        </w:tc>
        <w:tc>
          <w:tcPr>
            <w:tcW w:w="1530" w:type="dxa"/>
            <w:tcBorders>
              <w:bottom w:val="single" w:sz="6" w:space="0" w:color="1E4496" w:themeColor="text2"/>
            </w:tcBorders>
            <w:tcMar>
              <w:top w:w="96" w:type="dxa"/>
              <w:left w:w="113" w:type="dxa"/>
              <w:bottom w:w="96" w:type="dxa"/>
              <w:right w:w="113" w:type="dxa"/>
            </w:tcMar>
            <w:vAlign w:val="center"/>
          </w:tcPr>
          <w:p w14:paraId="701EE4B6" w14:textId="77777777" w:rsidR="00913226" w:rsidRPr="00913226" w:rsidRDefault="00913226" w:rsidP="00913226">
            <w:pPr>
              <w:pStyle w:val="CDITable-RowLeft"/>
              <w:rPr>
                <w:sz w:val="16"/>
              </w:rPr>
            </w:pPr>
            <w:r w:rsidRPr="00913226">
              <w:rPr>
                <w:sz w:val="16"/>
              </w:rPr>
              <w:t>—</w:t>
            </w:r>
          </w:p>
        </w:tc>
        <w:tc>
          <w:tcPr>
            <w:tcW w:w="794" w:type="dxa"/>
            <w:tcBorders>
              <w:bottom w:val="single" w:sz="6" w:space="0" w:color="1E4496" w:themeColor="text2"/>
            </w:tcBorders>
            <w:tcMar>
              <w:top w:w="96" w:type="dxa"/>
              <w:left w:w="113" w:type="dxa"/>
              <w:bottom w:w="96" w:type="dxa"/>
              <w:right w:w="113" w:type="dxa"/>
            </w:tcMar>
            <w:vAlign w:val="center"/>
          </w:tcPr>
          <w:p w14:paraId="6C39106D" w14:textId="77777777" w:rsidR="00913226" w:rsidRPr="00913226" w:rsidRDefault="00913226" w:rsidP="00913226">
            <w:pPr>
              <w:pStyle w:val="CDITable-RowCentre"/>
              <w:rPr>
                <w:sz w:val="16"/>
              </w:rPr>
            </w:pPr>
            <w:r w:rsidRPr="00913226">
              <w:rPr>
                <w:sz w:val="16"/>
              </w:rPr>
              <w:t>600</w:t>
            </w:r>
          </w:p>
        </w:tc>
        <w:tc>
          <w:tcPr>
            <w:tcW w:w="794" w:type="dxa"/>
            <w:tcBorders>
              <w:bottom w:val="single" w:sz="6" w:space="0" w:color="1E4496" w:themeColor="text2"/>
            </w:tcBorders>
            <w:tcMar>
              <w:top w:w="96" w:type="dxa"/>
              <w:left w:w="113" w:type="dxa"/>
              <w:bottom w:w="96" w:type="dxa"/>
              <w:right w:w="113" w:type="dxa"/>
            </w:tcMar>
            <w:vAlign w:val="center"/>
          </w:tcPr>
          <w:p w14:paraId="64381E9B" w14:textId="77777777" w:rsidR="00913226" w:rsidRPr="00913226" w:rsidRDefault="00913226" w:rsidP="00913226">
            <w:pPr>
              <w:pStyle w:val="CDITable-RowCentre"/>
              <w:rPr>
                <w:sz w:val="16"/>
              </w:rPr>
            </w:pPr>
            <w:r w:rsidRPr="00913226">
              <w:rPr>
                <w:sz w:val="16"/>
              </w:rPr>
              <w:t>62</w:t>
            </w:r>
          </w:p>
        </w:tc>
        <w:tc>
          <w:tcPr>
            <w:tcW w:w="793" w:type="dxa"/>
            <w:tcBorders>
              <w:bottom w:val="single" w:sz="6" w:space="0" w:color="1E4496" w:themeColor="text2"/>
            </w:tcBorders>
            <w:tcMar>
              <w:top w:w="96" w:type="dxa"/>
              <w:left w:w="113" w:type="dxa"/>
              <w:bottom w:w="96" w:type="dxa"/>
              <w:right w:w="113" w:type="dxa"/>
            </w:tcMar>
            <w:vAlign w:val="center"/>
          </w:tcPr>
          <w:p w14:paraId="57FB07A2" w14:textId="77777777" w:rsidR="00913226" w:rsidRPr="00913226" w:rsidRDefault="00913226" w:rsidP="00913226">
            <w:pPr>
              <w:pStyle w:val="CDITable-RowCentre"/>
              <w:rPr>
                <w:sz w:val="16"/>
              </w:rPr>
            </w:pPr>
            <w:r w:rsidRPr="00913226">
              <w:rPr>
                <w:sz w:val="16"/>
              </w:rPr>
              <w:t>10.3</w:t>
            </w:r>
          </w:p>
        </w:tc>
        <w:tc>
          <w:tcPr>
            <w:tcW w:w="1191" w:type="dxa"/>
            <w:tcBorders>
              <w:bottom w:val="single" w:sz="6" w:space="0" w:color="1E4496" w:themeColor="text2"/>
              <w:right w:val="single" w:sz="6" w:space="0" w:color="1E4496" w:themeColor="text2"/>
            </w:tcBorders>
            <w:tcMar>
              <w:top w:w="96" w:type="dxa"/>
              <w:left w:w="113" w:type="dxa"/>
              <w:bottom w:w="96" w:type="dxa"/>
              <w:right w:w="113" w:type="dxa"/>
            </w:tcMar>
            <w:vAlign w:val="center"/>
          </w:tcPr>
          <w:p w14:paraId="5460BE32" w14:textId="77777777" w:rsidR="00913226" w:rsidRPr="00913226" w:rsidRDefault="00913226" w:rsidP="00913226">
            <w:pPr>
              <w:pStyle w:val="CDITable-RowCentre"/>
              <w:rPr>
                <w:sz w:val="16"/>
              </w:rPr>
            </w:pPr>
            <w:r w:rsidRPr="00913226">
              <w:rPr>
                <w:sz w:val="16"/>
              </w:rPr>
              <w:t>8.0–13.1</w:t>
            </w:r>
          </w:p>
        </w:tc>
        <w:tc>
          <w:tcPr>
            <w:tcW w:w="794" w:type="dxa"/>
            <w:tcBorders>
              <w:left w:val="single" w:sz="6" w:space="0" w:color="1E4496" w:themeColor="text2"/>
              <w:bottom w:val="single" w:sz="6" w:space="0" w:color="1E4496" w:themeColor="text2"/>
            </w:tcBorders>
            <w:tcMar>
              <w:top w:w="96" w:type="dxa"/>
              <w:left w:w="113" w:type="dxa"/>
              <w:bottom w:w="96" w:type="dxa"/>
              <w:right w:w="113" w:type="dxa"/>
            </w:tcMar>
            <w:vAlign w:val="center"/>
          </w:tcPr>
          <w:p w14:paraId="1E6D7708" w14:textId="77777777" w:rsidR="00913226" w:rsidRPr="00913226" w:rsidRDefault="00913226" w:rsidP="00913226">
            <w:pPr>
              <w:pStyle w:val="CDITable-RowCentre"/>
              <w:rPr>
                <w:sz w:val="16"/>
              </w:rPr>
            </w:pPr>
            <w:r w:rsidRPr="00913226">
              <w:rPr>
                <w:sz w:val="16"/>
              </w:rPr>
              <w:t>600</w:t>
            </w:r>
          </w:p>
        </w:tc>
        <w:tc>
          <w:tcPr>
            <w:tcW w:w="793" w:type="dxa"/>
            <w:tcBorders>
              <w:bottom w:val="single" w:sz="6" w:space="0" w:color="1E4496" w:themeColor="text2"/>
            </w:tcBorders>
            <w:tcMar>
              <w:top w:w="96" w:type="dxa"/>
              <w:left w:w="113" w:type="dxa"/>
              <w:bottom w:w="96" w:type="dxa"/>
              <w:right w:w="113" w:type="dxa"/>
            </w:tcMar>
            <w:vAlign w:val="center"/>
          </w:tcPr>
          <w:p w14:paraId="687C32D7" w14:textId="77777777" w:rsidR="00913226" w:rsidRPr="00913226" w:rsidRDefault="00913226" w:rsidP="00913226">
            <w:pPr>
              <w:pStyle w:val="CDITable-RowCentre"/>
              <w:rPr>
                <w:sz w:val="16"/>
              </w:rPr>
            </w:pPr>
            <w:r w:rsidRPr="00913226">
              <w:rPr>
                <w:sz w:val="16"/>
              </w:rPr>
              <w:t>30</w:t>
            </w:r>
          </w:p>
        </w:tc>
        <w:tc>
          <w:tcPr>
            <w:tcW w:w="794" w:type="dxa"/>
            <w:tcBorders>
              <w:bottom w:val="single" w:sz="6" w:space="0" w:color="1E4496" w:themeColor="text2"/>
            </w:tcBorders>
            <w:tcMar>
              <w:top w:w="96" w:type="dxa"/>
              <w:left w:w="113" w:type="dxa"/>
              <w:bottom w:w="96" w:type="dxa"/>
              <w:right w:w="113" w:type="dxa"/>
            </w:tcMar>
            <w:vAlign w:val="center"/>
          </w:tcPr>
          <w:p w14:paraId="7FB74023" w14:textId="77777777" w:rsidR="00913226" w:rsidRPr="00913226" w:rsidRDefault="00913226" w:rsidP="00913226">
            <w:pPr>
              <w:pStyle w:val="CDITable-RowCentre"/>
              <w:rPr>
                <w:sz w:val="16"/>
              </w:rPr>
            </w:pPr>
            <w:r w:rsidRPr="00913226">
              <w:rPr>
                <w:sz w:val="16"/>
              </w:rPr>
              <w:t>5.0</w:t>
            </w:r>
          </w:p>
        </w:tc>
        <w:tc>
          <w:tcPr>
            <w:tcW w:w="1191" w:type="dxa"/>
            <w:tcBorders>
              <w:bottom w:val="single" w:sz="6" w:space="0" w:color="1E4496" w:themeColor="text2"/>
              <w:right w:val="single" w:sz="6" w:space="0" w:color="1E4496" w:themeColor="text2"/>
            </w:tcBorders>
            <w:tcMar>
              <w:top w:w="96" w:type="dxa"/>
              <w:left w:w="113" w:type="dxa"/>
              <w:bottom w:w="96" w:type="dxa"/>
              <w:right w:w="113" w:type="dxa"/>
            </w:tcMar>
            <w:vAlign w:val="center"/>
          </w:tcPr>
          <w:p w14:paraId="34247D58" w14:textId="77777777" w:rsidR="00913226" w:rsidRPr="00913226" w:rsidRDefault="00913226" w:rsidP="00913226">
            <w:pPr>
              <w:pStyle w:val="CDITable-RowCentre"/>
              <w:rPr>
                <w:sz w:val="16"/>
              </w:rPr>
            </w:pPr>
            <w:r w:rsidRPr="00913226">
              <w:rPr>
                <w:sz w:val="16"/>
              </w:rPr>
              <w:t>3.4–7.1</w:t>
            </w:r>
          </w:p>
        </w:tc>
        <w:tc>
          <w:tcPr>
            <w:tcW w:w="793" w:type="dxa"/>
            <w:tcBorders>
              <w:left w:val="single" w:sz="6" w:space="0" w:color="1E4496" w:themeColor="text2"/>
              <w:bottom w:val="single" w:sz="6" w:space="0" w:color="1E4496" w:themeColor="text2"/>
            </w:tcBorders>
            <w:tcMar>
              <w:top w:w="96" w:type="dxa"/>
              <w:left w:w="113" w:type="dxa"/>
              <w:bottom w:w="96" w:type="dxa"/>
              <w:right w:w="113" w:type="dxa"/>
            </w:tcMar>
            <w:vAlign w:val="center"/>
          </w:tcPr>
          <w:p w14:paraId="76E971E8" w14:textId="77777777" w:rsidR="00913226" w:rsidRPr="00913226" w:rsidRDefault="00913226" w:rsidP="00913226">
            <w:pPr>
              <w:pStyle w:val="CDITable-RowCentre"/>
              <w:rPr>
                <w:sz w:val="16"/>
              </w:rPr>
            </w:pPr>
            <w:r w:rsidRPr="00913226">
              <w:rPr>
                <w:sz w:val="16"/>
              </w:rPr>
              <w:t>584</w:t>
            </w:r>
          </w:p>
        </w:tc>
        <w:tc>
          <w:tcPr>
            <w:tcW w:w="794" w:type="dxa"/>
            <w:tcBorders>
              <w:bottom w:val="single" w:sz="6" w:space="0" w:color="1E4496" w:themeColor="text2"/>
            </w:tcBorders>
            <w:tcMar>
              <w:top w:w="96" w:type="dxa"/>
              <w:left w:w="113" w:type="dxa"/>
              <w:bottom w:w="96" w:type="dxa"/>
              <w:right w:w="113" w:type="dxa"/>
            </w:tcMar>
            <w:vAlign w:val="center"/>
          </w:tcPr>
          <w:p w14:paraId="74C3C26C" w14:textId="77777777" w:rsidR="00913226" w:rsidRPr="00913226" w:rsidRDefault="00913226" w:rsidP="00913226">
            <w:pPr>
              <w:pStyle w:val="CDITable-RowCentre"/>
              <w:rPr>
                <w:sz w:val="16"/>
              </w:rPr>
            </w:pPr>
            <w:r w:rsidRPr="00913226">
              <w:rPr>
                <w:sz w:val="16"/>
              </w:rPr>
              <w:t>84</w:t>
            </w:r>
          </w:p>
        </w:tc>
        <w:tc>
          <w:tcPr>
            <w:tcW w:w="794" w:type="dxa"/>
            <w:tcBorders>
              <w:bottom w:val="single" w:sz="6" w:space="0" w:color="1E4496" w:themeColor="text2"/>
            </w:tcBorders>
            <w:tcMar>
              <w:top w:w="96" w:type="dxa"/>
              <w:left w:w="113" w:type="dxa"/>
              <w:bottom w:w="96" w:type="dxa"/>
              <w:right w:w="113" w:type="dxa"/>
            </w:tcMar>
            <w:vAlign w:val="center"/>
          </w:tcPr>
          <w:p w14:paraId="15068DDE" w14:textId="77777777" w:rsidR="00913226" w:rsidRPr="00913226" w:rsidRDefault="00913226" w:rsidP="00913226">
            <w:pPr>
              <w:pStyle w:val="CDITable-RowCentre"/>
              <w:rPr>
                <w:sz w:val="16"/>
              </w:rPr>
            </w:pPr>
            <w:r w:rsidRPr="00913226">
              <w:rPr>
                <w:sz w:val="16"/>
              </w:rPr>
              <w:t>14.4</w:t>
            </w:r>
          </w:p>
        </w:tc>
        <w:tc>
          <w:tcPr>
            <w:tcW w:w="1190" w:type="dxa"/>
            <w:tcBorders>
              <w:bottom w:val="single" w:sz="6" w:space="0" w:color="1E4496" w:themeColor="text2"/>
            </w:tcBorders>
            <w:tcMar>
              <w:top w:w="96" w:type="dxa"/>
              <w:left w:w="113" w:type="dxa"/>
              <w:bottom w:w="96" w:type="dxa"/>
              <w:right w:w="113" w:type="dxa"/>
            </w:tcMar>
            <w:vAlign w:val="center"/>
          </w:tcPr>
          <w:p w14:paraId="377D2F07" w14:textId="77777777" w:rsidR="00913226" w:rsidRPr="00913226" w:rsidRDefault="00913226" w:rsidP="00913226">
            <w:pPr>
              <w:pStyle w:val="CDITable-RowCentre"/>
              <w:rPr>
                <w:sz w:val="16"/>
              </w:rPr>
            </w:pPr>
            <w:r w:rsidRPr="00913226">
              <w:rPr>
                <w:sz w:val="16"/>
              </w:rPr>
              <w:t>11.6–17.5</w:t>
            </w:r>
          </w:p>
        </w:tc>
      </w:tr>
      <w:tr w:rsidR="00913226" w:rsidRPr="00913226" w14:paraId="7D2CC0C4" w14:textId="77777777" w:rsidTr="00913226">
        <w:trPr>
          <w:trHeight w:val="60"/>
        </w:trPr>
        <w:tc>
          <w:tcPr>
            <w:tcW w:w="2098" w:type="dxa"/>
            <w:vMerge w:val="restart"/>
            <w:tcBorders>
              <w:top w:val="single" w:sz="6" w:space="0" w:color="1E4496" w:themeColor="text2"/>
              <w:bottom w:val="single" w:sz="6" w:space="0" w:color="1E4496" w:themeColor="text2"/>
            </w:tcBorders>
            <w:shd w:val="clear" w:color="auto" w:fill="DCF4FC" w:themeFill="background2" w:themeFillTint="33"/>
            <w:tcMar>
              <w:top w:w="96" w:type="dxa"/>
              <w:left w:w="113" w:type="dxa"/>
              <w:bottom w:w="96" w:type="dxa"/>
              <w:right w:w="113" w:type="dxa"/>
            </w:tcMar>
            <w:vAlign w:val="center"/>
          </w:tcPr>
          <w:p w14:paraId="0B912A10" w14:textId="77777777" w:rsidR="00913226" w:rsidRPr="00913226" w:rsidRDefault="00913226" w:rsidP="00913226">
            <w:pPr>
              <w:pStyle w:val="CDITable-RowLeft"/>
              <w:rPr>
                <w:sz w:val="16"/>
              </w:rPr>
            </w:pPr>
            <w:proofErr w:type="spellStart"/>
            <w:r w:rsidRPr="00913226">
              <w:rPr>
                <w:sz w:val="16"/>
              </w:rPr>
              <w:t>Jurisdiction</w:t>
            </w:r>
            <w:r w:rsidRPr="00913226">
              <w:rPr>
                <w:sz w:val="16"/>
                <w:vertAlign w:val="superscript"/>
              </w:rPr>
              <w:t>b</w:t>
            </w:r>
            <w:proofErr w:type="spellEnd"/>
          </w:p>
        </w:tc>
        <w:tc>
          <w:tcPr>
            <w:tcW w:w="153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5B076B8C" w14:textId="77777777" w:rsidR="00913226" w:rsidRPr="00913226" w:rsidRDefault="00913226" w:rsidP="00913226">
            <w:pPr>
              <w:pStyle w:val="CDITable-RowLeft"/>
              <w:rPr>
                <w:sz w:val="16"/>
              </w:rPr>
            </w:pPr>
            <w:r w:rsidRPr="00913226">
              <w:rPr>
                <w:sz w:val="16"/>
              </w:rPr>
              <w:t>ACT</w:t>
            </w:r>
          </w:p>
        </w:tc>
        <w:tc>
          <w:tcPr>
            <w:tcW w:w="79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46B5BB7E" w14:textId="77777777" w:rsidR="00913226" w:rsidRPr="00913226" w:rsidRDefault="00913226" w:rsidP="00913226">
            <w:pPr>
              <w:pStyle w:val="CDITable-RowCentre"/>
              <w:rPr>
                <w:sz w:val="16"/>
              </w:rPr>
            </w:pPr>
            <w:r w:rsidRPr="00913226">
              <w:rPr>
                <w:sz w:val="16"/>
              </w:rPr>
              <w:t>19</w:t>
            </w:r>
          </w:p>
        </w:tc>
        <w:tc>
          <w:tcPr>
            <w:tcW w:w="79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44E69E40" w14:textId="77777777" w:rsidR="00913226" w:rsidRPr="00913226" w:rsidRDefault="00913226" w:rsidP="00913226">
            <w:pPr>
              <w:pStyle w:val="CDITable-RowCentre"/>
              <w:rPr>
                <w:sz w:val="16"/>
              </w:rPr>
            </w:pPr>
            <w:r w:rsidRPr="00913226">
              <w:rPr>
                <w:sz w:val="16"/>
              </w:rPr>
              <w:t>3</w:t>
            </w:r>
          </w:p>
        </w:tc>
        <w:tc>
          <w:tcPr>
            <w:tcW w:w="793"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5E51D00B" w14:textId="77777777" w:rsidR="00913226" w:rsidRPr="00913226" w:rsidRDefault="00913226" w:rsidP="00913226">
            <w:pPr>
              <w:pStyle w:val="CDITable-RowCentre"/>
              <w:rPr>
                <w:sz w:val="16"/>
              </w:rPr>
            </w:pPr>
            <w:r w:rsidRPr="00913226">
              <w:rPr>
                <w:sz w:val="16"/>
              </w:rPr>
              <w:t>15.8</w:t>
            </w:r>
          </w:p>
        </w:tc>
        <w:tc>
          <w:tcPr>
            <w:tcW w:w="1191" w:type="dxa"/>
            <w:tcBorders>
              <w:top w:val="single" w:sz="6" w:space="0" w:color="1E4496" w:themeColor="text2"/>
              <w:bottom w:val="single" w:sz="6" w:space="0" w:color="1E4496" w:themeColor="text2"/>
              <w:right w:val="single" w:sz="6" w:space="0" w:color="1E4496" w:themeColor="text2"/>
            </w:tcBorders>
            <w:tcMar>
              <w:top w:w="96" w:type="dxa"/>
              <w:left w:w="113" w:type="dxa"/>
              <w:bottom w:w="96" w:type="dxa"/>
              <w:right w:w="113" w:type="dxa"/>
            </w:tcMar>
            <w:vAlign w:val="center"/>
          </w:tcPr>
          <w:p w14:paraId="03A72B30" w14:textId="77777777" w:rsidR="00913226" w:rsidRPr="00913226" w:rsidRDefault="00913226" w:rsidP="00913226">
            <w:pPr>
              <w:pStyle w:val="CDITable-RowCentre"/>
              <w:rPr>
                <w:sz w:val="16"/>
              </w:rPr>
            </w:pPr>
            <w:r w:rsidRPr="00913226">
              <w:rPr>
                <w:sz w:val="16"/>
              </w:rPr>
              <w:t>3.4–39.6</w:t>
            </w:r>
          </w:p>
        </w:tc>
        <w:tc>
          <w:tcPr>
            <w:tcW w:w="794" w:type="dxa"/>
            <w:tcBorders>
              <w:top w:val="single" w:sz="6" w:space="0" w:color="1E4496" w:themeColor="text2"/>
              <w:left w:val="single" w:sz="6" w:space="0" w:color="1E4496" w:themeColor="text2"/>
              <w:bottom w:val="single" w:sz="6" w:space="0" w:color="1E4496" w:themeColor="text2"/>
            </w:tcBorders>
            <w:tcMar>
              <w:top w:w="96" w:type="dxa"/>
              <w:left w:w="113" w:type="dxa"/>
              <w:bottom w:w="96" w:type="dxa"/>
              <w:right w:w="113" w:type="dxa"/>
            </w:tcMar>
            <w:vAlign w:val="center"/>
          </w:tcPr>
          <w:p w14:paraId="3F308736" w14:textId="77777777" w:rsidR="00913226" w:rsidRPr="00913226" w:rsidRDefault="00913226" w:rsidP="00913226">
            <w:pPr>
              <w:pStyle w:val="CDITable-RowCentre"/>
              <w:rPr>
                <w:sz w:val="16"/>
              </w:rPr>
            </w:pPr>
            <w:r w:rsidRPr="00913226">
              <w:rPr>
                <w:sz w:val="16"/>
              </w:rPr>
              <w:t>19</w:t>
            </w:r>
          </w:p>
        </w:tc>
        <w:tc>
          <w:tcPr>
            <w:tcW w:w="793"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43BFF3FD" w14:textId="77777777" w:rsidR="00913226" w:rsidRPr="00913226" w:rsidRDefault="00913226" w:rsidP="00913226">
            <w:pPr>
              <w:pStyle w:val="CDITable-RowCentre"/>
              <w:rPr>
                <w:sz w:val="16"/>
              </w:rPr>
            </w:pPr>
            <w:r w:rsidRPr="00913226">
              <w:rPr>
                <w:sz w:val="16"/>
              </w:rPr>
              <w:t>0</w:t>
            </w:r>
          </w:p>
        </w:tc>
        <w:tc>
          <w:tcPr>
            <w:tcW w:w="79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360014CA" w14:textId="77777777" w:rsidR="00913226" w:rsidRPr="00913226" w:rsidRDefault="00913226" w:rsidP="00913226">
            <w:pPr>
              <w:pStyle w:val="CDITable-RowCentre"/>
              <w:rPr>
                <w:sz w:val="16"/>
              </w:rPr>
            </w:pPr>
            <w:r w:rsidRPr="00913226">
              <w:rPr>
                <w:sz w:val="16"/>
              </w:rPr>
              <w:t>0</w:t>
            </w:r>
          </w:p>
        </w:tc>
        <w:tc>
          <w:tcPr>
            <w:tcW w:w="1191" w:type="dxa"/>
            <w:tcBorders>
              <w:top w:val="single" w:sz="6" w:space="0" w:color="1E4496" w:themeColor="text2"/>
              <w:bottom w:val="single" w:sz="6" w:space="0" w:color="1E4496" w:themeColor="text2"/>
              <w:right w:val="single" w:sz="6" w:space="0" w:color="1E4496" w:themeColor="text2"/>
            </w:tcBorders>
            <w:tcMar>
              <w:top w:w="96" w:type="dxa"/>
              <w:left w:w="113" w:type="dxa"/>
              <w:bottom w:w="96" w:type="dxa"/>
              <w:right w:w="113" w:type="dxa"/>
            </w:tcMar>
            <w:vAlign w:val="center"/>
          </w:tcPr>
          <w:p w14:paraId="3C2A6818" w14:textId="77777777" w:rsidR="00913226" w:rsidRPr="00913226" w:rsidRDefault="00913226" w:rsidP="00913226">
            <w:pPr>
              <w:pStyle w:val="CDITable-RowCentre"/>
              <w:rPr>
                <w:sz w:val="16"/>
              </w:rPr>
            </w:pPr>
            <w:r w:rsidRPr="00913226">
              <w:rPr>
                <w:sz w:val="16"/>
              </w:rPr>
              <w:t>—</w:t>
            </w:r>
          </w:p>
        </w:tc>
        <w:tc>
          <w:tcPr>
            <w:tcW w:w="793" w:type="dxa"/>
            <w:tcBorders>
              <w:top w:val="single" w:sz="6" w:space="0" w:color="1E4496" w:themeColor="text2"/>
              <w:left w:val="single" w:sz="6" w:space="0" w:color="1E4496" w:themeColor="text2"/>
              <w:bottom w:val="single" w:sz="6" w:space="0" w:color="1E4496" w:themeColor="text2"/>
            </w:tcBorders>
            <w:tcMar>
              <w:top w:w="96" w:type="dxa"/>
              <w:left w:w="113" w:type="dxa"/>
              <w:bottom w:w="96" w:type="dxa"/>
              <w:right w:w="113" w:type="dxa"/>
            </w:tcMar>
            <w:vAlign w:val="center"/>
          </w:tcPr>
          <w:p w14:paraId="41E82AF9" w14:textId="77777777" w:rsidR="00913226" w:rsidRPr="00913226" w:rsidRDefault="00913226" w:rsidP="00913226">
            <w:pPr>
              <w:pStyle w:val="CDITable-RowCentre"/>
              <w:rPr>
                <w:sz w:val="16"/>
              </w:rPr>
            </w:pPr>
            <w:r w:rsidRPr="00913226">
              <w:rPr>
                <w:sz w:val="16"/>
              </w:rPr>
              <w:t>19</w:t>
            </w:r>
          </w:p>
        </w:tc>
        <w:tc>
          <w:tcPr>
            <w:tcW w:w="79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02C56C86" w14:textId="77777777" w:rsidR="00913226" w:rsidRPr="00913226" w:rsidRDefault="00913226" w:rsidP="00913226">
            <w:pPr>
              <w:pStyle w:val="CDITable-RowCentre"/>
              <w:rPr>
                <w:sz w:val="16"/>
              </w:rPr>
            </w:pPr>
            <w:r w:rsidRPr="00913226">
              <w:rPr>
                <w:sz w:val="16"/>
              </w:rPr>
              <w:t>3</w:t>
            </w:r>
          </w:p>
        </w:tc>
        <w:tc>
          <w:tcPr>
            <w:tcW w:w="79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6AE110E4" w14:textId="77777777" w:rsidR="00913226" w:rsidRPr="00913226" w:rsidRDefault="00913226" w:rsidP="00913226">
            <w:pPr>
              <w:pStyle w:val="CDITable-RowCentre"/>
              <w:rPr>
                <w:sz w:val="16"/>
              </w:rPr>
            </w:pPr>
            <w:r w:rsidRPr="00913226">
              <w:rPr>
                <w:sz w:val="16"/>
              </w:rPr>
              <w:t>15.8</w:t>
            </w:r>
          </w:p>
        </w:tc>
        <w:tc>
          <w:tcPr>
            <w:tcW w:w="119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5751EE38" w14:textId="77777777" w:rsidR="00913226" w:rsidRPr="00913226" w:rsidRDefault="00913226" w:rsidP="00913226">
            <w:pPr>
              <w:pStyle w:val="CDITable-RowCentre"/>
              <w:rPr>
                <w:sz w:val="16"/>
              </w:rPr>
            </w:pPr>
            <w:r w:rsidRPr="00913226">
              <w:rPr>
                <w:sz w:val="16"/>
              </w:rPr>
              <w:t>3.4–39.6</w:t>
            </w:r>
          </w:p>
        </w:tc>
      </w:tr>
      <w:tr w:rsidR="00913226" w:rsidRPr="00913226" w14:paraId="005D9682" w14:textId="77777777" w:rsidTr="00913226">
        <w:trPr>
          <w:trHeight w:val="60"/>
        </w:trPr>
        <w:tc>
          <w:tcPr>
            <w:tcW w:w="2098" w:type="dxa"/>
            <w:vMerge/>
            <w:tcBorders>
              <w:bottom w:val="single" w:sz="6" w:space="0" w:color="1E4496" w:themeColor="text2"/>
            </w:tcBorders>
            <w:shd w:val="clear" w:color="auto" w:fill="DCF4FC" w:themeFill="background2" w:themeFillTint="33"/>
            <w:tcMar>
              <w:top w:w="96" w:type="dxa"/>
              <w:bottom w:w="96" w:type="dxa"/>
            </w:tcMar>
          </w:tcPr>
          <w:p w14:paraId="38EC2B05" w14:textId="77777777" w:rsidR="00913226" w:rsidRPr="00913226" w:rsidRDefault="00913226" w:rsidP="00913226"/>
        </w:tc>
        <w:tc>
          <w:tcPr>
            <w:tcW w:w="153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573B368E" w14:textId="77777777" w:rsidR="00913226" w:rsidRPr="00913226" w:rsidRDefault="00913226" w:rsidP="00913226">
            <w:pPr>
              <w:pStyle w:val="CDITable-RowLeft"/>
              <w:rPr>
                <w:sz w:val="16"/>
              </w:rPr>
            </w:pPr>
            <w:r w:rsidRPr="00913226">
              <w:rPr>
                <w:sz w:val="16"/>
              </w:rPr>
              <w:t>NSW</w:t>
            </w:r>
          </w:p>
        </w:tc>
        <w:tc>
          <w:tcPr>
            <w:tcW w:w="79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15A8DA54" w14:textId="77777777" w:rsidR="00913226" w:rsidRPr="00913226" w:rsidRDefault="00913226" w:rsidP="00913226">
            <w:pPr>
              <w:pStyle w:val="CDITable-RowCentre"/>
              <w:rPr>
                <w:sz w:val="16"/>
              </w:rPr>
            </w:pPr>
            <w:r w:rsidRPr="00913226">
              <w:rPr>
                <w:sz w:val="16"/>
              </w:rPr>
              <w:t>211</w:t>
            </w:r>
          </w:p>
        </w:tc>
        <w:tc>
          <w:tcPr>
            <w:tcW w:w="79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09CC7BD8" w14:textId="77777777" w:rsidR="00913226" w:rsidRPr="00913226" w:rsidRDefault="00913226" w:rsidP="00913226">
            <w:pPr>
              <w:pStyle w:val="CDITable-RowCentre"/>
              <w:rPr>
                <w:sz w:val="16"/>
              </w:rPr>
            </w:pPr>
            <w:r w:rsidRPr="00913226">
              <w:rPr>
                <w:sz w:val="16"/>
              </w:rPr>
              <w:t>22</w:t>
            </w:r>
          </w:p>
        </w:tc>
        <w:tc>
          <w:tcPr>
            <w:tcW w:w="793"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04B7D135" w14:textId="77777777" w:rsidR="00913226" w:rsidRPr="00913226" w:rsidRDefault="00913226" w:rsidP="00913226">
            <w:pPr>
              <w:pStyle w:val="CDITable-RowCentre"/>
              <w:rPr>
                <w:sz w:val="16"/>
              </w:rPr>
            </w:pPr>
            <w:r w:rsidRPr="00913226">
              <w:rPr>
                <w:sz w:val="16"/>
              </w:rPr>
              <w:t>10.4</w:t>
            </w:r>
          </w:p>
        </w:tc>
        <w:tc>
          <w:tcPr>
            <w:tcW w:w="1191" w:type="dxa"/>
            <w:tcBorders>
              <w:top w:val="single" w:sz="6" w:space="0" w:color="1E4496" w:themeColor="text2"/>
              <w:bottom w:val="single" w:sz="6" w:space="0" w:color="1E4496" w:themeColor="text2"/>
              <w:right w:val="single" w:sz="6" w:space="0" w:color="1E4496" w:themeColor="text2"/>
            </w:tcBorders>
            <w:tcMar>
              <w:top w:w="96" w:type="dxa"/>
              <w:left w:w="113" w:type="dxa"/>
              <w:bottom w:w="96" w:type="dxa"/>
              <w:right w:w="113" w:type="dxa"/>
            </w:tcMar>
            <w:vAlign w:val="center"/>
          </w:tcPr>
          <w:p w14:paraId="1AE19986" w14:textId="77777777" w:rsidR="00913226" w:rsidRPr="00913226" w:rsidRDefault="00913226" w:rsidP="00913226">
            <w:pPr>
              <w:pStyle w:val="CDITable-RowCentre"/>
              <w:rPr>
                <w:sz w:val="16"/>
              </w:rPr>
            </w:pPr>
            <w:r w:rsidRPr="00913226">
              <w:rPr>
                <w:sz w:val="16"/>
              </w:rPr>
              <w:t>6.7–15.4</w:t>
            </w:r>
          </w:p>
        </w:tc>
        <w:tc>
          <w:tcPr>
            <w:tcW w:w="794" w:type="dxa"/>
            <w:tcBorders>
              <w:top w:val="single" w:sz="6" w:space="0" w:color="1E4496" w:themeColor="text2"/>
              <w:left w:val="single" w:sz="6" w:space="0" w:color="1E4496" w:themeColor="text2"/>
              <w:bottom w:val="single" w:sz="6" w:space="0" w:color="1E4496" w:themeColor="text2"/>
            </w:tcBorders>
            <w:tcMar>
              <w:top w:w="96" w:type="dxa"/>
              <w:left w:w="113" w:type="dxa"/>
              <w:bottom w:w="96" w:type="dxa"/>
              <w:right w:w="113" w:type="dxa"/>
            </w:tcMar>
            <w:vAlign w:val="center"/>
          </w:tcPr>
          <w:p w14:paraId="5BCB7727" w14:textId="77777777" w:rsidR="00913226" w:rsidRPr="00913226" w:rsidRDefault="00913226" w:rsidP="00913226">
            <w:pPr>
              <w:pStyle w:val="CDITable-RowCentre"/>
              <w:rPr>
                <w:sz w:val="16"/>
              </w:rPr>
            </w:pPr>
            <w:r w:rsidRPr="00913226">
              <w:rPr>
                <w:sz w:val="16"/>
              </w:rPr>
              <w:t>211</w:t>
            </w:r>
          </w:p>
        </w:tc>
        <w:tc>
          <w:tcPr>
            <w:tcW w:w="793"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27A70C54" w14:textId="77777777" w:rsidR="00913226" w:rsidRPr="00913226" w:rsidRDefault="00913226" w:rsidP="00913226">
            <w:pPr>
              <w:pStyle w:val="CDITable-RowCentre"/>
              <w:rPr>
                <w:sz w:val="16"/>
              </w:rPr>
            </w:pPr>
            <w:r w:rsidRPr="00913226">
              <w:rPr>
                <w:sz w:val="16"/>
              </w:rPr>
              <w:t>13</w:t>
            </w:r>
          </w:p>
        </w:tc>
        <w:tc>
          <w:tcPr>
            <w:tcW w:w="79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4E90C157" w14:textId="77777777" w:rsidR="00913226" w:rsidRPr="00913226" w:rsidRDefault="00913226" w:rsidP="00913226">
            <w:pPr>
              <w:pStyle w:val="CDITable-RowCentre"/>
              <w:rPr>
                <w:sz w:val="16"/>
              </w:rPr>
            </w:pPr>
            <w:r w:rsidRPr="00913226">
              <w:rPr>
                <w:sz w:val="16"/>
              </w:rPr>
              <w:t>6.2</w:t>
            </w:r>
          </w:p>
        </w:tc>
        <w:tc>
          <w:tcPr>
            <w:tcW w:w="1191" w:type="dxa"/>
            <w:tcBorders>
              <w:top w:val="single" w:sz="6" w:space="0" w:color="1E4496" w:themeColor="text2"/>
              <w:bottom w:val="single" w:sz="6" w:space="0" w:color="1E4496" w:themeColor="text2"/>
              <w:right w:val="single" w:sz="6" w:space="0" w:color="1E4496" w:themeColor="text2"/>
            </w:tcBorders>
            <w:tcMar>
              <w:top w:w="96" w:type="dxa"/>
              <w:left w:w="113" w:type="dxa"/>
              <w:bottom w:w="96" w:type="dxa"/>
              <w:right w:w="113" w:type="dxa"/>
            </w:tcMar>
            <w:vAlign w:val="center"/>
          </w:tcPr>
          <w:p w14:paraId="225603BE" w14:textId="77777777" w:rsidR="00913226" w:rsidRPr="00913226" w:rsidRDefault="00913226" w:rsidP="00913226">
            <w:pPr>
              <w:pStyle w:val="CDITable-RowCentre"/>
              <w:rPr>
                <w:sz w:val="16"/>
              </w:rPr>
            </w:pPr>
            <w:r w:rsidRPr="00913226">
              <w:rPr>
                <w:sz w:val="16"/>
              </w:rPr>
              <w:t>3.3–10.3</w:t>
            </w:r>
          </w:p>
        </w:tc>
        <w:tc>
          <w:tcPr>
            <w:tcW w:w="793" w:type="dxa"/>
            <w:tcBorders>
              <w:top w:val="single" w:sz="6" w:space="0" w:color="1E4496" w:themeColor="text2"/>
              <w:left w:val="single" w:sz="6" w:space="0" w:color="1E4496" w:themeColor="text2"/>
              <w:bottom w:val="single" w:sz="6" w:space="0" w:color="1E4496" w:themeColor="text2"/>
            </w:tcBorders>
            <w:tcMar>
              <w:top w:w="96" w:type="dxa"/>
              <w:left w:w="113" w:type="dxa"/>
              <w:bottom w:w="96" w:type="dxa"/>
              <w:right w:w="113" w:type="dxa"/>
            </w:tcMar>
            <w:vAlign w:val="center"/>
          </w:tcPr>
          <w:p w14:paraId="58DA6165" w14:textId="77777777" w:rsidR="00913226" w:rsidRPr="00913226" w:rsidRDefault="00913226" w:rsidP="00913226">
            <w:pPr>
              <w:pStyle w:val="CDITable-RowCentre"/>
              <w:rPr>
                <w:sz w:val="16"/>
              </w:rPr>
            </w:pPr>
            <w:r w:rsidRPr="00913226">
              <w:rPr>
                <w:sz w:val="16"/>
              </w:rPr>
              <w:t>195</w:t>
            </w:r>
          </w:p>
        </w:tc>
        <w:tc>
          <w:tcPr>
            <w:tcW w:w="79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4CD74392" w14:textId="77777777" w:rsidR="00913226" w:rsidRPr="00913226" w:rsidRDefault="00913226" w:rsidP="00913226">
            <w:pPr>
              <w:pStyle w:val="CDITable-RowCentre"/>
              <w:rPr>
                <w:sz w:val="16"/>
              </w:rPr>
            </w:pPr>
            <w:r w:rsidRPr="00913226">
              <w:rPr>
                <w:sz w:val="16"/>
              </w:rPr>
              <w:t>25</w:t>
            </w:r>
          </w:p>
        </w:tc>
        <w:tc>
          <w:tcPr>
            <w:tcW w:w="79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794816BF" w14:textId="77777777" w:rsidR="00913226" w:rsidRPr="00913226" w:rsidRDefault="00913226" w:rsidP="00913226">
            <w:pPr>
              <w:pStyle w:val="CDITable-RowCentre"/>
              <w:rPr>
                <w:sz w:val="16"/>
              </w:rPr>
            </w:pPr>
            <w:r w:rsidRPr="00913226">
              <w:rPr>
                <w:sz w:val="16"/>
              </w:rPr>
              <w:t>12.8</w:t>
            </w:r>
          </w:p>
        </w:tc>
        <w:tc>
          <w:tcPr>
            <w:tcW w:w="119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5D9D8E01" w14:textId="77777777" w:rsidR="00913226" w:rsidRPr="00913226" w:rsidRDefault="00913226" w:rsidP="00913226">
            <w:pPr>
              <w:pStyle w:val="CDITable-RowCentre"/>
              <w:rPr>
                <w:sz w:val="16"/>
              </w:rPr>
            </w:pPr>
            <w:r w:rsidRPr="00913226">
              <w:rPr>
                <w:sz w:val="16"/>
              </w:rPr>
              <w:t>8.5–18.3</w:t>
            </w:r>
          </w:p>
        </w:tc>
      </w:tr>
      <w:tr w:rsidR="00913226" w:rsidRPr="00913226" w14:paraId="23667F48" w14:textId="77777777" w:rsidTr="00913226">
        <w:trPr>
          <w:trHeight w:val="60"/>
        </w:trPr>
        <w:tc>
          <w:tcPr>
            <w:tcW w:w="2098" w:type="dxa"/>
            <w:vMerge/>
            <w:tcBorders>
              <w:bottom w:val="single" w:sz="6" w:space="0" w:color="1E4496" w:themeColor="text2"/>
            </w:tcBorders>
            <w:shd w:val="clear" w:color="auto" w:fill="DCF4FC" w:themeFill="background2" w:themeFillTint="33"/>
            <w:tcMar>
              <w:top w:w="96" w:type="dxa"/>
              <w:bottom w:w="96" w:type="dxa"/>
            </w:tcMar>
          </w:tcPr>
          <w:p w14:paraId="21639A0C" w14:textId="77777777" w:rsidR="00913226" w:rsidRPr="00913226" w:rsidRDefault="00913226" w:rsidP="00913226"/>
        </w:tc>
        <w:tc>
          <w:tcPr>
            <w:tcW w:w="153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05198745" w14:textId="77777777" w:rsidR="00913226" w:rsidRPr="00913226" w:rsidRDefault="00913226" w:rsidP="00913226">
            <w:pPr>
              <w:pStyle w:val="CDITable-RowLeft"/>
              <w:rPr>
                <w:sz w:val="16"/>
              </w:rPr>
            </w:pPr>
            <w:r w:rsidRPr="00913226">
              <w:rPr>
                <w:sz w:val="16"/>
              </w:rPr>
              <w:t>NT</w:t>
            </w:r>
          </w:p>
        </w:tc>
        <w:tc>
          <w:tcPr>
            <w:tcW w:w="79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3F6719D0" w14:textId="77777777" w:rsidR="00913226" w:rsidRPr="00913226" w:rsidRDefault="00913226" w:rsidP="00913226">
            <w:pPr>
              <w:pStyle w:val="CDITable-RowCentre"/>
              <w:rPr>
                <w:sz w:val="16"/>
              </w:rPr>
            </w:pPr>
            <w:r w:rsidRPr="00913226">
              <w:rPr>
                <w:sz w:val="16"/>
              </w:rPr>
              <w:t>36</w:t>
            </w:r>
          </w:p>
        </w:tc>
        <w:tc>
          <w:tcPr>
            <w:tcW w:w="79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71561FCB" w14:textId="77777777" w:rsidR="00913226" w:rsidRPr="00913226" w:rsidRDefault="00913226" w:rsidP="00913226">
            <w:pPr>
              <w:pStyle w:val="CDITable-RowCentre"/>
              <w:rPr>
                <w:sz w:val="16"/>
              </w:rPr>
            </w:pPr>
            <w:r w:rsidRPr="00913226">
              <w:rPr>
                <w:sz w:val="16"/>
              </w:rPr>
              <w:t>5</w:t>
            </w:r>
          </w:p>
        </w:tc>
        <w:tc>
          <w:tcPr>
            <w:tcW w:w="793"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100EA9C8" w14:textId="77777777" w:rsidR="00913226" w:rsidRPr="00913226" w:rsidRDefault="00913226" w:rsidP="00913226">
            <w:pPr>
              <w:pStyle w:val="CDITable-RowCentre"/>
              <w:rPr>
                <w:sz w:val="16"/>
              </w:rPr>
            </w:pPr>
            <w:r w:rsidRPr="00913226">
              <w:rPr>
                <w:sz w:val="16"/>
              </w:rPr>
              <w:t>13.9</w:t>
            </w:r>
          </w:p>
        </w:tc>
        <w:tc>
          <w:tcPr>
            <w:tcW w:w="1191" w:type="dxa"/>
            <w:tcBorders>
              <w:top w:val="single" w:sz="6" w:space="0" w:color="1E4496" w:themeColor="text2"/>
              <w:bottom w:val="single" w:sz="6" w:space="0" w:color="1E4496" w:themeColor="text2"/>
              <w:right w:val="single" w:sz="6" w:space="0" w:color="1E4496" w:themeColor="text2"/>
            </w:tcBorders>
            <w:tcMar>
              <w:top w:w="96" w:type="dxa"/>
              <w:left w:w="113" w:type="dxa"/>
              <w:bottom w:w="96" w:type="dxa"/>
              <w:right w:w="113" w:type="dxa"/>
            </w:tcMar>
            <w:vAlign w:val="center"/>
          </w:tcPr>
          <w:p w14:paraId="1D941B06" w14:textId="77777777" w:rsidR="00913226" w:rsidRPr="00913226" w:rsidRDefault="00913226" w:rsidP="00913226">
            <w:pPr>
              <w:pStyle w:val="CDITable-RowCentre"/>
              <w:rPr>
                <w:sz w:val="16"/>
              </w:rPr>
            </w:pPr>
            <w:r w:rsidRPr="00913226">
              <w:rPr>
                <w:sz w:val="16"/>
              </w:rPr>
              <w:t>4.7–29.5</w:t>
            </w:r>
          </w:p>
        </w:tc>
        <w:tc>
          <w:tcPr>
            <w:tcW w:w="794" w:type="dxa"/>
            <w:tcBorders>
              <w:top w:val="single" w:sz="6" w:space="0" w:color="1E4496" w:themeColor="text2"/>
              <w:left w:val="single" w:sz="6" w:space="0" w:color="1E4496" w:themeColor="text2"/>
              <w:bottom w:val="single" w:sz="6" w:space="0" w:color="1E4496" w:themeColor="text2"/>
            </w:tcBorders>
            <w:tcMar>
              <w:top w:w="96" w:type="dxa"/>
              <w:left w:w="113" w:type="dxa"/>
              <w:bottom w:w="96" w:type="dxa"/>
              <w:right w:w="113" w:type="dxa"/>
            </w:tcMar>
            <w:vAlign w:val="center"/>
          </w:tcPr>
          <w:p w14:paraId="55DD85F4" w14:textId="77777777" w:rsidR="00913226" w:rsidRPr="00913226" w:rsidRDefault="00913226" w:rsidP="00913226">
            <w:pPr>
              <w:pStyle w:val="CDITable-RowCentre"/>
              <w:rPr>
                <w:sz w:val="16"/>
              </w:rPr>
            </w:pPr>
            <w:r w:rsidRPr="00913226">
              <w:rPr>
                <w:sz w:val="16"/>
              </w:rPr>
              <w:t>36</w:t>
            </w:r>
          </w:p>
        </w:tc>
        <w:tc>
          <w:tcPr>
            <w:tcW w:w="793"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2E68B423" w14:textId="77777777" w:rsidR="00913226" w:rsidRPr="00913226" w:rsidRDefault="00913226" w:rsidP="00913226">
            <w:pPr>
              <w:pStyle w:val="CDITable-RowCentre"/>
              <w:rPr>
                <w:sz w:val="16"/>
              </w:rPr>
            </w:pPr>
            <w:r w:rsidRPr="00913226">
              <w:rPr>
                <w:sz w:val="16"/>
              </w:rPr>
              <w:t>3</w:t>
            </w:r>
          </w:p>
        </w:tc>
        <w:tc>
          <w:tcPr>
            <w:tcW w:w="79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01D37C09" w14:textId="77777777" w:rsidR="00913226" w:rsidRPr="00913226" w:rsidRDefault="00913226" w:rsidP="00913226">
            <w:pPr>
              <w:pStyle w:val="CDITable-RowCentre"/>
              <w:rPr>
                <w:sz w:val="16"/>
              </w:rPr>
            </w:pPr>
            <w:r w:rsidRPr="00913226">
              <w:rPr>
                <w:sz w:val="16"/>
              </w:rPr>
              <w:t>8.3</w:t>
            </w:r>
          </w:p>
        </w:tc>
        <w:tc>
          <w:tcPr>
            <w:tcW w:w="1191" w:type="dxa"/>
            <w:tcBorders>
              <w:top w:val="single" w:sz="6" w:space="0" w:color="1E4496" w:themeColor="text2"/>
              <w:bottom w:val="single" w:sz="6" w:space="0" w:color="1E4496" w:themeColor="text2"/>
              <w:right w:val="single" w:sz="6" w:space="0" w:color="1E4496" w:themeColor="text2"/>
            </w:tcBorders>
            <w:tcMar>
              <w:top w:w="96" w:type="dxa"/>
              <w:left w:w="113" w:type="dxa"/>
              <w:bottom w:w="96" w:type="dxa"/>
              <w:right w:w="113" w:type="dxa"/>
            </w:tcMar>
            <w:vAlign w:val="center"/>
          </w:tcPr>
          <w:p w14:paraId="294A062A" w14:textId="77777777" w:rsidR="00913226" w:rsidRPr="00913226" w:rsidRDefault="00913226" w:rsidP="00913226">
            <w:pPr>
              <w:pStyle w:val="CDITable-RowCentre"/>
              <w:rPr>
                <w:sz w:val="16"/>
              </w:rPr>
            </w:pPr>
            <w:r w:rsidRPr="00913226">
              <w:rPr>
                <w:sz w:val="16"/>
              </w:rPr>
              <w:t>1.8–22.5</w:t>
            </w:r>
          </w:p>
        </w:tc>
        <w:tc>
          <w:tcPr>
            <w:tcW w:w="793" w:type="dxa"/>
            <w:tcBorders>
              <w:top w:val="single" w:sz="6" w:space="0" w:color="1E4496" w:themeColor="text2"/>
              <w:left w:val="single" w:sz="6" w:space="0" w:color="1E4496" w:themeColor="text2"/>
              <w:bottom w:val="single" w:sz="6" w:space="0" w:color="1E4496" w:themeColor="text2"/>
            </w:tcBorders>
            <w:tcMar>
              <w:top w:w="96" w:type="dxa"/>
              <w:left w:w="113" w:type="dxa"/>
              <w:bottom w:w="96" w:type="dxa"/>
              <w:right w:w="113" w:type="dxa"/>
            </w:tcMar>
            <w:vAlign w:val="center"/>
          </w:tcPr>
          <w:p w14:paraId="17DB4923" w14:textId="77777777" w:rsidR="00913226" w:rsidRPr="00913226" w:rsidRDefault="00913226" w:rsidP="00913226">
            <w:pPr>
              <w:pStyle w:val="CDITable-RowCentre"/>
              <w:rPr>
                <w:sz w:val="16"/>
              </w:rPr>
            </w:pPr>
            <w:r w:rsidRPr="00913226">
              <w:rPr>
                <w:sz w:val="16"/>
              </w:rPr>
              <w:t>36</w:t>
            </w:r>
          </w:p>
        </w:tc>
        <w:tc>
          <w:tcPr>
            <w:tcW w:w="79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52917FF5" w14:textId="77777777" w:rsidR="00913226" w:rsidRPr="00913226" w:rsidRDefault="00913226" w:rsidP="00913226">
            <w:pPr>
              <w:pStyle w:val="CDITable-RowCentre"/>
              <w:rPr>
                <w:sz w:val="16"/>
              </w:rPr>
            </w:pPr>
            <w:r w:rsidRPr="00913226">
              <w:rPr>
                <w:sz w:val="16"/>
              </w:rPr>
              <w:t>5</w:t>
            </w:r>
          </w:p>
        </w:tc>
        <w:tc>
          <w:tcPr>
            <w:tcW w:w="79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32E6B558" w14:textId="77777777" w:rsidR="00913226" w:rsidRPr="00913226" w:rsidRDefault="00913226" w:rsidP="00913226">
            <w:pPr>
              <w:pStyle w:val="CDITable-RowCentre"/>
              <w:rPr>
                <w:sz w:val="16"/>
              </w:rPr>
            </w:pPr>
            <w:r w:rsidRPr="00913226">
              <w:rPr>
                <w:sz w:val="16"/>
              </w:rPr>
              <w:t>13.9</w:t>
            </w:r>
          </w:p>
        </w:tc>
        <w:tc>
          <w:tcPr>
            <w:tcW w:w="119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57C7B48E" w14:textId="77777777" w:rsidR="00913226" w:rsidRPr="00913226" w:rsidRDefault="00913226" w:rsidP="00913226">
            <w:pPr>
              <w:pStyle w:val="CDITable-RowCentre"/>
              <w:rPr>
                <w:sz w:val="16"/>
              </w:rPr>
            </w:pPr>
            <w:r w:rsidRPr="00913226">
              <w:rPr>
                <w:sz w:val="16"/>
              </w:rPr>
              <w:t>4.7–29.5</w:t>
            </w:r>
          </w:p>
        </w:tc>
      </w:tr>
      <w:tr w:rsidR="00913226" w:rsidRPr="00913226" w14:paraId="55CE2549" w14:textId="77777777" w:rsidTr="00913226">
        <w:trPr>
          <w:trHeight w:val="60"/>
        </w:trPr>
        <w:tc>
          <w:tcPr>
            <w:tcW w:w="2098" w:type="dxa"/>
            <w:vMerge/>
            <w:tcBorders>
              <w:bottom w:val="single" w:sz="6" w:space="0" w:color="1E4496" w:themeColor="text2"/>
            </w:tcBorders>
            <w:shd w:val="clear" w:color="auto" w:fill="DCF4FC" w:themeFill="background2" w:themeFillTint="33"/>
            <w:tcMar>
              <w:top w:w="96" w:type="dxa"/>
              <w:bottom w:w="96" w:type="dxa"/>
            </w:tcMar>
          </w:tcPr>
          <w:p w14:paraId="2E2DC2E0" w14:textId="77777777" w:rsidR="00913226" w:rsidRPr="00913226" w:rsidRDefault="00913226" w:rsidP="00913226"/>
        </w:tc>
        <w:tc>
          <w:tcPr>
            <w:tcW w:w="153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2C99DD6C" w14:textId="77777777" w:rsidR="00913226" w:rsidRPr="00913226" w:rsidRDefault="00913226" w:rsidP="00913226">
            <w:pPr>
              <w:pStyle w:val="CDITable-RowLeft"/>
              <w:rPr>
                <w:sz w:val="16"/>
              </w:rPr>
            </w:pPr>
            <w:r w:rsidRPr="00913226">
              <w:rPr>
                <w:sz w:val="16"/>
              </w:rPr>
              <w:t>Qld</w:t>
            </w:r>
          </w:p>
        </w:tc>
        <w:tc>
          <w:tcPr>
            <w:tcW w:w="79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25D04E1B" w14:textId="77777777" w:rsidR="00913226" w:rsidRPr="00913226" w:rsidRDefault="00913226" w:rsidP="00913226">
            <w:pPr>
              <w:pStyle w:val="CDITable-RowCentre"/>
              <w:rPr>
                <w:sz w:val="16"/>
              </w:rPr>
            </w:pPr>
            <w:r w:rsidRPr="00913226">
              <w:rPr>
                <w:sz w:val="16"/>
              </w:rPr>
              <w:t>70</w:t>
            </w:r>
          </w:p>
        </w:tc>
        <w:tc>
          <w:tcPr>
            <w:tcW w:w="79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43511B6E" w14:textId="77777777" w:rsidR="00913226" w:rsidRPr="00913226" w:rsidRDefault="00913226" w:rsidP="00913226">
            <w:pPr>
              <w:pStyle w:val="CDITable-RowCentre"/>
              <w:rPr>
                <w:sz w:val="16"/>
              </w:rPr>
            </w:pPr>
            <w:r w:rsidRPr="00913226">
              <w:rPr>
                <w:sz w:val="16"/>
              </w:rPr>
              <w:t>9</w:t>
            </w:r>
          </w:p>
        </w:tc>
        <w:tc>
          <w:tcPr>
            <w:tcW w:w="793"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19961897" w14:textId="77777777" w:rsidR="00913226" w:rsidRPr="00913226" w:rsidRDefault="00913226" w:rsidP="00913226">
            <w:pPr>
              <w:pStyle w:val="CDITable-RowCentre"/>
              <w:rPr>
                <w:sz w:val="16"/>
              </w:rPr>
            </w:pPr>
            <w:r w:rsidRPr="00913226">
              <w:rPr>
                <w:sz w:val="16"/>
              </w:rPr>
              <w:t>12.9</w:t>
            </w:r>
          </w:p>
        </w:tc>
        <w:tc>
          <w:tcPr>
            <w:tcW w:w="1191" w:type="dxa"/>
            <w:tcBorders>
              <w:top w:val="single" w:sz="6" w:space="0" w:color="1E4496" w:themeColor="text2"/>
              <w:bottom w:val="single" w:sz="6" w:space="0" w:color="1E4496" w:themeColor="text2"/>
              <w:right w:val="single" w:sz="6" w:space="0" w:color="1E4496" w:themeColor="text2"/>
            </w:tcBorders>
            <w:tcMar>
              <w:top w:w="96" w:type="dxa"/>
              <w:left w:w="113" w:type="dxa"/>
              <w:bottom w:w="96" w:type="dxa"/>
              <w:right w:w="113" w:type="dxa"/>
            </w:tcMar>
            <w:vAlign w:val="center"/>
          </w:tcPr>
          <w:p w14:paraId="2E3A133A" w14:textId="77777777" w:rsidR="00913226" w:rsidRPr="00913226" w:rsidRDefault="00913226" w:rsidP="00913226">
            <w:pPr>
              <w:pStyle w:val="CDITable-RowCentre"/>
              <w:rPr>
                <w:sz w:val="16"/>
              </w:rPr>
            </w:pPr>
            <w:r w:rsidRPr="00913226">
              <w:rPr>
                <w:sz w:val="16"/>
              </w:rPr>
              <w:t>6.1–23</w:t>
            </w:r>
          </w:p>
        </w:tc>
        <w:tc>
          <w:tcPr>
            <w:tcW w:w="794" w:type="dxa"/>
            <w:tcBorders>
              <w:top w:val="single" w:sz="6" w:space="0" w:color="1E4496" w:themeColor="text2"/>
              <w:left w:val="single" w:sz="6" w:space="0" w:color="1E4496" w:themeColor="text2"/>
              <w:bottom w:val="single" w:sz="6" w:space="0" w:color="1E4496" w:themeColor="text2"/>
            </w:tcBorders>
            <w:tcMar>
              <w:top w:w="96" w:type="dxa"/>
              <w:left w:w="113" w:type="dxa"/>
              <w:bottom w:w="96" w:type="dxa"/>
              <w:right w:w="113" w:type="dxa"/>
            </w:tcMar>
            <w:vAlign w:val="center"/>
          </w:tcPr>
          <w:p w14:paraId="05005EA8" w14:textId="77777777" w:rsidR="00913226" w:rsidRPr="00913226" w:rsidRDefault="00913226" w:rsidP="00913226">
            <w:pPr>
              <w:pStyle w:val="CDITable-RowCentre"/>
              <w:rPr>
                <w:sz w:val="16"/>
              </w:rPr>
            </w:pPr>
            <w:r w:rsidRPr="00913226">
              <w:rPr>
                <w:sz w:val="16"/>
              </w:rPr>
              <w:t>70</w:t>
            </w:r>
          </w:p>
        </w:tc>
        <w:tc>
          <w:tcPr>
            <w:tcW w:w="793"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7A3C0A8D" w14:textId="77777777" w:rsidR="00913226" w:rsidRPr="00913226" w:rsidRDefault="00913226" w:rsidP="00913226">
            <w:pPr>
              <w:pStyle w:val="CDITable-RowCentre"/>
              <w:rPr>
                <w:sz w:val="16"/>
              </w:rPr>
            </w:pPr>
            <w:r w:rsidRPr="00913226">
              <w:rPr>
                <w:sz w:val="16"/>
              </w:rPr>
              <w:t>1</w:t>
            </w:r>
          </w:p>
        </w:tc>
        <w:tc>
          <w:tcPr>
            <w:tcW w:w="79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6C6DB3EA" w14:textId="77777777" w:rsidR="00913226" w:rsidRPr="00913226" w:rsidRDefault="00913226" w:rsidP="00913226">
            <w:pPr>
              <w:pStyle w:val="CDITable-RowCentre"/>
              <w:rPr>
                <w:sz w:val="16"/>
              </w:rPr>
            </w:pPr>
            <w:r w:rsidRPr="00913226">
              <w:rPr>
                <w:sz w:val="16"/>
              </w:rPr>
              <w:t>1.4</w:t>
            </w:r>
          </w:p>
        </w:tc>
        <w:tc>
          <w:tcPr>
            <w:tcW w:w="1191" w:type="dxa"/>
            <w:tcBorders>
              <w:top w:val="single" w:sz="6" w:space="0" w:color="1E4496" w:themeColor="text2"/>
              <w:bottom w:val="single" w:sz="6" w:space="0" w:color="1E4496" w:themeColor="text2"/>
              <w:right w:val="single" w:sz="6" w:space="0" w:color="1E4496" w:themeColor="text2"/>
            </w:tcBorders>
            <w:tcMar>
              <w:top w:w="96" w:type="dxa"/>
              <w:left w:w="113" w:type="dxa"/>
              <w:bottom w:w="96" w:type="dxa"/>
              <w:right w:w="113" w:type="dxa"/>
            </w:tcMar>
            <w:vAlign w:val="center"/>
          </w:tcPr>
          <w:p w14:paraId="479BF90A" w14:textId="77777777" w:rsidR="00913226" w:rsidRPr="00913226" w:rsidRDefault="00913226" w:rsidP="00913226">
            <w:pPr>
              <w:pStyle w:val="CDITable-RowCentre"/>
              <w:rPr>
                <w:sz w:val="16"/>
              </w:rPr>
            </w:pPr>
            <w:r w:rsidRPr="00913226">
              <w:rPr>
                <w:sz w:val="16"/>
              </w:rPr>
              <w:t>0.0–7.7</w:t>
            </w:r>
          </w:p>
        </w:tc>
        <w:tc>
          <w:tcPr>
            <w:tcW w:w="793" w:type="dxa"/>
            <w:tcBorders>
              <w:top w:val="single" w:sz="6" w:space="0" w:color="1E4496" w:themeColor="text2"/>
              <w:left w:val="single" w:sz="6" w:space="0" w:color="1E4496" w:themeColor="text2"/>
              <w:bottom w:val="single" w:sz="6" w:space="0" w:color="1E4496" w:themeColor="text2"/>
            </w:tcBorders>
            <w:tcMar>
              <w:top w:w="96" w:type="dxa"/>
              <w:left w:w="113" w:type="dxa"/>
              <w:bottom w:w="96" w:type="dxa"/>
              <w:right w:w="113" w:type="dxa"/>
            </w:tcMar>
            <w:vAlign w:val="center"/>
          </w:tcPr>
          <w:p w14:paraId="45ADD72A" w14:textId="77777777" w:rsidR="00913226" w:rsidRPr="00913226" w:rsidRDefault="00913226" w:rsidP="00913226">
            <w:pPr>
              <w:pStyle w:val="CDITable-RowCentre"/>
              <w:rPr>
                <w:sz w:val="16"/>
              </w:rPr>
            </w:pPr>
            <w:r w:rsidRPr="00913226">
              <w:rPr>
                <w:sz w:val="16"/>
              </w:rPr>
              <w:t>70</w:t>
            </w:r>
          </w:p>
        </w:tc>
        <w:tc>
          <w:tcPr>
            <w:tcW w:w="79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39243AA1" w14:textId="77777777" w:rsidR="00913226" w:rsidRPr="00913226" w:rsidRDefault="00913226" w:rsidP="00913226">
            <w:pPr>
              <w:pStyle w:val="CDITable-RowCentre"/>
              <w:rPr>
                <w:sz w:val="16"/>
              </w:rPr>
            </w:pPr>
            <w:r w:rsidRPr="00913226">
              <w:rPr>
                <w:sz w:val="16"/>
              </w:rPr>
              <w:t>9</w:t>
            </w:r>
          </w:p>
        </w:tc>
        <w:tc>
          <w:tcPr>
            <w:tcW w:w="79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3DE9FA32" w14:textId="77777777" w:rsidR="00913226" w:rsidRPr="00913226" w:rsidRDefault="00913226" w:rsidP="00913226">
            <w:pPr>
              <w:pStyle w:val="CDITable-RowCentre"/>
              <w:rPr>
                <w:sz w:val="16"/>
              </w:rPr>
            </w:pPr>
            <w:r w:rsidRPr="00913226">
              <w:rPr>
                <w:sz w:val="16"/>
              </w:rPr>
              <w:t>12.9</w:t>
            </w:r>
          </w:p>
        </w:tc>
        <w:tc>
          <w:tcPr>
            <w:tcW w:w="119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5430237C" w14:textId="77777777" w:rsidR="00913226" w:rsidRPr="00913226" w:rsidRDefault="00913226" w:rsidP="00913226">
            <w:pPr>
              <w:pStyle w:val="CDITable-RowCentre"/>
              <w:rPr>
                <w:sz w:val="16"/>
              </w:rPr>
            </w:pPr>
            <w:r w:rsidRPr="00913226">
              <w:rPr>
                <w:sz w:val="16"/>
              </w:rPr>
              <w:t>6.1–23.0</w:t>
            </w:r>
          </w:p>
        </w:tc>
      </w:tr>
      <w:tr w:rsidR="00913226" w:rsidRPr="00913226" w14:paraId="61CFFA4F" w14:textId="77777777" w:rsidTr="00913226">
        <w:trPr>
          <w:trHeight w:val="60"/>
        </w:trPr>
        <w:tc>
          <w:tcPr>
            <w:tcW w:w="2098" w:type="dxa"/>
            <w:vMerge/>
            <w:tcBorders>
              <w:bottom w:val="single" w:sz="6" w:space="0" w:color="1E4496" w:themeColor="text2"/>
            </w:tcBorders>
            <w:shd w:val="clear" w:color="auto" w:fill="DCF4FC" w:themeFill="background2" w:themeFillTint="33"/>
            <w:tcMar>
              <w:top w:w="96" w:type="dxa"/>
              <w:bottom w:w="96" w:type="dxa"/>
            </w:tcMar>
          </w:tcPr>
          <w:p w14:paraId="6079482B" w14:textId="77777777" w:rsidR="00913226" w:rsidRPr="00913226" w:rsidRDefault="00913226" w:rsidP="00913226"/>
        </w:tc>
        <w:tc>
          <w:tcPr>
            <w:tcW w:w="153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27D293FB" w14:textId="77777777" w:rsidR="00913226" w:rsidRPr="00913226" w:rsidRDefault="00913226" w:rsidP="00913226">
            <w:pPr>
              <w:pStyle w:val="CDITable-RowLeft"/>
              <w:rPr>
                <w:sz w:val="16"/>
              </w:rPr>
            </w:pPr>
            <w:r w:rsidRPr="00913226">
              <w:rPr>
                <w:sz w:val="16"/>
              </w:rPr>
              <w:t>SA</w:t>
            </w:r>
          </w:p>
        </w:tc>
        <w:tc>
          <w:tcPr>
            <w:tcW w:w="79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5483CF69" w14:textId="77777777" w:rsidR="00913226" w:rsidRPr="00913226" w:rsidRDefault="00913226" w:rsidP="00913226">
            <w:pPr>
              <w:pStyle w:val="CDITable-RowCentre"/>
              <w:rPr>
                <w:sz w:val="16"/>
              </w:rPr>
            </w:pPr>
            <w:r w:rsidRPr="00913226">
              <w:rPr>
                <w:sz w:val="16"/>
              </w:rPr>
              <w:t>39</w:t>
            </w:r>
          </w:p>
        </w:tc>
        <w:tc>
          <w:tcPr>
            <w:tcW w:w="79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5FB8D712" w14:textId="77777777" w:rsidR="00913226" w:rsidRPr="00913226" w:rsidRDefault="00913226" w:rsidP="00913226">
            <w:pPr>
              <w:pStyle w:val="CDITable-RowCentre"/>
              <w:rPr>
                <w:sz w:val="16"/>
              </w:rPr>
            </w:pPr>
            <w:r w:rsidRPr="00913226">
              <w:rPr>
                <w:sz w:val="16"/>
              </w:rPr>
              <w:t>1</w:t>
            </w:r>
          </w:p>
        </w:tc>
        <w:tc>
          <w:tcPr>
            <w:tcW w:w="793"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511FA4E8" w14:textId="77777777" w:rsidR="00913226" w:rsidRPr="00913226" w:rsidRDefault="00913226" w:rsidP="00913226">
            <w:pPr>
              <w:pStyle w:val="CDITable-RowCentre"/>
              <w:rPr>
                <w:sz w:val="16"/>
              </w:rPr>
            </w:pPr>
            <w:r w:rsidRPr="00913226">
              <w:rPr>
                <w:sz w:val="16"/>
              </w:rPr>
              <w:t>2.6</w:t>
            </w:r>
          </w:p>
        </w:tc>
        <w:tc>
          <w:tcPr>
            <w:tcW w:w="1191" w:type="dxa"/>
            <w:tcBorders>
              <w:top w:val="single" w:sz="6" w:space="0" w:color="1E4496" w:themeColor="text2"/>
              <w:bottom w:val="single" w:sz="6" w:space="0" w:color="1E4496" w:themeColor="text2"/>
              <w:right w:val="single" w:sz="6" w:space="0" w:color="1E4496" w:themeColor="text2"/>
            </w:tcBorders>
            <w:tcMar>
              <w:top w:w="96" w:type="dxa"/>
              <w:left w:w="113" w:type="dxa"/>
              <w:bottom w:w="96" w:type="dxa"/>
              <w:right w:w="113" w:type="dxa"/>
            </w:tcMar>
            <w:vAlign w:val="center"/>
          </w:tcPr>
          <w:p w14:paraId="46062A2E" w14:textId="77777777" w:rsidR="00913226" w:rsidRPr="00913226" w:rsidRDefault="00913226" w:rsidP="00913226">
            <w:pPr>
              <w:pStyle w:val="CDITable-RowCentre"/>
              <w:rPr>
                <w:sz w:val="16"/>
              </w:rPr>
            </w:pPr>
            <w:r w:rsidRPr="00913226">
              <w:rPr>
                <w:sz w:val="16"/>
              </w:rPr>
              <w:t>0.1–13.5</w:t>
            </w:r>
          </w:p>
        </w:tc>
        <w:tc>
          <w:tcPr>
            <w:tcW w:w="794" w:type="dxa"/>
            <w:tcBorders>
              <w:top w:val="single" w:sz="6" w:space="0" w:color="1E4496" w:themeColor="text2"/>
              <w:left w:val="single" w:sz="6" w:space="0" w:color="1E4496" w:themeColor="text2"/>
              <w:bottom w:val="single" w:sz="6" w:space="0" w:color="1E4496" w:themeColor="text2"/>
            </w:tcBorders>
            <w:tcMar>
              <w:top w:w="96" w:type="dxa"/>
              <w:left w:w="113" w:type="dxa"/>
              <w:bottom w:w="96" w:type="dxa"/>
              <w:right w:w="113" w:type="dxa"/>
            </w:tcMar>
            <w:vAlign w:val="center"/>
          </w:tcPr>
          <w:p w14:paraId="758CEEA4" w14:textId="77777777" w:rsidR="00913226" w:rsidRPr="00913226" w:rsidRDefault="00913226" w:rsidP="00913226">
            <w:pPr>
              <w:pStyle w:val="CDITable-RowCentre"/>
              <w:rPr>
                <w:sz w:val="16"/>
              </w:rPr>
            </w:pPr>
            <w:r w:rsidRPr="00913226">
              <w:rPr>
                <w:sz w:val="16"/>
              </w:rPr>
              <w:t>39</w:t>
            </w:r>
          </w:p>
        </w:tc>
        <w:tc>
          <w:tcPr>
            <w:tcW w:w="793"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3AABF1CE" w14:textId="77777777" w:rsidR="00913226" w:rsidRPr="00913226" w:rsidRDefault="00913226" w:rsidP="00913226">
            <w:pPr>
              <w:pStyle w:val="CDITable-RowCentre"/>
              <w:rPr>
                <w:sz w:val="16"/>
              </w:rPr>
            </w:pPr>
            <w:r w:rsidRPr="00913226">
              <w:rPr>
                <w:sz w:val="16"/>
              </w:rPr>
              <w:t>1</w:t>
            </w:r>
          </w:p>
        </w:tc>
        <w:tc>
          <w:tcPr>
            <w:tcW w:w="79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716838C9" w14:textId="77777777" w:rsidR="00913226" w:rsidRPr="00913226" w:rsidRDefault="00913226" w:rsidP="00913226">
            <w:pPr>
              <w:pStyle w:val="CDITable-RowCentre"/>
              <w:rPr>
                <w:sz w:val="16"/>
              </w:rPr>
            </w:pPr>
            <w:r w:rsidRPr="00913226">
              <w:rPr>
                <w:sz w:val="16"/>
              </w:rPr>
              <w:t>2.6</w:t>
            </w:r>
          </w:p>
        </w:tc>
        <w:tc>
          <w:tcPr>
            <w:tcW w:w="1191" w:type="dxa"/>
            <w:tcBorders>
              <w:top w:val="single" w:sz="6" w:space="0" w:color="1E4496" w:themeColor="text2"/>
              <w:bottom w:val="single" w:sz="6" w:space="0" w:color="1E4496" w:themeColor="text2"/>
              <w:right w:val="single" w:sz="6" w:space="0" w:color="1E4496" w:themeColor="text2"/>
            </w:tcBorders>
            <w:tcMar>
              <w:top w:w="96" w:type="dxa"/>
              <w:left w:w="113" w:type="dxa"/>
              <w:bottom w:w="96" w:type="dxa"/>
              <w:right w:w="113" w:type="dxa"/>
            </w:tcMar>
            <w:vAlign w:val="center"/>
          </w:tcPr>
          <w:p w14:paraId="465765C3" w14:textId="77777777" w:rsidR="00913226" w:rsidRPr="00913226" w:rsidRDefault="00913226" w:rsidP="00913226">
            <w:pPr>
              <w:pStyle w:val="CDITable-RowCentre"/>
              <w:rPr>
                <w:sz w:val="16"/>
              </w:rPr>
            </w:pPr>
            <w:r w:rsidRPr="00913226">
              <w:rPr>
                <w:sz w:val="16"/>
              </w:rPr>
              <w:t>0.1–13.5</w:t>
            </w:r>
          </w:p>
        </w:tc>
        <w:tc>
          <w:tcPr>
            <w:tcW w:w="793" w:type="dxa"/>
            <w:tcBorders>
              <w:top w:val="single" w:sz="6" w:space="0" w:color="1E4496" w:themeColor="text2"/>
              <w:left w:val="single" w:sz="6" w:space="0" w:color="1E4496" w:themeColor="text2"/>
              <w:bottom w:val="single" w:sz="6" w:space="0" w:color="1E4496" w:themeColor="text2"/>
            </w:tcBorders>
            <w:tcMar>
              <w:top w:w="96" w:type="dxa"/>
              <w:left w:w="113" w:type="dxa"/>
              <w:bottom w:w="96" w:type="dxa"/>
              <w:right w:w="113" w:type="dxa"/>
            </w:tcMar>
            <w:vAlign w:val="center"/>
          </w:tcPr>
          <w:p w14:paraId="21E7D5AA" w14:textId="77777777" w:rsidR="00913226" w:rsidRPr="00913226" w:rsidRDefault="00913226" w:rsidP="00913226">
            <w:pPr>
              <w:pStyle w:val="CDITable-RowCentre"/>
              <w:rPr>
                <w:sz w:val="16"/>
              </w:rPr>
            </w:pPr>
            <w:r w:rsidRPr="00913226">
              <w:rPr>
                <w:sz w:val="16"/>
              </w:rPr>
              <w:t>39</w:t>
            </w:r>
          </w:p>
        </w:tc>
        <w:tc>
          <w:tcPr>
            <w:tcW w:w="79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55FC9CD8" w14:textId="77777777" w:rsidR="00913226" w:rsidRPr="00913226" w:rsidRDefault="00913226" w:rsidP="00913226">
            <w:pPr>
              <w:pStyle w:val="CDITable-RowCentre"/>
              <w:rPr>
                <w:sz w:val="16"/>
              </w:rPr>
            </w:pPr>
            <w:r w:rsidRPr="00913226">
              <w:rPr>
                <w:sz w:val="16"/>
              </w:rPr>
              <w:t>12</w:t>
            </w:r>
          </w:p>
        </w:tc>
        <w:tc>
          <w:tcPr>
            <w:tcW w:w="79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5719EC40" w14:textId="77777777" w:rsidR="00913226" w:rsidRPr="00913226" w:rsidRDefault="00913226" w:rsidP="00913226">
            <w:pPr>
              <w:pStyle w:val="CDITable-RowCentre"/>
              <w:rPr>
                <w:sz w:val="16"/>
              </w:rPr>
            </w:pPr>
            <w:r w:rsidRPr="00913226">
              <w:rPr>
                <w:sz w:val="16"/>
              </w:rPr>
              <w:t>30.8</w:t>
            </w:r>
          </w:p>
        </w:tc>
        <w:tc>
          <w:tcPr>
            <w:tcW w:w="119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18892EAA" w14:textId="77777777" w:rsidR="00913226" w:rsidRPr="00913226" w:rsidRDefault="00913226" w:rsidP="00913226">
            <w:pPr>
              <w:pStyle w:val="CDITable-RowCentre"/>
              <w:rPr>
                <w:sz w:val="16"/>
              </w:rPr>
            </w:pPr>
            <w:r w:rsidRPr="00913226">
              <w:rPr>
                <w:sz w:val="16"/>
              </w:rPr>
              <w:t>17.0–47.6</w:t>
            </w:r>
          </w:p>
        </w:tc>
      </w:tr>
      <w:tr w:rsidR="00913226" w:rsidRPr="00913226" w14:paraId="4DCBB1AE" w14:textId="77777777" w:rsidTr="00913226">
        <w:trPr>
          <w:trHeight w:val="60"/>
        </w:trPr>
        <w:tc>
          <w:tcPr>
            <w:tcW w:w="2098" w:type="dxa"/>
            <w:vMerge/>
            <w:tcBorders>
              <w:bottom w:val="single" w:sz="6" w:space="0" w:color="1E4496" w:themeColor="text2"/>
            </w:tcBorders>
            <w:shd w:val="clear" w:color="auto" w:fill="DCF4FC" w:themeFill="background2" w:themeFillTint="33"/>
            <w:tcMar>
              <w:top w:w="96" w:type="dxa"/>
              <w:bottom w:w="96" w:type="dxa"/>
            </w:tcMar>
          </w:tcPr>
          <w:p w14:paraId="02C29EA4" w14:textId="77777777" w:rsidR="00913226" w:rsidRPr="00913226" w:rsidRDefault="00913226" w:rsidP="00913226"/>
        </w:tc>
        <w:tc>
          <w:tcPr>
            <w:tcW w:w="153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7F4CA94E" w14:textId="77777777" w:rsidR="00913226" w:rsidRPr="00913226" w:rsidRDefault="00913226" w:rsidP="00913226">
            <w:pPr>
              <w:pStyle w:val="CDITable-RowLeft"/>
              <w:rPr>
                <w:sz w:val="16"/>
              </w:rPr>
            </w:pPr>
            <w:r w:rsidRPr="00913226">
              <w:rPr>
                <w:sz w:val="16"/>
              </w:rPr>
              <w:t>Tas.</w:t>
            </w:r>
          </w:p>
        </w:tc>
        <w:tc>
          <w:tcPr>
            <w:tcW w:w="79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3B080A3A" w14:textId="77777777" w:rsidR="00913226" w:rsidRPr="00913226" w:rsidRDefault="00913226" w:rsidP="00913226">
            <w:pPr>
              <w:pStyle w:val="CDITable-RowCentre"/>
              <w:rPr>
                <w:sz w:val="16"/>
              </w:rPr>
            </w:pPr>
            <w:r w:rsidRPr="00913226">
              <w:rPr>
                <w:sz w:val="16"/>
              </w:rPr>
              <w:t>16</w:t>
            </w:r>
          </w:p>
        </w:tc>
        <w:tc>
          <w:tcPr>
            <w:tcW w:w="79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3E7D2B69" w14:textId="77777777" w:rsidR="00913226" w:rsidRPr="00913226" w:rsidRDefault="00913226" w:rsidP="00913226">
            <w:pPr>
              <w:pStyle w:val="CDITable-RowCentre"/>
              <w:rPr>
                <w:sz w:val="16"/>
              </w:rPr>
            </w:pPr>
            <w:r w:rsidRPr="00913226">
              <w:rPr>
                <w:sz w:val="16"/>
              </w:rPr>
              <w:t>2</w:t>
            </w:r>
          </w:p>
        </w:tc>
        <w:tc>
          <w:tcPr>
            <w:tcW w:w="793"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62F73AE7" w14:textId="77777777" w:rsidR="00913226" w:rsidRPr="00913226" w:rsidRDefault="00913226" w:rsidP="00913226">
            <w:pPr>
              <w:pStyle w:val="CDITable-RowCentre"/>
              <w:rPr>
                <w:sz w:val="16"/>
              </w:rPr>
            </w:pPr>
            <w:r w:rsidRPr="00913226">
              <w:rPr>
                <w:sz w:val="16"/>
              </w:rPr>
              <w:t>12.5</w:t>
            </w:r>
          </w:p>
        </w:tc>
        <w:tc>
          <w:tcPr>
            <w:tcW w:w="1191" w:type="dxa"/>
            <w:tcBorders>
              <w:top w:val="single" w:sz="6" w:space="0" w:color="1E4496" w:themeColor="text2"/>
              <w:bottom w:val="single" w:sz="6" w:space="0" w:color="1E4496" w:themeColor="text2"/>
              <w:right w:val="single" w:sz="6" w:space="0" w:color="1E4496" w:themeColor="text2"/>
            </w:tcBorders>
            <w:tcMar>
              <w:top w:w="96" w:type="dxa"/>
              <w:left w:w="113" w:type="dxa"/>
              <w:bottom w:w="96" w:type="dxa"/>
              <w:right w:w="113" w:type="dxa"/>
            </w:tcMar>
            <w:vAlign w:val="center"/>
          </w:tcPr>
          <w:p w14:paraId="419B8F01" w14:textId="77777777" w:rsidR="00913226" w:rsidRPr="00913226" w:rsidRDefault="00913226" w:rsidP="00913226">
            <w:pPr>
              <w:pStyle w:val="CDITable-RowCentre"/>
              <w:rPr>
                <w:sz w:val="16"/>
              </w:rPr>
            </w:pPr>
            <w:r w:rsidRPr="00913226">
              <w:rPr>
                <w:sz w:val="16"/>
              </w:rPr>
              <w:t>1.6–38.3</w:t>
            </w:r>
          </w:p>
        </w:tc>
        <w:tc>
          <w:tcPr>
            <w:tcW w:w="794" w:type="dxa"/>
            <w:tcBorders>
              <w:top w:val="single" w:sz="6" w:space="0" w:color="1E4496" w:themeColor="text2"/>
              <w:left w:val="single" w:sz="6" w:space="0" w:color="1E4496" w:themeColor="text2"/>
              <w:bottom w:val="single" w:sz="6" w:space="0" w:color="1E4496" w:themeColor="text2"/>
            </w:tcBorders>
            <w:tcMar>
              <w:top w:w="96" w:type="dxa"/>
              <w:left w:w="113" w:type="dxa"/>
              <w:bottom w:w="96" w:type="dxa"/>
              <w:right w:w="113" w:type="dxa"/>
            </w:tcMar>
            <w:vAlign w:val="center"/>
          </w:tcPr>
          <w:p w14:paraId="07C9E019" w14:textId="77777777" w:rsidR="00913226" w:rsidRPr="00913226" w:rsidRDefault="00913226" w:rsidP="00913226">
            <w:pPr>
              <w:pStyle w:val="CDITable-RowCentre"/>
              <w:rPr>
                <w:sz w:val="16"/>
              </w:rPr>
            </w:pPr>
            <w:r w:rsidRPr="00913226">
              <w:rPr>
                <w:sz w:val="16"/>
              </w:rPr>
              <w:t>16</w:t>
            </w:r>
          </w:p>
        </w:tc>
        <w:tc>
          <w:tcPr>
            <w:tcW w:w="793"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66A6E48A" w14:textId="77777777" w:rsidR="00913226" w:rsidRPr="00913226" w:rsidRDefault="00913226" w:rsidP="00913226">
            <w:pPr>
              <w:pStyle w:val="CDITable-RowCentre"/>
              <w:rPr>
                <w:sz w:val="16"/>
              </w:rPr>
            </w:pPr>
            <w:r w:rsidRPr="00913226">
              <w:rPr>
                <w:sz w:val="16"/>
              </w:rPr>
              <w:t>0</w:t>
            </w:r>
          </w:p>
        </w:tc>
        <w:tc>
          <w:tcPr>
            <w:tcW w:w="79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2B9A6A96" w14:textId="77777777" w:rsidR="00913226" w:rsidRPr="00913226" w:rsidRDefault="00913226" w:rsidP="00913226">
            <w:pPr>
              <w:pStyle w:val="CDITable-RowCentre"/>
              <w:rPr>
                <w:sz w:val="16"/>
              </w:rPr>
            </w:pPr>
            <w:r w:rsidRPr="00913226">
              <w:rPr>
                <w:sz w:val="16"/>
              </w:rPr>
              <w:t>0</w:t>
            </w:r>
          </w:p>
        </w:tc>
        <w:tc>
          <w:tcPr>
            <w:tcW w:w="1191" w:type="dxa"/>
            <w:tcBorders>
              <w:top w:val="single" w:sz="6" w:space="0" w:color="1E4496" w:themeColor="text2"/>
              <w:bottom w:val="single" w:sz="6" w:space="0" w:color="1E4496" w:themeColor="text2"/>
              <w:right w:val="single" w:sz="6" w:space="0" w:color="1E4496" w:themeColor="text2"/>
            </w:tcBorders>
            <w:tcMar>
              <w:top w:w="96" w:type="dxa"/>
              <w:left w:w="113" w:type="dxa"/>
              <w:bottom w:w="96" w:type="dxa"/>
              <w:right w:w="113" w:type="dxa"/>
            </w:tcMar>
            <w:vAlign w:val="center"/>
          </w:tcPr>
          <w:p w14:paraId="5DF7B7E9" w14:textId="77777777" w:rsidR="00913226" w:rsidRPr="00913226" w:rsidRDefault="00913226" w:rsidP="00913226">
            <w:pPr>
              <w:pStyle w:val="CDITable-RowCentre"/>
              <w:rPr>
                <w:sz w:val="16"/>
              </w:rPr>
            </w:pPr>
            <w:r w:rsidRPr="00913226">
              <w:rPr>
                <w:sz w:val="16"/>
              </w:rPr>
              <w:t>—</w:t>
            </w:r>
          </w:p>
        </w:tc>
        <w:tc>
          <w:tcPr>
            <w:tcW w:w="793" w:type="dxa"/>
            <w:tcBorders>
              <w:top w:val="single" w:sz="6" w:space="0" w:color="1E4496" w:themeColor="text2"/>
              <w:left w:val="single" w:sz="6" w:space="0" w:color="1E4496" w:themeColor="text2"/>
              <w:bottom w:val="single" w:sz="6" w:space="0" w:color="1E4496" w:themeColor="text2"/>
            </w:tcBorders>
            <w:tcMar>
              <w:top w:w="96" w:type="dxa"/>
              <w:left w:w="113" w:type="dxa"/>
              <w:bottom w:w="96" w:type="dxa"/>
              <w:right w:w="113" w:type="dxa"/>
            </w:tcMar>
            <w:vAlign w:val="center"/>
          </w:tcPr>
          <w:p w14:paraId="03574110" w14:textId="77777777" w:rsidR="00913226" w:rsidRPr="00913226" w:rsidRDefault="00913226" w:rsidP="00913226">
            <w:pPr>
              <w:pStyle w:val="CDITable-RowCentre"/>
              <w:rPr>
                <w:sz w:val="16"/>
              </w:rPr>
            </w:pPr>
            <w:r w:rsidRPr="00913226">
              <w:rPr>
                <w:sz w:val="16"/>
              </w:rPr>
              <w:t>16</w:t>
            </w:r>
          </w:p>
        </w:tc>
        <w:tc>
          <w:tcPr>
            <w:tcW w:w="79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4567A701" w14:textId="77777777" w:rsidR="00913226" w:rsidRPr="00913226" w:rsidRDefault="00913226" w:rsidP="00913226">
            <w:pPr>
              <w:pStyle w:val="CDITable-RowCentre"/>
              <w:rPr>
                <w:sz w:val="16"/>
              </w:rPr>
            </w:pPr>
            <w:r w:rsidRPr="00913226">
              <w:rPr>
                <w:sz w:val="16"/>
              </w:rPr>
              <w:t>2</w:t>
            </w:r>
          </w:p>
        </w:tc>
        <w:tc>
          <w:tcPr>
            <w:tcW w:w="79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347EA0F0" w14:textId="77777777" w:rsidR="00913226" w:rsidRPr="00913226" w:rsidRDefault="00913226" w:rsidP="00913226">
            <w:pPr>
              <w:pStyle w:val="CDITable-RowCentre"/>
              <w:rPr>
                <w:sz w:val="16"/>
              </w:rPr>
            </w:pPr>
            <w:r w:rsidRPr="00913226">
              <w:rPr>
                <w:sz w:val="16"/>
              </w:rPr>
              <w:t>12.5</w:t>
            </w:r>
          </w:p>
        </w:tc>
        <w:tc>
          <w:tcPr>
            <w:tcW w:w="119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78F0ED47" w14:textId="77777777" w:rsidR="00913226" w:rsidRPr="00913226" w:rsidRDefault="00913226" w:rsidP="00913226">
            <w:pPr>
              <w:pStyle w:val="CDITable-RowCentre"/>
              <w:rPr>
                <w:sz w:val="16"/>
              </w:rPr>
            </w:pPr>
            <w:r w:rsidRPr="00913226">
              <w:rPr>
                <w:sz w:val="16"/>
              </w:rPr>
              <w:t>1.6–38.3</w:t>
            </w:r>
          </w:p>
        </w:tc>
      </w:tr>
      <w:tr w:rsidR="00913226" w:rsidRPr="00913226" w14:paraId="7BDB747B" w14:textId="77777777" w:rsidTr="00913226">
        <w:trPr>
          <w:trHeight w:val="60"/>
        </w:trPr>
        <w:tc>
          <w:tcPr>
            <w:tcW w:w="2098" w:type="dxa"/>
            <w:vMerge/>
            <w:tcBorders>
              <w:bottom w:val="single" w:sz="6" w:space="0" w:color="1E4496" w:themeColor="text2"/>
            </w:tcBorders>
            <w:shd w:val="clear" w:color="auto" w:fill="DCF4FC" w:themeFill="background2" w:themeFillTint="33"/>
            <w:tcMar>
              <w:top w:w="96" w:type="dxa"/>
              <w:bottom w:w="96" w:type="dxa"/>
            </w:tcMar>
          </w:tcPr>
          <w:p w14:paraId="1A6C47D7" w14:textId="77777777" w:rsidR="00913226" w:rsidRPr="00913226" w:rsidRDefault="00913226" w:rsidP="00913226"/>
        </w:tc>
        <w:tc>
          <w:tcPr>
            <w:tcW w:w="153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470CBE99" w14:textId="77777777" w:rsidR="00913226" w:rsidRPr="00913226" w:rsidRDefault="00913226" w:rsidP="00913226">
            <w:pPr>
              <w:pStyle w:val="CDITable-RowLeft"/>
              <w:rPr>
                <w:sz w:val="16"/>
              </w:rPr>
            </w:pPr>
            <w:r w:rsidRPr="00913226">
              <w:rPr>
                <w:sz w:val="16"/>
              </w:rPr>
              <w:t>Vic.</w:t>
            </w:r>
          </w:p>
        </w:tc>
        <w:tc>
          <w:tcPr>
            <w:tcW w:w="79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4EF8D5F6" w14:textId="77777777" w:rsidR="00913226" w:rsidRPr="00913226" w:rsidRDefault="00913226" w:rsidP="00913226">
            <w:pPr>
              <w:pStyle w:val="CDITable-RowCentre"/>
              <w:rPr>
                <w:sz w:val="16"/>
              </w:rPr>
            </w:pPr>
            <w:r w:rsidRPr="00913226">
              <w:rPr>
                <w:sz w:val="16"/>
              </w:rPr>
              <w:t>136</w:t>
            </w:r>
          </w:p>
        </w:tc>
        <w:tc>
          <w:tcPr>
            <w:tcW w:w="79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3B352B2A" w14:textId="77777777" w:rsidR="00913226" w:rsidRPr="00913226" w:rsidRDefault="00913226" w:rsidP="00913226">
            <w:pPr>
              <w:pStyle w:val="CDITable-RowCentre"/>
              <w:rPr>
                <w:sz w:val="16"/>
              </w:rPr>
            </w:pPr>
            <w:r w:rsidRPr="00913226">
              <w:rPr>
                <w:sz w:val="16"/>
              </w:rPr>
              <w:t>14</w:t>
            </w:r>
          </w:p>
        </w:tc>
        <w:tc>
          <w:tcPr>
            <w:tcW w:w="793"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01C5BA36" w14:textId="77777777" w:rsidR="00913226" w:rsidRPr="00913226" w:rsidRDefault="00913226" w:rsidP="00913226">
            <w:pPr>
              <w:pStyle w:val="CDITable-RowCentre"/>
              <w:rPr>
                <w:sz w:val="16"/>
              </w:rPr>
            </w:pPr>
            <w:r w:rsidRPr="00913226">
              <w:rPr>
                <w:sz w:val="16"/>
              </w:rPr>
              <w:t>10.3</w:t>
            </w:r>
          </w:p>
        </w:tc>
        <w:tc>
          <w:tcPr>
            <w:tcW w:w="1191" w:type="dxa"/>
            <w:tcBorders>
              <w:top w:val="single" w:sz="6" w:space="0" w:color="1E4496" w:themeColor="text2"/>
              <w:bottom w:val="single" w:sz="6" w:space="0" w:color="1E4496" w:themeColor="text2"/>
              <w:right w:val="single" w:sz="6" w:space="0" w:color="1E4496" w:themeColor="text2"/>
            </w:tcBorders>
            <w:tcMar>
              <w:top w:w="96" w:type="dxa"/>
              <w:left w:w="113" w:type="dxa"/>
              <w:bottom w:w="96" w:type="dxa"/>
              <w:right w:w="113" w:type="dxa"/>
            </w:tcMar>
            <w:vAlign w:val="center"/>
          </w:tcPr>
          <w:p w14:paraId="198555D4" w14:textId="77777777" w:rsidR="00913226" w:rsidRPr="00913226" w:rsidRDefault="00913226" w:rsidP="00913226">
            <w:pPr>
              <w:pStyle w:val="CDITable-RowCentre"/>
              <w:rPr>
                <w:sz w:val="16"/>
              </w:rPr>
            </w:pPr>
            <w:r w:rsidRPr="00913226">
              <w:rPr>
                <w:sz w:val="16"/>
              </w:rPr>
              <w:t>5.7–16.7</w:t>
            </w:r>
          </w:p>
        </w:tc>
        <w:tc>
          <w:tcPr>
            <w:tcW w:w="794" w:type="dxa"/>
            <w:tcBorders>
              <w:top w:val="single" w:sz="6" w:space="0" w:color="1E4496" w:themeColor="text2"/>
              <w:left w:val="single" w:sz="6" w:space="0" w:color="1E4496" w:themeColor="text2"/>
              <w:bottom w:val="single" w:sz="6" w:space="0" w:color="1E4496" w:themeColor="text2"/>
            </w:tcBorders>
            <w:tcMar>
              <w:top w:w="96" w:type="dxa"/>
              <w:left w:w="113" w:type="dxa"/>
              <w:bottom w:w="96" w:type="dxa"/>
              <w:right w:w="113" w:type="dxa"/>
            </w:tcMar>
            <w:vAlign w:val="center"/>
          </w:tcPr>
          <w:p w14:paraId="2B3A5FF0" w14:textId="77777777" w:rsidR="00913226" w:rsidRPr="00913226" w:rsidRDefault="00913226" w:rsidP="00913226">
            <w:pPr>
              <w:pStyle w:val="CDITable-RowCentre"/>
              <w:rPr>
                <w:sz w:val="16"/>
              </w:rPr>
            </w:pPr>
            <w:r w:rsidRPr="00913226">
              <w:rPr>
                <w:sz w:val="16"/>
              </w:rPr>
              <w:t>136</w:t>
            </w:r>
          </w:p>
        </w:tc>
        <w:tc>
          <w:tcPr>
            <w:tcW w:w="793"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797F5453" w14:textId="77777777" w:rsidR="00913226" w:rsidRPr="00913226" w:rsidRDefault="00913226" w:rsidP="00913226">
            <w:pPr>
              <w:pStyle w:val="CDITable-RowCentre"/>
              <w:rPr>
                <w:sz w:val="16"/>
              </w:rPr>
            </w:pPr>
            <w:r w:rsidRPr="00913226">
              <w:rPr>
                <w:sz w:val="16"/>
              </w:rPr>
              <w:t>12</w:t>
            </w:r>
          </w:p>
        </w:tc>
        <w:tc>
          <w:tcPr>
            <w:tcW w:w="79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24D2E1B3" w14:textId="77777777" w:rsidR="00913226" w:rsidRPr="00913226" w:rsidRDefault="00913226" w:rsidP="00913226">
            <w:pPr>
              <w:pStyle w:val="CDITable-RowCentre"/>
              <w:rPr>
                <w:sz w:val="16"/>
              </w:rPr>
            </w:pPr>
            <w:r w:rsidRPr="00913226">
              <w:rPr>
                <w:sz w:val="16"/>
              </w:rPr>
              <w:t>8.8</w:t>
            </w:r>
          </w:p>
        </w:tc>
        <w:tc>
          <w:tcPr>
            <w:tcW w:w="1191" w:type="dxa"/>
            <w:tcBorders>
              <w:top w:val="single" w:sz="6" w:space="0" w:color="1E4496" w:themeColor="text2"/>
              <w:bottom w:val="single" w:sz="6" w:space="0" w:color="1E4496" w:themeColor="text2"/>
              <w:right w:val="single" w:sz="6" w:space="0" w:color="1E4496" w:themeColor="text2"/>
            </w:tcBorders>
            <w:tcMar>
              <w:top w:w="96" w:type="dxa"/>
              <w:left w:w="113" w:type="dxa"/>
              <w:bottom w:w="96" w:type="dxa"/>
              <w:right w:w="113" w:type="dxa"/>
            </w:tcMar>
            <w:vAlign w:val="center"/>
          </w:tcPr>
          <w:p w14:paraId="49295915" w14:textId="77777777" w:rsidR="00913226" w:rsidRPr="00913226" w:rsidRDefault="00913226" w:rsidP="00913226">
            <w:pPr>
              <w:pStyle w:val="CDITable-RowCentre"/>
              <w:rPr>
                <w:sz w:val="16"/>
              </w:rPr>
            </w:pPr>
            <w:r w:rsidRPr="00913226">
              <w:rPr>
                <w:sz w:val="16"/>
              </w:rPr>
              <w:t>4.6–14.9</w:t>
            </w:r>
          </w:p>
        </w:tc>
        <w:tc>
          <w:tcPr>
            <w:tcW w:w="793" w:type="dxa"/>
            <w:tcBorders>
              <w:top w:val="single" w:sz="6" w:space="0" w:color="1E4496" w:themeColor="text2"/>
              <w:left w:val="single" w:sz="6" w:space="0" w:color="1E4496" w:themeColor="text2"/>
              <w:bottom w:val="single" w:sz="6" w:space="0" w:color="1E4496" w:themeColor="text2"/>
            </w:tcBorders>
            <w:tcMar>
              <w:top w:w="96" w:type="dxa"/>
              <w:left w:w="113" w:type="dxa"/>
              <w:bottom w:w="96" w:type="dxa"/>
              <w:right w:w="113" w:type="dxa"/>
            </w:tcMar>
            <w:vAlign w:val="center"/>
          </w:tcPr>
          <w:p w14:paraId="524B584A" w14:textId="77777777" w:rsidR="00913226" w:rsidRPr="00913226" w:rsidRDefault="00913226" w:rsidP="00913226">
            <w:pPr>
              <w:pStyle w:val="CDITable-RowCentre"/>
              <w:rPr>
                <w:sz w:val="16"/>
              </w:rPr>
            </w:pPr>
            <w:r w:rsidRPr="00913226">
              <w:rPr>
                <w:sz w:val="16"/>
              </w:rPr>
              <w:t>136</w:t>
            </w:r>
          </w:p>
        </w:tc>
        <w:tc>
          <w:tcPr>
            <w:tcW w:w="79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2F86EAAC" w14:textId="77777777" w:rsidR="00913226" w:rsidRPr="00913226" w:rsidRDefault="00913226" w:rsidP="00913226">
            <w:pPr>
              <w:pStyle w:val="CDITable-RowCentre"/>
              <w:rPr>
                <w:sz w:val="16"/>
              </w:rPr>
            </w:pPr>
            <w:r w:rsidRPr="00913226">
              <w:rPr>
                <w:sz w:val="16"/>
              </w:rPr>
              <w:t>22</w:t>
            </w:r>
          </w:p>
        </w:tc>
        <w:tc>
          <w:tcPr>
            <w:tcW w:w="79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65E58F84" w14:textId="77777777" w:rsidR="00913226" w:rsidRPr="00913226" w:rsidRDefault="00913226" w:rsidP="00913226">
            <w:pPr>
              <w:pStyle w:val="CDITable-RowCentre"/>
              <w:rPr>
                <w:sz w:val="16"/>
              </w:rPr>
            </w:pPr>
            <w:r w:rsidRPr="00913226">
              <w:rPr>
                <w:sz w:val="16"/>
              </w:rPr>
              <w:t>16.2</w:t>
            </w:r>
          </w:p>
        </w:tc>
        <w:tc>
          <w:tcPr>
            <w:tcW w:w="119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32BF9C49" w14:textId="77777777" w:rsidR="00913226" w:rsidRPr="00913226" w:rsidRDefault="00913226" w:rsidP="00913226">
            <w:pPr>
              <w:pStyle w:val="CDITable-RowCentre"/>
              <w:rPr>
                <w:sz w:val="16"/>
              </w:rPr>
            </w:pPr>
            <w:r w:rsidRPr="00913226">
              <w:rPr>
                <w:sz w:val="16"/>
              </w:rPr>
              <w:t>10.4–23.5</w:t>
            </w:r>
          </w:p>
        </w:tc>
      </w:tr>
      <w:tr w:rsidR="00913226" w:rsidRPr="00913226" w14:paraId="065D8C80" w14:textId="77777777" w:rsidTr="00913226">
        <w:trPr>
          <w:trHeight w:val="60"/>
        </w:trPr>
        <w:tc>
          <w:tcPr>
            <w:tcW w:w="2098" w:type="dxa"/>
            <w:vMerge/>
            <w:tcBorders>
              <w:bottom w:val="single" w:sz="6" w:space="0" w:color="1E4496" w:themeColor="text2"/>
            </w:tcBorders>
            <w:shd w:val="clear" w:color="auto" w:fill="DCF4FC" w:themeFill="background2" w:themeFillTint="33"/>
            <w:tcMar>
              <w:top w:w="96" w:type="dxa"/>
              <w:bottom w:w="96" w:type="dxa"/>
            </w:tcMar>
          </w:tcPr>
          <w:p w14:paraId="2D109C54" w14:textId="77777777" w:rsidR="00913226" w:rsidRPr="00913226" w:rsidRDefault="00913226" w:rsidP="00913226"/>
        </w:tc>
        <w:tc>
          <w:tcPr>
            <w:tcW w:w="153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714A0FEA" w14:textId="77777777" w:rsidR="00913226" w:rsidRPr="00913226" w:rsidRDefault="00913226" w:rsidP="00913226">
            <w:pPr>
              <w:pStyle w:val="CDITable-RowLeft"/>
              <w:rPr>
                <w:sz w:val="16"/>
              </w:rPr>
            </w:pPr>
            <w:r w:rsidRPr="00913226">
              <w:rPr>
                <w:sz w:val="16"/>
              </w:rPr>
              <w:t>WA</w:t>
            </w:r>
          </w:p>
        </w:tc>
        <w:tc>
          <w:tcPr>
            <w:tcW w:w="79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41517633" w14:textId="77777777" w:rsidR="00913226" w:rsidRPr="00913226" w:rsidRDefault="00913226" w:rsidP="00913226">
            <w:pPr>
              <w:pStyle w:val="CDITable-RowCentre"/>
              <w:rPr>
                <w:sz w:val="16"/>
              </w:rPr>
            </w:pPr>
            <w:r w:rsidRPr="00913226">
              <w:rPr>
                <w:sz w:val="16"/>
              </w:rPr>
              <w:t>73</w:t>
            </w:r>
          </w:p>
        </w:tc>
        <w:tc>
          <w:tcPr>
            <w:tcW w:w="79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6D305578" w14:textId="77777777" w:rsidR="00913226" w:rsidRPr="00913226" w:rsidRDefault="00913226" w:rsidP="00913226">
            <w:pPr>
              <w:pStyle w:val="CDITable-RowCentre"/>
              <w:rPr>
                <w:sz w:val="16"/>
              </w:rPr>
            </w:pPr>
            <w:r w:rsidRPr="00913226">
              <w:rPr>
                <w:sz w:val="16"/>
              </w:rPr>
              <w:t>6</w:t>
            </w:r>
          </w:p>
        </w:tc>
        <w:tc>
          <w:tcPr>
            <w:tcW w:w="793"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724BDFB7" w14:textId="77777777" w:rsidR="00913226" w:rsidRPr="00913226" w:rsidRDefault="00913226" w:rsidP="00913226">
            <w:pPr>
              <w:pStyle w:val="CDITable-RowCentre"/>
              <w:rPr>
                <w:sz w:val="16"/>
              </w:rPr>
            </w:pPr>
            <w:r w:rsidRPr="00913226">
              <w:rPr>
                <w:sz w:val="16"/>
              </w:rPr>
              <w:t>8.2</w:t>
            </w:r>
          </w:p>
        </w:tc>
        <w:tc>
          <w:tcPr>
            <w:tcW w:w="1191" w:type="dxa"/>
            <w:tcBorders>
              <w:top w:val="single" w:sz="6" w:space="0" w:color="1E4496" w:themeColor="text2"/>
              <w:bottom w:val="single" w:sz="6" w:space="0" w:color="1E4496" w:themeColor="text2"/>
              <w:right w:val="single" w:sz="6" w:space="0" w:color="1E4496" w:themeColor="text2"/>
            </w:tcBorders>
            <w:tcMar>
              <w:top w:w="96" w:type="dxa"/>
              <w:left w:w="113" w:type="dxa"/>
              <w:bottom w:w="96" w:type="dxa"/>
              <w:right w:w="113" w:type="dxa"/>
            </w:tcMar>
            <w:vAlign w:val="center"/>
          </w:tcPr>
          <w:p w14:paraId="63D26AE3" w14:textId="77777777" w:rsidR="00913226" w:rsidRPr="00913226" w:rsidRDefault="00913226" w:rsidP="00913226">
            <w:pPr>
              <w:pStyle w:val="CDITable-RowCentre"/>
              <w:rPr>
                <w:sz w:val="16"/>
              </w:rPr>
            </w:pPr>
            <w:r w:rsidRPr="00913226">
              <w:rPr>
                <w:sz w:val="16"/>
              </w:rPr>
              <w:t>3.1–17</w:t>
            </w:r>
          </w:p>
        </w:tc>
        <w:tc>
          <w:tcPr>
            <w:tcW w:w="794" w:type="dxa"/>
            <w:tcBorders>
              <w:top w:val="single" w:sz="6" w:space="0" w:color="1E4496" w:themeColor="text2"/>
              <w:left w:val="single" w:sz="6" w:space="0" w:color="1E4496" w:themeColor="text2"/>
              <w:bottom w:val="single" w:sz="6" w:space="0" w:color="1E4496" w:themeColor="text2"/>
            </w:tcBorders>
            <w:tcMar>
              <w:top w:w="96" w:type="dxa"/>
              <w:left w:w="113" w:type="dxa"/>
              <w:bottom w:w="96" w:type="dxa"/>
              <w:right w:w="113" w:type="dxa"/>
            </w:tcMar>
            <w:vAlign w:val="center"/>
          </w:tcPr>
          <w:p w14:paraId="1A5B669A" w14:textId="77777777" w:rsidR="00913226" w:rsidRPr="00913226" w:rsidRDefault="00913226" w:rsidP="00913226">
            <w:pPr>
              <w:pStyle w:val="CDITable-RowCentre"/>
              <w:rPr>
                <w:sz w:val="16"/>
              </w:rPr>
            </w:pPr>
            <w:r w:rsidRPr="00913226">
              <w:rPr>
                <w:sz w:val="16"/>
              </w:rPr>
              <w:t>73</w:t>
            </w:r>
          </w:p>
        </w:tc>
        <w:tc>
          <w:tcPr>
            <w:tcW w:w="793"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3F7BD725" w14:textId="77777777" w:rsidR="00913226" w:rsidRPr="00913226" w:rsidRDefault="00913226" w:rsidP="00913226">
            <w:pPr>
              <w:pStyle w:val="CDITable-RowCentre"/>
              <w:rPr>
                <w:sz w:val="16"/>
              </w:rPr>
            </w:pPr>
            <w:r w:rsidRPr="00913226">
              <w:rPr>
                <w:sz w:val="16"/>
              </w:rPr>
              <w:t>0</w:t>
            </w:r>
          </w:p>
        </w:tc>
        <w:tc>
          <w:tcPr>
            <w:tcW w:w="79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0CF97EEF" w14:textId="77777777" w:rsidR="00913226" w:rsidRPr="00913226" w:rsidRDefault="00913226" w:rsidP="00913226">
            <w:pPr>
              <w:pStyle w:val="CDITable-RowCentre"/>
              <w:rPr>
                <w:sz w:val="16"/>
              </w:rPr>
            </w:pPr>
            <w:r w:rsidRPr="00913226">
              <w:rPr>
                <w:sz w:val="16"/>
              </w:rPr>
              <w:t>0</w:t>
            </w:r>
          </w:p>
        </w:tc>
        <w:tc>
          <w:tcPr>
            <w:tcW w:w="1191" w:type="dxa"/>
            <w:tcBorders>
              <w:top w:val="single" w:sz="6" w:space="0" w:color="1E4496" w:themeColor="text2"/>
              <w:bottom w:val="single" w:sz="6" w:space="0" w:color="1E4496" w:themeColor="text2"/>
              <w:right w:val="single" w:sz="6" w:space="0" w:color="1E4496" w:themeColor="text2"/>
            </w:tcBorders>
            <w:tcMar>
              <w:top w:w="96" w:type="dxa"/>
              <w:left w:w="113" w:type="dxa"/>
              <w:bottom w:w="96" w:type="dxa"/>
              <w:right w:w="113" w:type="dxa"/>
            </w:tcMar>
            <w:vAlign w:val="center"/>
          </w:tcPr>
          <w:p w14:paraId="5A875E28" w14:textId="77777777" w:rsidR="00913226" w:rsidRPr="00913226" w:rsidRDefault="00913226" w:rsidP="00913226">
            <w:pPr>
              <w:pStyle w:val="CDITable-RowCentre"/>
              <w:rPr>
                <w:sz w:val="16"/>
              </w:rPr>
            </w:pPr>
            <w:r w:rsidRPr="00913226">
              <w:rPr>
                <w:sz w:val="16"/>
              </w:rPr>
              <w:t>—</w:t>
            </w:r>
          </w:p>
        </w:tc>
        <w:tc>
          <w:tcPr>
            <w:tcW w:w="793" w:type="dxa"/>
            <w:tcBorders>
              <w:top w:val="single" w:sz="6" w:space="0" w:color="1E4496" w:themeColor="text2"/>
              <w:left w:val="single" w:sz="6" w:space="0" w:color="1E4496" w:themeColor="text2"/>
              <w:bottom w:val="single" w:sz="6" w:space="0" w:color="1E4496" w:themeColor="text2"/>
            </w:tcBorders>
            <w:tcMar>
              <w:top w:w="96" w:type="dxa"/>
              <w:left w:w="113" w:type="dxa"/>
              <w:bottom w:w="96" w:type="dxa"/>
              <w:right w:w="113" w:type="dxa"/>
            </w:tcMar>
            <w:vAlign w:val="center"/>
          </w:tcPr>
          <w:p w14:paraId="1633FB60" w14:textId="77777777" w:rsidR="00913226" w:rsidRPr="00913226" w:rsidRDefault="00913226" w:rsidP="00913226">
            <w:pPr>
              <w:pStyle w:val="CDITable-RowCentre"/>
              <w:rPr>
                <w:sz w:val="16"/>
              </w:rPr>
            </w:pPr>
            <w:r w:rsidRPr="00913226">
              <w:rPr>
                <w:sz w:val="16"/>
              </w:rPr>
              <w:t>73</w:t>
            </w:r>
          </w:p>
        </w:tc>
        <w:tc>
          <w:tcPr>
            <w:tcW w:w="79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633F595B" w14:textId="77777777" w:rsidR="00913226" w:rsidRPr="00913226" w:rsidRDefault="00913226" w:rsidP="00913226">
            <w:pPr>
              <w:pStyle w:val="CDITable-RowCentre"/>
              <w:rPr>
                <w:sz w:val="16"/>
              </w:rPr>
            </w:pPr>
            <w:r w:rsidRPr="00913226">
              <w:rPr>
                <w:sz w:val="16"/>
              </w:rPr>
              <w:t>6</w:t>
            </w:r>
          </w:p>
        </w:tc>
        <w:tc>
          <w:tcPr>
            <w:tcW w:w="79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1053DCD7" w14:textId="77777777" w:rsidR="00913226" w:rsidRPr="00913226" w:rsidRDefault="00913226" w:rsidP="00913226">
            <w:pPr>
              <w:pStyle w:val="CDITable-RowCentre"/>
              <w:rPr>
                <w:sz w:val="16"/>
              </w:rPr>
            </w:pPr>
            <w:r w:rsidRPr="00913226">
              <w:rPr>
                <w:sz w:val="16"/>
              </w:rPr>
              <w:t>8.2</w:t>
            </w:r>
          </w:p>
        </w:tc>
        <w:tc>
          <w:tcPr>
            <w:tcW w:w="119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7C4BE357" w14:textId="77777777" w:rsidR="00913226" w:rsidRPr="00913226" w:rsidRDefault="00913226" w:rsidP="00913226">
            <w:pPr>
              <w:pStyle w:val="CDITable-RowCentre"/>
              <w:rPr>
                <w:sz w:val="16"/>
              </w:rPr>
            </w:pPr>
            <w:r w:rsidRPr="00913226">
              <w:rPr>
                <w:sz w:val="16"/>
              </w:rPr>
              <w:t>3.1–17.0</w:t>
            </w:r>
          </w:p>
        </w:tc>
      </w:tr>
      <w:tr w:rsidR="00913226" w:rsidRPr="00913226" w14:paraId="6C29FEEB" w14:textId="77777777" w:rsidTr="00913226">
        <w:trPr>
          <w:trHeight w:val="60"/>
        </w:trPr>
        <w:tc>
          <w:tcPr>
            <w:tcW w:w="2098" w:type="dxa"/>
            <w:vMerge w:val="restart"/>
            <w:tcBorders>
              <w:top w:val="single" w:sz="6" w:space="0" w:color="1E4496" w:themeColor="text2"/>
              <w:bottom w:val="single" w:sz="6" w:space="0" w:color="1E4496" w:themeColor="text2"/>
            </w:tcBorders>
            <w:shd w:val="clear" w:color="auto" w:fill="DCF4FC" w:themeFill="background2" w:themeFillTint="33"/>
            <w:tcMar>
              <w:top w:w="96" w:type="dxa"/>
              <w:left w:w="113" w:type="dxa"/>
              <w:bottom w:w="96" w:type="dxa"/>
              <w:right w:w="113" w:type="dxa"/>
            </w:tcMar>
            <w:vAlign w:val="center"/>
          </w:tcPr>
          <w:p w14:paraId="4DE3C2C5" w14:textId="77777777" w:rsidR="00913226" w:rsidRPr="00913226" w:rsidRDefault="00913226" w:rsidP="00913226">
            <w:pPr>
              <w:pStyle w:val="CDITable-RowLeft"/>
              <w:rPr>
                <w:sz w:val="16"/>
              </w:rPr>
            </w:pPr>
            <w:r w:rsidRPr="00913226">
              <w:rPr>
                <w:sz w:val="16"/>
              </w:rPr>
              <w:t>Age group</w:t>
            </w:r>
          </w:p>
        </w:tc>
        <w:tc>
          <w:tcPr>
            <w:tcW w:w="153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35B3E937" w14:textId="77777777" w:rsidR="00913226" w:rsidRPr="00913226" w:rsidRDefault="00913226" w:rsidP="00913226">
            <w:pPr>
              <w:pStyle w:val="CDITable-RowLeft"/>
              <w:rPr>
                <w:sz w:val="16"/>
              </w:rPr>
            </w:pPr>
            <w:r w:rsidRPr="00913226">
              <w:rPr>
                <w:sz w:val="16"/>
              </w:rPr>
              <w:t>≤ 28 days</w:t>
            </w:r>
          </w:p>
        </w:tc>
        <w:tc>
          <w:tcPr>
            <w:tcW w:w="79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5206C12A" w14:textId="77777777" w:rsidR="00913226" w:rsidRPr="00913226" w:rsidRDefault="00913226" w:rsidP="00913226">
            <w:pPr>
              <w:pStyle w:val="CDITable-RowCentre"/>
              <w:rPr>
                <w:sz w:val="16"/>
              </w:rPr>
            </w:pPr>
            <w:r w:rsidRPr="00913226">
              <w:rPr>
                <w:sz w:val="16"/>
              </w:rPr>
              <w:t>52</w:t>
            </w:r>
          </w:p>
        </w:tc>
        <w:tc>
          <w:tcPr>
            <w:tcW w:w="79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682D4E75" w14:textId="77777777" w:rsidR="00913226" w:rsidRPr="00913226" w:rsidRDefault="00913226" w:rsidP="00913226">
            <w:pPr>
              <w:pStyle w:val="CDITable-RowCentre"/>
              <w:rPr>
                <w:sz w:val="16"/>
              </w:rPr>
            </w:pPr>
            <w:r w:rsidRPr="00913226">
              <w:rPr>
                <w:sz w:val="16"/>
              </w:rPr>
              <w:t>12</w:t>
            </w:r>
          </w:p>
        </w:tc>
        <w:tc>
          <w:tcPr>
            <w:tcW w:w="793"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2D27D56B" w14:textId="77777777" w:rsidR="00913226" w:rsidRPr="00913226" w:rsidRDefault="00913226" w:rsidP="00913226">
            <w:pPr>
              <w:pStyle w:val="CDITable-RowCentre"/>
              <w:rPr>
                <w:sz w:val="16"/>
              </w:rPr>
            </w:pPr>
            <w:r w:rsidRPr="00913226">
              <w:rPr>
                <w:sz w:val="16"/>
              </w:rPr>
              <w:t>23.1</w:t>
            </w:r>
          </w:p>
        </w:tc>
        <w:tc>
          <w:tcPr>
            <w:tcW w:w="1191" w:type="dxa"/>
            <w:tcBorders>
              <w:top w:val="single" w:sz="6" w:space="0" w:color="1E4496" w:themeColor="text2"/>
              <w:bottom w:val="single" w:sz="6" w:space="0" w:color="1E4496" w:themeColor="text2"/>
              <w:right w:val="single" w:sz="6" w:space="0" w:color="1E4496" w:themeColor="text2"/>
            </w:tcBorders>
            <w:tcMar>
              <w:top w:w="96" w:type="dxa"/>
              <w:left w:w="113" w:type="dxa"/>
              <w:bottom w:w="96" w:type="dxa"/>
              <w:right w:w="113" w:type="dxa"/>
            </w:tcMar>
            <w:vAlign w:val="center"/>
          </w:tcPr>
          <w:p w14:paraId="6C332776" w14:textId="77777777" w:rsidR="00913226" w:rsidRPr="00913226" w:rsidRDefault="00913226" w:rsidP="00913226">
            <w:pPr>
              <w:pStyle w:val="CDITable-RowCentre"/>
              <w:rPr>
                <w:sz w:val="16"/>
              </w:rPr>
            </w:pPr>
            <w:r w:rsidRPr="00913226">
              <w:rPr>
                <w:sz w:val="16"/>
              </w:rPr>
              <w:t>12.5–36.8</w:t>
            </w:r>
          </w:p>
        </w:tc>
        <w:tc>
          <w:tcPr>
            <w:tcW w:w="794" w:type="dxa"/>
            <w:tcBorders>
              <w:top w:val="single" w:sz="6" w:space="0" w:color="1E4496" w:themeColor="text2"/>
              <w:left w:val="single" w:sz="6" w:space="0" w:color="1E4496" w:themeColor="text2"/>
              <w:bottom w:val="single" w:sz="6" w:space="0" w:color="1E4496" w:themeColor="text2"/>
            </w:tcBorders>
            <w:tcMar>
              <w:top w:w="96" w:type="dxa"/>
              <w:left w:w="113" w:type="dxa"/>
              <w:bottom w:w="96" w:type="dxa"/>
              <w:right w:w="113" w:type="dxa"/>
            </w:tcMar>
            <w:vAlign w:val="center"/>
          </w:tcPr>
          <w:p w14:paraId="017DBF8D" w14:textId="77777777" w:rsidR="00913226" w:rsidRPr="00913226" w:rsidRDefault="00913226" w:rsidP="00913226">
            <w:pPr>
              <w:pStyle w:val="CDITable-RowCentre"/>
              <w:rPr>
                <w:sz w:val="16"/>
              </w:rPr>
            </w:pPr>
            <w:r w:rsidRPr="00913226">
              <w:rPr>
                <w:sz w:val="16"/>
              </w:rPr>
              <w:t>52</w:t>
            </w:r>
          </w:p>
        </w:tc>
        <w:tc>
          <w:tcPr>
            <w:tcW w:w="793"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502A2411" w14:textId="77777777" w:rsidR="00913226" w:rsidRPr="00913226" w:rsidRDefault="00913226" w:rsidP="00913226">
            <w:pPr>
              <w:pStyle w:val="CDITable-RowCentre"/>
              <w:rPr>
                <w:sz w:val="16"/>
              </w:rPr>
            </w:pPr>
            <w:r w:rsidRPr="00913226">
              <w:rPr>
                <w:sz w:val="16"/>
              </w:rPr>
              <w:t>3</w:t>
            </w:r>
          </w:p>
        </w:tc>
        <w:tc>
          <w:tcPr>
            <w:tcW w:w="79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7BB68195" w14:textId="77777777" w:rsidR="00913226" w:rsidRPr="00913226" w:rsidRDefault="00913226" w:rsidP="00913226">
            <w:pPr>
              <w:pStyle w:val="CDITable-RowCentre"/>
              <w:rPr>
                <w:sz w:val="16"/>
              </w:rPr>
            </w:pPr>
            <w:r w:rsidRPr="00913226">
              <w:rPr>
                <w:sz w:val="16"/>
              </w:rPr>
              <w:t>5.8</w:t>
            </w:r>
          </w:p>
        </w:tc>
        <w:tc>
          <w:tcPr>
            <w:tcW w:w="1191" w:type="dxa"/>
            <w:tcBorders>
              <w:top w:val="single" w:sz="6" w:space="0" w:color="1E4496" w:themeColor="text2"/>
              <w:bottom w:val="single" w:sz="6" w:space="0" w:color="1E4496" w:themeColor="text2"/>
              <w:right w:val="single" w:sz="6" w:space="0" w:color="1E4496" w:themeColor="text2"/>
            </w:tcBorders>
            <w:tcMar>
              <w:top w:w="96" w:type="dxa"/>
              <w:left w:w="113" w:type="dxa"/>
              <w:bottom w:w="96" w:type="dxa"/>
              <w:right w:w="113" w:type="dxa"/>
            </w:tcMar>
            <w:vAlign w:val="center"/>
          </w:tcPr>
          <w:p w14:paraId="23961B87" w14:textId="77777777" w:rsidR="00913226" w:rsidRPr="00913226" w:rsidRDefault="00913226" w:rsidP="00913226">
            <w:pPr>
              <w:pStyle w:val="CDITable-RowCentre"/>
              <w:rPr>
                <w:sz w:val="16"/>
              </w:rPr>
            </w:pPr>
            <w:r w:rsidRPr="00913226">
              <w:rPr>
                <w:sz w:val="16"/>
              </w:rPr>
              <w:t>1.2–15.9</w:t>
            </w:r>
          </w:p>
        </w:tc>
        <w:tc>
          <w:tcPr>
            <w:tcW w:w="793" w:type="dxa"/>
            <w:tcBorders>
              <w:top w:val="single" w:sz="6" w:space="0" w:color="1E4496" w:themeColor="text2"/>
              <w:left w:val="single" w:sz="6" w:space="0" w:color="1E4496" w:themeColor="text2"/>
              <w:bottom w:val="single" w:sz="6" w:space="0" w:color="1E4496" w:themeColor="text2"/>
            </w:tcBorders>
            <w:tcMar>
              <w:top w:w="96" w:type="dxa"/>
              <w:left w:w="113" w:type="dxa"/>
              <w:bottom w:w="96" w:type="dxa"/>
              <w:right w:w="113" w:type="dxa"/>
            </w:tcMar>
            <w:vAlign w:val="center"/>
          </w:tcPr>
          <w:p w14:paraId="50AAE12F" w14:textId="77777777" w:rsidR="00913226" w:rsidRPr="00913226" w:rsidRDefault="00913226" w:rsidP="00913226">
            <w:pPr>
              <w:pStyle w:val="CDITable-RowCentre"/>
              <w:rPr>
                <w:sz w:val="16"/>
              </w:rPr>
            </w:pPr>
            <w:r w:rsidRPr="00913226">
              <w:rPr>
                <w:sz w:val="16"/>
              </w:rPr>
              <w:t>52</w:t>
            </w:r>
          </w:p>
        </w:tc>
        <w:tc>
          <w:tcPr>
            <w:tcW w:w="79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468DAB6E" w14:textId="77777777" w:rsidR="00913226" w:rsidRPr="00913226" w:rsidRDefault="00913226" w:rsidP="00913226">
            <w:pPr>
              <w:pStyle w:val="CDITable-RowCentre"/>
              <w:rPr>
                <w:sz w:val="16"/>
              </w:rPr>
            </w:pPr>
            <w:r w:rsidRPr="00913226">
              <w:rPr>
                <w:sz w:val="16"/>
              </w:rPr>
              <w:t>17</w:t>
            </w:r>
          </w:p>
        </w:tc>
        <w:tc>
          <w:tcPr>
            <w:tcW w:w="79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43F66F41" w14:textId="77777777" w:rsidR="00913226" w:rsidRPr="00913226" w:rsidRDefault="00913226" w:rsidP="00913226">
            <w:pPr>
              <w:pStyle w:val="CDITable-RowCentre"/>
              <w:rPr>
                <w:sz w:val="16"/>
              </w:rPr>
            </w:pPr>
            <w:r w:rsidRPr="00913226">
              <w:rPr>
                <w:sz w:val="16"/>
              </w:rPr>
              <w:t>32.7</w:t>
            </w:r>
          </w:p>
        </w:tc>
        <w:tc>
          <w:tcPr>
            <w:tcW w:w="119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6016F7B7" w14:textId="77777777" w:rsidR="00913226" w:rsidRPr="00913226" w:rsidRDefault="00913226" w:rsidP="00913226">
            <w:pPr>
              <w:pStyle w:val="CDITable-RowCentre"/>
              <w:rPr>
                <w:sz w:val="16"/>
              </w:rPr>
            </w:pPr>
            <w:r w:rsidRPr="00913226">
              <w:rPr>
                <w:sz w:val="16"/>
              </w:rPr>
              <w:t>20.3–47.1</w:t>
            </w:r>
          </w:p>
        </w:tc>
      </w:tr>
      <w:tr w:rsidR="00913226" w:rsidRPr="00913226" w14:paraId="149C9A60" w14:textId="77777777" w:rsidTr="00913226">
        <w:trPr>
          <w:trHeight w:val="60"/>
        </w:trPr>
        <w:tc>
          <w:tcPr>
            <w:tcW w:w="2098" w:type="dxa"/>
            <w:vMerge/>
            <w:tcBorders>
              <w:bottom w:val="single" w:sz="6" w:space="0" w:color="1E4496" w:themeColor="text2"/>
            </w:tcBorders>
            <w:shd w:val="clear" w:color="auto" w:fill="DCF4FC" w:themeFill="background2" w:themeFillTint="33"/>
            <w:tcMar>
              <w:top w:w="96" w:type="dxa"/>
              <w:bottom w:w="96" w:type="dxa"/>
            </w:tcMar>
          </w:tcPr>
          <w:p w14:paraId="22257C9A" w14:textId="77777777" w:rsidR="00913226" w:rsidRPr="00913226" w:rsidRDefault="00913226" w:rsidP="00913226">
            <w:pPr>
              <w:pStyle w:val="CDITable-RowLeft"/>
              <w:rPr>
                <w:sz w:val="16"/>
              </w:rPr>
            </w:pPr>
          </w:p>
        </w:tc>
        <w:tc>
          <w:tcPr>
            <w:tcW w:w="153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1329E3E9" w14:textId="77777777" w:rsidR="00913226" w:rsidRPr="00913226" w:rsidRDefault="00913226" w:rsidP="00913226">
            <w:pPr>
              <w:pStyle w:val="CDITable-RowLeft"/>
              <w:rPr>
                <w:sz w:val="16"/>
              </w:rPr>
            </w:pPr>
            <w:r w:rsidRPr="00913226">
              <w:rPr>
                <w:sz w:val="16"/>
              </w:rPr>
              <w:t>29–90 days</w:t>
            </w:r>
          </w:p>
        </w:tc>
        <w:tc>
          <w:tcPr>
            <w:tcW w:w="79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49190B74" w14:textId="77777777" w:rsidR="00913226" w:rsidRPr="00913226" w:rsidRDefault="00913226" w:rsidP="00913226">
            <w:pPr>
              <w:pStyle w:val="CDITable-RowCentre"/>
              <w:rPr>
                <w:sz w:val="16"/>
              </w:rPr>
            </w:pPr>
            <w:r w:rsidRPr="00913226">
              <w:rPr>
                <w:sz w:val="16"/>
              </w:rPr>
              <w:t>50</w:t>
            </w:r>
          </w:p>
        </w:tc>
        <w:tc>
          <w:tcPr>
            <w:tcW w:w="79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60D9489D" w14:textId="77777777" w:rsidR="00913226" w:rsidRPr="00913226" w:rsidRDefault="00913226" w:rsidP="00913226">
            <w:pPr>
              <w:pStyle w:val="CDITable-RowCentre"/>
              <w:rPr>
                <w:sz w:val="16"/>
              </w:rPr>
            </w:pPr>
            <w:r w:rsidRPr="00913226">
              <w:rPr>
                <w:sz w:val="16"/>
              </w:rPr>
              <w:t>3</w:t>
            </w:r>
          </w:p>
        </w:tc>
        <w:tc>
          <w:tcPr>
            <w:tcW w:w="793"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0AC3A952" w14:textId="77777777" w:rsidR="00913226" w:rsidRPr="00913226" w:rsidRDefault="00913226" w:rsidP="00913226">
            <w:pPr>
              <w:pStyle w:val="CDITable-RowCentre"/>
              <w:rPr>
                <w:sz w:val="16"/>
              </w:rPr>
            </w:pPr>
            <w:r w:rsidRPr="00913226">
              <w:rPr>
                <w:sz w:val="16"/>
              </w:rPr>
              <w:t>6.0</w:t>
            </w:r>
          </w:p>
        </w:tc>
        <w:tc>
          <w:tcPr>
            <w:tcW w:w="1191" w:type="dxa"/>
            <w:tcBorders>
              <w:top w:val="single" w:sz="6" w:space="0" w:color="1E4496" w:themeColor="text2"/>
              <w:bottom w:val="single" w:sz="6" w:space="0" w:color="1E4496" w:themeColor="text2"/>
              <w:right w:val="single" w:sz="6" w:space="0" w:color="1E4496" w:themeColor="text2"/>
            </w:tcBorders>
            <w:tcMar>
              <w:top w:w="96" w:type="dxa"/>
              <w:left w:w="113" w:type="dxa"/>
              <w:bottom w:w="96" w:type="dxa"/>
              <w:right w:w="113" w:type="dxa"/>
            </w:tcMar>
            <w:vAlign w:val="center"/>
          </w:tcPr>
          <w:p w14:paraId="0F43730D" w14:textId="77777777" w:rsidR="00913226" w:rsidRPr="00913226" w:rsidRDefault="00913226" w:rsidP="00913226">
            <w:pPr>
              <w:pStyle w:val="CDITable-RowCentre"/>
              <w:rPr>
                <w:sz w:val="16"/>
              </w:rPr>
            </w:pPr>
            <w:r w:rsidRPr="00913226">
              <w:rPr>
                <w:sz w:val="16"/>
              </w:rPr>
              <w:t>1.3–16.5</w:t>
            </w:r>
          </w:p>
        </w:tc>
        <w:tc>
          <w:tcPr>
            <w:tcW w:w="794" w:type="dxa"/>
            <w:tcBorders>
              <w:top w:val="single" w:sz="6" w:space="0" w:color="1E4496" w:themeColor="text2"/>
              <w:left w:val="single" w:sz="6" w:space="0" w:color="1E4496" w:themeColor="text2"/>
              <w:bottom w:val="single" w:sz="6" w:space="0" w:color="1E4496" w:themeColor="text2"/>
            </w:tcBorders>
            <w:tcMar>
              <w:top w:w="96" w:type="dxa"/>
              <w:left w:w="113" w:type="dxa"/>
              <w:bottom w:w="96" w:type="dxa"/>
              <w:right w:w="113" w:type="dxa"/>
            </w:tcMar>
            <w:vAlign w:val="center"/>
          </w:tcPr>
          <w:p w14:paraId="29A17F68" w14:textId="77777777" w:rsidR="00913226" w:rsidRPr="00913226" w:rsidRDefault="00913226" w:rsidP="00913226">
            <w:pPr>
              <w:pStyle w:val="CDITable-RowCentre"/>
              <w:rPr>
                <w:sz w:val="16"/>
              </w:rPr>
            </w:pPr>
            <w:r w:rsidRPr="00913226">
              <w:rPr>
                <w:sz w:val="16"/>
              </w:rPr>
              <w:t>50</w:t>
            </w:r>
          </w:p>
        </w:tc>
        <w:tc>
          <w:tcPr>
            <w:tcW w:w="793"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33A18FC6" w14:textId="77777777" w:rsidR="00913226" w:rsidRPr="00913226" w:rsidRDefault="00913226" w:rsidP="00913226">
            <w:pPr>
              <w:pStyle w:val="CDITable-RowCentre"/>
              <w:rPr>
                <w:sz w:val="16"/>
              </w:rPr>
            </w:pPr>
            <w:r w:rsidRPr="00913226">
              <w:rPr>
                <w:sz w:val="16"/>
              </w:rPr>
              <w:t>3</w:t>
            </w:r>
          </w:p>
        </w:tc>
        <w:tc>
          <w:tcPr>
            <w:tcW w:w="79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58157459" w14:textId="77777777" w:rsidR="00913226" w:rsidRPr="00913226" w:rsidRDefault="00913226" w:rsidP="00913226">
            <w:pPr>
              <w:pStyle w:val="CDITable-RowCentre"/>
              <w:rPr>
                <w:sz w:val="16"/>
              </w:rPr>
            </w:pPr>
            <w:r w:rsidRPr="00913226">
              <w:rPr>
                <w:sz w:val="16"/>
              </w:rPr>
              <w:t>6</w:t>
            </w:r>
          </w:p>
        </w:tc>
        <w:tc>
          <w:tcPr>
            <w:tcW w:w="1191" w:type="dxa"/>
            <w:tcBorders>
              <w:top w:val="single" w:sz="6" w:space="0" w:color="1E4496" w:themeColor="text2"/>
              <w:bottom w:val="single" w:sz="6" w:space="0" w:color="1E4496" w:themeColor="text2"/>
              <w:right w:val="single" w:sz="6" w:space="0" w:color="1E4496" w:themeColor="text2"/>
            </w:tcBorders>
            <w:tcMar>
              <w:top w:w="96" w:type="dxa"/>
              <w:left w:w="113" w:type="dxa"/>
              <w:bottom w:w="96" w:type="dxa"/>
              <w:right w:w="113" w:type="dxa"/>
            </w:tcMar>
            <w:vAlign w:val="center"/>
          </w:tcPr>
          <w:p w14:paraId="4A1D56DE" w14:textId="77777777" w:rsidR="00913226" w:rsidRPr="00913226" w:rsidRDefault="00913226" w:rsidP="00913226">
            <w:pPr>
              <w:pStyle w:val="CDITable-RowCentre"/>
              <w:rPr>
                <w:sz w:val="16"/>
              </w:rPr>
            </w:pPr>
            <w:r w:rsidRPr="00913226">
              <w:rPr>
                <w:sz w:val="16"/>
              </w:rPr>
              <w:t>1.3–16.5</w:t>
            </w:r>
          </w:p>
        </w:tc>
        <w:tc>
          <w:tcPr>
            <w:tcW w:w="793" w:type="dxa"/>
            <w:tcBorders>
              <w:top w:val="single" w:sz="6" w:space="0" w:color="1E4496" w:themeColor="text2"/>
              <w:left w:val="single" w:sz="6" w:space="0" w:color="1E4496" w:themeColor="text2"/>
              <w:bottom w:val="single" w:sz="6" w:space="0" w:color="1E4496" w:themeColor="text2"/>
            </w:tcBorders>
            <w:tcMar>
              <w:top w:w="96" w:type="dxa"/>
              <w:left w:w="113" w:type="dxa"/>
              <w:bottom w:w="96" w:type="dxa"/>
              <w:right w:w="113" w:type="dxa"/>
            </w:tcMar>
            <w:vAlign w:val="center"/>
          </w:tcPr>
          <w:p w14:paraId="629A6900" w14:textId="77777777" w:rsidR="00913226" w:rsidRPr="00913226" w:rsidRDefault="00913226" w:rsidP="00913226">
            <w:pPr>
              <w:pStyle w:val="CDITable-RowCentre"/>
              <w:rPr>
                <w:sz w:val="16"/>
              </w:rPr>
            </w:pPr>
            <w:r w:rsidRPr="00913226">
              <w:rPr>
                <w:sz w:val="16"/>
              </w:rPr>
              <w:t>48</w:t>
            </w:r>
          </w:p>
        </w:tc>
        <w:tc>
          <w:tcPr>
            <w:tcW w:w="79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58BB037C" w14:textId="77777777" w:rsidR="00913226" w:rsidRPr="00913226" w:rsidRDefault="00913226" w:rsidP="00913226">
            <w:pPr>
              <w:pStyle w:val="CDITable-RowCentre"/>
              <w:rPr>
                <w:sz w:val="16"/>
              </w:rPr>
            </w:pPr>
            <w:r w:rsidRPr="00913226">
              <w:rPr>
                <w:sz w:val="16"/>
              </w:rPr>
              <w:t>6</w:t>
            </w:r>
          </w:p>
        </w:tc>
        <w:tc>
          <w:tcPr>
            <w:tcW w:w="79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198187C3" w14:textId="77777777" w:rsidR="00913226" w:rsidRPr="00913226" w:rsidRDefault="00913226" w:rsidP="00913226">
            <w:pPr>
              <w:pStyle w:val="CDITable-RowCentre"/>
              <w:rPr>
                <w:sz w:val="16"/>
              </w:rPr>
            </w:pPr>
            <w:r w:rsidRPr="00913226">
              <w:rPr>
                <w:sz w:val="16"/>
              </w:rPr>
              <w:t>12.5</w:t>
            </w:r>
          </w:p>
        </w:tc>
        <w:tc>
          <w:tcPr>
            <w:tcW w:w="119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194203E8" w14:textId="77777777" w:rsidR="00913226" w:rsidRPr="00913226" w:rsidRDefault="00913226" w:rsidP="00913226">
            <w:pPr>
              <w:pStyle w:val="CDITable-RowCentre"/>
              <w:rPr>
                <w:sz w:val="16"/>
              </w:rPr>
            </w:pPr>
            <w:r w:rsidRPr="00913226">
              <w:rPr>
                <w:sz w:val="16"/>
              </w:rPr>
              <w:t>4.7–25.2</w:t>
            </w:r>
          </w:p>
        </w:tc>
      </w:tr>
      <w:tr w:rsidR="00913226" w:rsidRPr="00913226" w14:paraId="48A6D75A" w14:textId="77777777" w:rsidTr="00913226">
        <w:trPr>
          <w:trHeight w:val="60"/>
        </w:trPr>
        <w:tc>
          <w:tcPr>
            <w:tcW w:w="2098" w:type="dxa"/>
            <w:vMerge/>
            <w:tcBorders>
              <w:bottom w:val="single" w:sz="6" w:space="0" w:color="1E4496" w:themeColor="text2"/>
            </w:tcBorders>
            <w:shd w:val="clear" w:color="auto" w:fill="DCF4FC" w:themeFill="background2" w:themeFillTint="33"/>
            <w:tcMar>
              <w:top w:w="96" w:type="dxa"/>
              <w:bottom w:w="96" w:type="dxa"/>
            </w:tcMar>
          </w:tcPr>
          <w:p w14:paraId="56DB061A" w14:textId="77777777" w:rsidR="00913226" w:rsidRPr="00913226" w:rsidRDefault="00913226" w:rsidP="00913226">
            <w:pPr>
              <w:pStyle w:val="CDITable-RowLeft"/>
              <w:rPr>
                <w:sz w:val="16"/>
              </w:rPr>
            </w:pPr>
          </w:p>
        </w:tc>
        <w:tc>
          <w:tcPr>
            <w:tcW w:w="153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2B85FA40" w14:textId="77777777" w:rsidR="00913226" w:rsidRPr="00913226" w:rsidRDefault="00913226" w:rsidP="00913226">
            <w:pPr>
              <w:pStyle w:val="CDITable-RowLeft"/>
              <w:rPr>
                <w:sz w:val="16"/>
              </w:rPr>
            </w:pPr>
            <w:r w:rsidRPr="00913226">
              <w:rPr>
                <w:sz w:val="16"/>
              </w:rPr>
              <w:t>91–364 days</w:t>
            </w:r>
          </w:p>
        </w:tc>
        <w:tc>
          <w:tcPr>
            <w:tcW w:w="79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4DDE24D1" w14:textId="77777777" w:rsidR="00913226" w:rsidRPr="00913226" w:rsidRDefault="00913226" w:rsidP="00913226">
            <w:pPr>
              <w:pStyle w:val="CDITable-RowCentre"/>
              <w:rPr>
                <w:sz w:val="16"/>
              </w:rPr>
            </w:pPr>
            <w:r w:rsidRPr="00913226">
              <w:rPr>
                <w:sz w:val="16"/>
              </w:rPr>
              <w:t>60</w:t>
            </w:r>
          </w:p>
        </w:tc>
        <w:tc>
          <w:tcPr>
            <w:tcW w:w="79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5E374F46" w14:textId="77777777" w:rsidR="00913226" w:rsidRPr="00913226" w:rsidRDefault="00913226" w:rsidP="00913226">
            <w:pPr>
              <w:pStyle w:val="CDITable-RowCentre"/>
              <w:rPr>
                <w:sz w:val="16"/>
              </w:rPr>
            </w:pPr>
            <w:r w:rsidRPr="00913226">
              <w:rPr>
                <w:sz w:val="16"/>
              </w:rPr>
              <w:t>13</w:t>
            </w:r>
          </w:p>
        </w:tc>
        <w:tc>
          <w:tcPr>
            <w:tcW w:w="793"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0AE9191C" w14:textId="77777777" w:rsidR="00913226" w:rsidRPr="00913226" w:rsidRDefault="00913226" w:rsidP="00913226">
            <w:pPr>
              <w:pStyle w:val="CDITable-RowCentre"/>
              <w:rPr>
                <w:sz w:val="16"/>
              </w:rPr>
            </w:pPr>
            <w:r w:rsidRPr="00913226">
              <w:rPr>
                <w:sz w:val="16"/>
              </w:rPr>
              <w:t>21.7</w:t>
            </w:r>
          </w:p>
        </w:tc>
        <w:tc>
          <w:tcPr>
            <w:tcW w:w="1191" w:type="dxa"/>
            <w:tcBorders>
              <w:top w:val="single" w:sz="6" w:space="0" w:color="1E4496" w:themeColor="text2"/>
              <w:bottom w:val="single" w:sz="6" w:space="0" w:color="1E4496" w:themeColor="text2"/>
              <w:right w:val="single" w:sz="6" w:space="0" w:color="1E4496" w:themeColor="text2"/>
            </w:tcBorders>
            <w:tcMar>
              <w:top w:w="96" w:type="dxa"/>
              <w:left w:w="113" w:type="dxa"/>
              <w:bottom w:w="96" w:type="dxa"/>
              <w:right w:w="113" w:type="dxa"/>
            </w:tcMar>
            <w:vAlign w:val="center"/>
          </w:tcPr>
          <w:p w14:paraId="2B74F122" w14:textId="77777777" w:rsidR="00913226" w:rsidRPr="00913226" w:rsidRDefault="00913226" w:rsidP="00913226">
            <w:pPr>
              <w:pStyle w:val="CDITable-RowCentre"/>
              <w:rPr>
                <w:sz w:val="16"/>
              </w:rPr>
            </w:pPr>
            <w:r w:rsidRPr="00913226">
              <w:rPr>
                <w:sz w:val="16"/>
              </w:rPr>
              <w:t>12.1–34.2</w:t>
            </w:r>
          </w:p>
        </w:tc>
        <w:tc>
          <w:tcPr>
            <w:tcW w:w="794" w:type="dxa"/>
            <w:tcBorders>
              <w:top w:val="single" w:sz="6" w:space="0" w:color="1E4496" w:themeColor="text2"/>
              <w:left w:val="single" w:sz="6" w:space="0" w:color="1E4496" w:themeColor="text2"/>
              <w:bottom w:val="single" w:sz="6" w:space="0" w:color="1E4496" w:themeColor="text2"/>
            </w:tcBorders>
            <w:tcMar>
              <w:top w:w="96" w:type="dxa"/>
              <w:left w:w="113" w:type="dxa"/>
              <w:bottom w:w="96" w:type="dxa"/>
              <w:right w:w="113" w:type="dxa"/>
            </w:tcMar>
            <w:vAlign w:val="center"/>
          </w:tcPr>
          <w:p w14:paraId="40537467" w14:textId="77777777" w:rsidR="00913226" w:rsidRPr="00913226" w:rsidRDefault="00913226" w:rsidP="00913226">
            <w:pPr>
              <w:pStyle w:val="CDITable-RowCentre"/>
              <w:rPr>
                <w:sz w:val="16"/>
              </w:rPr>
            </w:pPr>
            <w:r w:rsidRPr="00913226">
              <w:rPr>
                <w:sz w:val="16"/>
              </w:rPr>
              <w:t>60</w:t>
            </w:r>
          </w:p>
        </w:tc>
        <w:tc>
          <w:tcPr>
            <w:tcW w:w="793"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5CA55F18" w14:textId="77777777" w:rsidR="00913226" w:rsidRPr="00913226" w:rsidRDefault="00913226" w:rsidP="00913226">
            <w:pPr>
              <w:pStyle w:val="CDITable-RowCentre"/>
              <w:rPr>
                <w:sz w:val="16"/>
              </w:rPr>
            </w:pPr>
            <w:r w:rsidRPr="00913226">
              <w:rPr>
                <w:sz w:val="16"/>
              </w:rPr>
              <w:t>4</w:t>
            </w:r>
          </w:p>
        </w:tc>
        <w:tc>
          <w:tcPr>
            <w:tcW w:w="79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4F3E0717" w14:textId="77777777" w:rsidR="00913226" w:rsidRPr="00913226" w:rsidRDefault="00913226" w:rsidP="00913226">
            <w:pPr>
              <w:pStyle w:val="CDITable-RowCentre"/>
              <w:rPr>
                <w:sz w:val="16"/>
              </w:rPr>
            </w:pPr>
            <w:r w:rsidRPr="00913226">
              <w:rPr>
                <w:sz w:val="16"/>
              </w:rPr>
              <w:t>6.7</w:t>
            </w:r>
          </w:p>
        </w:tc>
        <w:tc>
          <w:tcPr>
            <w:tcW w:w="1191" w:type="dxa"/>
            <w:tcBorders>
              <w:top w:val="single" w:sz="6" w:space="0" w:color="1E4496" w:themeColor="text2"/>
              <w:bottom w:val="single" w:sz="6" w:space="0" w:color="1E4496" w:themeColor="text2"/>
              <w:right w:val="single" w:sz="6" w:space="0" w:color="1E4496" w:themeColor="text2"/>
            </w:tcBorders>
            <w:tcMar>
              <w:top w:w="96" w:type="dxa"/>
              <w:left w:w="113" w:type="dxa"/>
              <w:bottom w:w="96" w:type="dxa"/>
              <w:right w:w="113" w:type="dxa"/>
            </w:tcMar>
            <w:vAlign w:val="center"/>
          </w:tcPr>
          <w:p w14:paraId="19A2E25D" w14:textId="77777777" w:rsidR="00913226" w:rsidRPr="00913226" w:rsidRDefault="00913226" w:rsidP="00913226">
            <w:pPr>
              <w:pStyle w:val="CDITable-RowCentre"/>
              <w:rPr>
                <w:sz w:val="16"/>
              </w:rPr>
            </w:pPr>
            <w:r w:rsidRPr="00913226">
              <w:rPr>
                <w:sz w:val="16"/>
              </w:rPr>
              <w:t>1.8–16.2</w:t>
            </w:r>
          </w:p>
        </w:tc>
        <w:tc>
          <w:tcPr>
            <w:tcW w:w="793" w:type="dxa"/>
            <w:tcBorders>
              <w:top w:val="single" w:sz="6" w:space="0" w:color="1E4496" w:themeColor="text2"/>
              <w:left w:val="single" w:sz="6" w:space="0" w:color="1E4496" w:themeColor="text2"/>
              <w:bottom w:val="single" w:sz="6" w:space="0" w:color="1E4496" w:themeColor="text2"/>
            </w:tcBorders>
            <w:tcMar>
              <w:top w:w="96" w:type="dxa"/>
              <w:left w:w="113" w:type="dxa"/>
              <w:bottom w:w="96" w:type="dxa"/>
              <w:right w:w="113" w:type="dxa"/>
            </w:tcMar>
            <w:vAlign w:val="center"/>
          </w:tcPr>
          <w:p w14:paraId="18D2B792" w14:textId="77777777" w:rsidR="00913226" w:rsidRPr="00913226" w:rsidRDefault="00913226" w:rsidP="00913226">
            <w:pPr>
              <w:pStyle w:val="CDITable-RowCentre"/>
              <w:rPr>
                <w:sz w:val="16"/>
              </w:rPr>
            </w:pPr>
            <w:r w:rsidRPr="00913226">
              <w:rPr>
                <w:sz w:val="16"/>
              </w:rPr>
              <w:t>58</w:t>
            </w:r>
          </w:p>
        </w:tc>
        <w:tc>
          <w:tcPr>
            <w:tcW w:w="79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66D90ED7" w14:textId="77777777" w:rsidR="00913226" w:rsidRPr="00913226" w:rsidRDefault="00913226" w:rsidP="00913226">
            <w:pPr>
              <w:pStyle w:val="CDITable-RowCentre"/>
              <w:rPr>
                <w:sz w:val="16"/>
              </w:rPr>
            </w:pPr>
            <w:r w:rsidRPr="00913226">
              <w:rPr>
                <w:sz w:val="16"/>
              </w:rPr>
              <w:t>13</w:t>
            </w:r>
          </w:p>
        </w:tc>
        <w:tc>
          <w:tcPr>
            <w:tcW w:w="79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301B2DCA" w14:textId="77777777" w:rsidR="00913226" w:rsidRPr="00913226" w:rsidRDefault="00913226" w:rsidP="00913226">
            <w:pPr>
              <w:pStyle w:val="CDITable-RowCentre"/>
              <w:rPr>
                <w:sz w:val="16"/>
              </w:rPr>
            </w:pPr>
            <w:r w:rsidRPr="00913226">
              <w:rPr>
                <w:sz w:val="16"/>
              </w:rPr>
              <w:t>22.4</w:t>
            </w:r>
          </w:p>
        </w:tc>
        <w:tc>
          <w:tcPr>
            <w:tcW w:w="119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1DB87680" w14:textId="77777777" w:rsidR="00913226" w:rsidRPr="00913226" w:rsidRDefault="00913226" w:rsidP="00913226">
            <w:pPr>
              <w:pStyle w:val="CDITable-RowCentre"/>
              <w:rPr>
                <w:sz w:val="16"/>
              </w:rPr>
            </w:pPr>
            <w:r w:rsidRPr="00913226">
              <w:rPr>
                <w:sz w:val="16"/>
              </w:rPr>
              <w:t>12.5–35.3</w:t>
            </w:r>
          </w:p>
        </w:tc>
      </w:tr>
      <w:tr w:rsidR="00913226" w:rsidRPr="00913226" w14:paraId="56288478" w14:textId="77777777" w:rsidTr="00913226">
        <w:trPr>
          <w:trHeight w:val="60"/>
        </w:trPr>
        <w:tc>
          <w:tcPr>
            <w:tcW w:w="2098" w:type="dxa"/>
            <w:vMerge/>
            <w:tcBorders>
              <w:bottom w:val="single" w:sz="6" w:space="0" w:color="1E4496" w:themeColor="text2"/>
            </w:tcBorders>
            <w:shd w:val="clear" w:color="auto" w:fill="DCF4FC" w:themeFill="background2" w:themeFillTint="33"/>
            <w:tcMar>
              <w:top w:w="96" w:type="dxa"/>
              <w:bottom w:w="96" w:type="dxa"/>
            </w:tcMar>
          </w:tcPr>
          <w:p w14:paraId="43A08325" w14:textId="77777777" w:rsidR="00913226" w:rsidRPr="00913226" w:rsidRDefault="00913226" w:rsidP="00913226">
            <w:pPr>
              <w:pStyle w:val="CDITable-RowLeft"/>
              <w:rPr>
                <w:sz w:val="16"/>
              </w:rPr>
            </w:pPr>
          </w:p>
        </w:tc>
        <w:tc>
          <w:tcPr>
            <w:tcW w:w="153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7FD3E80C" w14:textId="77777777" w:rsidR="00913226" w:rsidRPr="00913226" w:rsidRDefault="00913226" w:rsidP="00913226">
            <w:pPr>
              <w:pStyle w:val="CDITable-RowLeft"/>
              <w:rPr>
                <w:sz w:val="16"/>
              </w:rPr>
            </w:pPr>
            <w:r w:rsidRPr="00913226">
              <w:rPr>
                <w:sz w:val="16"/>
              </w:rPr>
              <w:t>1–4 years</w:t>
            </w:r>
          </w:p>
        </w:tc>
        <w:tc>
          <w:tcPr>
            <w:tcW w:w="79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7F7A0ABE" w14:textId="77777777" w:rsidR="00913226" w:rsidRPr="00913226" w:rsidRDefault="00913226" w:rsidP="00913226">
            <w:pPr>
              <w:pStyle w:val="CDITable-RowCentre"/>
              <w:rPr>
                <w:sz w:val="16"/>
              </w:rPr>
            </w:pPr>
            <w:r w:rsidRPr="00913226">
              <w:rPr>
                <w:sz w:val="16"/>
              </w:rPr>
              <w:t>110</w:t>
            </w:r>
          </w:p>
        </w:tc>
        <w:tc>
          <w:tcPr>
            <w:tcW w:w="79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07FB1AEE" w14:textId="77777777" w:rsidR="00913226" w:rsidRPr="00913226" w:rsidRDefault="00913226" w:rsidP="00913226">
            <w:pPr>
              <w:pStyle w:val="CDITable-RowCentre"/>
              <w:rPr>
                <w:sz w:val="16"/>
              </w:rPr>
            </w:pPr>
            <w:r w:rsidRPr="00913226">
              <w:rPr>
                <w:sz w:val="16"/>
              </w:rPr>
              <w:t>12</w:t>
            </w:r>
          </w:p>
        </w:tc>
        <w:tc>
          <w:tcPr>
            <w:tcW w:w="793"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4744D256" w14:textId="77777777" w:rsidR="00913226" w:rsidRPr="00913226" w:rsidRDefault="00913226" w:rsidP="00913226">
            <w:pPr>
              <w:pStyle w:val="CDITable-RowCentre"/>
              <w:rPr>
                <w:sz w:val="16"/>
              </w:rPr>
            </w:pPr>
            <w:r w:rsidRPr="00913226">
              <w:rPr>
                <w:sz w:val="16"/>
              </w:rPr>
              <w:t>10.9</w:t>
            </w:r>
          </w:p>
        </w:tc>
        <w:tc>
          <w:tcPr>
            <w:tcW w:w="1191" w:type="dxa"/>
            <w:tcBorders>
              <w:top w:val="single" w:sz="6" w:space="0" w:color="1E4496" w:themeColor="text2"/>
              <w:bottom w:val="single" w:sz="6" w:space="0" w:color="1E4496" w:themeColor="text2"/>
              <w:right w:val="single" w:sz="6" w:space="0" w:color="1E4496" w:themeColor="text2"/>
            </w:tcBorders>
            <w:tcMar>
              <w:top w:w="96" w:type="dxa"/>
              <w:left w:w="113" w:type="dxa"/>
              <w:bottom w:w="96" w:type="dxa"/>
              <w:right w:w="113" w:type="dxa"/>
            </w:tcMar>
            <w:vAlign w:val="center"/>
          </w:tcPr>
          <w:p w14:paraId="3645F7B9" w14:textId="77777777" w:rsidR="00913226" w:rsidRPr="00913226" w:rsidRDefault="00913226" w:rsidP="00913226">
            <w:pPr>
              <w:pStyle w:val="CDITable-RowCentre"/>
              <w:rPr>
                <w:sz w:val="16"/>
              </w:rPr>
            </w:pPr>
            <w:r w:rsidRPr="00913226">
              <w:rPr>
                <w:sz w:val="16"/>
              </w:rPr>
              <w:t>5.8–18.3</w:t>
            </w:r>
          </w:p>
        </w:tc>
        <w:tc>
          <w:tcPr>
            <w:tcW w:w="794" w:type="dxa"/>
            <w:tcBorders>
              <w:top w:val="single" w:sz="6" w:space="0" w:color="1E4496" w:themeColor="text2"/>
              <w:left w:val="single" w:sz="6" w:space="0" w:color="1E4496" w:themeColor="text2"/>
              <w:bottom w:val="single" w:sz="6" w:space="0" w:color="1E4496" w:themeColor="text2"/>
            </w:tcBorders>
            <w:tcMar>
              <w:top w:w="96" w:type="dxa"/>
              <w:left w:w="113" w:type="dxa"/>
              <w:bottom w:w="96" w:type="dxa"/>
              <w:right w:w="113" w:type="dxa"/>
            </w:tcMar>
            <w:vAlign w:val="center"/>
          </w:tcPr>
          <w:p w14:paraId="353D3CD0" w14:textId="77777777" w:rsidR="00913226" w:rsidRPr="00913226" w:rsidRDefault="00913226" w:rsidP="00913226">
            <w:pPr>
              <w:pStyle w:val="CDITable-RowCentre"/>
              <w:rPr>
                <w:sz w:val="16"/>
              </w:rPr>
            </w:pPr>
            <w:r w:rsidRPr="00913226">
              <w:rPr>
                <w:sz w:val="16"/>
              </w:rPr>
              <w:t>110</w:t>
            </w:r>
          </w:p>
        </w:tc>
        <w:tc>
          <w:tcPr>
            <w:tcW w:w="793"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0952D1C8" w14:textId="77777777" w:rsidR="00913226" w:rsidRPr="00913226" w:rsidRDefault="00913226" w:rsidP="00913226">
            <w:pPr>
              <w:pStyle w:val="CDITable-RowCentre"/>
              <w:rPr>
                <w:sz w:val="16"/>
              </w:rPr>
            </w:pPr>
            <w:r w:rsidRPr="00913226">
              <w:rPr>
                <w:sz w:val="16"/>
              </w:rPr>
              <w:t>9</w:t>
            </w:r>
          </w:p>
        </w:tc>
        <w:tc>
          <w:tcPr>
            <w:tcW w:w="79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49468D71" w14:textId="77777777" w:rsidR="00913226" w:rsidRPr="00913226" w:rsidRDefault="00913226" w:rsidP="00913226">
            <w:pPr>
              <w:pStyle w:val="CDITable-RowCentre"/>
              <w:rPr>
                <w:sz w:val="16"/>
              </w:rPr>
            </w:pPr>
            <w:r w:rsidRPr="00913226">
              <w:rPr>
                <w:sz w:val="16"/>
              </w:rPr>
              <w:t>8.2</w:t>
            </w:r>
          </w:p>
        </w:tc>
        <w:tc>
          <w:tcPr>
            <w:tcW w:w="1191" w:type="dxa"/>
            <w:tcBorders>
              <w:top w:val="single" w:sz="6" w:space="0" w:color="1E4496" w:themeColor="text2"/>
              <w:bottom w:val="single" w:sz="6" w:space="0" w:color="1E4496" w:themeColor="text2"/>
              <w:right w:val="single" w:sz="6" w:space="0" w:color="1E4496" w:themeColor="text2"/>
            </w:tcBorders>
            <w:tcMar>
              <w:top w:w="96" w:type="dxa"/>
              <w:left w:w="113" w:type="dxa"/>
              <w:bottom w:w="96" w:type="dxa"/>
              <w:right w:w="113" w:type="dxa"/>
            </w:tcMar>
            <w:vAlign w:val="center"/>
          </w:tcPr>
          <w:p w14:paraId="32AD1333" w14:textId="77777777" w:rsidR="00913226" w:rsidRPr="00913226" w:rsidRDefault="00913226" w:rsidP="00913226">
            <w:pPr>
              <w:pStyle w:val="CDITable-RowCentre"/>
              <w:rPr>
                <w:sz w:val="16"/>
              </w:rPr>
            </w:pPr>
            <w:r w:rsidRPr="00913226">
              <w:rPr>
                <w:sz w:val="16"/>
              </w:rPr>
              <w:t>3.8–15</w:t>
            </w:r>
          </w:p>
        </w:tc>
        <w:tc>
          <w:tcPr>
            <w:tcW w:w="793" w:type="dxa"/>
            <w:tcBorders>
              <w:top w:val="single" w:sz="6" w:space="0" w:color="1E4496" w:themeColor="text2"/>
              <w:left w:val="single" w:sz="6" w:space="0" w:color="1E4496" w:themeColor="text2"/>
              <w:bottom w:val="single" w:sz="6" w:space="0" w:color="1E4496" w:themeColor="text2"/>
            </w:tcBorders>
            <w:tcMar>
              <w:top w:w="96" w:type="dxa"/>
              <w:left w:w="113" w:type="dxa"/>
              <w:bottom w:w="96" w:type="dxa"/>
              <w:right w:w="113" w:type="dxa"/>
            </w:tcMar>
            <w:vAlign w:val="center"/>
          </w:tcPr>
          <w:p w14:paraId="34C65BA0" w14:textId="77777777" w:rsidR="00913226" w:rsidRPr="00913226" w:rsidRDefault="00913226" w:rsidP="00913226">
            <w:pPr>
              <w:pStyle w:val="CDITable-RowCentre"/>
              <w:rPr>
                <w:sz w:val="16"/>
              </w:rPr>
            </w:pPr>
            <w:r w:rsidRPr="00913226">
              <w:rPr>
                <w:sz w:val="16"/>
              </w:rPr>
              <w:t>106</w:t>
            </w:r>
          </w:p>
        </w:tc>
        <w:tc>
          <w:tcPr>
            <w:tcW w:w="79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38B5E9A2" w14:textId="77777777" w:rsidR="00913226" w:rsidRPr="00913226" w:rsidRDefault="00913226" w:rsidP="00913226">
            <w:pPr>
              <w:pStyle w:val="CDITable-RowCentre"/>
              <w:rPr>
                <w:sz w:val="16"/>
              </w:rPr>
            </w:pPr>
            <w:r w:rsidRPr="00913226">
              <w:rPr>
                <w:sz w:val="16"/>
              </w:rPr>
              <w:t>19</w:t>
            </w:r>
          </w:p>
        </w:tc>
        <w:tc>
          <w:tcPr>
            <w:tcW w:w="79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35D0C3E5" w14:textId="77777777" w:rsidR="00913226" w:rsidRPr="00913226" w:rsidRDefault="00913226" w:rsidP="00913226">
            <w:pPr>
              <w:pStyle w:val="CDITable-RowCentre"/>
              <w:rPr>
                <w:sz w:val="16"/>
              </w:rPr>
            </w:pPr>
            <w:r w:rsidRPr="00913226">
              <w:rPr>
                <w:sz w:val="16"/>
              </w:rPr>
              <w:t>17.9</w:t>
            </w:r>
          </w:p>
        </w:tc>
        <w:tc>
          <w:tcPr>
            <w:tcW w:w="119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24F7EC14" w14:textId="77777777" w:rsidR="00913226" w:rsidRPr="00913226" w:rsidRDefault="00913226" w:rsidP="00913226">
            <w:pPr>
              <w:pStyle w:val="CDITable-RowCentre"/>
              <w:rPr>
                <w:sz w:val="16"/>
              </w:rPr>
            </w:pPr>
            <w:r w:rsidRPr="00913226">
              <w:rPr>
                <w:sz w:val="16"/>
              </w:rPr>
              <w:t>11.2–26.6</w:t>
            </w:r>
          </w:p>
        </w:tc>
      </w:tr>
      <w:tr w:rsidR="00913226" w:rsidRPr="00913226" w14:paraId="4ED1FFCD" w14:textId="77777777" w:rsidTr="00913226">
        <w:trPr>
          <w:trHeight w:val="60"/>
        </w:trPr>
        <w:tc>
          <w:tcPr>
            <w:tcW w:w="2098" w:type="dxa"/>
            <w:vMerge/>
            <w:tcBorders>
              <w:bottom w:val="single" w:sz="6" w:space="0" w:color="1E4496" w:themeColor="text2"/>
            </w:tcBorders>
            <w:shd w:val="clear" w:color="auto" w:fill="DCF4FC" w:themeFill="background2" w:themeFillTint="33"/>
            <w:tcMar>
              <w:top w:w="96" w:type="dxa"/>
              <w:bottom w:w="96" w:type="dxa"/>
            </w:tcMar>
          </w:tcPr>
          <w:p w14:paraId="6B6EDB30" w14:textId="77777777" w:rsidR="00913226" w:rsidRPr="00913226" w:rsidRDefault="00913226" w:rsidP="00913226">
            <w:pPr>
              <w:pStyle w:val="CDITable-RowLeft"/>
              <w:rPr>
                <w:sz w:val="16"/>
              </w:rPr>
            </w:pPr>
          </w:p>
        </w:tc>
        <w:tc>
          <w:tcPr>
            <w:tcW w:w="153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16DBBA59" w14:textId="77777777" w:rsidR="00913226" w:rsidRPr="00913226" w:rsidRDefault="00913226" w:rsidP="00913226">
            <w:pPr>
              <w:pStyle w:val="CDITable-RowLeft"/>
              <w:rPr>
                <w:sz w:val="16"/>
              </w:rPr>
            </w:pPr>
            <w:r w:rsidRPr="00913226">
              <w:rPr>
                <w:sz w:val="16"/>
              </w:rPr>
              <w:t>5–11 years</w:t>
            </w:r>
          </w:p>
        </w:tc>
        <w:tc>
          <w:tcPr>
            <w:tcW w:w="79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0688B031" w14:textId="77777777" w:rsidR="00913226" w:rsidRPr="00913226" w:rsidRDefault="00913226" w:rsidP="00913226">
            <w:pPr>
              <w:pStyle w:val="CDITable-RowCentre"/>
              <w:rPr>
                <w:sz w:val="16"/>
              </w:rPr>
            </w:pPr>
            <w:r w:rsidRPr="00913226">
              <w:rPr>
                <w:sz w:val="16"/>
              </w:rPr>
              <w:t>174</w:t>
            </w:r>
          </w:p>
        </w:tc>
        <w:tc>
          <w:tcPr>
            <w:tcW w:w="79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44DC02B2" w14:textId="77777777" w:rsidR="00913226" w:rsidRPr="00913226" w:rsidRDefault="00913226" w:rsidP="00913226">
            <w:pPr>
              <w:pStyle w:val="CDITable-RowCentre"/>
              <w:rPr>
                <w:sz w:val="16"/>
              </w:rPr>
            </w:pPr>
            <w:r w:rsidRPr="00913226">
              <w:rPr>
                <w:sz w:val="16"/>
              </w:rPr>
              <w:t>12</w:t>
            </w:r>
          </w:p>
        </w:tc>
        <w:tc>
          <w:tcPr>
            <w:tcW w:w="793"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476037A9" w14:textId="77777777" w:rsidR="00913226" w:rsidRPr="00913226" w:rsidRDefault="00913226" w:rsidP="00913226">
            <w:pPr>
              <w:pStyle w:val="CDITable-RowCentre"/>
              <w:rPr>
                <w:sz w:val="16"/>
              </w:rPr>
            </w:pPr>
            <w:r w:rsidRPr="00913226">
              <w:rPr>
                <w:sz w:val="16"/>
              </w:rPr>
              <w:t>6.9</w:t>
            </w:r>
          </w:p>
        </w:tc>
        <w:tc>
          <w:tcPr>
            <w:tcW w:w="1191" w:type="dxa"/>
            <w:tcBorders>
              <w:top w:val="single" w:sz="6" w:space="0" w:color="1E4496" w:themeColor="text2"/>
              <w:bottom w:val="single" w:sz="6" w:space="0" w:color="1E4496" w:themeColor="text2"/>
              <w:right w:val="single" w:sz="6" w:space="0" w:color="1E4496" w:themeColor="text2"/>
            </w:tcBorders>
            <w:tcMar>
              <w:top w:w="96" w:type="dxa"/>
              <w:left w:w="113" w:type="dxa"/>
              <w:bottom w:w="96" w:type="dxa"/>
              <w:right w:w="113" w:type="dxa"/>
            </w:tcMar>
            <w:vAlign w:val="center"/>
          </w:tcPr>
          <w:p w14:paraId="514435CB" w14:textId="77777777" w:rsidR="00913226" w:rsidRPr="00913226" w:rsidRDefault="00913226" w:rsidP="00913226">
            <w:pPr>
              <w:pStyle w:val="CDITable-RowCentre"/>
              <w:rPr>
                <w:sz w:val="16"/>
              </w:rPr>
            </w:pPr>
            <w:r w:rsidRPr="00913226">
              <w:rPr>
                <w:sz w:val="16"/>
              </w:rPr>
              <w:t>3.6–11.7</w:t>
            </w:r>
          </w:p>
        </w:tc>
        <w:tc>
          <w:tcPr>
            <w:tcW w:w="794" w:type="dxa"/>
            <w:tcBorders>
              <w:top w:val="single" w:sz="6" w:space="0" w:color="1E4496" w:themeColor="text2"/>
              <w:left w:val="single" w:sz="6" w:space="0" w:color="1E4496" w:themeColor="text2"/>
              <w:bottom w:val="single" w:sz="6" w:space="0" w:color="1E4496" w:themeColor="text2"/>
            </w:tcBorders>
            <w:tcMar>
              <w:top w:w="96" w:type="dxa"/>
              <w:left w:w="113" w:type="dxa"/>
              <w:bottom w:w="96" w:type="dxa"/>
              <w:right w:w="113" w:type="dxa"/>
            </w:tcMar>
            <w:vAlign w:val="center"/>
          </w:tcPr>
          <w:p w14:paraId="40D0A010" w14:textId="77777777" w:rsidR="00913226" w:rsidRPr="00913226" w:rsidRDefault="00913226" w:rsidP="00913226">
            <w:pPr>
              <w:pStyle w:val="CDITable-RowCentre"/>
              <w:rPr>
                <w:sz w:val="16"/>
              </w:rPr>
            </w:pPr>
            <w:r w:rsidRPr="00913226">
              <w:rPr>
                <w:sz w:val="16"/>
              </w:rPr>
              <w:t>174</w:t>
            </w:r>
          </w:p>
        </w:tc>
        <w:tc>
          <w:tcPr>
            <w:tcW w:w="793"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1E994E32" w14:textId="77777777" w:rsidR="00913226" w:rsidRPr="00913226" w:rsidRDefault="00913226" w:rsidP="00913226">
            <w:pPr>
              <w:pStyle w:val="CDITable-RowCentre"/>
              <w:rPr>
                <w:sz w:val="16"/>
              </w:rPr>
            </w:pPr>
            <w:r w:rsidRPr="00913226">
              <w:rPr>
                <w:sz w:val="16"/>
              </w:rPr>
              <w:t>6</w:t>
            </w:r>
          </w:p>
        </w:tc>
        <w:tc>
          <w:tcPr>
            <w:tcW w:w="79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7A599978" w14:textId="77777777" w:rsidR="00913226" w:rsidRPr="00913226" w:rsidRDefault="00913226" w:rsidP="00913226">
            <w:pPr>
              <w:pStyle w:val="CDITable-RowCentre"/>
              <w:rPr>
                <w:sz w:val="16"/>
              </w:rPr>
            </w:pPr>
            <w:r w:rsidRPr="00913226">
              <w:rPr>
                <w:sz w:val="16"/>
              </w:rPr>
              <w:t>3.4</w:t>
            </w:r>
          </w:p>
        </w:tc>
        <w:tc>
          <w:tcPr>
            <w:tcW w:w="1191" w:type="dxa"/>
            <w:tcBorders>
              <w:top w:val="single" w:sz="6" w:space="0" w:color="1E4496" w:themeColor="text2"/>
              <w:bottom w:val="single" w:sz="6" w:space="0" w:color="1E4496" w:themeColor="text2"/>
              <w:right w:val="single" w:sz="6" w:space="0" w:color="1E4496" w:themeColor="text2"/>
            </w:tcBorders>
            <w:tcMar>
              <w:top w:w="96" w:type="dxa"/>
              <w:left w:w="113" w:type="dxa"/>
              <w:bottom w:w="96" w:type="dxa"/>
              <w:right w:w="113" w:type="dxa"/>
            </w:tcMar>
            <w:vAlign w:val="center"/>
          </w:tcPr>
          <w:p w14:paraId="5A619178" w14:textId="77777777" w:rsidR="00913226" w:rsidRPr="00913226" w:rsidRDefault="00913226" w:rsidP="00913226">
            <w:pPr>
              <w:pStyle w:val="CDITable-RowCentre"/>
              <w:rPr>
                <w:sz w:val="16"/>
              </w:rPr>
            </w:pPr>
            <w:r w:rsidRPr="00913226">
              <w:rPr>
                <w:sz w:val="16"/>
              </w:rPr>
              <w:t>1.3–7.4</w:t>
            </w:r>
          </w:p>
        </w:tc>
        <w:tc>
          <w:tcPr>
            <w:tcW w:w="793" w:type="dxa"/>
            <w:tcBorders>
              <w:top w:val="single" w:sz="6" w:space="0" w:color="1E4496" w:themeColor="text2"/>
              <w:left w:val="single" w:sz="6" w:space="0" w:color="1E4496" w:themeColor="text2"/>
              <w:bottom w:val="single" w:sz="6" w:space="0" w:color="1E4496" w:themeColor="text2"/>
            </w:tcBorders>
            <w:tcMar>
              <w:top w:w="96" w:type="dxa"/>
              <w:left w:w="113" w:type="dxa"/>
              <w:bottom w:w="96" w:type="dxa"/>
              <w:right w:w="113" w:type="dxa"/>
            </w:tcMar>
            <w:vAlign w:val="center"/>
          </w:tcPr>
          <w:p w14:paraId="6C16929D" w14:textId="77777777" w:rsidR="00913226" w:rsidRPr="00913226" w:rsidRDefault="00913226" w:rsidP="00913226">
            <w:pPr>
              <w:pStyle w:val="CDITable-RowCentre"/>
              <w:rPr>
                <w:sz w:val="16"/>
              </w:rPr>
            </w:pPr>
            <w:r w:rsidRPr="00913226">
              <w:rPr>
                <w:sz w:val="16"/>
              </w:rPr>
              <w:t>169</w:t>
            </w:r>
          </w:p>
        </w:tc>
        <w:tc>
          <w:tcPr>
            <w:tcW w:w="79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39039210" w14:textId="77777777" w:rsidR="00913226" w:rsidRPr="00913226" w:rsidRDefault="00913226" w:rsidP="00913226">
            <w:pPr>
              <w:pStyle w:val="CDITable-RowCentre"/>
              <w:rPr>
                <w:sz w:val="16"/>
              </w:rPr>
            </w:pPr>
            <w:r w:rsidRPr="00913226">
              <w:rPr>
                <w:sz w:val="16"/>
              </w:rPr>
              <w:t>17</w:t>
            </w:r>
          </w:p>
        </w:tc>
        <w:tc>
          <w:tcPr>
            <w:tcW w:w="79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5907418F" w14:textId="77777777" w:rsidR="00913226" w:rsidRPr="00913226" w:rsidRDefault="00913226" w:rsidP="00913226">
            <w:pPr>
              <w:pStyle w:val="CDITable-RowCentre"/>
              <w:rPr>
                <w:sz w:val="16"/>
              </w:rPr>
            </w:pPr>
            <w:r w:rsidRPr="00913226">
              <w:rPr>
                <w:sz w:val="16"/>
              </w:rPr>
              <w:t>10.1</w:t>
            </w:r>
          </w:p>
        </w:tc>
        <w:tc>
          <w:tcPr>
            <w:tcW w:w="119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066AEB50" w14:textId="77777777" w:rsidR="00913226" w:rsidRPr="00913226" w:rsidRDefault="00913226" w:rsidP="00913226">
            <w:pPr>
              <w:pStyle w:val="CDITable-RowCentre"/>
              <w:rPr>
                <w:sz w:val="16"/>
              </w:rPr>
            </w:pPr>
            <w:r w:rsidRPr="00913226">
              <w:rPr>
                <w:sz w:val="16"/>
              </w:rPr>
              <w:t>6.0–15.6</w:t>
            </w:r>
          </w:p>
        </w:tc>
      </w:tr>
      <w:tr w:rsidR="00913226" w:rsidRPr="00913226" w14:paraId="62A524A2" w14:textId="77777777" w:rsidTr="00913226">
        <w:trPr>
          <w:trHeight w:val="60"/>
        </w:trPr>
        <w:tc>
          <w:tcPr>
            <w:tcW w:w="2098" w:type="dxa"/>
            <w:vMerge/>
            <w:tcBorders>
              <w:bottom w:val="single" w:sz="6" w:space="0" w:color="1E4496" w:themeColor="text2"/>
            </w:tcBorders>
            <w:shd w:val="clear" w:color="auto" w:fill="DCF4FC" w:themeFill="background2" w:themeFillTint="33"/>
            <w:tcMar>
              <w:top w:w="96" w:type="dxa"/>
              <w:bottom w:w="96" w:type="dxa"/>
            </w:tcMar>
          </w:tcPr>
          <w:p w14:paraId="694F4DF6" w14:textId="77777777" w:rsidR="00913226" w:rsidRPr="00913226" w:rsidRDefault="00913226" w:rsidP="00913226">
            <w:pPr>
              <w:pStyle w:val="CDITable-RowLeft"/>
              <w:rPr>
                <w:sz w:val="16"/>
              </w:rPr>
            </w:pPr>
          </w:p>
        </w:tc>
        <w:tc>
          <w:tcPr>
            <w:tcW w:w="153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226EC530" w14:textId="77777777" w:rsidR="00913226" w:rsidRPr="00913226" w:rsidRDefault="00913226" w:rsidP="00913226">
            <w:pPr>
              <w:pStyle w:val="CDITable-RowLeft"/>
              <w:rPr>
                <w:sz w:val="16"/>
              </w:rPr>
            </w:pPr>
            <w:r w:rsidRPr="00913226">
              <w:rPr>
                <w:sz w:val="16"/>
              </w:rPr>
              <w:t>12–17 years</w:t>
            </w:r>
          </w:p>
        </w:tc>
        <w:tc>
          <w:tcPr>
            <w:tcW w:w="79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0E8F8EB8" w14:textId="77777777" w:rsidR="00913226" w:rsidRPr="00913226" w:rsidRDefault="00913226" w:rsidP="00913226">
            <w:pPr>
              <w:pStyle w:val="CDITable-RowCentre"/>
              <w:rPr>
                <w:sz w:val="16"/>
              </w:rPr>
            </w:pPr>
            <w:r w:rsidRPr="00913226">
              <w:rPr>
                <w:sz w:val="16"/>
              </w:rPr>
              <w:t>154</w:t>
            </w:r>
          </w:p>
        </w:tc>
        <w:tc>
          <w:tcPr>
            <w:tcW w:w="79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3462D8E0" w14:textId="77777777" w:rsidR="00913226" w:rsidRPr="00913226" w:rsidRDefault="00913226" w:rsidP="00913226">
            <w:pPr>
              <w:pStyle w:val="CDITable-RowCentre"/>
              <w:rPr>
                <w:sz w:val="16"/>
              </w:rPr>
            </w:pPr>
            <w:r w:rsidRPr="00913226">
              <w:rPr>
                <w:sz w:val="16"/>
              </w:rPr>
              <w:t>10</w:t>
            </w:r>
          </w:p>
        </w:tc>
        <w:tc>
          <w:tcPr>
            <w:tcW w:w="793"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4F26CD69" w14:textId="77777777" w:rsidR="00913226" w:rsidRPr="00913226" w:rsidRDefault="00913226" w:rsidP="00913226">
            <w:pPr>
              <w:pStyle w:val="CDITable-RowCentre"/>
              <w:rPr>
                <w:sz w:val="16"/>
              </w:rPr>
            </w:pPr>
            <w:r w:rsidRPr="00913226">
              <w:rPr>
                <w:sz w:val="16"/>
              </w:rPr>
              <w:t>6.5</w:t>
            </w:r>
          </w:p>
        </w:tc>
        <w:tc>
          <w:tcPr>
            <w:tcW w:w="1191" w:type="dxa"/>
            <w:tcBorders>
              <w:top w:val="single" w:sz="6" w:space="0" w:color="1E4496" w:themeColor="text2"/>
              <w:bottom w:val="single" w:sz="6" w:space="0" w:color="1E4496" w:themeColor="text2"/>
              <w:right w:val="single" w:sz="6" w:space="0" w:color="1E4496" w:themeColor="text2"/>
            </w:tcBorders>
            <w:tcMar>
              <w:top w:w="96" w:type="dxa"/>
              <w:left w:w="113" w:type="dxa"/>
              <w:bottom w:w="96" w:type="dxa"/>
              <w:right w:w="113" w:type="dxa"/>
            </w:tcMar>
            <w:vAlign w:val="center"/>
          </w:tcPr>
          <w:p w14:paraId="1EA30C4A" w14:textId="77777777" w:rsidR="00913226" w:rsidRPr="00913226" w:rsidRDefault="00913226" w:rsidP="00913226">
            <w:pPr>
              <w:pStyle w:val="CDITable-RowCentre"/>
              <w:rPr>
                <w:sz w:val="16"/>
              </w:rPr>
            </w:pPr>
            <w:r w:rsidRPr="00913226">
              <w:rPr>
                <w:sz w:val="16"/>
              </w:rPr>
              <w:t>3.2–11.6</w:t>
            </w:r>
          </w:p>
        </w:tc>
        <w:tc>
          <w:tcPr>
            <w:tcW w:w="794" w:type="dxa"/>
            <w:tcBorders>
              <w:top w:val="single" w:sz="6" w:space="0" w:color="1E4496" w:themeColor="text2"/>
              <w:left w:val="single" w:sz="6" w:space="0" w:color="1E4496" w:themeColor="text2"/>
              <w:bottom w:val="single" w:sz="6" w:space="0" w:color="1E4496" w:themeColor="text2"/>
            </w:tcBorders>
            <w:tcMar>
              <w:top w:w="96" w:type="dxa"/>
              <w:left w:w="113" w:type="dxa"/>
              <w:bottom w:w="96" w:type="dxa"/>
              <w:right w:w="113" w:type="dxa"/>
            </w:tcMar>
            <w:vAlign w:val="center"/>
          </w:tcPr>
          <w:p w14:paraId="701B2FDF" w14:textId="77777777" w:rsidR="00913226" w:rsidRPr="00913226" w:rsidRDefault="00913226" w:rsidP="00913226">
            <w:pPr>
              <w:pStyle w:val="CDITable-RowCentre"/>
              <w:rPr>
                <w:sz w:val="16"/>
              </w:rPr>
            </w:pPr>
            <w:r w:rsidRPr="00913226">
              <w:rPr>
                <w:sz w:val="16"/>
              </w:rPr>
              <w:t>154</w:t>
            </w:r>
          </w:p>
        </w:tc>
        <w:tc>
          <w:tcPr>
            <w:tcW w:w="793"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5E0878AB" w14:textId="77777777" w:rsidR="00913226" w:rsidRPr="00913226" w:rsidRDefault="00913226" w:rsidP="00913226">
            <w:pPr>
              <w:pStyle w:val="CDITable-RowCentre"/>
              <w:rPr>
                <w:sz w:val="16"/>
              </w:rPr>
            </w:pPr>
            <w:r w:rsidRPr="00913226">
              <w:rPr>
                <w:sz w:val="16"/>
              </w:rPr>
              <w:t>5</w:t>
            </w:r>
          </w:p>
        </w:tc>
        <w:tc>
          <w:tcPr>
            <w:tcW w:w="79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060A1F4D" w14:textId="77777777" w:rsidR="00913226" w:rsidRPr="00913226" w:rsidRDefault="00913226" w:rsidP="00913226">
            <w:pPr>
              <w:pStyle w:val="CDITable-RowCentre"/>
              <w:rPr>
                <w:sz w:val="16"/>
              </w:rPr>
            </w:pPr>
            <w:r w:rsidRPr="00913226">
              <w:rPr>
                <w:sz w:val="16"/>
              </w:rPr>
              <w:t>3.2</w:t>
            </w:r>
          </w:p>
        </w:tc>
        <w:tc>
          <w:tcPr>
            <w:tcW w:w="1191" w:type="dxa"/>
            <w:tcBorders>
              <w:top w:val="single" w:sz="6" w:space="0" w:color="1E4496" w:themeColor="text2"/>
              <w:bottom w:val="single" w:sz="6" w:space="0" w:color="1E4496" w:themeColor="text2"/>
              <w:right w:val="single" w:sz="6" w:space="0" w:color="1E4496" w:themeColor="text2"/>
            </w:tcBorders>
            <w:tcMar>
              <w:top w:w="96" w:type="dxa"/>
              <w:left w:w="113" w:type="dxa"/>
              <w:bottom w:w="96" w:type="dxa"/>
              <w:right w:w="113" w:type="dxa"/>
            </w:tcMar>
            <w:vAlign w:val="center"/>
          </w:tcPr>
          <w:p w14:paraId="4D5F8505" w14:textId="77777777" w:rsidR="00913226" w:rsidRPr="00913226" w:rsidRDefault="00913226" w:rsidP="00913226">
            <w:pPr>
              <w:pStyle w:val="CDITable-RowCentre"/>
              <w:rPr>
                <w:sz w:val="16"/>
              </w:rPr>
            </w:pPr>
            <w:r w:rsidRPr="00913226">
              <w:rPr>
                <w:sz w:val="16"/>
              </w:rPr>
              <w:t>1.1–7.4</w:t>
            </w:r>
          </w:p>
        </w:tc>
        <w:tc>
          <w:tcPr>
            <w:tcW w:w="793" w:type="dxa"/>
            <w:tcBorders>
              <w:top w:val="single" w:sz="6" w:space="0" w:color="1E4496" w:themeColor="text2"/>
              <w:left w:val="single" w:sz="6" w:space="0" w:color="1E4496" w:themeColor="text2"/>
              <w:bottom w:val="single" w:sz="6" w:space="0" w:color="1E4496" w:themeColor="text2"/>
            </w:tcBorders>
            <w:tcMar>
              <w:top w:w="96" w:type="dxa"/>
              <w:left w:w="113" w:type="dxa"/>
              <w:bottom w:w="96" w:type="dxa"/>
              <w:right w:w="113" w:type="dxa"/>
            </w:tcMar>
            <w:vAlign w:val="center"/>
          </w:tcPr>
          <w:p w14:paraId="647EE58F" w14:textId="77777777" w:rsidR="00913226" w:rsidRPr="00913226" w:rsidRDefault="00913226" w:rsidP="00913226">
            <w:pPr>
              <w:pStyle w:val="CDITable-RowCentre"/>
              <w:rPr>
                <w:sz w:val="16"/>
              </w:rPr>
            </w:pPr>
            <w:r w:rsidRPr="00913226">
              <w:rPr>
                <w:sz w:val="16"/>
              </w:rPr>
              <w:t>151</w:t>
            </w:r>
          </w:p>
        </w:tc>
        <w:tc>
          <w:tcPr>
            <w:tcW w:w="79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7339897F" w14:textId="77777777" w:rsidR="00913226" w:rsidRPr="00913226" w:rsidRDefault="00913226" w:rsidP="00913226">
            <w:pPr>
              <w:pStyle w:val="CDITable-RowCentre"/>
              <w:rPr>
                <w:sz w:val="16"/>
              </w:rPr>
            </w:pPr>
            <w:r w:rsidRPr="00913226">
              <w:rPr>
                <w:sz w:val="16"/>
              </w:rPr>
              <w:t>12</w:t>
            </w:r>
          </w:p>
        </w:tc>
        <w:tc>
          <w:tcPr>
            <w:tcW w:w="79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015CB238" w14:textId="77777777" w:rsidR="00913226" w:rsidRPr="00913226" w:rsidRDefault="00913226" w:rsidP="00913226">
            <w:pPr>
              <w:pStyle w:val="CDITable-RowCentre"/>
              <w:rPr>
                <w:sz w:val="16"/>
              </w:rPr>
            </w:pPr>
            <w:r w:rsidRPr="00913226">
              <w:rPr>
                <w:sz w:val="16"/>
              </w:rPr>
              <w:t>7.9</w:t>
            </w:r>
          </w:p>
        </w:tc>
        <w:tc>
          <w:tcPr>
            <w:tcW w:w="119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5C2DC32B" w14:textId="77777777" w:rsidR="00913226" w:rsidRPr="00913226" w:rsidRDefault="00913226" w:rsidP="00913226">
            <w:pPr>
              <w:pStyle w:val="CDITable-RowCentre"/>
              <w:rPr>
                <w:sz w:val="16"/>
              </w:rPr>
            </w:pPr>
            <w:r w:rsidRPr="00913226">
              <w:rPr>
                <w:sz w:val="16"/>
              </w:rPr>
              <w:t>4.2–13.5</w:t>
            </w:r>
          </w:p>
        </w:tc>
      </w:tr>
      <w:tr w:rsidR="00913226" w:rsidRPr="00913226" w14:paraId="12E45783" w14:textId="77777777" w:rsidTr="00913226">
        <w:trPr>
          <w:trHeight w:val="60"/>
        </w:trPr>
        <w:tc>
          <w:tcPr>
            <w:tcW w:w="2098" w:type="dxa"/>
            <w:vMerge w:val="restart"/>
            <w:tcBorders>
              <w:top w:val="single" w:sz="6" w:space="0" w:color="1E4496" w:themeColor="text2"/>
              <w:bottom w:val="single" w:sz="6" w:space="0" w:color="1E4496" w:themeColor="text2"/>
            </w:tcBorders>
            <w:shd w:val="clear" w:color="auto" w:fill="DCF4FC" w:themeFill="background2" w:themeFillTint="33"/>
            <w:tcMar>
              <w:top w:w="96" w:type="dxa"/>
              <w:left w:w="113" w:type="dxa"/>
              <w:bottom w:w="96" w:type="dxa"/>
              <w:right w:w="113" w:type="dxa"/>
            </w:tcMar>
            <w:vAlign w:val="center"/>
          </w:tcPr>
          <w:p w14:paraId="747B4240" w14:textId="77777777" w:rsidR="00913226" w:rsidRPr="00913226" w:rsidRDefault="00913226" w:rsidP="00913226">
            <w:pPr>
              <w:pStyle w:val="CDITable-RowLeft"/>
              <w:rPr>
                <w:sz w:val="16"/>
              </w:rPr>
            </w:pPr>
            <w:r w:rsidRPr="00913226">
              <w:rPr>
                <w:sz w:val="16"/>
              </w:rPr>
              <w:t>Onset location</w:t>
            </w:r>
          </w:p>
        </w:tc>
        <w:tc>
          <w:tcPr>
            <w:tcW w:w="153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37A98491" w14:textId="77777777" w:rsidR="00913226" w:rsidRPr="00913226" w:rsidRDefault="00913226" w:rsidP="00913226">
            <w:pPr>
              <w:pStyle w:val="CDITable-RowLeft"/>
              <w:rPr>
                <w:sz w:val="16"/>
              </w:rPr>
            </w:pPr>
            <w:r w:rsidRPr="00913226">
              <w:rPr>
                <w:sz w:val="16"/>
              </w:rPr>
              <w:t>Community</w:t>
            </w:r>
          </w:p>
        </w:tc>
        <w:tc>
          <w:tcPr>
            <w:tcW w:w="79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7D4F7721" w14:textId="77777777" w:rsidR="00913226" w:rsidRPr="00913226" w:rsidRDefault="00913226" w:rsidP="00913226">
            <w:pPr>
              <w:pStyle w:val="CDITable-RowCentre"/>
              <w:rPr>
                <w:sz w:val="16"/>
              </w:rPr>
            </w:pPr>
            <w:r w:rsidRPr="00913226">
              <w:rPr>
                <w:sz w:val="16"/>
              </w:rPr>
              <w:t>468</w:t>
            </w:r>
          </w:p>
        </w:tc>
        <w:tc>
          <w:tcPr>
            <w:tcW w:w="79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6C9A1FA0" w14:textId="77777777" w:rsidR="00913226" w:rsidRPr="00913226" w:rsidRDefault="00913226" w:rsidP="00913226">
            <w:pPr>
              <w:pStyle w:val="CDITable-RowCentre"/>
              <w:rPr>
                <w:sz w:val="16"/>
              </w:rPr>
            </w:pPr>
            <w:r w:rsidRPr="00913226">
              <w:rPr>
                <w:sz w:val="16"/>
              </w:rPr>
              <w:t>43</w:t>
            </w:r>
          </w:p>
        </w:tc>
        <w:tc>
          <w:tcPr>
            <w:tcW w:w="793"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6FBC3A07" w14:textId="77777777" w:rsidR="00913226" w:rsidRPr="00913226" w:rsidRDefault="00913226" w:rsidP="00913226">
            <w:pPr>
              <w:pStyle w:val="CDITable-RowCentre"/>
              <w:rPr>
                <w:sz w:val="16"/>
              </w:rPr>
            </w:pPr>
            <w:r w:rsidRPr="00913226">
              <w:rPr>
                <w:sz w:val="16"/>
              </w:rPr>
              <w:t>9.2</w:t>
            </w:r>
          </w:p>
        </w:tc>
        <w:tc>
          <w:tcPr>
            <w:tcW w:w="1191" w:type="dxa"/>
            <w:tcBorders>
              <w:top w:val="single" w:sz="6" w:space="0" w:color="1E4496" w:themeColor="text2"/>
              <w:bottom w:val="single" w:sz="6" w:space="0" w:color="1E4496" w:themeColor="text2"/>
              <w:right w:val="single" w:sz="6" w:space="0" w:color="1E4496" w:themeColor="text2"/>
            </w:tcBorders>
            <w:tcMar>
              <w:top w:w="96" w:type="dxa"/>
              <w:left w:w="113" w:type="dxa"/>
              <w:bottom w:w="96" w:type="dxa"/>
              <w:right w:w="113" w:type="dxa"/>
            </w:tcMar>
            <w:vAlign w:val="center"/>
          </w:tcPr>
          <w:p w14:paraId="230B16F4" w14:textId="77777777" w:rsidR="00913226" w:rsidRPr="00913226" w:rsidRDefault="00913226" w:rsidP="00913226">
            <w:pPr>
              <w:pStyle w:val="CDITable-RowCentre"/>
              <w:rPr>
                <w:sz w:val="16"/>
              </w:rPr>
            </w:pPr>
            <w:r w:rsidRPr="00913226">
              <w:rPr>
                <w:sz w:val="16"/>
              </w:rPr>
              <w:t>6.7–12.2</w:t>
            </w:r>
          </w:p>
        </w:tc>
        <w:tc>
          <w:tcPr>
            <w:tcW w:w="794" w:type="dxa"/>
            <w:tcBorders>
              <w:top w:val="single" w:sz="6" w:space="0" w:color="1E4496" w:themeColor="text2"/>
              <w:left w:val="single" w:sz="6" w:space="0" w:color="1E4496" w:themeColor="text2"/>
              <w:bottom w:val="single" w:sz="6" w:space="0" w:color="1E4496" w:themeColor="text2"/>
            </w:tcBorders>
            <w:tcMar>
              <w:top w:w="96" w:type="dxa"/>
              <w:left w:w="113" w:type="dxa"/>
              <w:bottom w:w="96" w:type="dxa"/>
              <w:right w:w="113" w:type="dxa"/>
            </w:tcMar>
            <w:vAlign w:val="center"/>
          </w:tcPr>
          <w:p w14:paraId="7B7C6494" w14:textId="77777777" w:rsidR="00913226" w:rsidRPr="00913226" w:rsidRDefault="00913226" w:rsidP="00913226">
            <w:pPr>
              <w:pStyle w:val="CDITable-RowCentre"/>
              <w:rPr>
                <w:sz w:val="16"/>
              </w:rPr>
            </w:pPr>
            <w:r w:rsidRPr="00913226">
              <w:rPr>
                <w:sz w:val="16"/>
              </w:rPr>
              <w:t>468</w:t>
            </w:r>
          </w:p>
        </w:tc>
        <w:tc>
          <w:tcPr>
            <w:tcW w:w="793"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6E2B8F14" w14:textId="77777777" w:rsidR="00913226" w:rsidRPr="00913226" w:rsidRDefault="00913226" w:rsidP="00913226">
            <w:pPr>
              <w:pStyle w:val="CDITable-RowCentre"/>
              <w:rPr>
                <w:sz w:val="16"/>
              </w:rPr>
            </w:pPr>
            <w:r w:rsidRPr="00913226">
              <w:rPr>
                <w:sz w:val="16"/>
              </w:rPr>
              <w:t>20</w:t>
            </w:r>
          </w:p>
        </w:tc>
        <w:tc>
          <w:tcPr>
            <w:tcW w:w="79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181CE249" w14:textId="77777777" w:rsidR="00913226" w:rsidRPr="00913226" w:rsidRDefault="00913226" w:rsidP="00913226">
            <w:pPr>
              <w:pStyle w:val="CDITable-RowCentre"/>
              <w:rPr>
                <w:sz w:val="16"/>
              </w:rPr>
            </w:pPr>
            <w:r w:rsidRPr="00913226">
              <w:rPr>
                <w:sz w:val="16"/>
              </w:rPr>
              <w:t>4.3</w:t>
            </w:r>
          </w:p>
        </w:tc>
        <w:tc>
          <w:tcPr>
            <w:tcW w:w="1191" w:type="dxa"/>
            <w:tcBorders>
              <w:top w:val="single" w:sz="6" w:space="0" w:color="1E4496" w:themeColor="text2"/>
              <w:bottom w:val="single" w:sz="6" w:space="0" w:color="1E4496" w:themeColor="text2"/>
              <w:right w:val="single" w:sz="6" w:space="0" w:color="1E4496" w:themeColor="text2"/>
            </w:tcBorders>
            <w:tcMar>
              <w:top w:w="96" w:type="dxa"/>
              <w:left w:w="113" w:type="dxa"/>
              <w:bottom w:w="96" w:type="dxa"/>
              <w:right w:w="113" w:type="dxa"/>
            </w:tcMar>
            <w:vAlign w:val="center"/>
          </w:tcPr>
          <w:p w14:paraId="2721D347" w14:textId="77777777" w:rsidR="00913226" w:rsidRPr="00913226" w:rsidRDefault="00913226" w:rsidP="00913226">
            <w:pPr>
              <w:pStyle w:val="CDITable-RowCentre"/>
              <w:rPr>
                <w:sz w:val="16"/>
              </w:rPr>
            </w:pPr>
            <w:r w:rsidRPr="00913226">
              <w:rPr>
                <w:sz w:val="16"/>
              </w:rPr>
              <w:t>2.6–6.5</w:t>
            </w:r>
          </w:p>
        </w:tc>
        <w:tc>
          <w:tcPr>
            <w:tcW w:w="793" w:type="dxa"/>
            <w:tcBorders>
              <w:top w:val="single" w:sz="6" w:space="0" w:color="1E4496" w:themeColor="text2"/>
              <w:left w:val="single" w:sz="6" w:space="0" w:color="1E4496" w:themeColor="text2"/>
              <w:bottom w:val="single" w:sz="6" w:space="0" w:color="1E4496" w:themeColor="text2"/>
            </w:tcBorders>
            <w:tcMar>
              <w:top w:w="96" w:type="dxa"/>
              <w:left w:w="113" w:type="dxa"/>
              <w:bottom w:w="96" w:type="dxa"/>
              <w:right w:w="113" w:type="dxa"/>
            </w:tcMar>
            <w:vAlign w:val="center"/>
          </w:tcPr>
          <w:p w14:paraId="57B30C94" w14:textId="77777777" w:rsidR="00913226" w:rsidRPr="00913226" w:rsidRDefault="00913226" w:rsidP="00913226">
            <w:pPr>
              <w:pStyle w:val="CDITable-RowCentre"/>
              <w:rPr>
                <w:sz w:val="16"/>
              </w:rPr>
            </w:pPr>
            <w:r w:rsidRPr="00913226">
              <w:rPr>
                <w:sz w:val="16"/>
              </w:rPr>
              <w:t>458</w:t>
            </w:r>
          </w:p>
        </w:tc>
        <w:tc>
          <w:tcPr>
            <w:tcW w:w="79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0AF6760A" w14:textId="77777777" w:rsidR="00913226" w:rsidRPr="00913226" w:rsidRDefault="00913226" w:rsidP="00913226">
            <w:pPr>
              <w:pStyle w:val="CDITable-RowCentre"/>
              <w:rPr>
                <w:sz w:val="16"/>
              </w:rPr>
            </w:pPr>
            <w:r w:rsidRPr="00913226">
              <w:rPr>
                <w:sz w:val="16"/>
              </w:rPr>
              <w:t>60</w:t>
            </w:r>
          </w:p>
        </w:tc>
        <w:tc>
          <w:tcPr>
            <w:tcW w:w="79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2C1B232B" w14:textId="77777777" w:rsidR="00913226" w:rsidRPr="00913226" w:rsidRDefault="00913226" w:rsidP="00913226">
            <w:pPr>
              <w:pStyle w:val="CDITable-RowCentre"/>
              <w:rPr>
                <w:sz w:val="16"/>
              </w:rPr>
            </w:pPr>
            <w:r w:rsidRPr="00913226">
              <w:rPr>
                <w:sz w:val="16"/>
              </w:rPr>
              <w:t>13.1</w:t>
            </w:r>
          </w:p>
        </w:tc>
        <w:tc>
          <w:tcPr>
            <w:tcW w:w="119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2820F1AE" w14:textId="77777777" w:rsidR="00913226" w:rsidRPr="00913226" w:rsidRDefault="00913226" w:rsidP="00913226">
            <w:pPr>
              <w:pStyle w:val="CDITable-RowCentre"/>
              <w:rPr>
                <w:sz w:val="16"/>
              </w:rPr>
            </w:pPr>
            <w:r w:rsidRPr="00913226">
              <w:rPr>
                <w:sz w:val="16"/>
              </w:rPr>
              <w:t>10.1–16.5</w:t>
            </w:r>
          </w:p>
        </w:tc>
      </w:tr>
      <w:tr w:rsidR="00913226" w:rsidRPr="00913226" w14:paraId="64E3BA52" w14:textId="77777777" w:rsidTr="00913226">
        <w:trPr>
          <w:trHeight w:val="60"/>
        </w:trPr>
        <w:tc>
          <w:tcPr>
            <w:tcW w:w="2098" w:type="dxa"/>
            <w:vMerge/>
            <w:tcBorders>
              <w:bottom w:val="single" w:sz="6" w:space="0" w:color="1E4496" w:themeColor="text2"/>
            </w:tcBorders>
            <w:shd w:val="clear" w:color="auto" w:fill="DCF4FC" w:themeFill="background2" w:themeFillTint="33"/>
            <w:tcMar>
              <w:top w:w="96" w:type="dxa"/>
              <w:bottom w:w="96" w:type="dxa"/>
            </w:tcMar>
          </w:tcPr>
          <w:p w14:paraId="5CFDF203" w14:textId="77777777" w:rsidR="00913226" w:rsidRPr="00913226" w:rsidRDefault="00913226" w:rsidP="00913226">
            <w:pPr>
              <w:pStyle w:val="CDITable-RowLeft"/>
              <w:rPr>
                <w:sz w:val="16"/>
              </w:rPr>
            </w:pPr>
          </w:p>
        </w:tc>
        <w:tc>
          <w:tcPr>
            <w:tcW w:w="153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153A4A7D" w14:textId="77777777" w:rsidR="00913226" w:rsidRPr="00913226" w:rsidRDefault="00913226" w:rsidP="00913226">
            <w:pPr>
              <w:pStyle w:val="CDITable-RowLeft"/>
              <w:rPr>
                <w:sz w:val="16"/>
              </w:rPr>
            </w:pPr>
            <w:r w:rsidRPr="00913226">
              <w:rPr>
                <w:sz w:val="16"/>
              </w:rPr>
              <w:t>Hospital</w:t>
            </w:r>
          </w:p>
        </w:tc>
        <w:tc>
          <w:tcPr>
            <w:tcW w:w="79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78485860" w14:textId="77777777" w:rsidR="00913226" w:rsidRPr="00913226" w:rsidRDefault="00913226" w:rsidP="00913226">
            <w:pPr>
              <w:pStyle w:val="CDITable-RowCentre"/>
              <w:rPr>
                <w:sz w:val="16"/>
              </w:rPr>
            </w:pPr>
            <w:r w:rsidRPr="00913226">
              <w:rPr>
                <w:sz w:val="16"/>
              </w:rPr>
              <w:t>132</w:t>
            </w:r>
          </w:p>
        </w:tc>
        <w:tc>
          <w:tcPr>
            <w:tcW w:w="79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0A735935" w14:textId="77777777" w:rsidR="00913226" w:rsidRPr="00913226" w:rsidRDefault="00913226" w:rsidP="00913226">
            <w:pPr>
              <w:pStyle w:val="CDITable-RowCentre"/>
              <w:rPr>
                <w:sz w:val="16"/>
              </w:rPr>
            </w:pPr>
            <w:r w:rsidRPr="00913226">
              <w:rPr>
                <w:sz w:val="16"/>
              </w:rPr>
              <w:t>19</w:t>
            </w:r>
          </w:p>
        </w:tc>
        <w:tc>
          <w:tcPr>
            <w:tcW w:w="793"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06320353" w14:textId="77777777" w:rsidR="00913226" w:rsidRPr="00913226" w:rsidRDefault="00913226" w:rsidP="00913226">
            <w:pPr>
              <w:pStyle w:val="CDITable-RowCentre"/>
              <w:rPr>
                <w:sz w:val="16"/>
              </w:rPr>
            </w:pPr>
            <w:r w:rsidRPr="00913226">
              <w:rPr>
                <w:sz w:val="16"/>
              </w:rPr>
              <w:t>14.4</w:t>
            </w:r>
          </w:p>
        </w:tc>
        <w:tc>
          <w:tcPr>
            <w:tcW w:w="1191" w:type="dxa"/>
            <w:tcBorders>
              <w:top w:val="single" w:sz="6" w:space="0" w:color="1E4496" w:themeColor="text2"/>
              <w:bottom w:val="single" w:sz="6" w:space="0" w:color="1E4496" w:themeColor="text2"/>
              <w:right w:val="single" w:sz="6" w:space="0" w:color="1E4496" w:themeColor="text2"/>
            </w:tcBorders>
            <w:tcMar>
              <w:top w:w="96" w:type="dxa"/>
              <w:left w:w="113" w:type="dxa"/>
              <w:bottom w:w="96" w:type="dxa"/>
              <w:right w:w="113" w:type="dxa"/>
            </w:tcMar>
            <w:vAlign w:val="center"/>
          </w:tcPr>
          <w:p w14:paraId="47B63C0D" w14:textId="77777777" w:rsidR="00913226" w:rsidRPr="00913226" w:rsidRDefault="00913226" w:rsidP="00913226">
            <w:pPr>
              <w:pStyle w:val="CDITable-RowCentre"/>
              <w:rPr>
                <w:sz w:val="16"/>
              </w:rPr>
            </w:pPr>
            <w:r w:rsidRPr="00913226">
              <w:rPr>
                <w:sz w:val="16"/>
              </w:rPr>
              <w:t>8.9–21.6</w:t>
            </w:r>
          </w:p>
        </w:tc>
        <w:tc>
          <w:tcPr>
            <w:tcW w:w="794" w:type="dxa"/>
            <w:tcBorders>
              <w:top w:val="single" w:sz="6" w:space="0" w:color="1E4496" w:themeColor="text2"/>
              <w:left w:val="single" w:sz="6" w:space="0" w:color="1E4496" w:themeColor="text2"/>
              <w:bottom w:val="single" w:sz="6" w:space="0" w:color="1E4496" w:themeColor="text2"/>
            </w:tcBorders>
            <w:tcMar>
              <w:top w:w="96" w:type="dxa"/>
              <w:left w:w="113" w:type="dxa"/>
              <w:bottom w:w="96" w:type="dxa"/>
              <w:right w:w="113" w:type="dxa"/>
            </w:tcMar>
            <w:vAlign w:val="center"/>
          </w:tcPr>
          <w:p w14:paraId="352AA1B4" w14:textId="77777777" w:rsidR="00913226" w:rsidRPr="00913226" w:rsidRDefault="00913226" w:rsidP="00913226">
            <w:pPr>
              <w:pStyle w:val="CDITable-RowCentre"/>
              <w:rPr>
                <w:sz w:val="16"/>
              </w:rPr>
            </w:pPr>
            <w:r w:rsidRPr="00913226">
              <w:rPr>
                <w:sz w:val="16"/>
              </w:rPr>
              <w:t>132</w:t>
            </w:r>
          </w:p>
        </w:tc>
        <w:tc>
          <w:tcPr>
            <w:tcW w:w="793"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3F8A4E35" w14:textId="77777777" w:rsidR="00913226" w:rsidRPr="00913226" w:rsidRDefault="00913226" w:rsidP="00913226">
            <w:pPr>
              <w:pStyle w:val="CDITable-RowCentre"/>
              <w:rPr>
                <w:sz w:val="16"/>
              </w:rPr>
            </w:pPr>
            <w:r w:rsidRPr="00913226">
              <w:rPr>
                <w:sz w:val="16"/>
              </w:rPr>
              <w:t>10</w:t>
            </w:r>
          </w:p>
        </w:tc>
        <w:tc>
          <w:tcPr>
            <w:tcW w:w="79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37E71C99" w14:textId="77777777" w:rsidR="00913226" w:rsidRPr="00913226" w:rsidRDefault="00913226" w:rsidP="00913226">
            <w:pPr>
              <w:pStyle w:val="CDITable-RowCentre"/>
              <w:rPr>
                <w:sz w:val="16"/>
              </w:rPr>
            </w:pPr>
            <w:r w:rsidRPr="00913226">
              <w:rPr>
                <w:sz w:val="16"/>
              </w:rPr>
              <w:t>7.6</w:t>
            </w:r>
          </w:p>
        </w:tc>
        <w:tc>
          <w:tcPr>
            <w:tcW w:w="1191" w:type="dxa"/>
            <w:tcBorders>
              <w:top w:val="single" w:sz="6" w:space="0" w:color="1E4496" w:themeColor="text2"/>
              <w:bottom w:val="single" w:sz="6" w:space="0" w:color="1E4496" w:themeColor="text2"/>
              <w:right w:val="single" w:sz="6" w:space="0" w:color="1E4496" w:themeColor="text2"/>
            </w:tcBorders>
            <w:tcMar>
              <w:top w:w="96" w:type="dxa"/>
              <w:left w:w="113" w:type="dxa"/>
              <w:bottom w:w="96" w:type="dxa"/>
              <w:right w:w="113" w:type="dxa"/>
            </w:tcMar>
            <w:vAlign w:val="center"/>
          </w:tcPr>
          <w:p w14:paraId="3840EF27" w14:textId="77777777" w:rsidR="00913226" w:rsidRPr="00913226" w:rsidRDefault="00913226" w:rsidP="00913226">
            <w:pPr>
              <w:pStyle w:val="CDITable-RowCentre"/>
              <w:rPr>
                <w:sz w:val="16"/>
              </w:rPr>
            </w:pPr>
            <w:r w:rsidRPr="00913226">
              <w:rPr>
                <w:sz w:val="16"/>
              </w:rPr>
              <w:t>3.7–13.5</w:t>
            </w:r>
          </w:p>
        </w:tc>
        <w:tc>
          <w:tcPr>
            <w:tcW w:w="793" w:type="dxa"/>
            <w:tcBorders>
              <w:top w:val="single" w:sz="6" w:space="0" w:color="1E4496" w:themeColor="text2"/>
              <w:left w:val="single" w:sz="6" w:space="0" w:color="1E4496" w:themeColor="text2"/>
              <w:bottom w:val="single" w:sz="6" w:space="0" w:color="1E4496" w:themeColor="text2"/>
            </w:tcBorders>
            <w:tcMar>
              <w:top w:w="96" w:type="dxa"/>
              <w:left w:w="113" w:type="dxa"/>
              <w:bottom w:w="96" w:type="dxa"/>
              <w:right w:w="113" w:type="dxa"/>
            </w:tcMar>
            <w:vAlign w:val="center"/>
          </w:tcPr>
          <w:p w14:paraId="2E236F47" w14:textId="77777777" w:rsidR="00913226" w:rsidRPr="00913226" w:rsidRDefault="00913226" w:rsidP="00913226">
            <w:pPr>
              <w:pStyle w:val="CDITable-RowCentre"/>
              <w:rPr>
                <w:sz w:val="16"/>
              </w:rPr>
            </w:pPr>
            <w:r w:rsidRPr="00913226">
              <w:rPr>
                <w:sz w:val="16"/>
              </w:rPr>
              <w:t>126</w:t>
            </w:r>
          </w:p>
        </w:tc>
        <w:tc>
          <w:tcPr>
            <w:tcW w:w="79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2070D4E8" w14:textId="77777777" w:rsidR="00913226" w:rsidRPr="00913226" w:rsidRDefault="00913226" w:rsidP="00913226">
            <w:pPr>
              <w:pStyle w:val="CDITable-RowCentre"/>
              <w:rPr>
                <w:sz w:val="16"/>
              </w:rPr>
            </w:pPr>
            <w:r w:rsidRPr="00913226">
              <w:rPr>
                <w:sz w:val="16"/>
              </w:rPr>
              <w:t>24</w:t>
            </w:r>
          </w:p>
        </w:tc>
        <w:tc>
          <w:tcPr>
            <w:tcW w:w="79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23A48127" w14:textId="77777777" w:rsidR="00913226" w:rsidRPr="00913226" w:rsidRDefault="00913226" w:rsidP="00913226">
            <w:pPr>
              <w:pStyle w:val="CDITable-RowCentre"/>
              <w:rPr>
                <w:sz w:val="16"/>
              </w:rPr>
            </w:pPr>
            <w:r w:rsidRPr="00913226">
              <w:rPr>
                <w:sz w:val="16"/>
              </w:rPr>
              <w:t>19.0</w:t>
            </w:r>
          </w:p>
        </w:tc>
        <w:tc>
          <w:tcPr>
            <w:tcW w:w="119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78FB89D5" w14:textId="77777777" w:rsidR="00913226" w:rsidRPr="00913226" w:rsidRDefault="00913226" w:rsidP="00913226">
            <w:pPr>
              <w:pStyle w:val="CDITable-RowCentre"/>
              <w:rPr>
                <w:sz w:val="16"/>
              </w:rPr>
            </w:pPr>
            <w:r w:rsidRPr="00913226">
              <w:rPr>
                <w:sz w:val="16"/>
              </w:rPr>
              <w:t>12.6–27.0</w:t>
            </w:r>
          </w:p>
        </w:tc>
      </w:tr>
      <w:tr w:rsidR="005C4EEF" w:rsidRPr="00913226" w14:paraId="7C659639" w14:textId="77777777" w:rsidTr="005C4EEF">
        <w:trPr>
          <w:trHeight w:val="60"/>
        </w:trPr>
        <w:tc>
          <w:tcPr>
            <w:tcW w:w="2098" w:type="dxa"/>
            <w:vMerge w:val="restart"/>
            <w:tcBorders>
              <w:top w:val="single" w:sz="6" w:space="0" w:color="1E4496" w:themeColor="text2"/>
              <w:bottom w:val="single" w:sz="6" w:space="0" w:color="1E4496" w:themeColor="text2"/>
            </w:tcBorders>
            <w:shd w:val="clear" w:color="auto" w:fill="DCF4FC" w:themeFill="background2" w:themeFillTint="33"/>
            <w:tcMar>
              <w:top w:w="96" w:type="dxa"/>
              <w:left w:w="113" w:type="dxa"/>
              <w:bottom w:w="96" w:type="dxa"/>
              <w:right w:w="113" w:type="dxa"/>
            </w:tcMar>
            <w:vAlign w:val="center"/>
          </w:tcPr>
          <w:p w14:paraId="0F6FC511" w14:textId="77777777" w:rsidR="00913226" w:rsidRPr="00913226" w:rsidRDefault="00913226" w:rsidP="00913226">
            <w:pPr>
              <w:pStyle w:val="CDITable-RowLeft"/>
              <w:rPr>
                <w:sz w:val="16"/>
              </w:rPr>
            </w:pPr>
            <w:r w:rsidRPr="00913226">
              <w:rPr>
                <w:sz w:val="16"/>
              </w:rPr>
              <w:t xml:space="preserve">Methicillin </w:t>
            </w:r>
            <w:proofErr w:type="spellStart"/>
            <w:r w:rsidRPr="00913226">
              <w:rPr>
                <w:sz w:val="16"/>
              </w:rPr>
              <w:t>resistance</w:t>
            </w:r>
            <w:r w:rsidRPr="00913226">
              <w:rPr>
                <w:sz w:val="16"/>
                <w:vertAlign w:val="superscript"/>
              </w:rPr>
              <w:t>c</w:t>
            </w:r>
            <w:proofErr w:type="spellEnd"/>
          </w:p>
        </w:tc>
        <w:tc>
          <w:tcPr>
            <w:tcW w:w="153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4DE7D885" w14:textId="77777777" w:rsidR="00913226" w:rsidRPr="00913226" w:rsidRDefault="00913226" w:rsidP="00913226">
            <w:pPr>
              <w:pStyle w:val="CDITable-RowLeft"/>
              <w:rPr>
                <w:sz w:val="16"/>
              </w:rPr>
            </w:pPr>
            <w:r w:rsidRPr="00913226">
              <w:rPr>
                <w:sz w:val="16"/>
              </w:rPr>
              <w:t>MRSA</w:t>
            </w:r>
          </w:p>
        </w:tc>
        <w:tc>
          <w:tcPr>
            <w:tcW w:w="79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526A3AC3" w14:textId="77777777" w:rsidR="00913226" w:rsidRPr="00913226" w:rsidRDefault="00913226" w:rsidP="00913226">
            <w:pPr>
              <w:pStyle w:val="CDITable-RowCentre"/>
              <w:rPr>
                <w:sz w:val="16"/>
              </w:rPr>
            </w:pPr>
            <w:r w:rsidRPr="00913226">
              <w:rPr>
                <w:sz w:val="16"/>
              </w:rPr>
              <w:t>82</w:t>
            </w:r>
          </w:p>
        </w:tc>
        <w:tc>
          <w:tcPr>
            <w:tcW w:w="79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505D1984" w14:textId="77777777" w:rsidR="00913226" w:rsidRPr="00913226" w:rsidRDefault="00913226" w:rsidP="00913226">
            <w:pPr>
              <w:pStyle w:val="CDITable-RowCentre"/>
              <w:rPr>
                <w:sz w:val="16"/>
              </w:rPr>
            </w:pPr>
            <w:r w:rsidRPr="00913226">
              <w:rPr>
                <w:sz w:val="16"/>
              </w:rPr>
              <w:t>13</w:t>
            </w:r>
          </w:p>
        </w:tc>
        <w:tc>
          <w:tcPr>
            <w:tcW w:w="793"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1EA8AC28" w14:textId="77777777" w:rsidR="00913226" w:rsidRPr="00913226" w:rsidRDefault="00913226" w:rsidP="00913226">
            <w:pPr>
              <w:pStyle w:val="CDITable-RowCentre"/>
              <w:rPr>
                <w:sz w:val="16"/>
              </w:rPr>
            </w:pPr>
            <w:r w:rsidRPr="00913226">
              <w:rPr>
                <w:sz w:val="16"/>
              </w:rPr>
              <w:t>15.9</w:t>
            </w:r>
          </w:p>
        </w:tc>
        <w:tc>
          <w:tcPr>
            <w:tcW w:w="1191" w:type="dxa"/>
            <w:tcBorders>
              <w:top w:val="single" w:sz="6" w:space="0" w:color="1E4496" w:themeColor="text2"/>
              <w:bottom w:val="single" w:sz="6" w:space="0" w:color="1E4496" w:themeColor="text2"/>
              <w:right w:val="single" w:sz="6" w:space="0" w:color="1E4496" w:themeColor="text2"/>
            </w:tcBorders>
            <w:tcMar>
              <w:top w:w="96" w:type="dxa"/>
              <w:left w:w="113" w:type="dxa"/>
              <w:bottom w:w="96" w:type="dxa"/>
              <w:right w:w="113" w:type="dxa"/>
            </w:tcMar>
            <w:vAlign w:val="center"/>
          </w:tcPr>
          <w:p w14:paraId="47E12DC8" w14:textId="77777777" w:rsidR="00913226" w:rsidRPr="00913226" w:rsidRDefault="00913226" w:rsidP="00913226">
            <w:pPr>
              <w:pStyle w:val="CDITable-RowCentre"/>
              <w:rPr>
                <w:sz w:val="16"/>
              </w:rPr>
            </w:pPr>
            <w:r w:rsidRPr="00913226">
              <w:rPr>
                <w:sz w:val="16"/>
              </w:rPr>
              <w:t>8.7–25.6</w:t>
            </w:r>
          </w:p>
        </w:tc>
        <w:tc>
          <w:tcPr>
            <w:tcW w:w="794" w:type="dxa"/>
            <w:tcBorders>
              <w:top w:val="single" w:sz="6" w:space="0" w:color="1E4496" w:themeColor="text2"/>
              <w:left w:val="single" w:sz="6" w:space="0" w:color="1E4496" w:themeColor="text2"/>
              <w:bottom w:val="single" w:sz="6" w:space="0" w:color="1E4496" w:themeColor="text2"/>
            </w:tcBorders>
            <w:tcMar>
              <w:top w:w="96" w:type="dxa"/>
              <w:left w:w="113" w:type="dxa"/>
              <w:bottom w:w="96" w:type="dxa"/>
              <w:right w:w="113" w:type="dxa"/>
            </w:tcMar>
            <w:vAlign w:val="center"/>
          </w:tcPr>
          <w:p w14:paraId="24A634CA" w14:textId="77777777" w:rsidR="00913226" w:rsidRPr="00913226" w:rsidRDefault="00913226" w:rsidP="00913226">
            <w:pPr>
              <w:pStyle w:val="CDITable-RowCentre"/>
              <w:rPr>
                <w:sz w:val="16"/>
              </w:rPr>
            </w:pPr>
            <w:r w:rsidRPr="00913226">
              <w:rPr>
                <w:sz w:val="16"/>
              </w:rPr>
              <w:t>82</w:t>
            </w:r>
          </w:p>
        </w:tc>
        <w:tc>
          <w:tcPr>
            <w:tcW w:w="793"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1743E8C6" w14:textId="77777777" w:rsidR="00913226" w:rsidRPr="00913226" w:rsidRDefault="00913226" w:rsidP="00913226">
            <w:pPr>
              <w:pStyle w:val="CDITable-RowCentre"/>
              <w:rPr>
                <w:sz w:val="16"/>
              </w:rPr>
            </w:pPr>
            <w:r w:rsidRPr="00913226">
              <w:rPr>
                <w:sz w:val="16"/>
              </w:rPr>
              <w:t>18</w:t>
            </w:r>
          </w:p>
        </w:tc>
        <w:tc>
          <w:tcPr>
            <w:tcW w:w="79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2345C108" w14:textId="77777777" w:rsidR="00913226" w:rsidRPr="00913226" w:rsidRDefault="00913226" w:rsidP="00913226">
            <w:pPr>
              <w:pStyle w:val="CDITable-RowCentre"/>
              <w:rPr>
                <w:sz w:val="16"/>
              </w:rPr>
            </w:pPr>
            <w:r w:rsidRPr="00913226">
              <w:rPr>
                <w:sz w:val="16"/>
              </w:rPr>
              <w:t>22</w:t>
            </w:r>
          </w:p>
        </w:tc>
        <w:tc>
          <w:tcPr>
            <w:tcW w:w="1191" w:type="dxa"/>
            <w:tcBorders>
              <w:top w:val="single" w:sz="6" w:space="0" w:color="1E4496" w:themeColor="text2"/>
              <w:bottom w:val="single" w:sz="6" w:space="0" w:color="1E4496" w:themeColor="text2"/>
              <w:right w:val="single" w:sz="6" w:space="0" w:color="1E4496" w:themeColor="text2"/>
            </w:tcBorders>
            <w:tcMar>
              <w:top w:w="96" w:type="dxa"/>
              <w:left w:w="113" w:type="dxa"/>
              <w:bottom w:w="96" w:type="dxa"/>
              <w:right w:w="113" w:type="dxa"/>
            </w:tcMar>
            <w:vAlign w:val="center"/>
          </w:tcPr>
          <w:p w14:paraId="460B2639" w14:textId="77777777" w:rsidR="00913226" w:rsidRPr="00913226" w:rsidRDefault="00913226" w:rsidP="00913226">
            <w:pPr>
              <w:pStyle w:val="CDITable-RowCentre"/>
              <w:rPr>
                <w:sz w:val="16"/>
              </w:rPr>
            </w:pPr>
            <w:r w:rsidRPr="00913226">
              <w:rPr>
                <w:sz w:val="16"/>
              </w:rPr>
              <w:t>13.6–32.5</w:t>
            </w:r>
          </w:p>
        </w:tc>
        <w:tc>
          <w:tcPr>
            <w:tcW w:w="793" w:type="dxa"/>
            <w:tcBorders>
              <w:top w:val="single" w:sz="6" w:space="0" w:color="1E4496" w:themeColor="text2"/>
              <w:left w:val="single" w:sz="6" w:space="0" w:color="1E4496" w:themeColor="text2"/>
              <w:bottom w:val="single" w:sz="6" w:space="0" w:color="1E4496" w:themeColor="text2"/>
            </w:tcBorders>
            <w:tcMar>
              <w:top w:w="96" w:type="dxa"/>
              <w:left w:w="113" w:type="dxa"/>
              <w:bottom w:w="96" w:type="dxa"/>
              <w:right w:w="113" w:type="dxa"/>
            </w:tcMar>
            <w:vAlign w:val="center"/>
          </w:tcPr>
          <w:p w14:paraId="34C63C23" w14:textId="77777777" w:rsidR="00913226" w:rsidRPr="00913226" w:rsidRDefault="00913226" w:rsidP="00913226">
            <w:pPr>
              <w:pStyle w:val="CDITable-RowCentre"/>
              <w:rPr>
                <w:sz w:val="16"/>
              </w:rPr>
            </w:pPr>
            <w:r w:rsidRPr="00913226">
              <w:rPr>
                <w:sz w:val="16"/>
              </w:rPr>
              <w:t>82</w:t>
            </w:r>
          </w:p>
        </w:tc>
        <w:tc>
          <w:tcPr>
            <w:tcW w:w="79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33FDE5FB" w14:textId="77777777" w:rsidR="00913226" w:rsidRPr="00913226" w:rsidRDefault="00913226" w:rsidP="00913226">
            <w:pPr>
              <w:pStyle w:val="CDITable-RowCentre"/>
              <w:rPr>
                <w:sz w:val="16"/>
              </w:rPr>
            </w:pPr>
            <w:r w:rsidRPr="00913226">
              <w:rPr>
                <w:sz w:val="16"/>
              </w:rPr>
              <w:t>18</w:t>
            </w:r>
          </w:p>
        </w:tc>
        <w:tc>
          <w:tcPr>
            <w:tcW w:w="79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2E6C8ACD" w14:textId="77777777" w:rsidR="00913226" w:rsidRPr="00913226" w:rsidRDefault="00913226" w:rsidP="00913226">
            <w:pPr>
              <w:pStyle w:val="CDITable-RowCentre"/>
              <w:rPr>
                <w:sz w:val="16"/>
              </w:rPr>
            </w:pPr>
            <w:r w:rsidRPr="00913226">
              <w:rPr>
                <w:sz w:val="16"/>
              </w:rPr>
              <w:t>22.0</w:t>
            </w:r>
          </w:p>
        </w:tc>
        <w:tc>
          <w:tcPr>
            <w:tcW w:w="119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1515B24B" w14:textId="77777777" w:rsidR="00913226" w:rsidRPr="00913226" w:rsidRDefault="00913226" w:rsidP="00913226">
            <w:pPr>
              <w:pStyle w:val="CDITable-RowCentre"/>
              <w:rPr>
                <w:sz w:val="16"/>
              </w:rPr>
            </w:pPr>
            <w:r w:rsidRPr="00913226">
              <w:rPr>
                <w:sz w:val="16"/>
              </w:rPr>
              <w:t>13.6–32.5</w:t>
            </w:r>
          </w:p>
        </w:tc>
      </w:tr>
      <w:tr w:rsidR="00913226" w:rsidRPr="00913226" w14:paraId="6DB375D4" w14:textId="77777777" w:rsidTr="005C4EEF">
        <w:trPr>
          <w:trHeight w:val="60"/>
        </w:trPr>
        <w:tc>
          <w:tcPr>
            <w:tcW w:w="2098" w:type="dxa"/>
            <w:vMerge/>
            <w:tcBorders>
              <w:bottom w:val="single" w:sz="6" w:space="0" w:color="1E4496" w:themeColor="text2"/>
            </w:tcBorders>
            <w:shd w:val="clear" w:color="auto" w:fill="DCF4FC" w:themeFill="background2" w:themeFillTint="33"/>
            <w:tcMar>
              <w:top w:w="96" w:type="dxa"/>
              <w:bottom w:w="96" w:type="dxa"/>
            </w:tcMar>
          </w:tcPr>
          <w:p w14:paraId="604104A3" w14:textId="77777777" w:rsidR="00913226" w:rsidRPr="00913226" w:rsidRDefault="00913226" w:rsidP="00913226"/>
        </w:tc>
        <w:tc>
          <w:tcPr>
            <w:tcW w:w="153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395BCBD7" w14:textId="77777777" w:rsidR="00913226" w:rsidRPr="00913226" w:rsidRDefault="00913226" w:rsidP="00913226">
            <w:pPr>
              <w:pStyle w:val="CDITable-RowLeft"/>
              <w:rPr>
                <w:sz w:val="16"/>
              </w:rPr>
            </w:pPr>
            <w:r w:rsidRPr="00913226">
              <w:rPr>
                <w:sz w:val="16"/>
              </w:rPr>
              <w:t>MSSA</w:t>
            </w:r>
          </w:p>
        </w:tc>
        <w:tc>
          <w:tcPr>
            <w:tcW w:w="79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11A7BCCB" w14:textId="77777777" w:rsidR="00913226" w:rsidRPr="00913226" w:rsidRDefault="00913226" w:rsidP="00913226">
            <w:pPr>
              <w:pStyle w:val="CDITable-RowCentre"/>
              <w:rPr>
                <w:sz w:val="16"/>
              </w:rPr>
            </w:pPr>
            <w:r w:rsidRPr="00913226">
              <w:rPr>
                <w:sz w:val="16"/>
              </w:rPr>
              <w:t>518</w:t>
            </w:r>
          </w:p>
        </w:tc>
        <w:tc>
          <w:tcPr>
            <w:tcW w:w="79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6B02685F" w14:textId="77777777" w:rsidR="00913226" w:rsidRPr="00913226" w:rsidRDefault="00913226" w:rsidP="00913226">
            <w:pPr>
              <w:pStyle w:val="CDITable-RowCentre"/>
              <w:rPr>
                <w:sz w:val="16"/>
              </w:rPr>
            </w:pPr>
            <w:r w:rsidRPr="00913226">
              <w:rPr>
                <w:sz w:val="16"/>
              </w:rPr>
              <w:t>49</w:t>
            </w:r>
          </w:p>
        </w:tc>
        <w:tc>
          <w:tcPr>
            <w:tcW w:w="793"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566B004B" w14:textId="77777777" w:rsidR="00913226" w:rsidRPr="00913226" w:rsidRDefault="00913226" w:rsidP="00913226">
            <w:pPr>
              <w:pStyle w:val="CDITable-RowCentre"/>
              <w:rPr>
                <w:sz w:val="16"/>
              </w:rPr>
            </w:pPr>
            <w:r w:rsidRPr="00913226">
              <w:rPr>
                <w:sz w:val="16"/>
              </w:rPr>
              <w:t>9.5</w:t>
            </w:r>
          </w:p>
        </w:tc>
        <w:tc>
          <w:tcPr>
            <w:tcW w:w="1191" w:type="dxa"/>
            <w:tcBorders>
              <w:top w:val="single" w:sz="6" w:space="0" w:color="1E4496" w:themeColor="text2"/>
              <w:bottom w:val="single" w:sz="6" w:space="0" w:color="1E4496" w:themeColor="text2"/>
              <w:right w:val="single" w:sz="6" w:space="0" w:color="1E4496" w:themeColor="text2"/>
            </w:tcBorders>
            <w:tcMar>
              <w:top w:w="96" w:type="dxa"/>
              <w:left w:w="113" w:type="dxa"/>
              <w:bottom w:w="96" w:type="dxa"/>
              <w:right w:w="113" w:type="dxa"/>
            </w:tcMar>
            <w:vAlign w:val="center"/>
          </w:tcPr>
          <w:p w14:paraId="61F719C8" w14:textId="77777777" w:rsidR="00913226" w:rsidRPr="00913226" w:rsidRDefault="00913226" w:rsidP="005C4EEF">
            <w:pPr>
              <w:pStyle w:val="CDITable-RowCentre"/>
              <w:rPr>
                <w:sz w:val="16"/>
              </w:rPr>
            </w:pPr>
            <w:r w:rsidRPr="00913226">
              <w:rPr>
                <w:sz w:val="16"/>
              </w:rPr>
              <w:t>7.1–12.3</w:t>
            </w:r>
          </w:p>
        </w:tc>
        <w:tc>
          <w:tcPr>
            <w:tcW w:w="794" w:type="dxa"/>
            <w:tcBorders>
              <w:top w:val="single" w:sz="6" w:space="0" w:color="1E4496" w:themeColor="text2"/>
              <w:left w:val="single" w:sz="6" w:space="0" w:color="1E4496" w:themeColor="text2"/>
              <w:bottom w:val="single" w:sz="6" w:space="0" w:color="1E4496" w:themeColor="text2"/>
            </w:tcBorders>
            <w:tcMar>
              <w:top w:w="96" w:type="dxa"/>
              <w:left w:w="113" w:type="dxa"/>
              <w:bottom w:w="96" w:type="dxa"/>
              <w:right w:w="113" w:type="dxa"/>
            </w:tcMar>
            <w:vAlign w:val="center"/>
          </w:tcPr>
          <w:p w14:paraId="5FA4F402" w14:textId="77777777" w:rsidR="00913226" w:rsidRPr="00913226" w:rsidRDefault="00913226" w:rsidP="00913226">
            <w:pPr>
              <w:pStyle w:val="CDITable-RowCentre"/>
              <w:rPr>
                <w:sz w:val="16"/>
              </w:rPr>
            </w:pPr>
            <w:r w:rsidRPr="00913226">
              <w:rPr>
                <w:sz w:val="16"/>
              </w:rPr>
              <w:t>518</w:t>
            </w:r>
          </w:p>
        </w:tc>
        <w:tc>
          <w:tcPr>
            <w:tcW w:w="793"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5631CF36" w14:textId="77777777" w:rsidR="00913226" w:rsidRPr="00913226" w:rsidRDefault="00913226" w:rsidP="00913226">
            <w:pPr>
              <w:pStyle w:val="CDITable-RowCentre"/>
              <w:rPr>
                <w:sz w:val="16"/>
              </w:rPr>
            </w:pPr>
            <w:r w:rsidRPr="00913226">
              <w:rPr>
                <w:sz w:val="16"/>
              </w:rPr>
              <w:t>12</w:t>
            </w:r>
          </w:p>
        </w:tc>
        <w:tc>
          <w:tcPr>
            <w:tcW w:w="79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4FE72654" w14:textId="77777777" w:rsidR="00913226" w:rsidRPr="00913226" w:rsidRDefault="00913226" w:rsidP="00913226">
            <w:pPr>
              <w:pStyle w:val="CDITable-RowCentre"/>
              <w:rPr>
                <w:sz w:val="16"/>
              </w:rPr>
            </w:pPr>
            <w:r w:rsidRPr="00913226">
              <w:rPr>
                <w:sz w:val="16"/>
              </w:rPr>
              <w:t>2.3</w:t>
            </w:r>
          </w:p>
        </w:tc>
        <w:tc>
          <w:tcPr>
            <w:tcW w:w="1191" w:type="dxa"/>
            <w:tcBorders>
              <w:top w:val="single" w:sz="6" w:space="0" w:color="1E4496" w:themeColor="text2"/>
              <w:bottom w:val="single" w:sz="6" w:space="0" w:color="1E4496" w:themeColor="text2"/>
              <w:right w:val="single" w:sz="6" w:space="0" w:color="1E4496" w:themeColor="text2"/>
            </w:tcBorders>
            <w:tcMar>
              <w:top w:w="96" w:type="dxa"/>
              <w:left w:w="113" w:type="dxa"/>
              <w:bottom w:w="96" w:type="dxa"/>
              <w:right w:w="113" w:type="dxa"/>
            </w:tcMar>
            <w:vAlign w:val="center"/>
          </w:tcPr>
          <w:p w14:paraId="71B64AF1" w14:textId="77777777" w:rsidR="00913226" w:rsidRPr="00913226" w:rsidRDefault="00913226" w:rsidP="00913226">
            <w:pPr>
              <w:pStyle w:val="CDITable-RowCentre"/>
              <w:rPr>
                <w:sz w:val="16"/>
              </w:rPr>
            </w:pPr>
            <w:r w:rsidRPr="00913226">
              <w:rPr>
                <w:sz w:val="16"/>
              </w:rPr>
              <w:t>1.2–4.0</w:t>
            </w:r>
          </w:p>
        </w:tc>
        <w:tc>
          <w:tcPr>
            <w:tcW w:w="793" w:type="dxa"/>
            <w:tcBorders>
              <w:top w:val="single" w:sz="6" w:space="0" w:color="1E4496" w:themeColor="text2"/>
              <w:left w:val="single" w:sz="6" w:space="0" w:color="1E4496" w:themeColor="text2"/>
              <w:bottom w:val="single" w:sz="6" w:space="0" w:color="1E4496" w:themeColor="text2"/>
            </w:tcBorders>
            <w:tcMar>
              <w:top w:w="96" w:type="dxa"/>
              <w:left w:w="113" w:type="dxa"/>
              <w:bottom w:w="96" w:type="dxa"/>
              <w:right w:w="113" w:type="dxa"/>
            </w:tcMar>
            <w:vAlign w:val="center"/>
          </w:tcPr>
          <w:p w14:paraId="7965E500" w14:textId="77777777" w:rsidR="00913226" w:rsidRPr="00913226" w:rsidRDefault="00913226" w:rsidP="00913226">
            <w:pPr>
              <w:pStyle w:val="CDITable-RowCentre"/>
              <w:rPr>
                <w:sz w:val="16"/>
              </w:rPr>
            </w:pPr>
            <w:r w:rsidRPr="00913226">
              <w:rPr>
                <w:sz w:val="16"/>
              </w:rPr>
              <w:t>502</w:t>
            </w:r>
          </w:p>
        </w:tc>
        <w:tc>
          <w:tcPr>
            <w:tcW w:w="79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550F2F1A" w14:textId="77777777" w:rsidR="00913226" w:rsidRPr="00913226" w:rsidRDefault="00913226" w:rsidP="00913226">
            <w:pPr>
              <w:pStyle w:val="CDITable-RowCentre"/>
              <w:rPr>
                <w:sz w:val="16"/>
              </w:rPr>
            </w:pPr>
            <w:r w:rsidRPr="00913226">
              <w:rPr>
                <w:sz w:val="16"/>
              </w:rPr>
              <w:t>66</w:t>
            </w:r>
          </w:p>
        </w:tc>
        <w:tc>
          <w:tcPr>
            <w:tcW w:w="79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428EED42" w14:textId="77777777" w:rsidR="00913226" w:rsidRPr="00913226" w:rsidRDefault="00913226" w:rsidP="00913226">
            <w:pPr>
              <w:pStyle w:val="CDITable-RowCentre"/>
              <w:rPr>
                <w:sz w:val="16"/>
              </w:rPr>
            </w:pPr>
            <w:r w:rsidRPr="00913226">
              <w:rPr>
                <w:sz w:val="16"/>
              </w:rPr>
              <w:t>13.1</w:t>
            </w:r>
          </w:p>
        </w:tc>
        <w:tc>
          <w:tcPr>
            <w:tcW w:w="119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0030DDA3" w14:textId="77777777" w:rsidR="00913226" w:rsidRPr="00913226" w:rsidRDefault="00913226" w:rsidP="00913226">
            <w:pPr>
              <w:pStyle w:val="CDITable-RowCentre"/>
              <w:rPr>
                <w:sz w:val="16"/>
              </w:rPr>
            </w:pPr>
            <w:r w:rsidRPr="00913226">
              <w:rPr>
                <w:sz w:val="16"/>
              </w:rPr>
              <w:t>10.3–16.4</w:t>
            </w:r>
          </w:p>
        </w:tc>
      </w:tr>
    </w:tbl>
    <w:p w14:paraId="5C71906C" w14:textId="77777777" w:rsidR="000449DD" w:rsidRPr="00913226" w:rsidRDefault="000449DD" w:rsidP="000449DD">
      <w:pPr>
        <w:pStyle w:val="CDITable-FirstFootnote"/>
        <w:rPr>
          <w:sz w:val="16"/>
          <w:lang w:val="en-GB"/>
        </w:rPr>
      </w:pPr>
      <w:r w:rsidRPr="00913226">
        <w:rPr>
          <w:sz w:val="16"/>
          <w:lang w:val="en-GB"/>
        </w:rPr>
        <w:t>a</w:t>
      </w:r>
      <w:r w:rsidRPr="00913226">
        <w:rPr>
          <w:sz w:val="16"/>
          <w:lang w:val="en-GB"/>
        </w:rPr>
        <w:tab/>
        <w:t>N: number of isolates tested; n: number of resistant isolates; R%: proportion of resistant isolates; 95% CI: 95% confidence interval.</w:t>
      </w:r>
    </w:p>
    <w:p w14:paraId="0BBE66A4" w14:textId="77777777" w:rsidR="000449DD" w:rsidRPr="000449DD" w:rsidRDefault="000449DD" w:rsidP="002648D3">
      <w:pPr>
        <w:pStyle w:val="CDITable-Footnote"/>
        <w:spacing w:before="0"/>
        <w:rPr>
          <w:sz w:val="16"/>
          <w:lang w:val="en-GB"/>
        </w:rPr>
      </w:pPr>
      <w:r w:rsidRPr="000449DD">
        <w:rPr>
          <w:sz w:val="16"/>
          <w:lang w:val="en-GB"/>
        </w:rPr>
        <w:t>b</w:t>
      </w:r>
      <w:r w:rsidRPr="000449DD">
        <w:rPr>
          <w:sz w:val="16"/>
          <w:lang w:val="en-GB"/>
        </w:rPr>
        <w:tab/>
        <w:t>ACT: Australian Capital Territory; NSW: New South Wales; NT: Northern Territory; Qld: Queensland; SA: South Australia; Tas: Tasmania; Vic: Victoria; WA: Western Australia.</w:t>
      </w:r>
    </w:p>
    <w:p w14:paraId="5CE8221D" w14:textId="27583DAE" w:rsidR="000E0216" w:rsidRDefault="000449DD" w:rsidP="002648D3">
      <w:pPr>
        <w:pStyle w:val="CDITable-Footnote"/>
        <w:spacing w:before="0"/>
        <w:rPr>
          <w:lang w:val="en-GB"/>
        </w:rPr>
      </w:pPr>
      <w:r w:rsidRPr="000449DD">
        <w:rPr>
          <w:sz w:val="16"/>
          <w:lang w:val="en-GB"/>
        </w:rPr>
        <w:t>c</w:t>
      </w:r>
      <w:r w:rsidRPr="000449DD">
        <w:rPr>
          <w:sz w:val="16"/>
          <w:lang w:val="en-GB"/>
        </w:rPr>
        <w:tab/>
        <w:t xml:space="preserve">MRSA: methicillin-resistant </w:t>
      </w:r>
      <w:r w:rsidRPr="000449DD">
        <w:rPr>
          <w:i/>
          <w:iCs/>
          <w:sz w:val="16"/>
          <w:lang w:val="en-GB"/>
        </w:rPr>
        <w:t>Staphylococcus aureus</w:t>
      </w:r>
      <w:r w:rsidRPr="000449DD">
        <w:rPr>
          <w:sz w:val="16"/>
          <w:lang w:val="en-GB"/>
        </w:rPr>
        <w:t xml:space="preserve">; MSSA: methicillin-susceptible </w:t>
      </w:r>
      <w:r w:rsidRPr="000449DD">
        <w:rPr>
          <w:i/>
          <w:iCs/>
          <w:sz w:val="16"/>
          <w:lang w:val="en-GB"/>
        </w:rPr>
        <w:t>Staphylococcus aureus</w:t>
      </w:r>
      <w:r w:rsidRPr="000449DD">
        <w:rPr>
          <w:sz w:val="16"/>
          <w:lang w:val="en-GB"/>
        </w:rPr>
        <w:t>.</w:t>
      </w:r>
      <w:r w:rsidR="000E0216">
        <w:rPr>
          <w:lang w:val="en-GB"/>
        </w:rPr>
        <w:br w:type="page"/>
      </w:r>
    </w:p>
    <w:p w14:paraId="34AE31B2" w14:textId="77777777" w:rsidR="000E0216" w:rsidRPr="000E0216" w:rsidRDefault="000E0216" w:rsidP="000E0216">
      <w:pPr>
        <w:pStyle w:val="CDITable-Title"/>
        <w:rPr>
          <w:lang w:val="en-GB"/>
        </w:rPr>
      </w:pPr>
      <w:bookmarkStart w:id="31" w:name="_Toc213076657"/>
      <w:r w:rsidRPr="000E0216">
        <w:rPr>
          <w:lang w:val="en-GB"/>
        </w:rPr>
        <w:lastRenderedPageBreak/>
        <w:t xml:space="preserve">Table 5: Number of </w:t>
      </w:r>
      <w:r w:rsidRPr="000E0216">
        <w:rPr>
          <w:i/>
          <w:iCs/>
          <w:lang w:val="en-GB"/>
        </w:rPr>
        <w:t>Enterococcus</w:t>
      </w:r>
      <w:r w:rsidRPr="000E0216">
        <w:rPr>
          <w:lang w:val="en-GB"/>
        </w:rPr>
        <w:t xml:space="preserve"> spp. isolates tested and proportion of isolates resistant to ampicillin and vancomycin from patients aged &lt; 18 years as reported to the Australian Group on Antimicrobial Resistance, January 2022 – December 2023</w:t>
      </w:r>
      <w:bookmarkEnd w:id="31"/>
    </w:p>
    <w:tbl>
      <w:tblPr>
        <w:tblW w:w="0" w:type="auto"/>
        <w:tblLayout w:type="fixed"/>
        <w:tblCellMar>
          <w:left w:w="0" w:type="dxa"/>
          <w:right w:w="0" w:type="dxa"/>
        </w:tblCellMar>
        <w:tblLook w:val="0000" w:firstRow="0" w:lastRow="0" w:firstColumn="0" w:lastColumn="0" w:noHBand="0" w:noVBand="0"/>
        <w:tblCaption w:val="Table 5: Number of Enterococcus spp. isolates tested and proportion of isolates resistant to ampicillin and vancomycin from patients aged &lt; 18 years as reported to the Australian Group on Antimicrobial Resistance, January 2022 – December 2023"/>
        <w:tblDescription w:val="Table 5 shows the number of Enterococcus spp. isolates tested against and proportion (with 95% confidence intervals) of isolates resistant to ampicillin and vancomycin from children aged &lt;18 years as reported to AGAR, January 2022 – December 2023. Data is stratified by jurisdiction, age group, onset location, and methicillin-resistance."/>
      </w:tblPr>
      <w:tblGrid>
        <w:gridCol w:w="1701"/>
        <w:gridCol w:w="2041"/>
        <w:gridCol w:w="1325"/>
        <w:gridCol w:w="1325"/>
        <w:gridCol w:w="1325"/>
        <w:gridCol w:w="1326"/>
        <w:gridCol w:w="1325"/>
        <w:gridCol w:w="1325"/>
        <w:gridCol w:w="1325"/>
        <w:gridCol w:w="1325"/>
      </w:tblGrid>
      <w:tr w:rsidR="005B11C6" w:rsidRPr="005B11C6" w14:paraId="50CE6FCB" w14:textId="77777777" w:rsidTr="005B11C6">
        <w:trPr>
          <w:trHeight w:val="60"/>
          <w:tblHeader/>
        </w:trPr>
        <w:tc>
          <w:tcPr>
            <w:tcW w:w="1701" w:type="dxa"/>
            <w:vMerge w:val="restart"/>
            <w:shd w:val="clear" w:color="auto" w:fill="1E4496" w:themeFill="text2"/>
            <w:tcMar>
              <w:top w:w="113" w:type="dxa"/>
              <w:left w:w="113" w:type="dxa"/>
              <w:bottom w:w="113" w:type="dxa"/>
              <w:right w:w="113" w:type="dxa"/>
            </w:tcMar>
            <w:vAlign w:val="bottom"/>
          </w:tcPr>
          <w:p w14:paraId="06991BBF" w14:textId="77777777" w:rsidR="005B11C6" w:rsidRPr="005B11C6" w:rsidRDefault="005B11C6" w:rsidP="005B11C6">
            <w:pPr>
              <w:pStyle w:val="CDITable-HeaderRowLeft"/>
            </w:pPr>
            <w:r w:rsidRPr="005B11C6">
              <w:t>Category</w:t>
            </w:r>
          </w:p>
        </w:tc>
        <w:tc>
          <w:tcPr>
            <w:tcW w:w="2041" w:type="dxa"/>
            <w:vMerge w:val="restart"/>
            <w:shd w:val="clear" w:color="auto" w:fill="1E4496" w:themeFill="text2"/>
            <w:tcMar>
              <w:top w:w="113" w:type="dxa"/>
              <w:left w:w="113" w:type="dxa"/>
              <w:bottom w:w="113" w:type="dxa"/>
              <w:right w:w="113" w:type="dxa"/>
            </w:tcMar>
            <w:vAlign w:val="bottom"/>
          </w:tcPr>
          <w:p w14:paraId="3ACA1713" w14:textId="77777777" w:rsidR="005B11C6" w:rsidRPr="005B11C6" w:rsidRDefault="005B11C6" w:rsidP="005B11C6">
            <w:pPr>
              <w:pStyle w:val="CDITable-HeaderRowLeft"/>
            </w:pPr>
            <w:r w:rsidRPr="005B11C6">
              <w:t>Characteristic</w:t>
            </w:r>
          </w:p>
        </w:tc>
        <w:tc>
          <w:tcPr>
            <w:tcW w:w="5301" w:type="dxa"/>
            <w:gridSpan w:val="4"/>
            <w:tcBorders>
              <w:bottom w:val="single" w:sz="6" w:space="0" w:color="FFFFFF" w:themeColor="background1"/>
            </w:tcBorders>
            <w:shd w:val="clear" w:color="auto" w:fill="1E4496" w:themeFill="text2"/>
            <w:tcMar>
              <w:top w:w="113" w:type="dxa"/>
              <w:left w:w="113" w:type="dxa"/>
              <w:bottom w:w="113" w:type="dxa"/>
              <w:right w:w="113" w:type="dxa"/>
            </w:tcMar>
            <w:vAlign w:val="bottom"/>
          </w:tcPr>
          <w:p w14:paraId="75E3FF94" w14:textId="77777777" w:rsidR="005B11C6" w:rsidRPr="005B11C6" w:rsidRDefault="005B11C6" w:rsidP="005B11C6">
            <w:pPr>
              <w:pStyle w:val="CDITable-HeaderRowCentre"/>
            </w:pPr>
            <w:proofErr w:type="spellStart"/>
            <w:r w:rsidRPr="005B11C6">
              <w:t>Ampicillin</w:t>
            </w:r>
            <w:r w:rsidRPr="005B11C6">
              <w:rPr>
                <w:vertAlign w:val="superscript"/>
              </w:rPr>
              <w:t>a</w:t>
            </w:r>
            <w:proofErr w:type="spellEnd"/>
          </w:p>
        </w:tc>
        <w:tc>
          <w:tcPr>
            <w:tcW w:w="5300" w:type="dxa"/>
            <w:gridSpan w:val="4"/>
            <w:tcBorders>
              <w:bottom w:val="single" w:sz="6" w:space="0" w:color="FFFFFF" w:themeColor="background1"/>
            </w:tcBorders>
            <w:shd w:val="clear" w:color="auto" w:fill="1E4496" w:themeFill="text2"/>
            <w:tcMar>
              <w:top w:w="113" w:type="dxa"/>
              <w:left w:w="113" w:type="dxa"/>
              <w:bottom w:w="113" w:type="dxa"/>
              <w:right w:w="113" w:type="dxa"/>
            </w:tcMar>
            <w:vAlign w:val="bottom"/>
          </w:tcPr>
          <w:p w14:paraId="46D0BC23" w14:textId="77777777" w:rsidR="005B11C6" w:rsidRPr="005B11C6" w:rsidRDefault="005B11C6" w:rsidP="005B11C6">
            <w:pPr>
              <w:pStyle w:val="CDITable-HeaderRowCentre"/>
            </w:pPr>
            <w:proofErr w:type="spellStart"/>
            <w:r w:rsidRPr="005B11C6">
              <w:t>Vancomycin</w:t>
            </w:r>
            <w:r w:rsidRPr="005B11C6">
              <w:rPr>
                <w:vertAlign w:val="superscript"/>
              </w:rPr>
              <w:t>a</w:t>
            </w:r>
            <w:proofErr w:type="spellEnd"/>
          </w:p>
        </w:tc>
      </w:tr>
      <w:tr w:rsidR="005B11C6" w:rsidRPr="005B11C6" w14:paraId="010C2B78" w14:textId="77777777" w:rsidTr="005B11C6">
        <w:trPr>
          <w:trHeight w:val="60"/>
          <w:tblHeader/>
        </w:trPr>
        <w:tc>
          <w:tcPr>
            <w:tcW w:w="1701" w:type="dxa"/>
            <w:vMerge/>
            <w:shd w:val="clear" w:color="auto" w:fill="1E4496" w:themeFill="text2"/>
          </w:tcPr>
          <w:p w14:paraId="1AA399DD" w14:textId="77777777" w:rsidR="005B11C6" w:rsidRPr="005B11C6" w:rsidRDefault="005B11C6" w:rsidP="005B11C6"/>
        </w:tc>
        <w:tc>
          <w:tcPr>
            <w:tcW w:w="2041" w:type="dxa"/>
            <w:vMerge/>
            <w:shd w:val="clear" w:color="auto" w:fill="1E4496" w:themeFill="text2"/>
          </w:tcPr>
          <w:p w14:paraId="115261F8" w14:textId="77777777" w:rsidR="005B11C6" w:rsidRPr="005B11C6" w:rsidRDefault="005B11C6" w:rsidP="005B11C6"/>
        </w:tc>
        <w:tc>
          <w:tcPr>
            <w:tcW w:w="1325" w:type="dxa"/>
            <w:tcBorders>
              <w:top w:val="single" w:sz="6" w:space="0" w:color="FFFFFF" w:themeColor="background1"/>
            </w:tcBorders>
            <w:shd w:val="clear" w:color="auto" w:fill="1E4496" w:themeFill="text2"/>
            <w:tcMar>
              <w:top w:w="113" w:type="dxa"/>
              <w:left w:w="113" w:type="dxa"/>
              <w:bottom w:w="113" w:type="dxa"/>
              <w:right w:w="113" w:type="dxa"/>
            </w:tcMar>
            <w:vAlign w:val="bottom"/>
          </w:tcPr>
          <w:p w14:paraId="208520CA" w14:textId="77777777" w:rsidR="005B11C6" w:rsidRPr="005B11C6" w:rsidRDefault="005B11C6" w:rsidP="005B11C6">
            <w:pPr>
              <w:pStyle w:val="CDITable-HeaderRowCentre"/>
            </w:pPr>
            <w:r w:rsidRPr="005B11C6">
              <w:t>N</w:t>
            </w:r>
          </w:p>
        </w:tc>
        <w:tc>
          <w:tcPr>
            <w:tcW w:w="1325" w:type="dxa"/>
            <w:tcBorders>
              <w:top w:val="single" w:sz="6" w:space="0" w:color="FFFFFF" w:themeColor="background1"/>
            </w:tcBorders>
            <w:shd w:val="clear" w:color="auto" w:fill="1E4496" w:themeFill="text2"/>
            <w:tcMar>
              <w:top w:w="113" w:type="dxa"/>
              <w:left w:w="113" w:type="dxa"/>
              <w:bottom w:w="113" w:type="dxa"/>
              <w:right w:w="113" w:type="dxa"/>
            </w:tcMar>
            <w:vAlign w:val="bottom"/>
          </w:tcPr>
          <w:p w14:paraId="2E47B9FA" w14:textId="77777777" w:rsidR="005B11C6" w:rsidRPr="005B11C6" w:rsidRDefault="005B11C6" w:rsidP="005B11C6">
            <w:pPr>
              <w:pStyle w:val="CDITable-HeaderRowCentre"/>
            </w:pPr>
            <w:r w:rsidRPr="005B11C6">
              <w:t>n</w:t>
            </w:r>
          </w:p>
        </w:tc>
        <w:tc>
          <w:tcPr>
            <w:tcW w:w="1325" w:type="dxa"/>
            <w:tcBorders>
              <w:top w:val="single" w:sz="6" w:space="0" w:color="FFFFFF" w:themeColor="background1"/>
            </w:tcBorders>
            <w:shd w:val="clear" w:color="auto" w:fill="1E4496" w:themeFill="text2"/>
            <w:tcMar>
              <w:top w:w="113" w:type="dxa"/>
              <w:left w:w="113" w:type="dxa"/>
              <w:bottom w:w="113" w:type="dxa"/>
              <w:right w:w="113" w:type="dxa"/>
            </w:tcMar>
            <w:vAlign w:val="bottom"/>
          </w:tcPr>
          <w:p w14:paraId="10B6886F" w14:textId="77777777" w:rsidR="005B11C6" w:rsidRPr="005B11C6" w:rsidRDefault="005B11C6" w:rsidP="005B11C6">
            <w:pPr>
              <w:pStyle w:val="CDITable-HeaderRowCentre"/>
            </w:pPr>
            <w:r w:rsidRPr="005B11C6">
              <w:t>R%</w:t>
            </w:r>
          </w:p>
        </w:tc>
        <w:tc>
          <w:tcPr>
            <w:tcW w:w="1326" w:type="dxa"/>
            <w:tcBorders>
              <w:top w:val="single" w:sz="6" w:space="0" w:color="FFFFFF" w:themeColor="background1"/>
              <w:right w:val="single" w:sz="6" w:space="0" w:color="FFFFFF" w:themeColor="background1"/>
            </w:tcBorders>
            <w:shd w:val="clear" w:color="auto" w:fill="1E4496" w:themeFill="text2"/>
            <w:tcMar>
              <w:top w:w="113" w:type="dxa"/>
              <w:left w:w="113" w:type="dxa"/>
              <w:bottom w:w="113" w:type="dxa"/>
              <w:right w:w="113" w:type="dxa"/>
            </w:tcMar>
            <w:vAlign w:val="bottom"/>
          </w:tcPr>
          <w:p w14:paraId="459CD148" w14:textId="77777777" w:rsidR="005B11C6" w:rsidRPr="005B11C6" w:rsidRDefault="005B11C6" w:rsidP="005B11C6">
            <w:pPr>
              <w:pStyle w:val="CDITable-HeaderRowCentre"/>
            </w:pPr>
            <w:r w:rsidRPr="005B11C6">
              <w:t>95% CI</w:t>
            </w:r>
          </w:p>
        </w:tc>
        <w:tc>
          <w:tcPr>
            <w:tcW w:w="1325" w:type="dxa"/>
            <w:tcBorders>
              <w:top w:val="single" w:sz="6" w:space="0" w:color="FFFFFF" w:themeColor="background1"/>
              <w:left w:val="single" w:sz="6" w:space="0" w:color="FFFFFF" w:themeColor="background1"/>
            </w:tcBorders>
            <w:shd w:val="clear" w:color="auto" w:fill="1E4496" w:themeFill="text2"/>
            <w:tcMar>
              <w:top w:w="113" w:type="dxa"/>
              <w:left w:w="113" w:type="dxa"/>
              <w:bottom w:w="113" w:type="dxa"/>
              <w:right w:w="113" w:type="dxa"/>
            </w:tcMar>
            <w:vAlign w:val="bottom"/>
          </w:tcPr>
          <w:p w14:paraId="2C159185" w14:textId="77777777" w:rsidR="005B11C6" w:rsidRPr="005B11C6" w:rsidRDefault="005B11C6" w:rsidP="005B11C6">
            <w:pPr>
              <w:pStyle w:val="CDITable-HeaderRowCentre"/>
            </w:pPr>
            <w:r w:rsidRPr="005B11C6">
              <w:t>N</w:t>
            </w:r>
          </w:p>
        </w:tc>
        <w:tc>
          <w:tcPr>
            <w:tcW w:w="1325" w:type="dxa"/>
            <w:tcBorders>
              <w:top w:val="single" w:sz="6" w:space="0" w:color="FFFFFF" w:themeColor="background1"/>
            </w:tcBorders>
            <w:shd w:val="clear" w:color="auto" w:fill="1E4496" w:themeFill="text2"/>
            <w:tcMar>
              <w:top w:w="113" w:type="dxa"/>
              <w:left w:w="113" w:type="dxa"/>
              <w:bottom w:w="113" w:type="dxa"/>
              <w:right w:w="113" w:type="dxa"/>
            </w:tcMar>
            <w:vAlign w:val="bottom"/>
          </w:tcPr>
          <w:p w14:paraId="527C7767" w14:textId="77777777" w:rsidR="005B11C6" w:rsidRPr="005B11C6" w:rsidRDefault="005B11C6" w:rsidP="005B11C6">
            <w:pPr>
              <w:pStyle w:val="CDITable-HeaderRowCentre"/>
            </w:pPr>
            <w:r w:rsidRPr="005B11C6">
              <w:t>n</w:t>
            </w:r>
          </w:p>
        </w:tc>
        <w:tc>
          <w:tcPr>
            <w:tcW w:w="1325" w:type="dxa"/>
            <w:tcBorders>
              <w:top w:val="single" w:sz="6" w:space="0" w:color="FFFFFF" w:themeColor="background1"/>
            </w:tcBorders>
            <w:shd w:val="clear" w:color="auto" w:fill="1E4496" w:themeFill="text2"/>
            <w:tcMar>
              <w:top w:w="113" w:type="dxa"/>
              <w:left w:w="113" w:type="dxa"/>
              <w:bottom w:w="113" w:type="dxa"/>
              <w:right w:w="113" w:type="dxa"/>
            </w:tcMar>
            <w:vAlign w:val="bottom"/>
          </w:tcPr>
          <w:p w14:paraId="0BFD8D54" w14:textId="77777777" w:rsidR="005B11C6" w:rsidRPr="005B11C6" w:rsidRDefault="005B11C6" w:rsidP="005B11C6">
            <w:pPr>
              <w:pStyle w:val="CDITable-HeaderRowCentre"/>
            </w:pPr>
            <w:r w:rsidRPr="005B11C6">
              <w:t>R%</w:t>
            </w:r>
          </w:p>
        </w:tc>
        <w:tc>
          <w:tcPr>
            <w:tcW w:w="1325" w:type="dxa"/>
            <w:tcBorders>
              <w:top w:val="single" w:sz="6" w:space="0" w:color="FFFFFF" w:themeColor="background1"/>
            </w:tcBorders>
            <w:shd w:val="clear" w:color="auto" w:fill="1E4496" w:themeFill="text2"/>
            <w:tcMar>
              <w:top w:w="113" w:type="dxa"/>
              <w:left w:w="113" w:type="dxa"/>
              <w:bottom w:w="113" w:type="dxa"/>
              <w:right w:w="113" w:type="dxa"/>
            </w:tcMar>
            <w:vAlign w:val="bottom"/>
          </w:tcPr>
          <w:p w14:paraId="19237A01" w14:textId="77777777" w:rsidR="005B11C6" w:rsidRPr="005B11C6" w:rsidRDefault="005B11C6" w:rsidP="005B11C6">
            <w:pPr>
              <w:pStyle w:val="CDITable-HeaderRowCentre"/>
            </w:pPr>
            <w:r w:rsidRPr="005B11C6">
              <w:t>95% CI</w:t>
            </w:r>
          </w:p>
        </w:tc>
      </w:tr>
      <w:tr w:rsidR="005B11C6" w:rsidRPr="005B11C6" w14:paraId="2F75EEA6" w14:textId="77777777" w:rsidTr="005B11C6">
        <w:trPr>
          <w:trHeight w:val="60"/>
        </w:trPr>
        <w:tc>
          <w:tcPr>
            <w:tcW w:w="1701" w:type="dxa"/>
            <w:tcBorders>
              <w:bottom w:val="single" w:sz="6" w:space="0" w:color="1E4496" w:themeColor="text2"/>
            </w:tcBorders>
            <w:shd w:val="clear" w:color="auto" w:fill="DCF4FC" w:themeFill="background2" w:themeFillTint="33"/>
            <w:tcMar>
              <w:top w:w="113" w:type="dxa"/>
              <w:left w:w="113" w:type="dxa"/>
              <w:bottom w:w="113" w:type="dxa"/>
              <w:right w:w="113" w:type="dxa"/>
            </w:tcMar>
            <w:vAlign w:val="center"/>
          </w:tcPr>
          <w:p w14:paraId="4AEC496C" w14:textId="77777777" w:rsidR="005B11C6" w:rsidRPr="005B11C6" w:rsidRDefault="005B11C6" w:rsidP="005B11C6">
            <w:pPr>
              <w:pStyle w:val="CDITable-RowLeft"/>
            </w:pPr>
            <w:r w:rsidRPr="005B11C6">
              <w:t>Overall</w:t>
            </w:r>
          </w:p>
        </w:tc>
        <w:tc>
          <w:tcPr>
            <w:tcW w:w="2041" w:type="dxa"/>
            <w:tcBorders>
              <w:bottom w:val="single" w:sz="6" w:space="0" w:color="1E4496" w:themeColor="text2"/>
            </w:tcBorders>
            <w:tcMar>
              <w:top w:w="113" w:type="dxa"/>
              <w:left w:w="113" w:type="dxa"/>
              <w:bottom w:w="113" w:type="dxa"/>
              <w:right w:w="113" w:type="dxa"/>
            </w:tcMar>
            <w:vAlign w:val="center"/>
          </w:tcPr>
          <w:p w14:paraId="65C9A23A" w14:textId="77777777" w:rsidR="005B11C6" w:rsidRPr="005B11C6" w:rsidRDefault="005B11C6" w:rsidP="005B11C6">
            <w:pPr>
              <w:pStyle w:val="CDITable-RowLeft"/>
            </w:pPr>
            <w:r w:rsidRPr="005B11C6">
              <w:t>—</w:t>
            </w:r>
          </w:p>
        </w:tc>
        <w:tc>
          <w:tcPr>
            <w:tcW w:w="1325" w:type="dxa"/>
            <w:tcBorders>
              <w:bottom w:val="single" w:sz="6" w:space="0" w:color="1E4496" w:themeColor="text2"/>
            </w:tcBorders>
            <w:tcMar>
              <w:top w:w="113" w:type="dxa"/>
              <w:left w:w="113" w:type="dxa"/>
              <w:bottom w:w="113" w:type="dxa"/>
              <w:right w:w="113" w:type="dxa"/>
            </w:tcMar>
            <w:vAlign w:val="center"/>
          </w:tcPr>
          <w:p w14:paraId="03618941" w14:textId="77777777" w:rsidR="005B11C6" w:rsidRPr="005B11C6" w:rsidRDefault="005B11C6" w:rsidP="005B11C6">
            <w:pPr>
              <w:pStyle w:val="CDITable-RowCentre"/>
            </w:pPr>
            <w:r w:rsidRPr="005B11C6">
              <w:t>183</w:t>
            </w:r>
          </w:p>
        </w:tc>
        <w:tc>
          <w:tcPr>
            <w:tcW w:w="1325" w:type="dxa"/>
            <w:tcBorders>
              <w:bottom w:val="single" w:sz="6" w:space="0" w:color="1E4496" w:themeColor="text2"/>
            </w:tcBorders>
            <w:tcMar>
              <w:top w:w="113" w:type="dxa"/>
              <w:left w:w="113" w:type="dxa"/>
              <w:bottom w:w="113" w:type="dxa"/>
              <w:right w:w="113" w:type="dxa"/>
            </w:tcMar>
            <w:vAlign w:val="center"/>
          </w:tcPr>
          <w:p w14:paraId="4FDB3198" w14:textId="77777777" w:rsidR="005B11C6" w:rsidRPr="005B11C6" w:rsidRDefault="005B11C6" w:rsidP="005B11C6">
            <w:pPr>
              <w:pStyle w:val="CDITable-RowCentre"/>
            </w:pPr>
            <w:r w:rsidRPr="005B11C6">
              <w:t>26</w:t>
            </w:r>
          </w:p>
        </w:tc>
        <w:tc>
          <w:tcPr>
            <w:tcW w:w="1325" w:type="dxa"/>
            <w:tcBorders>
              <w:bottom w:val="single" w:sz="6" w:space="0" w:color="1E4496" w:themeColor="text2"/>
            </w:tcBorders>
            <w:tcMar>
              <w:top w:w="113" w:type="dxa"/>
              <w:left w:w="113" w:type="dxa"/>
              <w:bottom w:w="113" w:type="dxa"/>
              <w:right w:w="113" w:type="dxa"/>
            </w:tcMar>
            <w:vAlign w:val="center"/>
          </w:tcPr>
          <w:p w14:paraId="270A69CA" w14:textId="77777777" w:rsidR="005B11C6" w:rsidRPr="005B11C6" w:rsidRDefault="005B11C6" w:rsidP="005B11C6">
            <w:pPr>
              <w:pStyle w:val="CDITable-RowCentre"/>
            </w:pPr>
            <w:r w:rsidRPr="005B11C6">
              <w:t>14.2</w:t>
            </w:r>
          </w:p>
        </w:tc>
        <w:tc>
          <w:tcPr>
            <w:tcW w:w="1326" w:type="dxa"/>
            <w:tcBorders>
              <w:bottom w:val="single" w:sz="6" w:space="0" w:color="1E4496" w:themeColor="text2"/>
              <w:right w:val="single" w:sz="6" w:space="0" w:color="1E4496" w:themeColor="text2"/>
            </w:tcBorders>
            <w:tcMar>
              <w:top w:w="113" w:type="dxa"/>
              <w:left w:w="113" w:type="dxa"/>
              <w:bottom w:w="113" w:type="dxa"/>
              <w:right w:w="113" w:type="dxa"/>
            </w:tcMar>
            <w:vAlign w:val="center"/>
          </w:tcPr>
          <w:p w14:paraId="55892E7E" w14:textId="77777777" w:rsidR="005B11C6" w:rsidRPr="005B11C6" w:rsidRDefault="005B11C6" w:rsidP="005B11C6">
            <w:pPr>
              <w:pStyle w:val="CDITable-RowCentre"/>
            </w:pPr>
            <w:r w:rsidRPr="005B11C6">
              <w:t>9.5–20.1</w:t>
            </w:r>
          </w:p>
        </w:tc>
        <w:tc>
          <w:tcPr>
            <w:tcW w:w="1325" w:type="dxa"/>
            <w:tcBorders>
              <w:left w:val="single" w:sz="6" w:space="0" w:color="1E4496" w:themeColor="text2"/>
              <w:bottom w:val="single" w:sz="6" w:space="0" w:color="1E4496" w:themeColor="text2"/>
            </w:tcBorders>
            <w:tcMar>
              <w:top w:w="113" w:type="dxa"/>
              <w:left w:w="113" w:type="dxa"/>
              <w:bottom w:w="113" w:type="dxa"/>
              <w:right w:w="113" w:type="dxa"/>
            </w:tcMar>
            <w:vAlign w:val="center"/>
          </w:tcPr>
          <w:p w14:paraId="0AC975E3" w14:textId="77777777" w:rsidR="005B11C6" w:rsidRPr="005B11C6" w:rsidRDefault="005B11C6" w:rsidP="005B11C6">
            <w:pPr>
              <w:pStyle w:val="CDITable-RowCentre"/>
            </w:pPr>
            <w:r w:rsidRPr="005B11C6">
              <w:t>187</w:t>
            </w:r>
          </w:p>
        </w:tc>
        <w:tc>
          <w:tcPr>
            <w:tcW w:w="1325" w:type="dxa"/>
            <w:tcBorders>
              <w:bottom w:val="single" w:sz="6" w:space="0" w:color="1E4496" w:themeColor="text2"/>
            </w:tcBorders>
            <w:tcMar>
              <w:top w:w="113" w:type="dxa"/>
              <w:left w:w="113" w:type="dxa"/>
              <w:bottom w:w="113" w:type="dxa"/>
              <w:right w:w="113" w:type="dxa"/>
            </w:tcMar>
            <w:vAlign w:val="center"/>
          </w:tcPr>
          <w:p w14:paraId="6DBC3E55" w14:textId="77777777" w:rsidR="005B11C6" w:rsidRPr="005B11C6" w:rsidRDefault="005B11C6" w:rsidP="005B11C6">
            <w:pPr>
              <w:pStyle w:val="CDITable-RowCentre"/>
            </w:pPr>
            <w:r w:rsidRPr="005B11C6">
              <w:t>13</w:t>
            </w:r>
          </w:p>
        </w:tc>
        <w:tc>
          <w:tcPr>
            <w:tcW w:w="1325" w:type="dxa"/>
            <w:tcBorders>
              <w:bottom w:val="single" w:sz="6" w:space="0" w:color="1E4496" w:themeColor="text2"/>
            </w:tcBorders>
            <w:tcMar>
              <w:top w:w="113" w:type="dxa"/>
              <w:left w:w="113" w:type="dxa"/>
              <w:bottom w:w="113" w:type="dxa"/>
              <w:right w:w="113" w:type="dxa"/>
            </w:tcMar>
            <w:vAlign w:val="center"/>
          </w:tcPr>
          <w:p w14:paraId="69B03DE9" w14:textId="77777777" w:rsidR="005B11C6" w:rsidRPr="005B11C6" w:rsidRDefault="005B11C6" w:rsidP="005B11C6">
            <w:pPr>
              <w:pStyle w:val="CDITable-RowCentre"/>
            </w:pPr>
            <w:r w:rsidRPr="005B11C6">
              <w:t>7.0</w:t>
            </w:r>
          </w:p>
        </w:tc>
        <w:tc>
          <w:tcPr>
            <w:tcW w:w="1325" w:type="dxa"/>
            <w:tcBorders>
              <w:bottom w:val="single" w:sz="6" w:space="0" w:color="1E4496" w:themeColor="text2"/>
            </w:tcBorders>
            <w:tcMar>
              <w:top w:w="113" w:type="dxa"/>
              <w:left w:w="113" w:type="dxa"/>
              <w:bottom w:w="113" w:type="dxa"/>
              <w:right w:w="113" w:type="dxa"/>
            </w:tcMar>
            <w:vAlign w:val="center"/>
          </w:tcPr>
          <w:p w14:paraId="2943F760" w14:textId="77777777" w:rsidR="005B11C6" w:rsidRPr="005B11C6" w:rsidRDefault="005B11C6" w:rsidP="005B11C6">
            <w:pPr>
              <w:pStyle w:val="CDITable-RowCentre"/>
            </w:pPr>
            <w:r w:rsidRPr="005B11C6">
              <w:t>3.8–11.6</w:t>
            </w:r>
          </w:p>
        </w:tc>
      </w:tr>
      <w:tr w:rsidR="005B11C6" w:rsidRPr="005B11C6" w14:paraId="4B02C355" w14:textId="77777777" w:rsidTr="005B11C6">
        <w:trPr>
          <w:trHeight w:val="60"/>
        </w:trPr>
        <w:tc>
          <w:tcPr>
            <w:tcW w:w="1701" w:type="dxa"/>
            <w:vMerge w:val="restart"/>
            <w:tcBorders>
              <w:top w:val="single" w:sz="6" w:space="0" w:color="1E4496" w:themeColor="text2"/>
              <w:bottom w:val="single" w:sz="6" w:space="0" w:color="1E4496" w:themeColor="text2"/>
            </w:tcBorders>
            <w:shd w:val="clear" w:color="auto" w:fill="DCF4FC" w:themeFill="background2" w:themeFillTint="33"/>
            <w:tcMar>
              <w:top w:w="113" w:type="dxa"/>
              <w:left w:w="113" w:type="dxa"/>
              <w:bottom w:w="113" w:type="dxa"/>
              <w:right w:w="113" w:type="dxa"/>
            </w:tcMar>
            <w:vAlign w:val="center"/>
          </w:tcPr>
          <w:p w14:paraId="5A5128CD" w14:textId="77777777" w:rsidR="005B11C6" w:rsidRPr="005B11C6" w:rsidRDefault="005B11C6" w:rsidP="005B11C6">
            <w:pPr>
              <w:pStyle w:val="CDITable-RowLeft"/>
            </w:pPr>
            <w:r w:rsidRPr="005B11C6">
              <w:t>Species</w:t>
            </w:r>
          </w:p>
        </w:tc>
        <w:tc>
          <w:tcPr>
            <w:tcW w:w="204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69719C9" w14:textId="77777777" w:rsidR="005B11C6" w:rsidRPr="005B11C6" w:rsidRDefault="005B11C6" w:rsidP="005B11C6">
            <w:pPr>
              <w:pStyle w:val="CDITable-RowLeft"/>
              <w:rPr>
                <w:i/>
                <w:iCs/>
              </w:rPr>
            </w:pPr>
            <w:r w:rsidRPr="005B11C6">
              <w:rPr>
                <w:i/>
                <w:iCs/>
              </w:rPr>
              <w:t>E. faecalis</w:t>
            </w:r>
          </w:p>
        </w:tc>
        <w:tc>
          <w:tcPr>
            <w:tcW w:w="132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DC521A4" w14:textId="77777777" w:rsidR="005B11C6" w:rsidRPr="005B11C6" w:rsidRDefault="005B11C6" w:rsidP="005B11C6">
            <w:pPr>
              <w:pStyle w:val="CDITable-RowCentre"/>
            </w:pPr>
            <w:r w:rsidRPr="005B11C6">
              <w:t>131</w:t>
            </w:r>
          </w:p>
        </w:tc>
        <w:tc>
          <w:tcPr>
            <w:tcW w:w="132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EA86087" w14:textId="77777777" w:rsidR="005B11C6" w:rsidRPr="005B11C6" w:rsidRDefault="005B11C6" w:rsidP="005B11C6">
            <w:pPr>
              <w:pStyle w:val="CDITable-RowCentre"/>
            </w:pPr>
            <w:r w:rsidRPr="005B11C6">
              <w:t>0</w:t>
            </w:r>
          </w:p>
        </w:tc>
        <w:tc>
          <w:tcPr>
            <w:tcW w:w="132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C8BED9E" w14:textId="77777777" w:rsidR="005B11C6" w:rsidRPr="005B11C6" w:rsidRDefault="005B11C6" w:rsidP="005B11C6">
            <w:pPr>
              <w:pStyle w:val="CDITable-RowCentre"/>
            </w:pPr>
            <w:r w:rsidRPr="005B11C6">
              <w:t>0</w:t>
            </w:r>
          </w:p>
        </w:tc>
        <w:tc>
          <w:tcPr>
            <w:tcW w:w="1326" w:type="dxa"/>
            <w:tcBorders>
              <w:top w:val="single" w:sz="6" w:space="0" w:color="1E4496" w:themeColor="text2"/>
              <w:bottom w:val="single" w:sz="6" w:space="0" w:color="1E4496" w:themeColor="text2"/>
              <w:right w:val="single" w:sz="6" w:space="0" w:color="1E4496" w:themeColor="text2"/>
            </w:tcBorders>
            <w:tcMar>
              <w:top w:w="113" w:type="dxa"/>
              <w:left w:w="113" w:type="dxa"/>
              <w:bottom w:w="113" w:type="dxa"/>
              <w:right w:w="113" w:type="dxa"/>
            </w:tcMar>
            <w:vAlign w:val="center"/>
          </w:tcPr>
          <w:p w14:paraId="6F278051" w14:textId="77777777" w:rsidR="005B11C6" w:rsidRPr="005B11C6" w:rsidRDefault="005B11C6" w:rsidP="005B11C6">
            <w:pPr>
              <w:pStyle w:val="CDITable-RowCentre"/>
            </w:pPr>
            <w:r w:rsidRPr="005B11C6">
              <w:t>—</w:t>
            </w:r>
          </w:p>
        </w:tc>
        <w:tc>
          <w:tcPr>
            <w:tcW w:w="1325" w:type="dxa"/>
            <w:tcBorders>
              <w:top w:val="single" w:sz="6" w:space="0" w:color="1E4496" w:themeColor="text2"/>
              <w:left w:val="single" w:sz="6" w:space="0" w:color="1E4496" w:themeColor="text2"/>
              <w:bottom w:val="single" w:sz="6" w:space="0" w:color="1E4496" w:themeColor="text2"/>
            </w:tcBorders>
            <w:tcMar>
              <w:top w:w="113" w:type="dxa"/>
              <w:left w:w="113" w:type="dxa"/>
              <w:bottom w:w="113" w:type="dxa"/>
              <w:right w:w="113" w:type="dxa"/>
            </w:tcMar>
            <w:vAlign w:val="center"/>
          </w:tcPr>
          <w:p w14:paraId="59728CEC" w14:textId="77777777" w:rsidR="005B11C6" w:rsidRPr="005B11C6" w:rsidRDefault="005B11C6" w:rsidP="005B11C6">
            <w:pPr>
              <w:pStyle w:val="CDITable-RowCentre"/>
            </w:pPr>
            <w:r w:rsidRPr="005B11C6">
              <w:t>133</w:t>
            </w:r>
          </w:p>
        </w:tc>
        <w:tc>
          <w:tcPr>
            <w:tcW w:w="132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A953059" w14:textId="77777777" w:rsidR="005B11C6" w:rsidRPr="005B11C6" w:rsidRDefault="005B11C6" w:rsidP="005B11C6">
            <w:pPr>
              <w:pStyle w:val="CDITable-RowCentre"/>
            </w:pPr>
            <w:r w:rsidRPr="005B11C6">
              <w:t>0</w:t>
            </w:r>
          </w:p>
        </w:tc>
        <w:tc>
          <w:tcPr>
            <w:tcW w:w="132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86C8E69" w14:textId="77777777" w:rsidR="005B11C6" w:rsidRPr="005B11C6" w:rsidRDefault="005B11C6" w:rsidP="005B11C6">
            <w:pPr>
              <w:pStyle w:val="CDITable-RowCentre"/>
            </w:pPr>
            <w:r w:rsidRPr="005B11C6">
              <w:t>0</w:t>
            </w:r>
          </w:p>
        </w:tc>
        <w:tc>
          <w:tcPr>
            <w:tcW w:w="132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7A0484F" w14:textId="77777777" w:rsidR="005B11C6" w:rsidRPr="005B11C6" w:rsidRDefault="005B11C6" w:rsidP="005B11C6">
            <w:pPr>
              <w:pStyle w:val="CDITable-RowCentre"/>
            </w:pPr>
            <w:r w:rsidRPr="005B11C6">
              <w:t>—</w:t>
            </w:r>
          </w:p>
        </w:tc>
      </w:tr>
      <w:tr w:rsidR="005B11C6" w:rsidRPr="005B11C6" w14:paraId="0AD85B6B" w14:textId="77777777" w:rsidTr="005B11C6">
        <w:trPr>
          <w:trHeight w:val="60"/>
        </w:trPr>
        <w:tc>
          <w:tcPr>
            <w:tcW w:w="1701" w:type="dxa"/>
            <w:vMerge/>
            <w:tcBorders>
              <w:bottom w:val="single" w:sz="6" w:space="0" w:color="1E4496" w:themeColor="text2"/>
            </w:tcBorders>
            <w:shd w:val="clear" w:color="auto" w:fill="DCF4FC" w:themeFill="background2" w:themeFillTint="33"/>
          </w:tcPr>
          <w:p w14:paraId="440C7C67" w14:textId="77777777" w:rsidR="005B11C6" w:rsidRPr="005B11C6" w:rsidRDefault="005B11C6" w:rsidP="005B11C6">
            <w:pPr>
              <w:pStyle w:val="CDITable-RowLeft"/>
            </w:pPr>
          </w:p>
        </w:tc>
        <w:tc>
          <w:tcPr>
            <w:tcW w:w="204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E0D642B" w14:textId="77777777" w:rsidR="005B11C6" w:rsidRPr="005B11C6" w:rsidRDefault="005B11C6" w:rsidP="005B11C6">
            <w:pPr>
              <w:pStyle w:val="CDITable-RowLeft"/>
              <w:rPr>
                <w:i/>
                <w:iCs/>
              </w:rPr>
            </w:pPr>
            <w:r w:rsidRPr="005B11C6">
              <w:rPr>
                <w:i/>
                <w:iCs/>
              </w:rPr>
              <w:t>E. faecium</w:t>
            </w:r>
          </w:p>
        </w:tc>
        <w:tc>
          <w:tcPr>
            <w:tcW w:w="132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2C89CE9" w14:textId="77777777" w:rsidR="005B11C6" w:rsidRPr="005B11C6" w:rsidRDefault="005B11C6" w:rsidP="005B11C6">
            <w:pPr>
              <w:pStyle w:val="CDITable-RowCentre"/>
            </w:pPr>
            <w:r w:rsidRPr="005B11C6">
              <w:t>32</w:t>
            </w:r>
          </w:p>
        </w:tc>
        <w:tc>
          <w:tcPr>
            <w:tcW w:w="132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53887EF" w14:textId="77777777" w:rsidR="005B11C6" w:rsidRPr="005B11C6" w:rsidRDefault="005B11C6" w:rsidP="005B11C6">
            <w:pPr>
              <w:pStyle w:val="CDITable-RowCentre"/>
            </w:pPr>
            <w:r w:rsidRPr="005B11C6">
              <w:t>26</w:t>
            </w:r>
          </w:p>
        </w:tc>
        <w:tc>
          <w:tcPr>
            <w:tcW w:w="132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4C3CE3E" w14:textId="77777777" w:rsidR="005B11C6" w:rsidRPr="005B11C6" w:rsidRDefault="005B11C6" w:rsidP="005B11C6">
            <w:pPr>
              <w:pStyle w:val="CDITable-RowCentre"/>
            </w:pPr>
            <w:r w:rsidRPr="005B11C6">
              <w:t>81.3</w:t>
            </w:r>
          </w:p>
        </w:tc>
        <w:tc>
          <w:tcPr>
            <w:tcW w:w="1326" w:type="dxa"/>
            <w:tcBorders>
              <w:top w:val="single" w:sz="6" w:space="0" w:color="1E4496" w:themeColor="text2"/>
              <w:bottom w:val="single" w:sz="6" w:space="0" w:color="1E4496" w:themeColor="text2"/>
              <w:right w:val="single" w:sz="6" w:space="0" w:color="1E4496" w:themeColor="text2"/>
            </w:tcBorders>
            <w:tcMar>
              <w:top w:w="113" w:type="dxa"/>
              <w:left w:w="113" w:type="dxa"/>
              <w:bottom w:w="113" w:type="dxa"/>
              <w:right w:w="113" w:type="dxa"/>
            </w:tcMar>
            <w:vAlign w:val="center"/>
          </w:tcPr>
          <w:p w14:paraId="36CBE216" w14:textId="77777777" w:rsidR="005B11C6" w:rsidRPr="005B11C6" w:rsidRDefault="005B11C6" w:rsidP="005B11C6">
            <w:pPr>
              <w:pStyle w:val="CDITable-RowCentre"/>
            </w:pPr>
            <w:r w:rsidRPr="005B11C6">
              <w:t>63.6–92.8</w:t>
            </w:r>
          </w:p>
        </w:tc>
        <w:tc>
          <w:tcPr>
            <w:tcW w:w="1325" w:type="dxa"/>
            <w:tcBorders>
              <w:top w:val="single" w:sz="6" w:space="0" w:color="1E4496" w:themeColor="text2"/>
              <w:left w:val="single" w:sz="6" w:space="0" w:color="1E4496" w:themeColor="text2"/>
              <w:bottom w:val="single" w:sz="6" w:space="0" w:color="1E4496" w:themeColor="text2"/>
            </w:tcBorders>
            <w:tcMar>
              <w:top w:w="113" w:type="dxa"/>
              <w:left w:w="113" w:type="dxa"/>
              <w:bottom w:w="113" w:type="dxa"/>
              <w:right w:w="113" w:type="dxa"/>
            </w:tcMar>
            <w:vAlign w:val="center"/>
          </w:tcPr>
          <w:p w14:paraId="46AD3D5C" w14:textId="77777777" w:rsidR="005B11C6" w:rsidRPr="005B11C6" w:rsidRDefault="005B11C6" w:rsidP="005B11C6">
            <w:pPr>
              <w:pStyle w:val="CDITable-RowCentre"/>
            </w:pPr>
            <w:r w:rsidRPr="005B11C6">
              <w:t>32</w:t>
            </w:r>
          </w:p>
        </w:tc>
        <w:tc>
          <w:tcPr>
            <w:tcW w:w="132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F17C451" w14:textId="77777777" w:rsidR="005B11C6" w:rsidRPr="005B11C6" w:rsidRDefault="005B11C6" w:rsidP="005B11C6">
            <w:pPr>
              <w:pStyle w:val="CDITable-RowCentre"/>
            </w:pPr>
            <w:r w:rsidRPr="005B11C6">
              <w:t>13</w:t>
            </w:r>
          </w:p>
        </w:tc>
        <w:tc>
          <w:tcPr>
            <w:tcW w:w="132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DD345B8" w14:textId="77777777" w:rsidR="005B11C6" w:rsidRPr="005B11C6" w:rsidRDefault="005B11C6" w:rsidP="005B11C6">
            <w:pPr>
              <w:pStyle w:val="CDITable-RowCentre"/>
            </w:pPr>
            <w:r w:rsidRPr="005B11C6">
              <w:t>40.6</w:t>
            </w:r>
          </w:p>
        </w:tc>
        <w:tc>
          <w:tcPr>
            <w:tcW w:w="132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D268C12" w14:textId="77777777" w:rsidR="005B11C6" w:rsidRPr="005B11C6" w:rsidRDefault="005B11C6" w:rsidP="005B11C6">
            <w:pPr>
              <w:pStyle w:val="CDITable-RowCentre"/>
            </w:pPr>
            <w:r w:rsidRPr="005B11C6">
              <w:t>23.7–59.4</w:t>
            </w:r>
          </w:p>
        </w:tc>
      </w:tr>
      <w:tr w:rsidR="005B11C6" w:rsidRPr="005B11C6" w14:paraId="151FE767" w14:textId="77777777" w:rsidTr="00B0791F">
        <w:trPr>
          <w:trHeight w:val="60"/>
        </w:trPr>
        <w:tc>
          <w:tcPr>
            <w:tcW w:w="1701" w:type="dxa"/>
            <w:vMerge/>
            <w:tcBorders>
              <w:bottom w:val="single" w:sz="6" w:space="0" w:color="1E4496" w:themeColor="text2"/>
            </w:tcBorders>
            <w:shd w:val="clear" w:color="auto" w:fill="DCF4FC" w:themeFill="background2" w:themeFillTint="33"/>
          </w:tcPr>
          <w:p w14:paraId="2937D949" w14:textId="77777777" w:rsidR="005B11C6" w:rsidRPr="005B11C6" w:rsidRDefault="005B11C6" w:rsidP="005B11C6">
            <w:pPr>
              <w:pStyle w:val="CDITable-RowLeft"/>
            </w:pPr>
          </w:p>
        </w:tc>
        <w:tc>
          <w:tcPr>
            <w:tcW w:w="204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E978EF3" w14:textId="77777777" w:rsidR="005B11C6" w:rsidRPr="005B11C6" w:rsidRDefault="005B11C6" w:rsidP="005B11C6">
            <w:pPr>
              <w:pStyle w:val="CDITable-RowLeft"/>
            </w:pPr>
            <w:r w:rsidRPr="005B11C6">
              <w:t xml:space="preserve">Other </w:t>
            </w:r>
            <w:r w:rsidRPr="005B11C6">
              <w:rPr>
                <w:i/>
                <w:iCs/>
              </w:rPr>
              <w:t>Enterococcus</w:t>
            </w:r>
          </w:p>
        </w:tc>
        <w:tc>
          <w:tcPr>
            <w:tcW w:w="132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753DA6A" w14:textId="77777777" w:rsidR="005B11C6" w:rsidRPr="005B11C6" w:rsidRDefault="005B11C6" w:rsidP="005B11C6">
            <w:pPr>
              <w:pStyle w:val="CDITable-RowCentre"/>
            </w:pPr>
            <w:r w:rsidRPr="005B11C6">
              <w:t>20</w:t>
            </w:r>
          </w:p>
        </w:tc>
        <w:tc>
          <w:tcPr>
            <w:tcW w:w="132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6EF020D" w14:textId="77777777" w:rsidR="005B11C6" w:rsidRPr="005B11C6" w:rsidRDefault="005B11C6" w:rsidP="005B11C6">
            <w:pPr>
              <w:pStyle w:val="CDITable-RowCentre"/>
            </w:pPr>
            <w:r w:rsidRPr="005B11C6">
              <w:t>0</w:t>
            </w:r>
          </w:p>
        </w:tc>
        <w:tc>
          <w:tcPr>
            <w:tcW w:w="132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A2E9C23" w14:textId="77777777" w:rsidR="005B11C6" w:rsidRPr="005B11C6" w:rsidRDefault="005B11C6" w:rsidP="005B11C6">
            <w:pPr>
              <w:pStyle w:val="CDITable-RowCentre"/>
            </w:pPr>
            <w:r w:rsidRPr="005B11C6">
              <w:t>0</w:t>
            </w:r>
          </w:p>
        </w:tc>
        <w:tc>
          <w:tcPr>
            <w:tcW w:w="1326" w:type="dxa"/>
            <w:tcBorders>
              <w:top w:val="single" w:sz="6" w:space="0" w:color="1E4496" w:themeColor="text2"/>
              <w:bottom w:val="single" w:sz="6" w:space="0" w:color="1E4496" w:themeColor="text2"/>
              <w:right w:val="single" w:sz="6" w:space="0" w:color="1E4496" w:themeColor="text2"/>
            </w:tcBorders>
            <w:tcMar>
              <w:top w:w="113" w:type="dxa"/>
              <w:left w:w="113" w:type="dxa"/>
              <w:bottom w:w="113" w:type="dxa"/>
              <w:right w:w="113" w:type="dxa"/>
            </w:tcMar>
            <w:vAlign w:val="center"/>
          </w:tcPr>
          <w:p w14:paraId="6928EEBC" w14:textId="77777777" w:rsidR="005B11C6" w:rsidRPr="005B11C6" w:rsidRDefault="005B11C6" w:rsidP="005B11C6">
            <w:pPr>
              <w:pStyle w:val="CDITable-RowCentre"/>
            </w:pPr>
            <w:r w:rsidRPr="005B11C6">
              <w:t>—</w:t>
            </w:r>
          </w:p>
        </w:tc>
        <w:tc>
          <w:tcPr>
            <w:tcW w:w="1325" w:type="dxa"/>
            <w:tcBorders>
              <w:top w:val="single" w:sz="6" w:space="0" w:color="1E4496" w:themeColor="text2"/>
              <w:left w:val="single" w:sz="6" w:space="0" w:color="1E4496" w:themeColor="text2"/>
              <w:bottom w:val="single" w:sz="6" w:space="0" w:color="1E4496" w:themeColor="text2"/>
            </w:tcBorders>
            <w:tcMar>
              <w:top w:w="113" w:type="dxa"/>
              <w:left w:w="113" w:type="dxa"/>
              <w:bottom w:w="113" w:type="dxa"/>
              <w:right w:w="113" w:type="dxa"/>
            </w:tcMar>
            <w:vAlign w:val="center"/>
          </w:tcPr>
          <w:p w14:paraId="625BA498" w14:textId="77777777" w:rsidR="005B11C6" w:rsidRPr="005B11C6" w:rsidRDefault="005B11C6" w:rsidP="005B11C6">
            <w:pPr>
              <w:pStyle w:val="CDITable-RowCentre"/>
            </w:pPr>
            <w:r w:rsidRPr="005B11C6">
              <w:t>22</w:t>
            </w:r>
          </w:p>
        </w:tc>
        <w:tc>
          <w:tcPr>
            <w:tcW w:w="132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0C6568C" w14:textId="77777777" w:rsidR="005B11C6" w:rsidRPr="005B11C6" w:rsidRDefault="005B11C6" w:rsidP="005B11C6">
            <w:pPr>
              <w:pStyle w:val="CDITable-RowCentre"/>
            </w:pPr>
            <w:r w:rsidRPr="005B11C6">
              <w:t>0</w:t>
            </w:r>
          </w:p>
        </w:tc>
        <w:tc>
          <w:tcPr>
            <w:tcW w:w="132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3F33851" w14:textId="77777777" w:rsidR="005B11C6" w:rsidRPr="005B11C6" w:rsidRDefault="005B11C6" w:rsidP="005B11C6">
            <w:pPr>
              <w:pStyle w:val="CDITable-RowCentre"/>
            </w:pPr>
            <w:r w:rsidRPr="005B11C6">
              <w:t>0</w:t>
            </w:r>
          </w:p>
        </w:tc>
        <w:tc>
          <w:tcPr>
            <w:tcW w:w="132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4C42DDB" w14:textId="77777777" w:rsidR="005B11C6" w:rsidRPr="005B11C6" w:rsidRDefault="005B11C6" w:rsidP="005B11C6">
            <w:pPr>
              <w:pStyle w:val="CDITable-RowCentre"/>
            </w:pPr>
            <w:r w:rsidRPr="005B11C6">
              <w:t>—</w:t>
            </w:r>
          </w:p>
        </w:tc>
      </w:tr>
      <w:tr w:rsidR="005B11C6" w:rsidRPr="005B11C6" w14:paraId="3D21FA76" w14:textId="77777777" w:rsidTr="00B0791F">
        <w:trPr>
          <w:trHeight w:val="60"/>
        </w:trPr>
        <w:tc>
          <w:tcPr>
            <w:tcW w:w="1701" w:type="dxa"/>
            <w:vMerge w:val="restart"/>
            <w:tcBorders>
              <w:top w:val="single" w:sz="6" w:space="0" w:color="1E4496" w:themeColor="text2"/>
              <w:bottom w:val="single" w:sz="6" w:space="0" w:color="1E4496" w:themeColor="text2"/>
            </w:tcBorders>
            <w:shd w:val="clear" w:color="auto" w:fill="DCF4FC" w:themeFill="background2" w:themeFillTint="33"/>
            <w:tcMar>
              <w:top w:w="113" w:type="dxa"/>
              <w:left w:w="113" w:type="dxa"/>
              <w:bottom w:w="113" w:type="dxa"/>
              <w:right w:w="113" w:type="dxa"/>
            </w:tcMar>
            <w:vAlign w:val="center"/>
          </w:tcPr>
          <w:p w14:paraId="03FD20C8" w14:textId="77777777" w:rsidR="005B11C6" w:rsidRPr="005B11C6" w:rsidRDefault="005B11C6" w:rsidP="005B11C6">
            <w:pPr>
              <w:pStyle w:val="CDITable-RowLeft"/>
            </w:pPr>
            <w:proofErr w:type="spellStart"/>
            <w:r w:rsidRPr="005B11C6">
              <w:t>Jurisdiction</w:t>
            </w:r>
            <w:r w:rsidRPr="005B11C6">
              <w:rPr>
                <w:vertAlign w:val="superscript"/>
              </w:rPr>
              <w:t>b</w:t>
            </w:r>
            <w:proofErr w:type="spellEnd"/>
          </w:p>
        </w:tc>
        <w:tc>
          <w:tcPr>
            <w:tcW w:w="204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0DF3B46" w14:textId="77777777" w:rsidR="005B11C6" w:rsidRPr="005B11C6" w:rsidRDefault="005B11C6" w:rsidP="005B11C6">
            <w:pPr>
              <w:pStyle w:val="CDITable-RowLeft"/>
            </w:pPr>
            <w:r w:rsidRPr="005B11C6">
              <w:t>ACT</w:t>
            </w:r>
          </w:p>
        </w:tc>
        <w:tc>
          <w:tcPr>
            <w:tcW w:w="132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EF1C320" w14:textId="77777777" w:rsidR="005B11C6" w:rsidRPr="005B11C6" w:rsidRDefault="005B11C6" w:rsidP="005B11C6">
            <w:pPr>
              <w:pStyle w:val="CDITable-RowCentre"/>
            </w:pPr>
            <w:r w:rsidRPr="005B11C6">
              <w:t>5</w:t>
            </w:r>
          </w:p>
        </w:tc>
        <w:tc>
          <w:tcPr>
            <w:tcW w:w="132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BD75C2C" w14:textId="77777777" w:rsidR="005B11C6" w:rsidRPr="005B11C6" w:rsidRDefault="005B11C6" w:rsidP="005B11C6">
            <w:pPr>
              <w:pStyle w:val="CDITable-RowCentre"/>
            </w:pPr>
            <w:r w:rsidRPr="005B11C6">
              <w:t>0</w:t>
            </w:r>
          </w:p>
        </w:tc>
        <w:tc>
          <w:tcPr>
            <w:tcW w:w="132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FF7CAA4" w14:textId="77777777" w:rsidR="005B11C6" w:rsidRPr="005B11C6" w:rsidRDefault="005B11C6" w:rsidP="005B11C6">
            <w:pPr>
              <w:pStyle w:val="CDITable-RowCentre"/>
            </w:pPr>
            <w:r w:rsidRPr="005B11C6">
              <w:t>0</w:t>
            </w:r>
          </w:p>
        </w:tc>
        <w:tc>
          <w:tcPr>
            <w:tcW w:w="1326" w:type="dxa"/>
            <w:tcBorders>
              <w:top w:val="single" w:sz="6" w:space="0" w:color="1E4496" w:themeColor="text2"/>
              <w:bottom w:val="single" w:sz="6" w:space="0" w:color="1E4496" w:themeColor="text2"/>
              <w:right w:val="single" w:sz="6" w:space="0" w:color="1E4496" w:themeColor="text2"/>
            </w:tcBorders>
            <w:tcMar>
              <w:top w:w="113" w:type="dxa"/>
              <w:left w:w="113" w:type="dxa"/>
              <w:bottom w:w="113" w:type="dxa"/>
              <w:right w:w="113" w:type="dxa"/>
            </w:tcMar>
            <w:vAlign w:val="center"/>
          </w:tcPr>
          <w:p w14:paraId="4025DA6F" w14:textId="77777777" w:rsidR="005B11C6" w:rsidRPr="005B11C6" w:rsidRDefault="005B11C6" w:rsidP="005B11C6">
            <w:pPr>
              <w:pStyle w:val="CDITable-RowCentre"/>
            </w:pPr>
            <w:r w:rsidRPr="005B11C6">
              <w:t>—</w:t>
            </w:r>
          </w:p>
        </w:tc>
        <w:tc>
          <w:tcPr>
            <w:tcW w:w="1325" w:type="dxa"/>
            <w:tcBorders>
              <w:top w:val="single" w:sz="6" w:space="0" w:color="1E4496" w:themeColor="text2"/>
              <w:left w:val="single" w:sz="6" w:space="0" w:color="1E4496" w:themeColor="text2"/>
              <w:bottom w:val="single" w:sz="6" w:space="0" w:color="1E4496" w:themeColor="text2"/>
            </w:tcBorders>
            <w:tcMar>
              <w:top w:w="113" w:type="dxa"/>
              <w:left w:w="113" w:type="dxa"/>
              <w:bottom w:w="113" w:type="dxa"/>
              <w:right w:w="113" w:type="dxa"/>
            </w:tcMar>
            <w:vAlign w:val="center"/>
          </w:tcPr>
          <w:p w14:paraId="07399A89" w14:textId="77777777" w:rsidR="005B11C6" w:rsidRPr="005B11C6" w:rsidRDefault="005B11C6" w:rsidP="005B11C6">
            <w:pPr>
              <w:pStyle w:val="CDITable-RowCentre"/>
            </w:pPr>
            <w:r w:rsidRPr="005B11C6">
              <w:t>5</w:t>
            </w:r>
          </w:p>
        </w:tc>
        <w:tc>
          <w:tcPr>
            <w:tcW w:w="132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7EA34D0" w14:textId="77777777" w:rsidR="005B11C6" w:rsidRPr="005B11C6" w:rsidRDefault="005B11C6" w:rsidP="005B11C6">
            <w:pPr>
              <w:pStyle w:val="CDITable-RowCentre"/>
            </w:pPr>
            <w:r w:rsidRPr="005B11C6">
              <w:t>0</w:t>
            </w:r>
          </w:p>
        </w:tc>
        <w:tc>
          <w:tcPr>
            <w:tcW w:w="132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EF8EE7E" w14:textId="77777777" w:rsidR="005B11C6" w:rsidRPr="005B11C6" w:rsidRDefault="005B11C6" w:rsidP="005B11C6">
            <w:pPr>
              <w:pStyle w:val="CDITable-RowCentre"/>
            </w:pPr>
            <w:r w:rsidRPr="005B11C6">
              <w:t>0</w:t>
            </w:r>
          </w:p>
        </w:tc>
        <w:tc>
          <w:tcPr>
            <w:tcW w:w="132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EE25D4C" w14:textId="77777777" w:rsidR="005B11C6" w:rsidRPr="005B11C6" w:rsidRDefault="005B11C6" w:rsidP="005B11C6">
            <w:pPr>
              <w:pStyle w:val="CDITable-RowCentre"/>
            </w:pPr>
            <w:r w:rsidRPr="005B11C6">
              <w:t>—</w:t>
            </w:r>
          </w:p>
        </w:tc>
      </w:tr>
      <w:tr w:rsidR="005B11C6" w:rsidRPr="005B11C6" w14:paraId="7EF44835" w14:textId="77777777" w:rsidTr="00B0791F">
        <w:trPr>
          <w:trHeight w:val="60"/>
        </w:trPr>
        <w:tc>
          <w:tcPr>
            <w:tcW w:w="1701" w:type="dxa"/>
            <w:vMerge/>
            <w:tcBorders>
              <w:bottom w:val="single" w:sz="6" w:space="0" w:color="1E4496" w:themeColor="text2"/>
            </w:tcBorders>
            <w:shd w:val="clear" w:color="auto" w:fill="DCF4FC" w:themeFill="background2" w:themeFillTint="33"/>
          </w:tcPr>
          <w:p w14:paraId="5B925024" w14:textId="77777777" w:rsidR="005B11C6" w:rsidRPr="005B11C6" w:rsidRDefault="005B11C6" w:rsidP="005B11C6"/>
        </w:tc>
        <w:tc>
          <w:tcPr>
            <w:tcW w:w="204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71955AA" w14:textId="77777777" w:rsidR="005B11C6" w:rsidRPr="005B11C6" w:rsidRDefault="005B11C6" w:rsidP="005B11C6">
            <w:pPr>
              <w:pStyle w:val="CDITable-RowLeft"/>
            </w:pPr>
            <w:r w:rsidRPr="005B11C6">
              <w:t>NSW</w:t>
            </w:r>
          </w:p>
        </w:tc>
        <w:tc>
          <w:tcPr>
            <w:tcW w:w="132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1F81367" w14:textId="77777777" w:rsidR="005B11C6" w:rsidRPr="005B11C6" w:rsidRDefault="005B11C6" w:rsidP="005B11C6">
            <w:pPr>
              <w:pStyle w:val="CDITable-RowCentre"/>
            </w:pPr>
            <w:r w:rsidRPr="005B11C6">
              <w:t>65</w:t>
            </w:r>
          </w:p>
        </w:tc>
        <w:tc>
          <w:tcPr>
            <w:tcW w:w="132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50D3C8B" w14:textId="77777777" w:rsidR="005B11C6" w:rsidRPr="005B11C6" w:rsidRDefault="005B11C6" w:rsidP="005B11C6">
            <w:pPr>
              <w:pStyle w:val="CDITable-RowCentre"/>
            </w:pPr>
            <w:r w:rsidRPr="005B11C6">
              <w:t>17</w:t>
            </w:r>
          </w:p>
        </w:tc>
        <w:tc>
          <w:tcPr>
            <w:tcW w:w="132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7D89070" w14:textId="77777777" w:rsidR="005B11C6" w:rsidRPr="005B11C6" w:rsidRDefault="005B11C6" w:rsidP="005B11C6">
            <w:pPr>
              <w:pStyle w:val="CDITable-RowCentre"/>
            </w:pPr>
            <w:r w:rsidRPr="005B11C6">
              <w:t>26.2</w:t>
            </w:r>
          </w:p>
        </w:tc>
        <w:tc>
          <w:tcPr>
            <w:tcW w:w="1326" w:type="dxa"/>
            <w:tcBorders>
              <w:top w:val="single" w:sz="6" w:space="0" w:color="1E4496" w:themeColor="text2"/>
              <w:bottom w:val="single" w:sz="6" w:space="0" w:color="1E4496" w:themeColor="text2"/>
              <w:right w:val="single" w:sz="6" w:space="0" w:color="1E4496" w:themeColor="text2"/>
            </w:tcBorders>
            <w:tcMar>
              <w:top w:w="113" w:type="dxa"/>
              <w:left w:w="113" w:type="dxa"/>
              <w:bottom w:w="113" w:type="dxa"/>
              <w:right w:w="113" w:type="dxa"/>
            </w:tcMar>
            <w:vAlign w:val="center"/>
          </w:tcPr>
          <w:p w14:paraId="5A2A00C3" w14:textId="77777777" w:rsidR="005B11C6" w:rsidRPr="005B11C6" w:rsidRDefault="005B11C6" w:rsidP="005B11C6">
            <w:pPr>
              <w:pStyle w:val="CDITable-RowCentre"/>
            </w:pPr>
            <w:r w:rsidRPr="005B11C6">
              <w:t>16–38.5</w:t>
            </w:r>
          </w:p>
        </w:tc>
        <w:tc>
          <w:tcPr>
            <w:tcW w:w="1325" w:type="dxa"/>
            <w:tcBorders>
              <w:top w:val="single" w:sz="6" w:space="0" w:color="1E4496" w:themeColor="text2"/>
              <w:left w:val="single" w:sz="6" w:space="0" w:color="1E4496" w:themeColor="text2"/>
              <w:bottom w:val="single" w:sz="6" w:space="0" w:color="1E4496" w:themeColor="text2"/>
            </w:tcBorders>
            <w:tcMar>
              <w:top w:w="113" w:type="dxa"/>
              <w:left w:w="113" w:type="dxa"/>
              <w:bottom w:w="113" w:type="dxa"/>
              <w:right w:w="113" w:type="dxa"/>
            </w:tcMar>
            <w:vAlign w:val="center"/>
          </w:tcPr>
          <w:p w14:paraId="186C1E25" w14:textId="77777777" w:rsidR="005B11C6" w:rsidRPr="005B11C6" w:rsidRDefault="005B11C6" w:rsidP="005B11C6">
            <w:pPr>
              <w:pStyle w:val="CDITable-RowCentre"/>
            </w:pPr>
            <w:r w:rsidRPr="005B11C6">
              <w:t>69</w:t>
            </w:r>
          </w:p>
        </w:tc>
        <w:tc>
          <w:tcPr>
            <w:tcW w:w="132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6CD3B1A" w14:textId="77777777" w:rsidR="005B11C6" w:rsidRPr="005B11C6" w:rsidRDefault="005B11C6" w:rsidP="005B11C6">
            <w:pPr>
              <w:pStyle w:val="CDITable-RowCentre"/>
            </w:pPr>
            <w:r w:rsidRPr="005B11C6">
              <w:t>4</w:t>
            </w:r>
          </w:p>
        </w:tc>
        <w:tc>
          <w:tcPr>
            <w:tcW w:w="132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A60F6C4" w14:textId="77777777" w:rsidR="005B11C6" w:rsidRPr="005B11C6" w:rsidRDefault="005B11C6" w:rsidP="005B11C6">
            <w:pPr>
              <w:pStyle w:val="CDITable-RowCentre"/>
            </w:pPr>
            <w:r w:rsidRPr="005B11C6">
              <w:t>5.8</w:t>
            </w:r>
          </w:p>
        </w:tc>
        <w:tc>
          <w:tcPr>
            <w:tcW w:w="132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4E77806" w14:textId="77777777" w:rsidR="005B11C6" w:rsidRPr="005B11C6" w:rsidRDefault="005B11C6" w:rsidP="005B11C6">
            <w:pPr>
              <w:pStyle w:val="CDITable-RowCentre"/>
            </w:pPr>
            <w:r w:rsidRPr="005B11C6">
              <w:t>1.6–14.2</w:t>
            </w:r>
          </w:p>
        </w:tc>
      </w:tr>
      <w:tr w:rsidR="005B11C6" w:rsidRPr="005B11C6" w14:paraId="75745B2E" w14:textId="77777777" w:rsidTr="00B0791F">
        <w:trPr>
          <w:trHeight w:val="60"/>
        </w:trPr>
        <w:tc>
          <w:tcPr>
            <w:tcW w:w="1701" w:type="dxa"/>
            <w:vMerge/>
            <w:tcBorders>
              <w:bottom w:val="single" w:sz="6" w:space="0" w:color="1E4496" w:themeColor="text2"/>
            </w:tcBorders>
            <w:shd w:val="clear" w:color="auto" w:fill="DCF4FC" w:themeFill="background2" w:themeFillTint="33"/>
          </w:tcPr>
          <w:p w14:paraId="7C8304C6" w14:textId="77777777" w:rsidR="005B11C6" w:rsidRPr="005B11C6" w:rsidRDefault="005B11C6" w:rsidP="005B11C6"/>
        </w:tc>
        <w:tc>
          <w:tcPr>
            <w:tcW w:w="204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95B12F2" w14:textId="77777777" w:rsidR="005B11C6" w:rsidRPr="005B11C6" w:rsidRDefault="005B11C6" w:rsidP="005B11C6">
            <w:pPr>
              <w:pStyle w:val="CDITable-RowLeft"/>
            </w:pPr>
            <w:r w:rsidRPr="005B11C6">
              <w:t>NT</w:t>
            </w:r>
          </w:p>
        </w:tc>
        <w:tc>
          <w:tcPr>
            <w:tcW w:w="132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5F2A0DC" w14:textId="77777777" w:rsidR="005B11C6" w:rsidRPr="005B11C6" w:rsidRDefault="005B11C6" w:rsidP="005B11C6">
            <w:pPr>
              <w:pStyle w:val="CDITable-RowCentre"/>
            </w:pPr>
            <w:r w:rsidRPr="005B11C6">
              <w:t>4</w:t>
            </w:r>
          </w:p>
        </w:tc>
        <w:tc>
          <w:tcPr>
            <w:tcW w:w="132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811F4B0" w14:textId="77777777" w:rsidR="005B11C6" w:rsidRPr="005B11C6" w:rsidRDefault="005B11C6" w:rsidP="005B11C6">
            <w:pPr>
              <w:pStyle w:val="CDITable-RowCentre"/>
            </w:pPr>
            <w:r w:rsidRPr="005B11C6">
              <w:t>1</w:t>
            </w:r>
          </w:p>
        </w:tc>
        <w:tc>
          <w:tcPr>
            <w:tcW w:w="132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3E4B278" w14:textId="77777777" w:rsidR="005B11C6" w:rsidRPr="005B11C6" w:rsidRDefault="005B11C6" w:rsidP="005B11C6">
            <w:pPr>
              <w:pStyle w:val="CDITable-RowCentre"/>
            </w:pPr>
            <w:r w:rsidRPr="005B11C6">
              <w:t>25</w:t>
            </w:r>
          </w:p>
        </w:tc>
        <w:tc>
          <w:tcPr>
            <w:tcW w:w="1326" w:type="dxa"/>
            <w:tcBorders>
              <w:top w:val="single" w:sz="6" w:space="0" w:color="1E4496" w:themeColor="text2"/>
              <w:bottom w:val="single" w:sz="6" w:space="0" w:color="1E4496" w:themeColor="text2"/>
              <w:right w:val="single" w:sz="6" w:space="0" w:color="1E4496" w:themeColor="text2"/>
            </w:tcBorders>
            <w:tcMar>
              <w:top w:w="113" w:type="dxa"/>
              <w:left w:w="113" w:type="dxa"/>
              <w:bottom w:w="113" w:type="dxa"/>
              <w:right w:w="113" w:type="dxa"/>
            </w:tcMar>
            <w:vAlign w:val="center"/>
          </w:tcPr>
          <w:p w14:paraId="679F77B7" w14:textId="77777777" w:rsidR="005B11C6" w:rsidRPr="005B11C6" w:rsidRDefault="005B11C6" w:rsidP="005B11C6">
            <w:pPr>
              <w:pStyle w:val="CDITable-RowCentre"/>
            </w:pPr>
            <w:r w:rsidRPr="005B11C6">
              <w:t>—</w:t>
            </w:r>
          </w:p>
        </w:tc>
        <w:tc>
          <w:tcPr>
            <w:tcW w:w="1325" w:type="dxa"/>
            <w:tcBorders>
              <w:top w:val="single" w:sz="6" w:space="0" w:color="1E4496" w:themeColor="text2"/>
              <w:left w:val="single" w:sz="6" w:space="0" w:color="1E4496" w:themeColor="text2"/>
              <w:bottom w:val="single" w:sz="6" w:space="0" w:color="1E4496" w:themeColor="text2"/>
            </w:tcBorders>
            <w:tcMar>
              <w:top w:w="113" w:type="dxa"/>
              <w:left w:w="113" w:type="dxa"/>
              <w:bottom w:w="113" w:type="dxa"/>
              <w:right w:w="113" w:type="dxa"/>
            </w:tcMar>
            <w:vAlign w:val="center"/>
          </w:tcPr>
          <w:p w14:paraId="6BC08450" w14:textId="77777777" w:rsidR="005B11C6" w:rsidRPr="005B11C6" w:rsidRDefault="005B11C6" w:rsidP="005B11C6">
            <w:pPr>
              <w:pStyle w:val="CDITable-RowCentre"/>
            </w:pPr>
            <w:r w:rsidRPr="005B11C6">
              <w:t>4</w:t>
            </w:r>
          </w:p>
        </w:tc>
        <w:tc>
          <w:tcPr>
            <w:tcW w:w="132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3A0F349" w14:textId="77777777" w:rsidR="005B11C6" w:rsidRPr="005B11C6" w:rsidRDefault="005B11C6" w:rsidP="005B11C6">
            <w:pPr>
              <w:pStyle w:val="CDITable-RowCentre"/>
            </w:pPr>
            <w:r w:rsidRPr="005B11C6">
              <w:t>1</w:t>
            </w:r>
          </w:p>
        </w:tc>
        <w:tc>
          <w:tcPr>
            <w:tcW w:w="132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0A22C08" w14:textId="77777777" w:rsidR="005B11C6" w:rsidRPr="005B11C6" w:rsidRDefault="005B11C6" w:rsidP="005B11C6">
            <w:pPr>
              <w:pStyle w:val="CDITable-RowCentre"/>
            </w:pPr>
            <w:r w:rsidRPr="005B11C6">
              <w:t>25</w:t>
            </w:r>
          </w:p>
        </w:tc>
        <w:tc>
          <w:tcPr>
            <w:tcW w:w="132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8801A0E" w14:textId="77777777" w:rsidR="005B11C6" w:rsidRPr="005B11C6" w:rsidRDefault="005B11C6" w:rsidP="005B11C6">
            <w:pPr>
              <w:pStyle w:val="CDITable-RowCentre"/>
            </w:pPr>
            <w:r w:rsidRPr="005B11C6">
              <w:t>—</w:t>
            </w:r>
          </w:p>
        </w:tc>
      </w:tr>
      <w:tr w:rsidR="005B11C6" w:rsidRPr="005B11C6" w14:paraId="5EE77EF2" w14:textId="77777777" w:rsidTr="00B0791F">
        <w:trPr>
          <w:trHeight w:val="60"/>
        </w:trPr>
        <w:tc>
          <w:tcPr>
            <w:tcW w:w="1701" w:type="dxa"/>
            <w:vMerge/>
            <w:tcBorders>
              <w:bottom w:val="single" w:sz="6" w:space="0" w:color="1E4496" w:themeColor="text2"/>
            </w:tcBorders>
            <w:shd w:val="clear" w:color="auto" w:fill="DCF4FC" w:themeFill="background2" w:themeFillTint="33"/>
          </w:tcPr>
          <w:p w14:paraId="0BDAFA96" w14:textId="77777777" w:rsidR="005B11C6" w:rsidRPr="005B11C6" w:rsidRDefault="005B11C6" w:rsidP="005B11C6"/>
        </w:tc>
        <w:tc>
          <w:tcPr>
            <w:tcW w:w="204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ACBFE2B" w14:textId="77777777" w:rsidR="005B11C6" w:rsidRPr="005B11C6" w:rsidRDefault="005B11C6" w:rsidP="005B11C6">
            <w:pPr>
              <w:pStyle w:val="CDITable-RowLeft"/>
            </w:pPr>
            <w:r w:rsidRPr="005B11C6">
              <w:t>Qld</w:t>
            </w:r>
          </w:p>
        </w:tc>
        <w:tc>
          <w:tcPr>
            <w:tcW w:w="132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EE2A1DF" w14:textId="77777777" w:rsidR="005B11C6" w:rsidRPr="005B11C6" w:rsidRDefault="005B11C6" w:rsidP="005B11C6">
            <w:pPr>
              <w:pStyle w:val="CDITable-RowCentre"/>
            </w:pPr>
            <w:r w:rsidRPr="005B11C6">
              <w:t>10</w:t>
            </w:r>
          </w:p>
        </w:tc>
        <w:tc>
          <w:tcPr>
            <w:tcW w:w="132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768B15E" w14:textId="77777777" w:rsidR="005B11C6" w:rsidRPr="005B11C6" w:rsidRDefault="005B11C6" w:rsidP="005B11C6">
            <w:pPr>
              <w:pStyle w:val="CDITable-RowCentre"/>
            </w:pPr>
            <w:r w:rsidRPr="005B11C6">
              <w:t>1</w:t>
            </w:r>
          </w:p>
        </w:tc>
        <w:tc>
          <w:tcPr>
            <w:tcW w:w="132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6693652" w14:textId="77777777" w:rsidR="005B11C6" w:rsidRPr="005B11C6" w:rsidRDefault="005B11C6" w:rsidP="005B11C6">
            <w:pPr>
              <w:pStyle w:val="CDITable-RowCentre"/>
            </w:pPr>
            <w:r w:rsidRPr="005B11C6">
              <w:t>10</w:t>
            </w:r>
          </w:p>
        </w:tc>
        <w:tc>
          <w:tcPr>
            <w:tcW w:w="1326" w:type="dxa"/>
            <w:tcBorders>
              <w:top w:val="single" w:sz="6" w:space="0" w:color="1E4496" w:themeColor="text2"/>
              <w:bottom w:val="single" w:sz="6" w:space="0" w:color="1E4496" w:themeColor="text2"/>
              <w:right w:val="single" w:sz="6" w:space="0" w:color="1E4496" w:themeColor="text2"/>
            </w:tcBorders>
            <w:tcMar>
              <w:top w:w="113" w:type="dxa"/>
              <w:left w:w="113" w:type="dxa"/>
              <w:bottom w:w="113" w:type="dxa"/>
              <w:right w:w="113" w:type="dxa"/>
            </w:tcMar>
            <w:vAlign w:val="center"/>
          </w:tcPr>
          <w:p w14:paraId="5D55B317" w14:textId="77777777" w:rsidR="005B11C6" w:rsidRPr="005B11C6" w:rsidRDefault="005B11C6" w:rsidP="005B11C6">
            <w:pPr>
              <w:pStyle w:val="CDITable-RowCentre"/>
            </w:pPr>
            <w:r w:rsidRPr="005B11C6">
              <w:t>0.3–44.5</w:t>
            </w:r>
          </w:p>
        </w:tc>
        <w:tc>
          <w:tcPr>
            <w:tcW w:w="1325" w:type="dxa"/>
            <w:tcBorders>
              <w:top w:val="single" w:sz="6" w:space="0" w:color="1E4496" w:themeColor="text2"/>
              <w:left w:val="single" w:sz="6" w:space="0" w:color="1E4496" w:themeColor="text2"/>
              <w:bottom w:val="single" w:sz="6" w:space="0" w:color="1E4496" w:themeColor="text2"/>
            </w:tcBorders>
            <w:tcMar>
              <w:top w:w="113" w:type="dxa"/>
              <w:left w:w="113" w:type="dxa"/>
              <w:bottom w:w="113" w:type="dxa"/>
              <w:right w:w="113" w:type="dxa"/>
            </w:tcMar>
            <w:vAlign w:val="center"/>
          </w:tcPr>
          <w:p w14:paraId="3BC46840" w14:textId="77777777" w:rsidR="005B11C6" w:rsidRPr="005B11C6" w:rsidRDefault="005B11C6" w:rsidP="005B11C6">
            <w:pPr>
              <w:pStyle w:val="CDITable-RowCentre"/>
            </w:pPr>
            <w:r w:rsidRPr="005B11C6">
              <w:t>10</w:t>
            </w:r>
          </w:p>
        </w:tc>
        <w:tc>
          <w:tcPr>
            <w:tcW w:w="132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8E0327E" w14:textId="77777777" w:rsidR="005B11C6" w:rsidRPr="005B11C6" w:rsidRDefault="005B11C6" w:rsidP="005B11C6">
            <w:pPr>
              <w:pStyle w:val="CDITable-RowCentre"/>
            </w:pPr>
            <w:r w:rsidRPr="005B11C6">
              <w:t>1</w:t>
            </w:r>
          </w:p>
        </w:tc>
        <w:tc>
          <w:tcPr>
            <w:tcW w:w="132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BFE0468" w14:textId="77777777" w:rsidR="005B11C6" w:rsidRPr="005B11C6" w:rsidRDefault="005B11C6" w:rsidP="005B11C6">
            <w:pPr>
              <w:pStyle w:val="CDITable-RowCentre"/>
            </w:pPr>
            <w:r w:rsidRPr="005B11C6">
              <w:t>10</w:t>
            </w:r>
          </w:p>
        </w:tc>
        <w:tc>
          <w:tcPr>
            <w:tcW w:w="132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AFBF4B4" w14:textId="77777777" w:rsidR="005B11C6" w:rsidRPr="005B11C6" w:rsidRDefault="005B11C6" w:rsidP="005B11C6">
            <w:pPr>
              <w:pStyle w:val="CDITable-RowCentre"/>
            </w:pPr>
            <w:r w:rsidRPr="005B11C6">
              <w:t>0.3–44.5</w:t>
            </w:r>
          </w:p>
        </w:tc>
      </w:tr>
      <w:tr w:rsidR="005B11C6" w:rsidRPr="005B11C6" w14:paraId="7B06F811" w14:textId="77777777" w:rsidTr="00B0791F">
        <w:trPr>
          <w:trHeight w:val="60"/>
        </w:trPr>
        <w:tc>
          <w:tcPr>
            <w:tcW w:w="1701" w:type="dxa"/>
            <w:vMerge/>
            <w:tcBorders>
              <w:bottom w:val="single" w:sz="6" w:space="0" w:color="1E4496" w:themeColor="text2"/>
            </w:tcBorders>
            <w:shd w:val="clear" w:color="auto" w:fill="DCF4FC" w:themeFill="background2" w:themeFillTint="33"/>
          </w:tcPr>
          <w:p w14:paraId="71FDF6EF" w14:textId="77777777" w:rsidR="005B11C6" w:rsidRPr="005B11C6" w:rsidRDefault="005B11C6" w:rsidP="005B11C6"/>
        </w:tc>
        <w:tc>
          <w:tcPr>
            <w:tcW w:w="204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6F713AE" w14:textId="77777777" w:rsidR="005B11C6" w:rsidRPr="005B11C6" w:rsidRDefault="005B11C6" w:rsidP="005B11C6">
            <w:pPr>
              <w:pStyle w:val="CDITable-RowLeft"/>
            </w:pPr>
            <w:r w:rsidRPr="005B11C6">
              <w:t>SA</w:t>
            </w:r>
          </w:p>
        </w:tc>
        <w:tc>
          <w:tcPr>
            <w:tcW w:w="132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FBAC092" w14:textId="77777777" w:rsidR="005B11C6" w:rsidRPr="005B11C6" w:rsidRDefault="005B11C6" w:rsidP="005B11C6">
            <w:pPr>
              <w:pStyle w:val="CDITable-RowCentre"/>
            </w:pPr>
            <w:r w:rsidRPr="005B11C6">
              <w:t>18</w:t>
            </w:r>
          </w:p>
        </w:tc>
        <w:tc>
          <w:tcPr>
            <w:tcW w:w="132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A7A6A04" w14:textId="77777777" w:rsidR="005B11C6" w:rsidRPr="005B11C6" w:rsidRDefault="005B11C6" w:rsidP="005B11C6">
            <w:pPr>
              <w:pStyle w:val="CDITable-RowCentre"/>
            </w:pPr>
            <w:r w:rsidRPr="005B11C6">
              <w:t>0</w:t>
            </w:r>
          </w:p>
        </w:tc>
        <w:tc>
          <w:tcPr>
            <w:tcW w:w="132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5421882" w14:textId="77777777" w:rsidR="005B11C6" w:rsidRPr="005B11C6" w:rsidRDefault="005B11C6" w:rsidP="005B11C6">
            <w:pPr>
              <w:pStyle w:val="CDITable-RowCentre"/>
            </w:pPr>
            <w:r w:rsidRPr="005B11C6">
              <w:t>0</w:t>
            </w:r>
          </w:p>
        </w:tc>
        <w:tc>
          <w:tcPr>
            <w:tcW w:w="1326" w:type="dxa"/>
            <w:tcBorders>
              <w:top w:val="single" w:sz="6" w:space="0" w:color="1E4496" w:themeColor="text2"/>
              <w:bottom w:val="single" w:sz="6" w:space="0" w:color="1E4496" w:themeColor="text2"/>
              <w:right w:val="single" w:sz="6" w:space="0" w:color="1E4496" w:themeColor="text2"/>
            </w:tcBorders>
            <w:tcMar>
              <w:top w:w="113" w:type="dxa"/>
              <w:left w:w="113" w:type="dxa"/>
              <w:bottom w:w="113" w:type="dxa"/>
              <w:right w:w="113" w:type="dxa"/>
            </w:tcMar>
            <w:vAlign w:val="center"/>
          </w:tcPr>
          <w:p w14:paraId="13B31336" w14:textId="77777777" w:rsidR="005B11C6" w:rsidRPr="005B11C6" w:rsidRDefault="005B11C6" w:rsidP="005B11C6">
            <w:pPr>
              <w:pStyle w:val="CDITable-RowCentre"/>
            </w:pPr>
            <w:r w:rsidRPr="005B11C6">
              <w:t>—</w:t>
            </w:r>
          </w:p>
        </w:tc>
        <w:tc>
          <w:tcPr>
            <w:tcW w:w="1325" w:type="dxa"/>
            <w:tcBorders>
              <w:top w:val="single" w:sz="6" w:space="0" w:color="1E4496" w:themeColor="text2"/>
              <w:left w:val="single" w:sz="6" w:space="0" w:color="1E4496" w:themeColor="text2"/>
              <w:bottom w:val="single" w:sz="6" w:space="0" w:color="1E4496" w:themeColor="text2"/>
            </w:tcBorders>
            <w:tcMar>
              <w:top w:w="113" w:type="dxa"/>
              <w:left w:w="113" w:type="dxa"/>
              <w:bottom w:w="113" w:type="dxa"/>
              <w:right w:w="113" w:type="dxa"/>
            </w:tcMar>
            <w:vAlign w:val="center"/>
          </w:tcPr>
          <w:p w14:paraId="57F4CC3E" w14:textId="77777777" w:rsidR="005B11C6" w:rsidRPr="005B11C6" w:rsidRDefault="005B11C6" w:rsidP="005B11C6">
            <w:pPr>
              <w:pStyle w:val="CDITable-RowCentre"/>
            </w:pPr>
            <w:r w:rsidRPr="005B11C6">
              <w:t>18</w:t>
            </w:r>
          </w:p>
        </w:tc>
        <w:tc>
          <w:tcPr>
            <w:tcW w:w="132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54C4741" w14:textId="77777777" w:rsidR="005B11C6" w:rsidRPr="005B11C6" w:rsidRDefault="005B11C6" w:rsidP="005B11C6">
            <w:pPr>
              <w:pStyle w:val="CDITable-RowCentre"/>
            </w:pPr>
            <w:r w:rsidRPr="005B11C6">
              <w:t>0</w:t>
            </w:r>
          </w:p>
        </w:tc>
        <w:tc>
          <w:tcPr>
            <w:tcW w:w="132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A56758F" w14:textId="77777777" w:rsidR="005B11C6" w:rsidRPr="005B11C6" w:rsidRDefault="005B11C6" w:rsidP="005B11C6">
            <w:pPr>
              <w:pStyle w:val="CDITable-RowCentre"/>
            </w:pPr>
            <w:r w:rsidRPr="005B11C6">
              <w:t>0</w:t>
            </w:r>
          </w:p>
        </w:tc>
        <w:tc>
          <w:tcPr>
            <w:tcW w:w="132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1E8CCD6" w14:textId="77777777" w:rsidR="005B11C6" w:rsidRPr="005B11C6" w:rsidRDefault="005B11C6" w:rsidP="005B11C6">
            <w:pPr>
              <w:pStyle w:val="CDITable-RowCentre"/>
            </w:pPr>
            <w:r w:rsidRPr="005B11C6">
              <w:t>—</w:t>
            </w:r>
          </w:p>
        </w:tc>
      </w:tr>
      <w:tr w:rsidR="005B11C6" w:rsidRPr="005B11C6" w14:paraId="0CE2F6B1" w14:textId="77777777" w:rsidTr="00B0791F">
        <w:trPr>
          <w:trHeight w:val="60"/>
        </w:trPr>
        <w:tc>
          <w:tcPr>
            <w:tcW w:w="1701" w:type="dxa"/>
            <w:vMerge/>
            <w:tcBorders>
              <w:bottom w:val="single" w:sz="6" w:space="0" w:color="1E4496" w:themeColor="text2"/>
            </w:tcBorders>
            <w:shd w:val="clear" w:color="auto" w:fill="DCF4FC" w:themeFill="background2" w:themeFillTint="33"/>
          </w:tcPr>
          <w:p w14:paraId="5567AB92" w14:textId="77777777" w:rsidR="005B11C6" w:rsidRPr="005B11C6" w:rsidRDefault="005B11C6" w:rsidP="005B11C6"/>
        </w:tc>
        <w:tc>
          <w:tcPr>
            <w:tcW w:w="204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52DE293" w14:textId="77777777" w:rsidR="005B11C6" w:rsidRPr="005B11C6" w:rsidRDefault="005B11C6" w:rsidP="005B11C6">
            <w:pPr>
              <w:pStyle w:val="CDITable-RowLeft"/>
            </w:pPr>
            <w:r w:rsidRPr="005B11C6">
              <w:t>Tas</w:t>
            </w:r>
          </w:p>
        </w:tc>
        <w:tc>
          <w:tcPr>
            <w:tcW w:w="132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C59CF68" w14:textId="77777777" w:rsidR="005B11C6" w:rsidRPr="005B11C6" w:rsidRDefault="005B11C6" w:rsidP="005B11C6">
            <w:pPr>
              <w:pStyle w:val="CDITable-RowCentre"/>
            </w:pPr>
            <w:r w:rsidRPr="005B11C6">
              <w:t>5</w:t>
            </w:r>
          </w:p>
        </w:tc>
        <w:tc>
          <w:tcPr>
            <w:tcW w:w="132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C76B6DA" w14:textId="77777777" w:rsidR="005B11C6" w:rsidRPr="005B11C6" w:rsidRDefault="005B11C6" w:rsidP="005B11C6">
            <w:pPr>
              <w:pStyle w:val="CDITable-RowCentre"/>
            </w:pPr>
            <w:r w:rsidRPr="005B11C6">
              <w:t>0</w:t>
            </w:r>
          </w:p>
        </w:tc>
        <w:tc>
          <w:tcPr>
            <w:tcW w:w="132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1519C84" w14:textId="77777777" w:rsidR="005B11C6" w:rsidRPr="005B11C6" w:rsidRDefault="005B11C6" w:rsidP="005B11C6">
            <w:pPr>
              <w:pStyle w:val="CDITable-RowCentre"/>
            </w:pPr>
            <w:r w:rsidRPr="005B11C6">
              <w:t>0</w:t>
            </w:r>
          </w:p>
        </w:tc>
        <w:tc>
          <w:tcPr>
            <w:tcW w:w="1326" w:type="dxa"/>
            <w:tcBorders>
              <w:top w:val="single" w:sz="6" w:space="0" w:color="1E4496" w:themeColor="text2"/>
              <w:bottom w:val="single" w:sz="6" w:space="0" w:color="1E4496" w:themeColor="text2"/>
              <w:right w:val="single" w:sz="6" w:space="0" w:color="1E4496" w:themeColor="text2"/>
            </w:tcBorders>
            <w:tcMar>
              <w:top w:w="113" w:type="dxa"/>
              <w:left w:w="113" w:type="dxa"/>
              <w:bottom w:w="113" w:type="dxa"/>
              <w:right w:w="113" w:type="dxa"/>
            </w:tcMar>
            <w:vAlign w:val="center"/>
          </w:tcPr>
          <w:p w14:paraId="12EE4D32" w14:textId="77777777" w:rsidR="005B11C6" w:rsidRPr="005B11C6" w:rsidRDefault="005B11C6" w:rsidP="005B11C6">
            <w:pPr>
              <w:pStyle w:val="CDITable-RowCentre"/>
            </w:pPr>
            <w:r w:rsidRPr="005B11C6">
              <w:t>—</w:t>
            </w:r>
          </w:p>
        </w:tc>
        <w:tc>
          <w:tcPr>
            <w:tcW w:w="1325" w:type="dxa"/>
            <w:tcBorders>
              <w:top w:val="single" w:sz="6" w:space="0" w:color="1E4496" w:themeColor="text2"/>
              <w:left w:val="single" w:sz="6" w:space="0" w:color="1E4496" w:themeColor="text2"/>
              <w:bottom w:val="single" w:sz="6" w:space="0" w:color="1E4496" w:themeColor="text2"/>
            </w:tcBorders>
            <w:tcMar>
              <w:top w:w="113" w:type="dxa"/>
              <w:left w:w="113" w:type="dxa"/>
              <w:bottom w:w="113" w:type="dxa"/>
              <w:right w:w="113" w:type="dxa"/>
            </w:tcMar>
            <w:vAlign w:val="center"/>
          </w:tcPr>
          <w:p w14:paraId="5B143774" w14:textId="77777777" w:rsidR="005B11C6" w:rsidRPr="005B11C6" w:rsidRDefault="005B11C6" w:rsidP="005B11C6">
            <w:pPr>
              <w:pStyle w:val="CDITable-RowCentre"/>
            </w:pPr>
            <w:r w:rsidRPr="005B11C6">
              <w:t>5</w:t>
            </w:r>
          </w:p>
        </w:tc>
        <w:tc>
          <w:tcPr>
            <w:tcW w:w="132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1A03123" w14:textId="77777777" w:rsidR="005B11C6" w:rsidRPr="005B11C6" w:rsidRDefault="005B11C6" w:rsidP="005B11C6">
            <w:pPr>
              <w:pStyle w:val="CDITable-RowCentre"/>
            </w:pPr>
            <w:r w:rsidRPr="005B11C6">
              <w:t>0</w:t>
            </w:r>
          </w:p>
        </w:tc>
        <w:tc>
          <w:tcPr>
            <w:tcW w:w="132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989D6F1" w14:textId="77777777" w:rsidR="005B11C6" w:rsidRPr="005B11C6" w:rsidRDefault="005B11C6" w:rsidP="005B11C6">
            <w:pPr>
              <w:pStyle w:val="CDITable-RowCentre"/>
            </w:pPr>
            <w:r w:rsidRPr="005B11C6">
              <w:t>0</w:t>
            </w:r>
          </w:p>
        </w:tc>
        <w:tc>
          <w:tcPr>
            <w:tcW w:w="132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807C379" w14:textId="77777777" w:rsidR="005B11C6" w:rsidRPr="005B11C6" w:rsidRDefault="005B11C6" w:rsidP="005B11C6">
            <w:pPr>
              <w:pStyle w:val="CDITable-RowCentre"/>
            </w:pPr>
            <w:r w:rsidRPr="005B11C6">
              <w:t>—</w:t>
            </w:r>
          </w:p>
        </w:tc>
      </w:tr>
      <w:tr w:rsidR="005B11C6" w:rsidRPr="005B11C6" w14:paraId="30932D2E" w14:textId="77777777" w:rsidTr="00B0791F">
        <w:trPr>
          <w:trHeight w:val="60"/>
        </w:trPr>
        <w:tc>
          <w:tcPr>
            <w:tcW w:w="1701" w:type="dxa"/>
            <w:vMerge/>
            <w:tcBorders>
              <w:bottom w:val="single" w:sz="6" w:space="0" w:color="1E4496" w:themeColor="text2"/>
            </w:tcBorders>
            <w:shd w:val="clear" w:color="auto" w:fill="DCF4FC" w:themeFill="background2" w:themeFillTint="33"/>
          </w:tcPr>
          <w:p w14:paraId="7A1E8FD5" w14:textId="77777777" w:rsidR="005B11C6" w:rsidRPr="005B11C6" w:rsidRDefault="005B11C6" w:rsidP="005B11C6"/>
        </w:tc>
        <w:tc>
          <w:tcPr>
            <w:tcW w:w="204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180CCAD" w14:textId="77777777" w:rsidR="005B11C6" w:rsidRPr="005B11C6" w:rsidRDefault="005B11C6" w:rsidP="005B11C6">
            <w:pPr>
              <w:pStyle w:val="CDITable-RowLeft"/>
            </w:pPr>
            <w:r w:rsidRPr="005B11C6">
              <w:t>Vic</w:t>
            </w:r>
          </w:p>
        </w:tc>
        <w:tc>
          <w:tcPr>
            <w:tcW w:w="132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538CAB6" w14:textId="77777777" w:rsidR="005B11C6" w:rsidRPr="005B11C6" w:rsidRDefault="005B11C6" w:rsidP="005B11C6">
            <w:pPr>
              <w:pStyle w:val="CDITable-RowCentre"/>
            </w:pPr>
            <w:r w:rsidRPr="005B11C6">
              <w:t>53</w:t>
            </w:r>
          </w:p>
        </w:tc>
        <w:tc>
          <w:tcPr>
            <w:tcW w:w="132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EC574FF" w14:textId="77777777" w:rsidR="005B11C6" w:rsidRPr="005B11C6" w:rsidRDefault="005B11C6" w:rsidP="005B11C6">
            <w:pPr>
              <w:pStyle w:val="CDITable-RowCentre"/>
            </w:pPr>
            <w:r w:rsidRPr="005B11C6">
              <w:t>7</w:t>
            </w:r>
          </w:p>
        </w:tc>
        <w:tc>
          <w:tcPr>
            <w:tcW w:w="132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8262783" w14:textId="77777777" w:rsidR="005B11C6" w:rsidRPr="005B11C6" w:rsidRDefault="005B11C6" w:rsidP="005B11C6">
            <w:pPr>
              <w:pStyle w:val="CDITable-RowCentre"/>
            </w:pPr>
            <w:r w:rsidRPr="005B11C6">
              <w:t>13.2</w:t>
            </w:r>
          </w:p>
        </w:tc>
        <w:tc>
          <w:tcPr>
            <w:tcW w:w="1326" w:type="dxa"/>
            <w:tcBorders>
              <w:top w:val="single" w:sz="6" w:space="0" w:color="1E4496" w:themeColor="text2"/>
              <w:bottom w:val="single" w:sz="6" w:space="0" w:color="1E4496" w:themeColor="text2"/>
              <w:right w:val="single" w:sz="6" w:space="0" w:color="1E4496" w:themeColor="text2"/>
            </w:tcBorders>
            <w:tcMar>
              <w:top w:w="113" w:type="dxa"/>
              <w:left w:w="113" w:type="dxa"/>
              <w:bottom w:w="113" w:type="dxa"/>
              <w:right w:w="113" w:type="dxa"/>
            </w:tcMar>
            <w:vAlign w:val="center"/>
          </w:tcPr>
          <w:p w14:paraId="1AC6B45E" w14:textId="77777777" w:rsidR="005B11C6" w:rsidRPr="005B11C6" w:rsidRDefault="005B11C6" w:rsidP="005B11C6">
            <w:pPr>
              <w:pStyle w:val="CDITable-RowCentre"/>
            </w:pPr>
            <w:r w:rsidRPr="005B11C6">
              <w:t>5.5–25.3</w:t>
            </w:r>
          </w:p>
        </w:tc>
        <w:tc>
          <w:tcPr>
            <w:tcW w:w="1325" w:type="dxa"/>
            <w:tcBorders>
              <w:top w:val="single" w:sz="6" w:space="0" w:color="1E4496" w:themeColor="text2"/>
              <w:left w:val="single" w:sz="6" w:space="0" w:color="1E4496" w:themeColor="text2"/>
              <w:bottom w:val="single" w:sz="6" w:space="0" w:color="1E4496" w:themeColor="text2"/>
            </w:tcBorders>
            <w:tcMar>
              <w:top w:w="113" w:type="dxa"/>
              <w:left w:w="113" w:type="dxa"/>
              <w:bottom w:w="113" w:type="dxa"/>
              <w:right w:w="113" w:type="dxa"/>
            </w:tcMar>
            <w:vAlign w:val="center"/>
          </w:tcPr>
          <w:p w14:paraId="54024394" w14:textId="77777777" w:rsidR="005B11C6" w:rsidRPr="005B11C6" w:rsidRDefault="005B11C6" w:rsidP="005B11C6">
            <w:pPr>
              <w:pStyle w:val="CDITable-RowCentre"/>
            </w:pPr>
            <w:r w:rsidRPr="005B11C6">
              <w:t>53</w:t>
            </w:r>
          </w:p>
        </w:tc>
        <w:tc>
          <w:tcPr>
            <w:tcW w:w="132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5E75EE7" w14:textId="77777777" w:rsidR="005B11C6" w:rsidRPr="005B11C6" w:rsidRDefault="005B11C6" w:rsidP="005B11C6">
            <w:pPr>
              <w:pStyle w:val="CDITable-RowCentre"/>
            </w:pPr>
            <w:r w:rsidRPr="005B11C6">
              <w:t>7</w:t>
            </w:r>
          </w:p>
        </w:tc>
        <w:tc>
          <w:tcPr>
            <w:tcW w:w="132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830B177" w14:textId="77777777" w:rsidR="005B11C6" w:rsidRPr="005B11C6" w:rsidRDefault="005B11C6" w:rsidP="005B11C6">
            <w:pPr>
              <w:pStyle w:val="CDITable-RowCentre"/>
            </w:pPr>
            <w:r w:rsidRPr="005B11C6">
              <w:t>13.2</w:t>
            </w:r>
          </w:p>
        </w:tc>
        <w:tc>
          <w:tcPr>
            <w:tcW w:w="132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F14EB4A" w14:textId="77777777" w:rsidR="005B11C6" w:rsidRPr="005B11C6" w:rsidRDefault="005B11C6" w:rsidP="005B11C6">
            <w:pPr>
              <w:pStyle w:val="CDITable-RowCentre"/>
            </w:pPr>
            <w:r w:rsidRPr="005B11C6">
              <w:t>5.5–25.3</w:t>
            </w:r>
          </w:p>
        </w:tc>
      </w:tr>
      <w:tr w:rsidR="005B11C6" w:rsidRPr="005B11C6" w14:paraId="2857D4D4" w14:textId="77777777" w:rsidTr="00B0791F">
        <w:trPr>
          <w:trHeight w:val="60"/>
        </w:trPr>
        <w:tc>
          <w:tcPr>
            <w:tcW w:w="1701" w:type="dxa"/>
            <w:vMerge/>
            <w:tcBorders>
              <w:bottom w:val="single" w:sz="6" w:space="0" w:color="1E4496" w:themeColor="text2"/>
            </w:tcBorders>
            <w:shd w:val="clear" w:color="auto" w:fill="DCF4FC" w:themeFill="background2" w:themeFillTint="33"/>
          </w:tcPr>
          <w:p w14:paraId="19391980" w14:textId="77777777" w:rsidR="005B11C6" w:rsidRPr="005B11C6" w:rsidRDefault="005B11C6" w:rsidP="005B11C6"/>
        </w:tc>
        <w:tc>
          <w:tcPr>
            <w:tcW w:w="204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E940A88" w14:textId="77777777" w:rsidR="005B11C6" w:rsidRPr="005B11C6" w:rsidRDefault="005B11C6" w:rsidP="005B11C6">
            <w:pPr>
              <w:pStyle w:val="CDITable-RowLeft"/>
            </w:pPr>
            <w:r w:rsidRPr="005B11C6">
              <w:t>WA</w:t>
            </w:r>
          </w:p>
        </w:tc>
        <w:tc>
          <w:tcPr>
            <w:tcW w:w="132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064E4BD" w14:textId="77777777" w:rsidR="005B11C6" w:rsidRPr="005B11C6" w:rsidRDefault="005B11C6" w:rsidP="005B11C6">
            <w:pPr>
              <w:pStyle w:val="CDITable-RowCentre"/>
            </w:pPr>
            <w:r w:rsidRPr="005B11C6">
              <w:t>23</w:t>
            </w:r>
          </w:p>
        </w:tc>
        <w:tc>
          <w:tcPr>
            <w:tcW w:w="132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9A7FEA0" w14:textId="77777777" w:rsidR="005B11C6" w:rsidRPr="005B11C6" w:rsidRDefault="005B11C6" w:rsidP="005B11C6">
            <w:pPr>
              <w:pStyle w:val="CDITable-RowCentre"/>
            </w:pPr>
            <w:r w:rsidRPr="005B11C6">
              <w:t>0</w:t>
            </w:r>
          </w:p>
        </w:tc>
        <w:tc>
          <w:tcPr>
            <w:tcW w:w="132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CE02368" w14:textId="77777777" w:rsidR="005B11C6" w:rsidRPr="005B11C6" w:rsidRDefault="005B11C6" w:rsidP="005B11C6">
            <w:pPr>
              <w:pStyle w:val="CDITable-RowCentre"/>
            </w:pPr>
            <w:r w:rsidRPr="005B11C6">
              <w:t>0</w:t>
            </w:r>
          </w:p>
        </w:tc>
        <w:tc>
          <w:tcPr>
            <w:tcW w:w="1326" w:type="dxa"/>
            <w:tcBorders>
              <w:top w:val="single" w:sz="6" w:space="0" w:color="1E4496" w:themeColor="text2"/>
              <w:bottom w:val="single" w:sz="6" w:space="0" w:color="1E4496" w:themeColor="text2"/>
              <w:right w:val="single" w:sz="6" w:space="0" w:color="1E4496" w:themeColor="text2"/>
            </w:tcBorders>
            <w:tcMar>
              <w:top w:w="113" w:type="dxa"/>
              <w:left w:w="113" w:type="dxa"/>
              <w:bottom w:w="113" w:type="dxa"/>
              <w:right w:w="113" w:type="dxa"/>
            </w:tcMar>
            <w:vAlign w:val="center"/>
          </w:tcPr>
          <w:p w14:paraId="4DBB1A1B" w14:textId="77777777" w:rsidR="005B11C6" w:rsidRPr="005B11C6" w:rsidRDefault="005B11C6" w:rsidP="005B11C6">
            <w:pPr>
              <w:pStyle w:val="CDITable-RowCentre"/>
            </w:pPr>
            <w:r w:rsidRPr="005B11C6">
              <w:t>—</w:t>
            </w:r>
          </w:p>
        </w:tc>
        <w:tc>
          <w:tcPr>
            <w:tcW w:w="1325" w:type="dxa"/>
            <w:tcBorders>
              <w:top w:val="single" w:sz="6" w:space="0" w:color="1E4496" w:themeColor="text2"/>
              <w:left w:val="single" w:sz="6" w:space="0" w:color="1E4496" w:themeColor="text2"/>
              <w:bottom w:val="single" w:sz="6" w:space="0" w:color="1E4496" w:themeColor="text2"/>
            </w:tcBorders>
            <w:tcMar>
              <w:top w:w="113" w:type="dxa"/>
              <w:left w:w="113" w:type="dxa"/>
              <w:bottom w:w="113" w:type="dxa"/>
              <w:right w:w="113" w:type="dxa"/>
            </w:tcMar>
            <w:vAlign w:val="center"/>
          </w:tcPr>
          <w:p w14:paraId="1DE56909" w14:textId="77777777" w:rsidR="005B11C6" w:rsidRPr="005B11C6" w:rsidRDefault="005B11C6" w:rsidP="005B11C6">
            <w:pPr>
              <w:pStyle w:val="CDITable-RowCentre"/>
            </w:pPr>
            <w:r w:rsidRPr="005B11C6">
              <w:t>23</w:t>
            </w:r>
          </w:p>
        </w:tc>
        <w:tc>
          <w:tcPr>
            <w:tcW w:w="132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4FB2EFA" w14:textId="77777777" w:rsidR="005B11C6" w:rsidRPr="005B11C6" w:rsidRDefault="005B11C6" w:rsidP="005B11C6">
            <w:pPr>
              <w:pStyle w:val="CDITable-RowCentre"/>
            </w:pPr>
            <w:r w:rsidRPr="005B11C6">
              <w:t>0</w:t>
            </w:r>
          </w:p>
        </w:tc>
        <w:tc>
          <w:tcPr>
            <w:tcW w:w="132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345E2D8" w14:textId="77777777" w:rsidR="005B11C6" w:rsidRPr="005B11C6" w:rsidRDefault="005B11C6" w:rsidP="005B11C6">
            <w:pPr>
              <w:pStyle w:val="CDITable-RowCentre"/>
            </w:pPr>
            <w:r w:rsidRPr="005B11C6">
              <w:t>0</w:t>
            </w:r>
          </w:p>
        </w:tc>
        <w:tc>
          <w:tcPr>
            <w:tcW w:w="132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B1C50E3" w14:textId="77777777" w:rsidR="005B11C6" w:rsidRPr="005B11C6" w:rsidRDefault="005B11C6" w:rsidP="005B11C6">
            <w:pPr>
              <w:pStyle w:val="CDITable-RowCentre"/>
            </w:pPr>
            <w:r w:rsidRPr="005B11C6">
              <w:t>—</w:t>
            </w:r>
          </w:p>
        </w:tc>
      </w:tr>
      <w:tr w:rsidR="005B11C6" w:rsidRPr="005B11C6" w14:paraId="1E946B08" w14:textId="77777777" w:rsidTr="00B0791F">
        <w:trPr>
          <w:trHeight w:val="60"/>
        </w:trPr>
        <w:tc>
          <w:tcPr>
            <w:tcW w:w="1701" w:type="dxa"/>
            <w:vMerge w:val="restart"/>
            <w:tcBorders>
              <w:top w:val="single" w:sz="6" w:space="0" w:color="1E4496" w:themeColor="text2"/>
              <w:bottom w:val="single" w:sz="6" w:space="0" w:color="1E4496" w:themeColor="text2"/>
            </w:tcBorders>
            <w:shd w:val="clear" w:color="auto" w:fill="DCF4FC" w:themeFill="background2" w:themeFillTint="33"/>
            <w:tcMar>
              <w:top w:w="113" w:type="dxa"/>
              <w:left w:w="113" w:type="dxa"/>
              <w:bottom w:w="113" w:type="dxa"/>
              <w:right w:w="113" w:type="dxa"/>
            </w:tcMar>
            <w:vAlign w:val="center"/>
          </w:tcPr>
          <w:p w14:paraId="4C8CA3FA" w14:textId="77777777" w:rsidR="005B11C6" w:rsidRPr="005B11C6" w:rsidRDefault="005B11C6" w:rsidP="005B11C6">
            <w:pPr>
              <w:pStyle w:val="CDITable-RowLeft"/>
            </w:pPr>
            <w:r w:rsidRPr="005B11C6">
              <w:t>Age group</w:t>
            </w:r>
          </w:p>
        </w:tc>
        <w:tc>
          <w:tcPr>
            <w:tcW w:w="204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A7B9B4A" w14:textId="77777777" w:rsidR="005B11C6" w:rsidRPr="005B11C6" w:rsidRDefault="005B11C6" w:rsidP="005B11C6">
            <w:pPr>
              <w:pStyle w:val="CDITable-RowLeft"/>
            </w:pPr>
            <w:r w:rsidRPr="005B11C6">
              <w:t>≤ 28 days</w:t>
            </w:r>
          </w:p>
        </w:tc>
        <w:tc>
          <w:tcPr>
            <w:tcW w:w="132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3014E30" w14:textId="77777777" w:rsidR="005B11C6" w:rsidRPr="005B11C6" w:rsidRDefault="005B11C6" w:rsidP="005B11C6">
            <w:pPr>
              <w:pStyle w:val="CDITable-RowCentre"/>
            </w:pPr>
            <w:r w:rsidRPr="005B11C6">
              <w:t>46</w:t>
            </w:r>
          </w:p>
        </w:tc>
        <w:tc>
          <w:tcPr>
            <w:tcW w:w="132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42134EB" w14:textId="77777777" w:rsidR="005B11C6" w:rsidRPr="005B11C6" w:rsidRDefault="005B11C6" w:rsidP="005B11C6">
            <w:pPr>
              <w:pStyle w:val="CDITable-RowCentre"/>
            </w:pPr>
            <w:r w:rsidRPr="005B11C6">
              <w:t>2</w:t>
            </w:r>
          </w:p>
        </w:tc>
        <w:tc>
          <w:tcPr>
            <w:tcW w:w="132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8F7FF07" w14:textId="77777777" w:rsidR="005B11C6" w:rsidRPr="005B11C6" w:rsidRDefault="005B11C6" w:rsidP="005B11C6">
            <w:pPr>
              <w:pStyle w:val="CDITable-RowCentre"/>
            </w:pPr>
            <w:r w:rsidRPr="005B11C6">
              <w:t>4.3</w:t>
            </w:r>
          </w:p>
        </w:tc>
        <w:tc>
          <w:tcPr>
            <w:tcW w:w="1326" w:type="dxa"/>
            <w:tcBorders>
              <w:top w:val="single" w:sz="6" w:space="0" w:color="1E4496" w:themeColor="text2"/>
              <w:bottom w:val="single" w:sz="6" w:space="0" w:color="1E4496" w:themeColor="text2"/>
              <w:right w:val="single" w:sz="6" w:space="0" w:color="1E4496" w:themeColor="text2"/>
            </w:tcBorders>
            <w:tcMar>
              <w:top w:w="113" w:type="dxa"/>
              <w:left w:w="113" w:type="dxa"/>
              <w:bottom w:w="113" w:type="dxa"/>
              <w:right w:w="113" w:type="dxa"/>
            </w:tcMar>
            <w:vAlign w:val="center"/>
          </w:tcPr>
          <w:p w14:paraId="0CFF905B" w14:textId="77777777" w:rsidR="005B11C6" w:rsidRPr="005B11C6" w:rsidRDefault="005B11C6" w:rsidP="005B11C6">
            <w:pPr>
              <w:pStyle w:val="CDITable-RowCentre"/>
            </w:pPr>
            <w:r w:rsidRPr="005B11C6">
              <w:t>0.5–14.8</w:t>
            </w:r>
          </w:p>
        </w:tc>
        <w:tc>
          <w:tcPr>
            <w:tcW w:w="1325" w:type="dxa"/>
            <w:tcBorders>
              <w:top w:val="single" w:sz="6" w:space="0" w:color="1E4496" w:themeColor="text2"/>
              <w:left w:val="single" w:sz="6" w:space="0" w:color="1E4496" w:themeColor="text2"/>
              <w:bottom w:val="single" w:sz="6" w:space="0" w:color="1E4496" w:themeColor="text2"/>
            </w:tcBorders>
            <w:tcMar>
              <w:top w:w="113" w:type="dxa"/>
              <w:left w:w="113" w:type="dxa"/>
              <w:bottom w:w="113" w:type="dxa"/>
              <w:right w:w="113" w:type="dxa"/>
            </w:tcMar>
            <w:vAlign w:val="center"/>
          </w:tcPr>
          <w:p w14:paraId="43519A3F" w14:textId="77777777" w:rsidR="005B11C6" w:rsidRPr="005B11C6" w:rsidRDefault="005B11C6" w:rsidP="005B11C6">
            <w:pPr>
              <w:pStyle w:val="CDITable-RowCentre"/>
            </w:pPr>
            <w:r w:rsidRPr="005B11C6">
              <w:t>46</w:t>
            </w:r>
          </w:p>
        </w:tc>
        <w:tc>
          <w:tcPr>
            <w:tcW w:w="132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C973CA7" w14:textId="77777777" w:rsidR="005B11C6" w:rsidRPr="005B11C6" w:rsidRDefault="005B11C6" w:rsidP="005B11C6">
            <w:pPr>
              <w:pStyle w:val="CDITable-RowCentre"/>
            </w:pPr>
            <w:r w:rsidRPr="005B11C6">
              <w:t>1</w:t>
            </w:r>
          </w:p>
        </w:tc>
        <w:tc>
          <w:tcPr>
            <w:tcW w:w="132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0FE9D5F" w14:textId="77777777" w:rsidR="005B11C6" w:rsidRPr="005B11C6" w:rsidRDefault="005B11C6" w:rsidP="005B11C6">
            <w:pPr>
              <w:pStyle w:val="CDITable-RowCentre"/>
            </w:pPr>
            <w:r w:rsidRPr="005B11C6">
              <w:t>2.2</w:t>
            </w:r>
          </w:p>
        </w:tc>
        <w:tc>
          <w:tcPr>
            <w:tcW w:w="132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2E82307" w14:textId="77777777" w:rsidR="005B11C6" w:rsidRPr="005B11C6" w:rsidRDefault="005B11C6" w:rsidP="005B11C6">
            <w:pPr>
              <w:pStyle w:val="CDITable-RowCentre"/>
            </w:pPr>
            <w:r w:rsidRPr="005B11C6">
              <w:t>0.1–11.5</w:t>
            </w:r>
          </w:p>
        </w:tc>
      </w:tr>
      <w:tr w:rsidR="005B11C6" w:rsidRPr="005B11C6" w14:paraId="28FA2630" w14:textId="77777777" w:rsidTr="00B0791F">
        <w:trPr>
          <w:trHeight w:val="60"/>
        </w:trPr>
        <w:tc>
          <w:tcPr>
            <w:tcW w:w="1701" w:type="dxa"/>
            <w:vMerge/>
            <w:tcBorders>
              <w:bottom w:val="single" w:sz="6" w:space="0" w:color="1E4496" w:themeColor="text2"/>
            </w:tcBorders>
            <w:shd w:val="clear" w:color="auto" w:fill="DCF4FC" w:themeFill="background2" w:themeFillTint="33"/>
          </w:tcPr>
          <w:p w14:paraId="3EDAE12F" w14:textId="77777777" w:rsidR="005B11C6" w:rsidRPr="005B11C6" w:rsidRDefault="005B11C6" w:rsidP="005B11C6"/>
        </w:tc>
        <w:tc>
          <w:tcPr>
            <w:tcW w:w="204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DFD994B" w14:textId="77777777" w:rsidR="005B11C6" w:rsidRPr="005B11C6" w:rsidRDefault="005B11C6" w:rsidP="005B11C6">
            <w:pPr>
              <w:pStyle w:val="CDITable-RowLeft"/>
            </w:pPr>
            <w:r w:rsidRPr="005B11C6">
              <w:t>29–90 days</w:t>
            </w:r>
          </w:p>
        </w:tc>
        <w:tc>
          <w:tcPr>
            <w:tcW w:w="132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4EECE8E" w14:textId="77777777" w:rsidR="005B11C6" w:rsidRPr="005B11C6" w:rsidRDefault="005B11C6" w:rsidP="005B11C6">
            <w:pPr>
              <w:pStyle w:val="CDITable-RowCentre"/>
            </w:pPr>
            <w:r w:rsidRPr="005B11C6">
              <w:t>26</w:t>
            </w:r>
          </w:p>
        </w:tc>
        <w:tc>
          <w:tcPr>
            <w:tcW w:w="132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876DE40" w14:textId="77777777" w:rsidR="005B11C6" w:rsidRPr="005B11C6" w:rsidRDefault="005B11C6" w:rsidP="005B11C6">
            <w:pPr>
              <w:pStyle w:val="CDITable-RowCentre"/>
            </w:pPr>
            <w:r w:rsidRPr="005B11C6">
              <w:t>1</w:t>
            </w:r>
          </w:p>
        </w:tc>
        <w:tc>
          <w:tcPr>
            <w:tcW w:w="132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3390DBA" w14:textId="77777777" w:rsidR="005B11C6" w:rsidRPr="005B11C6" w:rsidRDefault="005B11C6" w:rsidP="005B11C6">
            <w:pPr>
              <w:pStyle w:val="CDITable-RowCentre"/>
            </w:pPr>
            <w:r w:rsidRPr="005B11C6">
              <w:t>3.8</w:t>
            </w:r>
          </w:p>
        </w:tc>
        <w:tc>
          <w:tcPr>
            <w:tcW w:w="1326" w:type="dxa"/>
            <w:tcBorders>
              <w:top w:val="single" w:sz="6" w:space="0" w:color="1E4496" w:themeColor="text2"/>
              <w:bottom w:val="single" w:sz="6" w:space="0" w:color="1E4496" w:themeColor="text2"/>
              <w:right w:val="single" w:sz="6" w:space="0" w:color="1E4496" w:themeColor="text2"/>
            </w:tcBorders>
            <w:tcMar>
              <w:top w:w="113" w:type="dxa"/>
              <w:left w:w="113" w:type="dxa"/>
              <w:bottom w:w="113" w:type="dxa"/>
              <w:right w:w="113" w:type="dxa"/>
            </w:tcMar>
            <w:vAlign w:val="center"/>
          </w:tcPr>
          <w:p w14:paraId="0ED04F32" w14:textId="77777777" w:rsidR="005B11C6" w:rsidRPr="005B11C6" w:rsidRDefault="005B11C6" w:rsidP="005B11C6">
            <w:pPr>
              <w:pStyle w:val="CDITable-RowCentre"/>
            </w:pPr>
            <w:r w:rsidRPr="005B11C6">
              <w:t>0.1–19.6</w:t>
            </w:r>
          </w:p>
        </w:tc>
        <w:tc>
          <w:tcPr>
            <w:tcW w:w="1325" w:type="dxa"/>
            <w:tcBorders>
              <w:top w:val="single" w:sz="6" w:space="0" w:color="1E4496" w:themeColor="text2"/>
              <w:left w:val="single" w:sz="6" w:space="0" w:color="1E4496" w:themeColor="text2"/>
              <w:bottom w:val="single" w:sz="6" w:space="0" w:color="1E4496" w:themeColor="text2"/>
            </w:tcBorders>
            <w:tcMar>
              <w:top w:w="113" w:type="dxa"/>
              <w:left w:w="113" w:type="dxa"/>
              <w:bottom w:w="113" w:type="dxa"/>
              <w:right w:w="113" w:type="dxa"/>
            </w:tcMar>
            <w:vAlign w:val="center"/>
          </w:tcPr>
          <w:p w14:paraId="687AF499" w14:textId="77777777" w:rsidR="005B11C6" w:rsidRPr="005B11C6" w:rsidRDefault="005B11C6" w:rsidP="005B11C6">
            <w:pPr>
              <w:pStyle w:val="CDITable-RowCentre"/>
            </w:pPr>
            <w:r w:rsidRPr="005B11C6">
              <w:t>28</w:t>
            </w:r>
          </w:p>
        </w:tc>
        <w:tc>
          <w:tcPr>
            <w:tcW w:w="132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0067DB4" w14:textId="77777777" w:rsidR="005B11C6" w:rsidRPr="005B11C6" w:rsidRDefault="005B11C6" w:rsidP="005B11C6">
            <w:pPr>
              <w:pStyle w:val="CDITable-RowCentre"/>
            </w:pPr>
            <w:r w:rsidRPr="005B11C6">
              <w:t>1</w:t>
            </w:r>
          </w:p>
        </w:tc>
        <w:tc>
          <w:tcPr>
            <w:tcW w:w="132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411405A" w14:textId="77777777" w:rsidR="005B11C6" w:rsidRPr="005B11C6" w:rsidRDefault="005B11C6" w:rsidP="005B11C6">
            <w:pPr>
              <w:pStyle w:val="CDITable-RowCentre"/>
            </w:pPr>
            <w:r w:rsidRPr="005B11C6">
              <w:t>3.6</w:t>
            </w:r>
          </w:p>
        </w:tc>
        <w:tc>
          <w:tcPr>
            <w:tcW w:w="132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4DE8DFE" w14:textId="77777777" w:rsidR="005B11C6" w:rsidRPr="005B11C6" w:rsidRDefault="005B11C6" w:rsidP="005B11C6">
            <w:pPr>
              <w:pStyle w:val="CDITable-RowCentre"/>
            </w:pPr>
            <w:r w:rsidRPr="005B11C6">
              <w:t>0.1–18.3</w:t>
            </w:r>
          </w:p>
        </w:tc>
      </w:tr>
      <w:tr w:rsidR="005B11C6" w:rsidRPr="005B11C6" w14:paraId="00B066DE" w14:textId="77777777" w:rsidTr="00B0791F">
        <w:trPr>
          <w:trHeight w:val="60"/>
        </w:trPr>
        <w:tc>
          <w:tcPr>
            <w:tcW w:w="1701" w:type="dxa"/>
            <w:vMerge/>
            <w:tcBorders>
              <w:bottom w:val="single" w:sz="6" w:space="0" w:color="1E4496" w:themeColor="text2"/>
            </w:tcBorders>
            <w:shd w:val="clear" w:color="auto" w:fill="DCF4FC" w:themeFill="background2" w:themeFillTint="33"/>
          </w:tcPr>
          <w:p w14:paraId="1F97BBE8" w14:textId="77777777" w:rsidR="005B11C6" w:rsidRPr="005B11C6" w:rsidRDefault="005B11C6" w:rsidP="005B11C6"/>
        </w:tc>
        <w:tc>
          <w:tcPr>
            <w:tcW w:w="204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B107D2A" w14:textId="77777777" w:rsidR="005B11C6" w:rsidRPr="005B11C6" w:rsidRDefault="005B11C6" w:rsidP="005B11C6">
            <w:pPr>
              <w:pStyle w:val="CDITable-RowLeft"/>
            </w:pPr>
            <w:r w:rsidRPr="005B11C6">
              <w:t>91–364 days</w:t>
            </w:r>
          </w:p>
        </w:tc>
        <w:tc>
          <w:tcPr>
            <w:tcW w:w="132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29E6B7A" w14:textId="77777777" w:rsidR="005B11C6" w:rsidRPr="005B11C6" w:rsidRDefault="005B11C6" w:rsidP="005B11C6">
            <w:pPr>
              <w:pStyle w:val="CDITable-RowCentre"/>
            </w:pPr>
            <w:r w:rsidRPr="005B11C6">
              <w:t>34</w:t>
            </w:r>
          </w:p>
        </w:tc>
        <w:tc>
          <w:tcPr>
            <w:tcW w:w="132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28E2280" w14:textId="77777777" w:rsidR="005B11C6" w:rsidRPr="005B11C6" w:rsidRDefault="005B11C6" w:rsidP="005B11C6">
            <w:pPr>
              <w:pStyle w:val="CDITable-RowCentre"/>
            </w:pPr>
            <w:r w:rsidRPr="005B11C6">
              <w:t>3</w:t>
            </w:r>
          </w:p>
        </w:tc>
        <w:tc>
          <w:tcPr>
            <w:tcW w:w="132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1CE7A04" w14:textId="77777777" w:rsidR="005B11C6" w:rsidRPr="005B11C6" w:rsidRDefault="005B11C6" w:rsidP="005B11C6">
            <w:pPr>
              <w:pStyle w:val="CDITable-RowCentre"/>
            </w:pPr>
            <w:r w:rsidRPr="005B11C6">
              <w:t>8.8</w:t>
            </w:r>
          </w:p>
        </w:tc>
        <w:tc>
          <w:tcPr>
            <w:tcW w:w="1326" w:type="dxa"/>
            <w:tcBorders>
              <w:top w:val="single" w:sz="6" w:space="0" w:color="1E4496" w:themeColor="text2"/>
              <w:bottom w:val="single" w:sz="6" w:space="0" w:color="1E4496" w:themeColor="text2"/>
              <w:right w:val="single" w:sz="6" w:space="0" w:color="1E4496" w:themeColor="text2"/>
            </w:tcBorders>
            <w:tcMar>
              <w:top w:w="113" w:type="dxa"/>
              <w:left w:w="113" w:type="dxa"/>
              <w:bottom w:w="113" w:type="dxa"/>
              <w:right w:w="113" w:type="dxa"/>
            </w:tcMar>
            <w:vAlign w:val="center"/>
          </w:tcPr>
          <w:p w14:paraId="792BCC7B" w14:textId="77777777" w:rsidR="005B11C6" w:rsidRPr="005B11C6" w:rsidRDefault="005B11C6" w:rsidP="005B11C6">
            <w:pPr>
              <w:pStyle w:val="CDITable-RowCentre"/>
            </w:pPr>
            <w:r w:rsidRPr="005B11C6">
              <w:t>1.9–23.7</w:t>
            </w:r>
          </w:p>
        </w:tc>
        <w:tc>
          <w:tcPr>
            <w:tcW w:w="1325" w:type="dxa"/>
            <w:tcBorders>
              <w:top w:val="single" w:sz="6" w:space="0" w:color="1E4496" w:themeColor="text2"/>
              <w:left w:val="single" w:sz="6" w:space="0" w:color="1E4496" w:themeColor="text2"/>
              <w:bottom w:val="single" w:sz="6" w:space="0" w:color="1E4496" w:themeColor="text2"/>
            </w:tcBorders>
            <w:tcMar>
              <w:top w:w="113" w:type="dxa"/>
              <w:left w:w="113" w:type="dxa"/>
              <w:bottom w:w="113" w:type="dxa"/>
              <w:right w:w="113" w:type="dxa"/>
            </w:tcMar>
            <w:vAlign w:val="center"/>
          </w:tcPr>
          <w:p w14:paraId="20509381" w14:textId="77777777" w:rsidR="005B11C6" w:rsidRPr="005B11C6" w:rsidRDefault="005B11C6" w:rsidP="005B11C6">
            <w:pPr>
              <w:pStyle w:val="CDITable-RowCentre"/>
            </w:pPr>
            <w:r w:rsidRPr="005B11C6">
              <w:t>34</w:t>
            </w:r>
          </w:p>
        </w:tc>
        <w:tc>
          <w:tcPr>
            <w:tcW w:w="132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E37896A" w14:textId="77777777" w:rsidR="005B11C6" w:rsidRPr="005B11C6" w:rsidRDefault="005B11C6" w:rsidP="005B11C6">
            <w:pPr>
              <w:pStyle w:val="CDITable-RowCentre"/>
            </w:pPr>
            <w:r w:rsidRPr="005B11C6">
              <w:t>1</w:t>
            </w:r>
          </w:p>
        </w:tc>
        <w:tc>
          <w:tcPr>
            <w:tcW w:w="132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39F8146" w14:textId="77777777" w:rsidR="005B11C6" w:rsidRPr="005B11C6" w:rsidRDefault="005B11C6" w:rsidP="005B11C6">
            <w:pPr>
              <w:pStyle w:val="CDITable-RowCentre"/>
            </w:pPr>
            <w:r w:rsidRPr="005B11C6">
              <w:t>2.9</w:t>
            </w:r>
          </w:p>
        </w:tc>
        <w:tc>
          <w:tcPr>
            <w:tcW w:w="132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92F2522" w14:textId="77777777" w:rsidR="005B11C6" w:rsidRPr="005B11C6" w:rsidRDefault="005B11C6" w:rsidP="005B11C6">
            <w:pPr>
              <w:pStyle w:val="CDITable-RowCentre"/>
            </w:pPr>
            <w:r w:rsidRPr="005B11C6">
              <w:t>0.1–15.3</w:t>
            </w:r>
          </w:p>
        </w:tc>
      </w:tr>
      <w:tr w:rsidR="005B11C6" w:rsidRPr="005B11C6" w14:paraId="53655717" w14:textId="77777777" w:rsidTr="00B0791F">
        <w:trPr>
          <w:trHeight w:val="60"/>
        </w:trPr>
        <w:tc>
          <w:tcPr>
            <w:tcW w:w="1701" w:type="dxa"/>
            <w:vMerge/>
            <w:tcBorders>
              <w:bottom w:val="single" w:sz="6" w:space="0" w:color="1E4496" w:themeColor="text2"/>
            </w:tcBorders>
            <w:shd w:val="clear" w:color="auto" w:fill="DCF4FC" w:themeFill="background2" w:themeFillTint="33"/>
          </w:tcPr>
          <w:p w14:paraId="0A66FA24" w14:textId="77777777" w:rsidR="005B11C6" w:rsidRPr="005B11C6" w:rsidRDefault="005B11C6" w:rsidP="005B11C6"/>
        </w:tc>
        <w:tc>
          <w:tcPr>
            <w:tcW w:w="204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B96DFFE" w14:textId="77777777" w:rsidR="005B11C6" w:rsidRPr="005B11C6" w:rsidRDefault="005B11C6" w:rsidP="005B11C6">
            <w:pPr>
              <w:pStyle w:val="CDITable-RowLeft"/>
            </w:pPr>
            <w:r w:rsidRPr="005B11C6">
              <w:t>1–4 years</w:t>
            </w:r>
          </w:p>
        </w:tc>
        <w:tc>
          <w:tcPr>
            <w:tcW w:w="132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61BD8FE" w14:textId="77777777" w:rsidR="005B11C6" w:rsidRPr="005B11C6" w:rsidRDefault="005B11C6" w:rsidP="005B11C6">
            <w:pPr>
              <w:pStyle w:val="CDITable-RowCentre"/>
            </w:pPr>
            <w:r w:rsidRPr="005B11C6">
              <w:t>28</w:t>
            </w:r>
          </w:p>
        </w:tc>
        <w:tc>
          <w:tcPr>
            <w:tcW w:w="132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56075EF" w14:textId="77777777" w:rsidR="005B11C6" w:rsidRPr="005B11C6" w:rsidRDefault="005B11C6" w:rsidP="005B11C6">
            <w:pPr>
              <w:pStyle w:val="CDITable-RowCentre"/>
            </w:pPr>
            <w:r w:rsidRPr="005B11C6">
              <w:t>5</w:t>
            </w:r>
          </w:p>
        </w:tc>
        <w:tc>
          <w:tcPr>
            <w:tcW w:w="132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09911F6" w14:textId="77777777" w:rsidR="005B11C6" w:rsidRPr="005B11C6" w:rsidRDefault="005B11C6" w:rsidP="005B11C6">
            <w:pPr>
              <w:pStyle w:val="CDITable-RowCentre"/>
            </w:pPr>
            <w:r w:rsidRPr="005B11C6">
              <w:t>17.9</w:t>
            </w:r>
          </w:p>
        </w:tc>
        <w:tc>
          <w:tcPr>
            <w:tcW w:w="1326" w:type="dxa"/>
            <w:tcBorders>
              <w:top w:val="single" w:sz="6" w:space="0" w:color="1E4496" w:themeColor="text2"/>
              <w:bottom w:val="single" w:sz="6" w:space="0" w:color="1E4496" w:themeColor="text2"/>
              <w:right w:val="single" w:sz="6" w:space="0" w:color="1E4496" w:themeColor="text2"/>
            </w:tcBorders>
            <w:tcMar>
              <w:top w:w="113" w:type="dxa"/>
              <w:left w:w="113" w:type="dxa"/>
              <w:bottom w:w="113" w:type="dxa"/>
              <w:right w:w="113" w:type="dxa"/>
            </w:tcMar>
            <w:vAlign w:val="center"/>
          </w:tcPr>
          <w:p w14:paraId="6B52F6C9" w14:textId="77777777" w:rsidR="005B11C6" w:rsidRPr="005B11C6" w:rsidRDefault="005B11C6" w:rsidP="005B11C6">
            <w:pPr>
              <w:pStyle w:val="CDITable-RowCentre"/>
            </w:pPr>
            <w:r w:rsidRPr="005B11C6">
              <w:t>6.1–36.9</w:t>
            </w:r>
          </w:p>
        </w:tc>
        <w:tc>
          <w:tcPr>
            <w:tcW w:w="1325" w:type="dxa"/>
            <w:tcBorders>
              <w:top w:val="single" w:sz="6" w:space="0" w:color="1E4496" w:themeColor="text2"/>
              <w:left w:val="single" w:sz="6" w:space="0" w:color="1E4496" w:themeColor="text2"/>
              <w:bottom w:val="single" w:sz="6" w:space="0" w:color="1E4496" w:themeColor="text2"/>
            </w:tcBorders>
            <w:tcMar>
              <w:top w:w="113" w:type="dxa"/>
              <w:left w:w="113" w:type="dxa"/>
              <w:bottom w:w="113" w:type="dxa"/>
              <w:right w:w="113" w:type="dxa"/>
            </w:tcMar>
            <w:vAlign w:val="center"/>
          </w:tcPr>
          <w:p w14:paraId="68D276DA" w14:textId="77777777" w:rsidR="005B11C6" w:rsidRPr="005B11C6" w:rsidRDefault="005B11C6" w:rsidP="005B11C6">
            <w:pPr>
              <w:pStyle w:val="CDITable-RowCentre"/>
            </w:pPr>
            <w:r w:rsidRPr="005B11C6">
              <w:t>30</w:t>
            </w:r>
          </w:p>
        </w:tc>
        <w:tc>
          <w:tcPr>
            <w:tcW w:w="132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D267085" w14:textId="77777777" w:rsidR="005B11C6" w:rsidRPr="005B11C6" w:rsidRDefault="005B11C6" w:rsidP="005B11C6">
            <w:pPr>
              <w:pStyle w:val="CDITable-RowCentre"/>
            </w:pPr>
            <w:r w:rsidRPr="005B11C6">
              <w:t>1</w:t>
            </w:r>
          </w:p>
        </w:tc>
        <w:tc>
          <w:tcPr>
            <w:tcW w:w="132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6B78AA9" w14:textId="77777777" w:rsidR="005B11C6" w:rsidRPr="005B11C6" w:rsidRDefault="005B11C6" w:rsidP="005B11C6">
            <w:pPr>
              <w:pStyle w:val="CDITable-RowCentre"/>
            </w:pPr>
            <w:r w:rsidRPr="005B11C6">
              <w:t>3.3</w:t>
            </w:r>
          </w:p>
        </w:tc>
        <w:tc>
          <w:tcPr>
            <w:tcW w:w="132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A4F6868" w14:textId="77777777" w:rsidR="005B11C6" w:rsidRPr="005B11C6" w:rsidRDefault="005B11C6" w:rsidP="005B11C6">
            <w:pPr>
              <w:pStyle w:val="CDITable-RowCentre"/>
            </w:pPr>
            <w:r w:rsidRPr="005B11C6">
              <w:t>0.1–17.2</w:t>
            </w:r>
          </w:p>
        </w:tc>
      </w:tr>
      <w:tr w:rsidR="005B11C6" w:rsidRPr="005B11C6" w14:paraId="3F268B18" w14:textId="77777777" w:rsidTr="00B0791F">
        <w:trPr>
          <w:trHeight w:val="60"/>
        </w:trPr>
        <w:tc>
          <w:tcPr>
            <w:tcW w:w="1701" w:type="dxa"/>
            <w:vMerge/>
            <w:tcBorders>
              <w:bottom w:val="single" w:sz="6" w:space="0" w:color="1E4496" w:themeColor="text2"/>
            </w:tcBorders>
            <w:shd w:val="clear" w:color="auto" w:fill="DCF4FC" w:themeFill="background2" w:themeFillTint="33"/>
          </w:tcPr>
          <w:p w14:paraId="71CAEA30" w14:textId="77777777" w:rsidR="005B11C6" w:rsidRPr="005B11C6" w:rsidRDefault="005B11C6" w:rsidP="005B11C6"/>
        </w:tc>
        <w:tc>
          <w:tcPr>
            <w:tcW w:w="204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08735AB" w14:textId="77777777" w:rsidR="005B11C6" w:rsidRPr="005B11C6" w:rsidRDefault="005B11C6" w:rsidP="005B11C6">
            <w:pPr>
              <w:pStyle w:val="CDITable-RowLeft"/>
            </w:pPr>
            <w:r w:rsidRPr="005B11C6">
              <w:t>5–11 years</w:t>
            </w:r>
          </w:p>
        </w:tc>
        <w:tc>
          <w:tcPr>
            <w:tcW w:w="132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E2288E9" w14:textId="77777777" w:rsidR="005B11C6" w:rsidRPr="005B11C6" w:rsidRDefault="005B11C6" w:rsidP="005B11C6">
            <w:pPr>
              <w:pStyle w:val="CDITable-RowCentre"/>
            </w:pPr>
            <w:r w:rsidRPr="005B11C6">
              <w:t>16</w:t>
            </w:r>
          </w:p>
        </w:tc>
        <w:tc>
          <w:tcPr>
            <w:tcW w:w="132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DEB176D" w14:textId="77777777" w:rsidR="005B11C6" w:rsidRPr="005B11C6" w:rsidRDefault="005B11C6" w:rsidP="005B11C6">
            <w:pPr>
              <w:pStyle w:val="CDITable-RowCentre"/>
            </w:pPr>
            <w:r w:rsidRPr="005B11C6">
              <w:t>4</w:t>
            </w:r>
          </w:p>
        </w:tc>
        <w:tc>
          <w:tcPr>
            <w:tcW w:w="132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EEEA70F" w14:textId="77777777" w:rsidR="005B11C6" w:rsidRPr="005B11C6" w:rsidRDefault="005B11C6" w:rsidP="005B11C6">
            <w:pPr>
              <w:pStyle w:val="CDITable-RowCentre"/>
            </w:pPr>
            <w:r w:rsidRPr="005B11C6">
              <w:t>25</w:t>
            </w:r>
          </w:p>
        </w:tc>
        <w:tc>
          <w:tcPr>
            <w:tcW w:w="1326" w:type="dxa"/>
            <w:tcBorders>
              <w:top w:val="single" w:sz="6" w:space="0" w:color="1E4496" w:themeColor="text2"/>
              <w:bottom w:val="single" w:sz="6" w:space="0" w:color="1E4496" w:themeColor="text2"/>
              <w:right w:val="single" w:sz="6" w:space="0" w:color="1E4496" w:themeColor="text2"/>
            </w:tcBorders>
            <w:tcMar>
              <w:top w:w="113" w:type="dxa"/>
              <w:left w:w="113" w:type="dxa"/>
              <w:bottom w:w="113" w:type="dxa"/>
              <w:right w:w="113" w:type="dxa"/>
            </w:tcMar>
            <w:vAlign w:val="center"/>
          </w:tcPr>
          <w:p w14:paraId="648BCB08" w14:textId="77777777" w:rsidR="005B11C6" w:rsidRPr="005B11C6" w:rsidRDefault="005B11C6" w:rsidP="005B11C6">
            <w:pPr>
              <w:pStyle w:val="CDITable-RowCentre"/>
            </w:pPr>
            <w:r w:rsidRPr="005B11C6">
              <w:t>7.3–52.4</w:t>
            </w:r>
          </w:p>
        </w:tc>
        <w:tc>
          <w:tcPr>
            <w:tcW w:w="1325" w:type="dxa"/>
            <w:tcBorders>
              <w:top w:val="single" w:sz="6" w:space="0" w:color="1E4496" w:themeColor="text2"/>
              <w:left w:val="single" w:sz="6" w:space="0" w:color="1E4496" w:themeColor="text2"/>
              <w:bottom w:val="single" w:sz="6" w:space="0" w:color="1E4496" w:themeColor="text2"/>
            </w:tcBorders>
            <w:tcMar>
              <w:top w:w="113" w:type="dxa"/>
              <w:left w:w="113" w:type="dxa"/>
              <w:bottom w:w="113" w:type="dxa"/>
              <w:right w:w="113" w:type="dxa"/>
            </w:tcMar>
            <w:vAlign w:val="center"/>
          </w:tcPr>
          <w:p w14:paraId="61F8D0EA" w14:textId="77777777" w:rsidR="005B11C6" w:rsidRPr="005B11C6" w:rsidRDefault="005B11C6" w:rsidP="005B11C6">
            <w:pPr>
              <w:pStyle w:val="CDITable-RowCentre"/>
            </w:pPr>
            <w:r w:rsidRPr="005B11C6">
              <w:t>16</w:t>
            </w:r>
          </w:p>
        </w:tc>
        <w:tc>
          <w:tcPr>
            <w:tcW w:w="132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1738723" w14:textId="77777777" w:rsidR="005B11C6" w:rsidRPr="005B11C6" w:rsidRDefault="005B11C6" w:rsidP="005B11C6">
            <w:pPr>
              <w:pStyle w:val="CDITable-RowCentre"/>
            </w:pPr>
            <w:r w:rsidRPr="005B11C6">
              <w:t>1</w:t>
            </w:r>
          </w:p>
        </w:tc>
        <w:tc>
          <w:tcPr>
            <w:tcW w:w="132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814134B" w14:textId="77777777" w:rsidR="005B11C6" w:rsidRPr="005B11C6" w:rsidRDefault="005B11C6" w:rsidP="005B11C6">
            <w:pPr>
              <w:pStyle w:val="CDITable-RowCentre"/>
            </w:pPr>
            <w:r w:rsidRPr="005B11C6">
              <w:t>6.3</w:t>
            </w:r>
          </w:p>
        </w:tc>
        <w:tc>
          <w:tcPr>
            <w:tcW w:w="132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5350C52" w14:textId="77777777" w:rsidR="005B11C6" w:rsidRPr="005B11C6" w:rsidRDefault="005B11C6" w:rsidP="005B11C6">
            <w:pPr>
              <w:pStyle w:val="CDITable-RowCentre"/>
            </w:pPr>
            <w:r w:rsidRPr="005B11C6">
              <w:t>0.2–30.2</w:t>
            </w:r>
          </w:p>
        </w:tc>
      </w:tr>
      <w:tr w:rsidR="005B11C6" w:rsidRPr="005B11C6" w14:paraId="46F1FC4F" w14:textId="77777777" w:rsidTr="00B0791F">
        <w:trPr>
          <w:trHeight w:val="60"/>
        </w:trPr>
        <w:tc>
          <w:tcPr>
            <w:tcW w:w="1701" w:type="dxa"/>
            <w:vMerge/>
            <w:tcBorders>
              <w:bottom w:val="single" w:sz="6" w:space="0" w:color="1E4496" w:themeColor="text2"/>
            </w:tcBorders>
            <w:shd w:val="clear" w:color="auto" w:fill="DCF4FC" w:themeFill="background2" w:themeFillTint="33"/>
          </w:tcPr>
          <w:p w14:paraId="44B2E160" w14:textId="77777777" w:rsidR="005B11C6" w:rsidRPr="005B11C6" w:rsidRDefault="005B11C6" w:rsidP="005B11C6"/>
        </w:tc>
        <w:tc>
          <w:tcPr>
            <w:tcW w:w="204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D7CE88F" w14:textId="77777777" w:rsidR="005B11C6" w:rsidRPr="005B11C6" w:rsidRDefault="005B11C6" w:rsidP="005B11C6">
            <w:pPr>
              <w:pStyle w:val="CDITable-RowLeft"/>
            </w:pPr>
            <w:r w:rsidRPr="005B11C6">
              <w:t>12–17 years</w:t>
            </w:r>
          </w:p>
        </w:tc>
        <w:tc>
          <w:tcPr>
            <w:tcW w:w="132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BF270C4" w14:textId="77777777" w:rsidR="005B11C6" w:rsidRPr="005B11C6" w:rsidRDefault="005B11C6" w:rsidP="005B11C6">
            <w:pPr>
              <w:pStyle w:val="CDITable-RowCentre"/>
            </w:pPr>
            <w:r w:rsidRPr="005B11C6">
              <w:t>33</w:t>
            </w:r>
          </w:p>
        </w:tc>
        <w:tc>
          <w:tcPr>
            <w:tcW w:w="132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EDCFF98" w14:textId="77777777" w:rsidR="005B11C6" w:rsidRPr="005B11C6" w:rsidRDefault="005B11C6" w:rsidP="005B11C6">
            <w:pPr>
              <w:pStyle w:val="CDITable-RowCentre"/>
            </w:pPr>
            <w:r w:rsidRPr="005B11C6">
              <w:t>11</w:t>
            </w:r>
          </w:p>
        </w:tc>
        <w:tc>
          <w:tcPr>
            <w:tcW w:w="132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F4655BD" w14:textId="77777777" w:rsidR="005B11C6" w:rsidRPr="005B11C6" w:rsidRDefault="005B11C6" w:rsidP="005B11C6">
            <w:pPr>
              <w:pStyle w:val="CDITable-RowCentre"/>
            </w:pPr>
            <w:r w:rsidRPr="005B11C6">
              <w:t>33.3</w:t>
            </w:r>
          </w:p>
        </w:tc>
        <w:tc>
          <w:tcPr>
            <w:tcW w:w="1326" w:type="dxa"/>
            <w:tcBorders>
              <w:top w:val="single" w:sz="6" w:space="0" w:color="1E4496" w:themeColor="text2"/>
              <w:bottom w:val="single" w:sz="6" w:space="0" w:color="1E4496" w:themeColor="text2"/>
              <w:right w:val="single" w:sz="6" w:space="0" w:color="1E4496" w:themeColor="text2"/>
            </w:tcBorders>
            <w:tcMar>
              <w:top w:w="113" w:type="dxa"/>
              <w:left w:w="113" w:type="dxa"/>
              <w:bottom w:w="113" w:type="dxa"/>
              <w:right w:w="113" w:type="dxa"/>
            </w:tcMar>
            <w:vAlign w:val="center"/>
          </w:tcPr>
          <w:p w14:paraId="485426AD" w14:textId="77777777" w:rsidR="005B11C6" w:rsidRPr="005B11C6" w:rsidRDefault="005B11C6" w:rsidP="005B11C6">
            <w:pPr>
              <w:pStyle w:val="CDITable-RowCentre"/>
            </w:pPr>
            <w:r w:rsidRPr="005B11C6">
              <w:t>18–51.8</w:t>
            </w:r>
          </w:p>
        </w:tc>
        <w:tc>
          <w:tcPr>
            <w:tcW w:w="1325" w:type="dxa"/>
            <w:tcBorders>
              <w:top w:val="single" w:sz="6" w:space="0" w:color="1E4496" w:themeColor="text2"/>
              <w:left w:val="single" w:sz="6" w:space="0" w:color="1E4496" w:themeColor="text2"/>
              <w:bottom w:val="single" w:sz="6" w:space="0" w:color="1E4496" w:themeColor="text2"/>
            </w:tcBorders>
            <w:tcMar>
              <w:top w:w="113" w:type="dxa"/>
              <w:left w:w="113" w:type="dxa"/>
              <w:bottom w:w="113" w:type="dxa"/>
              <w:right w:w="113" w:type="dxa"/>
            </w:tcMar>
            <w:vAlign w:val="center"/>
          </w:tcPr>
          <w:p w14:paraId="5F5C8DCB" w14:textId="77777777" w:rsidR="005B11C6" w:rsidRPr="005B11C6" w:rsidRDefault="005B11C6" w:rsidP="005B11C6">
            <w:pPr>
              <w:pStyle w:val="CDITable-RowCentre"/>
            </w:pPr>
            <w:r w:rsidRPr="005B11C6">
              <w:t>33</w:t>
            </w:r>
          </w:p>
        </w:tc>
        <w:tc>
          <w:tcPr>
            <w:tcW w:w="132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CB88181" w14:textId="77777777" w:rsidR="005B11C6" w:rsidRPr="005B11C6" w:rsidRDefault="005B11C6" w:rsidP="005B11C6">
            <w:pPr>
              <w:pStyle w:val="CDITable-RowCentre"/>
            </w:pPr>
            <w:r w:rsidRPr="005B11C6">
              <w:t>8</w:t>
            </w:r>
          </w:p>
        </w:tc>
        <w:tc>
          <w:tcPr>
            <w:tcW w:w="132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D4D2D1F" w14:textId="77777777" w:rsidR="005B11C6" w:rsidRPr="005B11C6" w:rsidRDefault="005B11C6" w:rsidP="005B11C6">
            <w:pPr>
              <w:pStyle w:val="CDITable-RowCentre"/>
            </w:pPr>
            <w:r w:rsidRPr="005B11C6">
              <w:t>24.2</w:t>
            </w:r>
          </w:p>
        </w:tc>
        <w:tc>
          <w:tcPr>
            <w:tcW w:w="132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4C8D076" w14:textId="77777777" w:rsidR="005B11C6" w:rsidRPr="005B11C6" w:rsidRDefault="005B11C6" w:rsidP="005B11C6">
            <w:pPr>
              <w:pStyle w:val="CDITable-RowCentre"/>
            </w:pPr>
            <w:r w:rsidRPr="005B11C6">
              <w:t>11.1–42.3</w:t>
            </w:r>
          </w:p>
        </w:tc>
      </w:tr>
      <w:tr w:rsidR="005B11C6" w:rsidRPr="005B11C6" w14:paraId="31A60E31" w14:textId="77777777" w:rsidTr="00B0791F">
        <w:trPr>
          <w:trHeight w:val="60"/>
        </w:trPr>
        <w:tc>
          <w:tcPr>
            <w:tcW w:w="1701" w:type="dxa"/>
            <w:vMerge w:val="restart"/>
            <w:tcBorders>
              <w:top w:val="single" w:sz="6" w:space="0" w:color="1E4496" w:themeColor="text2"/>
              <w:bottom w:val="single" w:sz="6" w:space="0" w:color="1E4496" w:themeColor="text2"/>
            </w:tcBorders>
            <w:shd w:val="clear" w:color="auto" w:fill="DCF4FC" w:themeFill="background2" w:themeFillTint="33"/>
            <w:tcMar>
              <w:top w:w="113" w:type="dxa"/>
              <w:left w:w="113" w:type="dxa"/>
              <w:bottom w:w="113" w:type="dxa"/>
              <w:right w:w="113" w:type="dxa"/>
            </w:tcMar>
            <w:vAlign w:val="center"/>
          </w:tcPr>
          <w:p w14:paraId="4C693A71" w14:textId="77777777" w:rsidR="005B11C6" w:rsidRPr="005B11C6" w:rsidRDefault="005B11C6" w:rsidP="005B11C6">
            <w:pPr>
              <w:pStyle w:val="CDITable-RowLeft"/>
            </w:pPr>
            <w:r w:rsidRPr="005B11C6">
              <w:lastRenderedPageBreak/>
              <w:t>Onset location</w:t>
            </w:r>
          </w:p>
        </w:tc>
        <w:tc>
          <w:tcPr>
            <w:tcW w:w="204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BF3CF6C" w14:textId="77777777" w:rsidR="005B11C6" w:rsidRPr="005B11C6" w:rsidRDefault="005B11C6" w:rsidP="005B11C6">
            <w:pPr>
              <w:pStyle w:val="CDITable-RowLeft"/>
            </w:pPr>
            <w:r w:rsidRPr="005B11C6">
              <w:t>Community</w:t>
            </w:r>
          </w:p>
        </w:tc>
        <w:tc>
          <w:tcPr>
            <w:tcW w:w="132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3696249" w14:textId="77777777" w:rsidR="005B11C6" w:rsidRPr="005B11C6" w:rsidRDefault="005B11C6" w:rsidP="005B11C6">
            <w:pPr>
              <w:pStyle w:val="CDITable-RowCentre"/>
            </w:pPr>
            <w:r w:rsidRPr="005B11C6">
              <w:t>58</w:t>
            </w:r>
          </w:p>
        </w:tc>
        <w:tc>
          <w:tcPr>
            <w:tcW w:w="132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CEC74B2" w14:textId="77777777" w:rsidR="005B11C6" w:rsidRPr="005B11C6" w:rsidRDefault="005B11C6" w:rsidP="005B11C6">
            <w:pPr>
              <w:pStyle w:val="CDITable-RowCentre"/>
            </w:pPr>
            <w:r w:rsidRPr="005B11C6">
              <w:t>2</w:t>
            </w:r>
          </w:p>
        </w:tc>
        <w:tc>
          <w:tcPr>
            <w:tcW w:w="132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64592E6" w14:textId="77777777" w:rsidR="005B11C6" w:rsidRPr="005B11C6" w:rsidRDefault="005B11C6" w:rsidP="005B11C6">
            <w:pPr>
              <w:pStyle w:val="CDITable-RowCentre"/>
            </w:pPr>
            <w:r w:rsidRPr="005B11C6">
              <w:t>3.4</w:t>
            </w:r>
          </w:p>
        </w:tc>
        <w:tc>
          <w:tcPr>
            <w:tcW w:w="1326" w:type="dxa"/>
            <w:tcBorders>
              <w:top w:val="single" w:sz="6" w:space="0" w:color="1E4496" w:themeColor="text2"/>
              <w:bottom w:val="single" w:sz="6" w:space="0" w:color="1E4496" w:themeColor="text2"/>
              <w:right w:val="single" w:sz="6" w:space="0" w:color="1E4496" w:themeColor="text2"/>
            </w:tcBorders>
            <w:tcMar>
              <w:top w:w="113" w:type="dxa"/>
              <w:left w:w="113" w:type="dxa"/>
              <w:bottom w:w="113" w:type="dxa"/>
              <w:right w:w="113" w:type="dxa"/>
            </w:tcMar>
            <w:vAlign w:val="center"/>
          </w:tcPr>
          <w:p w14:paraId="16217147" w14:textId="77777777" w:rsidR="005B11C6" w:rsidRPr="005B11C6" w:rsidRDefault="005B11C6" w:rsidP="005B11C6">
            <w:pPr>
              <w:pStyle w:val="CDITable-RowCentre"/>
            </w:pPr>
            <w:r w:rsidRPr="005B11C6">
              <w:t>0.4–11.9</w:t>
            </w:r>
          </w:p>
        </w:tc>
        <w:tc>
          <w:tcPr>
            <w:tcW w:w="1325" w:type="dxa"/>
            <w:tcBorders>
              <w:top w:val="single" w:sz="6" w:space="0" w:color="1E4496" w:themeColor="text2"/>
              <w:left w:val="single" w:sz="6" w:space="0" w:color="1E4496" w:themeColor="text2"/>
              <w:bottom w:val="single" w:sz="6" w:space="0" w:color="1E4496" w:themeColor="text2"/>
            </w:tcBorders>
            <w:tcMar>
              <w:top w:w="113" w:type="dxa"/>
              <w:left w:w="113" w:type="dxa"/>
              <w:bottom w:w="113" w:type="dxa"/>
              <w:right w:w="113" w:type="dxa"/>
            </w:tcMar>
            <w:vAlign w:val="center"/>
          </w:tcPr>
          <w:p w14:paraId="1C035D9A" w14:textId="77777777" w:rsidR="005B11C6" w:rsidRPr="005B11C6" w:rsidRDefault="005B11C6" w:rsidP="005B11C6">
            <w:pPr>
              <w:pStyle w:val="CDITable-RowCentre"/>
            </w:pPr>
            <w:r w:rsidRPr="005B11C6">
              <w:t>59</w:t>
            </w:r>
          </w:p>
        </w:tc>
        <w:tc>
          <w:tcPr>
            <w:tcW w:w="132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82AA840" w14:textId="77777777" w:rsidR="005B11C6" w:rsidRPr="005B11C6" w:rsidRDefault="005B11C6" w:rsidP="005B11C6">
            <w:pPr>
              <w:pStyle w:val="CDITable-RowCentre"/>
            </w:pPr>
            <w:r w:rsidRPr="005B11C6">
              <w:t>0</w:t>
            </w:r>
          </w:p>
        </w:tc>
        <w:tc>
          <w:tcPr>
            <w:tcW w:w="132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78567C8" w14:textId="77777777" w:rsidR="005B11C6" w:rsidRPr="005B11C6" w:rsidRDefault="005B11C6" w:rsidP="005B11C6">
            <w:pPr>
              <w:pStyle w:val="CDITable-RowCentre"/>
            </w:pPr>
            <w:r w:rsidRPr="005B11C6">
              <w:t>0</w:t>
            </w:r>
          </w:p>
        </w:tc>
        <w:tc>
          <w:tcPr>
            <w:tcW w:w="132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3EB36E7" w14:textId="77777777" w:rsidR="005B11C6" w:rsidRPr="005B11C6" w:rsidRDefault="005B11C6" w:rsidP="005B11C6">
            <w:pPr>
              <w:pStyle w:val="CDITable-RowCentre"/>
            </w:pPr>
            <w:r w:rsidRPr="005B11C6">
              <w:t>—</w:t>
            </w:r>
          </w:p>
        </w:tc>
      </w:tr>
      <w:tr w:rsidR="005B11C6" w:rsidRPr="005B11C6" w14:paraId="33469645" w14:textId="77777777" w:rsidTr="005B11C6">
        <w:trPr>
          <w:trHeight w:val="60"/>
        </w:trPr>
        <w:tc>
          <w:tcPr>
            <w:tcW w:w="1701" w:type="dxa"/>
            <w:vMerge/>
            <w:tcBorders>
              <w:bottom w:val="single" w:sz="6" w:space="0" w:color="1E4496" w:themeColor="text2"/>
            </w:tcBorders>
            <w:shd w:val="clear" w:color="auto" w:fill="DCF4FC" w:themeFill="background2" w:themeFillTint="33"/>
          </w:tcPr>
          <w:p w14:paraId="4A7B3236" w14:textId="77777777" w:rsidR="005B11C6" w:rsidRPr="005B11C6" w:rsidRDefault="005B11C6" w:rsidP="005B11C6"/>
        </w:tc>
        <w:tc>
          <w:tcPr>
            <w:tcW w:w="204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342153C" w14:textId="77777777" w:rsidR="005B11C6" w:rsidRPr="005B11C6" w:rsidRDefault="005B11C6" w:rsidP="005B11C6">
            <w:pPr>
              <w:pStyle w:val="CDITable-RowLeft"/>
            </w:pPr>
            <w:r w:rsidRPr="005B11C6">
              <w:t>Hospital</w:t>
            </w:r>
          </w:p>
        </w:tc>
        <w:tc>
          <w:tcPr>
            <w:tcW w:w="132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93593E9" w14:textId="77777777" w:rsidR="005B11C6" w:rsidRPr="005B11C6" w:rsidRDefault="005B11C6" w:rsidP="005B11C6">
            <w:pPr>
              <w:pStyle w:val="CDITable-RowCentre"/>
            </w:pPr>
            <w:r w:rsidRPr="005B11C6">
              <w:t>125</w:t>
            </w:r>
          </w:p>
        </w:tc>
        <w:tc>
          <w:tcPr>
            <w:tcW w:w="132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77827E4" w14:textId="77777777" w:rsidR="005B11C6" w:rsidRPr="005B11C6" w:rsidRDefault="005B11C6" w:rsidP="005B11C6">
            <w:pPr>
              <w:pStyle w:val="CDITable-RowCentre"/>
            </w:pPr>
            <w:r w:rsidRPr="005B11C6">
              <w:t>24</w:t>
            </w:r>
          </w:p>
        </w:tc>
        <w:tc>
          <w:tcPr>
            <w:tcW w:w="132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79F0BED" w14:textId="77777777" w:rsidR="005B11C6" w:rsidRPr="005B11C6" w:rsidRDefault="005B11C6" w:rsidP="005B11C6">
            <w:pPr>
              <w:pStyle w:val="CDITable-RowCentre"/>
            </w:pPr>
            <w:r w:rsidRPr="005B11C6">
              <w:t>19.2</w:t>
            </w:r>
          </w:p>
        </w:tc>
        <w:tc>
          <w:tcPr>
            <w:tcW w:w="1326" w:type="dxa"/>
            <w:tcBorders>
              <w:top w:val="single" w:sz="6" w:space="0" w:color="1E4496" w:themeColor="text2"/>
              <w:bottom w:val="single" w:sz="6" w:space="0" w:color="1E4496" w:themeColor="text2"/>
              <w:right w:val="single" w:sz="6" w:space="0" w:color="1E4496" w:themeColor="text2"/>
            </w:tcBorders>
            <w:tcMar>
              <w:top w:w="113" w:type="dxa"/>
              <w:left w:w="113" w:type="dxa"/>
              <w:bottom w:w="113" w:type="dxa"/>
              <w:right w:w="113" w:type="dxa"/>
            </w:tcMar>
            <w:vAlign w:val="center"/>
          </w:tcPr>
          <w:p w14:paraId="3B99627B" w14:textId="77777777" w:rsidR="005B11C6" w:rsidRPr="005B11C6" w:rsidRDefault="005B11C6" w:rsidP="005B11C6">
            <w:pPr>
              <w:pStyle w:val="CDITable-RowCentre"/>
            </w:pPr>
            <w:r w:rsidRPr="005B11C6">
              <w:t>12.7–27.2</w:t>
            </w:r>
          </w:p>
        </w:tc>
        <w:tc>
          <w:tcPr>
            <w:tcW w:w="1325" w:type="dxa"/>
            <w:tcBorders>
              <w:top w:val="single" w:sz="6" w:space="0" w:color="1E4496" w:themeColor="text2"/>
              <w:left w:val="single" w:sz="6" w:space="0" w:color="1E4496" w:themeColor="text2"/>
              <w:bottom w:val="single" w:sz="6" w:space="0" w:color="1E4496" w:themeColor="text2"/>
            </w:tcBorders>
            <w:tcMar>
              <w:top w:w="113" w:type="dxa"/>
              <w:left w:w="113" w:type="dxa"/>
              <w:bottom w:w="113" w:type="dxa"/>
              <w:right w:w="113" w:type="dxa"/>
            </w:tcMar>
            <w:vAlign w:val="center"/>
          </w:tcPr>
          <w:p w14:paraId="0663EB4B" w14:textId="77777777" w:rsidR="005B11C6" w:rsidRPr="005B11C6" w:rsidRDefault="005B11C6" w:rsidP="005B11C6">
            <w:pPr>
              <w:pStyle w:val="CDITable-RowCentre"/>
            </w:pPr>
            <w:r w:rsidRPr="005B11C6">
              <w:t>128</w:t>
            </w:r>
          </w:p>
        </w:tc>
        <w:tc>
          <w:tcPr>
            <w:tcW w:w="132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2465138" w14:textId="77777777" w:rsidR="005B11C6" w:rsidRPr="005B11C6" w:rsidRDefault="005B11C6" w:rsidP="005B11C6">
            <w:pPr>
              <w:pStyle w:val="CDITable-RowCentre"/>
            </w:pPr>
            <w:r w:rsidRPr="005B11C6">
              <w:t>13</w:t>
            </w:r>
          </w:p>
        </w:tc>
        <w:tc>
          <w:tcPr>
            <w:tcW w:w="132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EA6BB4B" w14:textId="77777777" w:rsidR="005B11C6" w:rsidRPr="005B11C6" w:rsidRDefault="005B11C6" w:rsidP="005B11C6">
            <w:pPr>
              <w:pStyle w:val="CDITable-RowCentre"/>
            </w:pPr>
            <w:r w:rsidRPr="005B11C6">
              <w:t>10.2</w:t>
            </w:r>
          </w:p>
        </w:tc>
        <w:tc>
          <w:tcPr>
            <w:tcW w:w="132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D6BFFF0" w14:textId="77777777" w:rsidR="005B11C6" w:rsidRPr="005B11C6" w:rsidRDefault="005B11C6" w:rsidP="005B11C6">
            <w:pPr>
              <w:pStyle w:val="CDITable-RowCentre"/>
            </w:pPr>
            <w:r w:rsidRPr="005B11C6">
              <w:t>5.5–16.7</w:t>
            </w:r>
          </w:p>
        </w:tc>
      </w:tr>
    </w:tbl>
    <w:p w14:paraId="01CC9A80" w14:textId="77777777" w:rsidR="000E0216" w:rsidRPr="000E0216" w:rsidRDefault="000E0216" w:rsidP="000E0216">
      <w:pPr>
        <w:pStyle w:val="CDITable-FirstFootnote"/>
        <w:rPr>
          <w:lang w:val="en-GB"/>
        </w:rPr>
      </w:pPr>
      <w:r w:rsidRPr="000E0216">
        <w:rPr>
          <w:lang w:val="en-GB"/>
        </w:rPr>
        <w:t>a</w:t>
      </w:r>
      <w:r w:rsidRPr="000E0216">
        <w:rPr>
          <w:lang w:val="en-GB"/>
        </w:rPr>
        <w:tab/>
        <w:t>N: number of isolates tested; n: number of resistant isolates; R%: proportion of resistant isolates; 95% CI: 95% confidence interval.</w:t>
      </w:r>
    </w:p>
    <w:p w14:paraId="743A808D" w14:textId="659B8CA5" w:rsidR="000E0216" w:rsidRDefault="000E0216" w:rsidP="000E0216">
      <w:pPr>
        <w:pStyle w:val="CDITable-Footnote"/>
        <w:rPr>
          <w:lang w:val="en-GB"/>
        </w:rPr>
      </w:pPr>
      <w:r w:rsidRPr="000E0216">
        <w:rPr>
          <w:lang w:val="en-GB"/>
        </w:rPr>
        <w:t>b</w:t>
      </w:r>
      <w:r w:rsidRPr="000E0216">
        <w:rPr>
          <w:lang w:val="en-GB"/>
        </w:rPr>
        <w:tab/>
        <w:t>ACT: Australian Capital Territory; NSW: New South Wales; NT: Northern Territory; Qld: Queensland; SA: South Australia; Tas: Tasmania; Vic: Victoria; WA: Western Australia.</w:t>
      </w:r>
    </w:p>
    <w:p w14:paraId="327BF743" w14:textId="77777777" w:rsidR="000E0216" w:rsidRDefault="000E0216" w:rsidP="00AC46DC">
      <w:pPr>
        <w:rPr>
          <w:lang w:val="en-GB"/>
        </w:rPr>
        <w:sectPr w:rsidR="000E0216" w:rsidSect="002648D3">
          <w:footnotePr>
            <w:numFmt w:val="lowerRoman"/>
          </w:footnotePr>
          <w:pgSz w:w="16840" w:h="11907" w:orient="landscape" w:code="9"/>
          <w:pgMar w:top="851" w:right="1134" w:bottom="851" w:left="1134" w:header="709" w:footer="567" w:gutter="0"/>
          <w:cols w:space="708"/>
          <w:docGrid w:linePitch="360"/>
        </w:sectPr>
      </w:pPr>
    </w:p>
    <w:p w14:paraId="62081BAC" w14:textId="7399B4B7" w:rsidR="000449DD" w:rsidRDefault="000E0216" w:rsidP="000E0216">
      <w:pPr>
        <w:pStyle w:val="Heading2-nospacebefore"/>
      </w:pPr>
      <w:bookmarkStart w:id="32" w:name="_Toc213228005"/>
      <w:r w:rsidRPr="000E0216">
        <w:lastRenderedPageBreak/>
        <w:t>WHO Priority Pathogens</w:t>
      </w:r>
      <w:bookmarkEnd w:id="32"/>
    </w:p>
    <w:p w14:paraId="1C3AD1C0" w14:textId="77777777" w:rsidR="000E0216" w:rsidRDefault="000E0216" w:rsidP="000E0216">
      <w:pPr>
        <w:rPr>
          <w:lang w:val="en-GB"/>
        </w:rPr>
        <w:sectPr w:rsidR="000E0216" w:rsidSect="001E3ECB">
          <w:footnotePr>
            <w:numFmt w:val="lowerRoman"/>
          </w:footnotePr>
          <w:pgSz w:w="11907" w:h="16840" w:code="9"/>
          <w:pgMar w:top="1134" w:right="1134" w:bottom="1134" w:left="1134" w:header="709" w:footer="567" w:gutter="0"/>
          <w:cols w:space="708"/>
          <w:docGrid w:linePitch="360"/>
        </w:sectPr>
      </w:pPr>
      <w:r w:rsidRPr="000E0216">
        <w:rPr>
          <w:lang w:val="en-GB"/>
        </w:rPr>
        <w:t xml:space="preserve">From the WHO Bacterial Priority Pathogens List (BPPL), two of the three ‘critical priority’ group pathogens were detected in children and adolescents over the two years: 14.6% of Enterobacterales were third-generation cephalosporin resistant and 1.2% of Enterobacterales were carbapenem resistant. No carbapenem-resistant </w:t>
      </w:r>
      <w:r w:rsidRPr="000E0216">
        <w:rPr>
          <w:i/>
          <w:iCs/>
          <w:lang w:val="en-GB"/>
        </w:rPr>
        <w:t>A. baumanii</w:t>
      </w:r>
      <w:r w:rsidRPr="000E0216">
        <w:rPr>
          <w:lang w:val="en-GB"/>
        </w:rPr>
        <w:t xml:space="preserve"> were reported. Five of the six ‘high priority’ group resistant isolates surveyed by AGAR were detected (Table 6). </w:t>
      </w:r>
    </w:p>
    <w:p w14:paraId="54872A87" w14:textId="0C627EA9" w:rsidR="000E0216" w:rsidRPr="000E0216" w:rsidRDefault="000E0216" w:rsidP="000E0216">
      <w:pPr>
        <w:pStyle w:val="CDITable-Title"/>
        <w:spacing w:before="0"/>
        <w:rPr>
          <w:lang w:val="en-GB"/>
        </w:rPr>
      </w:pPr>
      <w:bookmarkStart w:id="33" w:name="_Toc213076658"/>
      <w:r w:rsidRPr="000E0216">
        <w:rPr>
          <w:lang w:val="en-GB"/>
        </w:rPr>
        <w:lastRenderedPageBreak/>
        <w:t>Table 6: Number and proportion of World Health Organization (WHO) priority pathogens and resistance profiles detected in patients aged &lt;</w:t>
      </w:r>
      <w:r>
        <w:rPr>
          <w:lang w:val="en-GB"/>
        </w:rPr>
        <w:t> </w:t>
      </w:r>
      <w:r w:rsidRPr="000E0216">
        <w:rPr>
          <w:lang w:val="en-GB"/>
        </w:rPr>
        <w:t>18 years within the Australian Group on Antimicrobial Resistance (AGAR) surveillance outcomes programs, January 2022 – December</w:t>
      </w:r>
      <w:r>
        <w:rPr>
          <w:lang w:val="en-GB"/>
        </w:rPr>
        <w:t> </w:t>
      </w:r>
      <w:r w:rsidRPr="000E0216">
        <w:rPr>
          <w:lang w:val="en-GB"/>
        </w:rPr>
        <w:t>2023</w:t>
      </w:r>
      <w:bookmarkEnd w:id="33"/>
    </w:p>
    <w:tbl>
      <w:tblPr>
        <w:tblW w:w="0" w:type="auto"/>
        <w:tblLayout w:type="fixed"/>
        <w:tblCellMar>
          <w:left w:w="0" w:type="dxa"/>
          <w:right w:w="0" w:type="dxa"/>
        </w:tblCellMar>
        <w:tblLook w:val="0000" w:firstRow="0" w:lastRow="0" w:firstColumn="0" w:lastColumn="0" w:noHBand="0" w:noVBand="0"/>
        <w:tblCaption w:val="Table 6: Number and proportion of World Health Organization (WHO) priority pathogens and resistance profiles detected in patients aged &lt; 18 years within the Australian Group on Antimicrobial Resistance (AGAR) surveillance outcomes programs, January 2022 – December 2023"/>
        <w:tblDescription w:val="Table 6 shows the number and proportion of World Health Organization (WHO) priority pathogens detected in children and adolescents &lt;18 years within the AGAR surveillance outcomes programs, January 2022 – December 2023. The organisms are split into critical, high, and medium priority. "/>
      </w:tblPr>
      <w:tblGrid>
        <w:gridCol w:w="1531"/>
        <w:gridCol w:w="3231"/>
        <w:gridCol w:w="2551"/>
        <w:gridCol w:w="1758"/>
        <w:gridCol w:w="1757"/>
        <w:gridCol w:w="1758"/>
        <w:gridCol w:w="1757"/>
      </w:tblGrid>
      <w:tr w:rsidR="00B0791F" w:rsidRPr="00B0791F" w14:paraId="5EE317AE" w14:textId="77777777" w:rsidTr="00B0791F">
        <w:trPr>
          <w:trHeight w:val="60"/>
          <w:tblHeader/>
        </w:trPr>
        <w:tc>
          <w:tcPr>
            <w:tcW w:w="1531" w:type="dxa"/>
            <w:vMerge w:val="restart"/>
            <w:shd w:val="clear" w:color="auto" w:fill="1E4496" w:themeFill="text2"/>
            <w:tcMar>
              <w:top w:w="113" w:type="dxa"/>
              <w:left w:w="113" w:type="dxa"/>
              <w:bottom w:w="113" w:type="dxa"/>
              <w:right w:w="113" w:type="dxa"/>
            </w:tcMar>
            <w:vAlign w:val="bottom"/>
          </w:tcPr>
          <w:p w14:paraId="13E64824" w14:textId="77777777" w:rsidR="00B0791F" w:rsidRPr="00B0791F" w:rsidRDefault="00B0791F" w:rsidP="00B0791F">
            <w:pPr>
              <w:pStyle w:val="CDITable-HeaderRowLeft"/>
            </w:pPr>
            <w:r w:rsidRPr="00B0791F">
              <w:t>Priority</w:t>
            </w:r>
          </w:p>
        </w:tc>
        <w:tc>
          <w:tcPr>
            <w:tcW w:w="3231" w:type="dxa"/>
            <w:vMerge w:val="restart"/>
            <w:shd w:val="clear" w:color="auto" w:fill="1E4496" w:themeFill="text2"/>
            <w:tcMar>
              <w:top w:w="113" w:type="dxa"/>
              <w:left w:w="113" w:type="dxa"/>
              <w:bottom w:w="113" w:type="dxa"/>
              <w:right w:w="113" w:type="dxa"/>
            </w:tcMar>
            <w:vAlign w:val="bottom"/>
          </w:tcPr>
          <w:p w14:paraId="046A3E16" w14:textId="77777777" w:rsidR="00B0791F" w:rsidRPr="00B0791F" w:rsidRDefault="00B0791F" w:rsidP="00B0791F">
            <w:pPr>
              <w:pStyle w:val="CDITable-HeaderRowLeft"/>
            </w:pPr>
            <w:r w:rsidRPr="00B0791F">
              <w:t>Organism</w:t>
            </w:r>
          </w:p>
        </w:tc>
        <w:tc>
          <w:tcPr>
            <w:tcW w:w="2551" w:type="dxa"/>
            <w:vMerge w:val="restart"/>
            <w:shd w:val="clear" w:color="auto" w:fill="1E4496" w:themeFill="text2"/>
            <w:tcMar>
              <w:top w:w="113" w:type="dxa"/>
              <w:left w:w="113" w:type="dxa"/>
              <w:bottom w:w="113" w:type="dxa"/>
              <w:right w:w="113" w:type="dxa"/>
            </w:tcMar>
            <w:vAlign w:val="bottom"/>
          </w:tcPr>
          <w:p w14:paraId="7ADC7D86" w14:textId="77777777" w:rsidR="00B0791F" w:rsidRPr="00B0791F" w:rsidRDefault="00B0791F" w:rsidP="00B0791F">
            <w:pPr>
              <w:pStyle w:val="CDITable-HeaderRowLeft"/>
            </w:pPr>
            <w:r w:rsidRPr="00B0791F">
              <w:t xml:space="preserve">Resistance </w:t>
            </w:r>
            <w:proofErr w:type="spellStart"/>
            <w:r w:rsidRPr="00B0791F">
              <w:t>to</w:t>
            </w:r>
            <w:r w:rsidRPr="00B0791F">
              <w:rPr>
                <w:vertAlign w:val="superscript"/>
              </w:rPr>
              <w:t>b</w:t>
            </w:r>
            <w:proofErr w:type="spellEnd"/>
          </w:p>
        </w:tc>
        <w:tc>
          <w:tcPr>
            <w:tcW w:w="7030" w:type="dxa"/>
            <w:gridSpan w:val="4"/>
            <w:tcBorders>
              <w:bottom w:val="single" w:sz="6" w:space="0" w:color="FFFFFF" w:themeColor="background1"/>
            </w:tcBorders>
            <w:shd w:val="clear" w:color="auto" w:fill="1E4496" w:themeFill="text2"/>
            <w:tcMar>
              <w:top w:w="113" w:type="dxa"/>
              <w:left w:w="113" w:type="dxa"/>
              <w:bottom w:w="113" w:type="dxa"/>
              <w:right w:w="113" w:type="dxa"/>
            </w:tcMar>
            <w:vAlign w:val="bottom"/>
          </w:tcPr>
          <w:p w14:paraId="77C86BF9" w14:textId="77777777" w:rsidR="00B0791F" w:rsidRPr="00B0791F" w:rsidRDefault="00B0791F" w:rsidP="00B0791F">
            <w:pPr>
              <w:pStyle w:val="CDITable-HeaderRowCentre"/>
            </w:pPr>
            <w:r w:rsidRPr="00B0791F">
              <w:t xml:space="preserve">Resistance </w:t>
            </w:r>
            <w:proofErr w:type="spellStart"/>
            <w:r w:rsidRPr="00B0791F">
              <w:t>characteristics</w:t>
            </w:r>
            <w:r w:rsidRPr="00B0791F">
              <w:rPr>
                <w:vertAlign w:val="superscript"/>
              </w:rPr>
              <w:t>a</w:t>
            </w:r>
            <w:proofErr w:type="spellEnd"/>
          </w:p>
        </w:tc>
      </w:tr>
      <w:tr w:rsidR="00B0791F" w:rsidRPr="00B0791F" w14:paraId="2AD3C354" w14:textId="77777777" w:rsidTr="00B0791F">
        <w:trPr>
          <w:trHeight w:val="60"/>
          <w:tblHeader/>
        </w:trPr>
        <w:tc>
          <w:tcPr>
            <w:tcW w:w="1531" w:type="dxa"/>
            <w:vMerge/>
            <w:shd w:val="clear" w:color="auto" w:fill="1E4496" w:themeFill="text2"/>
          </w:tcPr>
          <w:p w14:paraId="49106186" w14:textId="77777777" w:rsidR="00B0791F" w:rsidRPr="00B0791F" w:rsidRDefault="00B0791F" w:rsidP="00B0791F"/>
        </w:tc>
        <w:tc>
          <w:tcPr>
            <w:tcW w:w="3231" w:type="dxa"/>
            <w:vMerge/>
            <w:shd w:val="clear" w:color="auto" w:fill="1E4496" w:themeFill="text2"/>
          </w:tcPr>
          <w:p w14:paraId="147A406D" w14:textId="77777777" w:rsidR="00B0791F" w:rsidRPr="00B0791F" w:rsidRDefault="00B0791F" w:rsidP="00B0791F"/>
        </w:tc>
        <w:tc>
          <w:tcPr>
            <w:tcW w:w="2551" w:type="dxa"/>
            <w:vMerge/>
            <w:shd w:val="clear" w:color="auto" w:fill="1E4496" w:themeFill="text2"/>
          </w:tcPr>
          <w:p w14:paraId="31065AE8" w14:textId="77777777" w:rsidR="00B0791F" w:rsidRPr="00B0791F" w:rsidRDefault="00B0791F" w:rsidP="00B0791F"/>
        </w:tc>
        <w:tc>
          <w:tcPr>
            <w:tcW w:w="1758" w:type="dxa"/>
            <w:tcBorders>
              <w:top w:val="single" w:sz="6" w:space="0" w:color="FFFFFF" w:themeColor="background1"/>
            </w:tcBorders>
            <w:shd w:val="clear" w:color="auto" w:fill="1E4496" w:themeFill="text2"/>
            <w:tcMar>
              <w:top w:w="113" w:type="dxa"/>
              <w:left w:w="113" w:type="dxa"/>
              <w:bottom w:w="113" w:type="dxa"/>
              <w:right w:w="113" w:type="dxa"/>
            </w:tcMar>
            <w:vAlign w:val="bottom"/>
          </w:tcPr>
          <w:p w14:paraId="5BDA50CB" w14:textId="77777777" w:rsidR="00B0791F" w:rsidRPr="00B0791F" w:rsidRDefault="00B0791F" w:rsidP="00B0791F">
            <w:pPr>
              <w:pStyle w:val="CDITable-HeaderRowCentre"/>
            </w:pPr>
            <w:r w:rsidRPr="00B0791F">
              <w:t>N</w:t>
            </w:r>
          </w:p>
        </w:tc>
        <w:tc>
          <w:tcPr>
            <w:tcW w:w="1757" w:type="dxa"/>
            <w:tcBorders>
              <w:top w:val="single" w:sz="6" w:space="0" w:color="FFFFFF" w:themeColor="background1"/>
            </w:tcBorders>
            <w:shd w:val="clear" w:color="auto" w:fill="1E4496" w:themeFill="text2"/>
            <w:tcMar>
              <w:top w:w="113" w:type="dxa"/>
              <w:left w:w="113" w:type="dxa"/>
              <w:bottom w:w="113" w:type="dxa"/>
              <w:right w:w="113" w:type="dxa"/>
            </w:tcMar>
            <w:vAlign w:val="bottom"/>
          </w:tcPr>
          <w:p w14:paraId="615A65C5" w14:textId="77777777" w:rsidR="00B0791F" w:rsidRPr="00B0791F" w:rsidRDefault="00B0791F" w:rsidP="00B0791F">
            <w:pPr>
              <w:pStyle w:val="CDITable-HeaderRowCentre"/>
            </w:pPr>
            <w:r w:rsidRPr="00B0791F">
              <w:t>n</w:t>
            </w:r>
          </w:p>
        </w:tc>
        <w:tc>
          <w:tcPr>
            <w:tcW w:w="1758" w:type="dxa"/>
            <w:tcBorders>
              <w:top w:val="single" w:sz="6" w:space="0" w:color="FFFFFF" w:themeColor="background1"/>
            </w:tcBorders>
            <w:shd w:val="clear" w:color="auto" w:fill="1E4496" w:themeFill="text2"/>
            <w:tcMar>
              <w:top w:w="113" w:type="dxa"/>
              <w:left w:w="113" w:type="dxa"/>
              <w:bottom w:w="113" w:type="dxa"/>
              <w:right w:w="113" w:type="dxa"/>
            </w:tcMar>
            <w:vAlign w:val="bottom"/>
          </w:tcPr>
          <w:p w14:paraId="63FF113A" w14:textId="77777777" w:rsidR="00B0791F" w:rsidRPr="00B0791F" w:rsidRDefault="00B0791F" w:rsidP="00B0791F">
            <w:pPr>
              <w:pStyle w:val="CDITable-HeaderRowCentre"/>
            </w:pPr>
            <w:r w:rsidRPr="00B0791F">
              <w:t>R%</w:t>
            </w:r>
          </w:p>
        </w:tc>
        <w:tc>
          <w:tcPr>
            <w:tcW w:w="1757" w:type="dxa"/>
            <w:tcBorders>
              <w:top w:val="single" w:sz="6" w:space="0" w:color="FFFFFF" w:themeColor="background1"/>
            </w:tcBorders>
            <w:shd w:val="clear" w:color="auto" w:fill="1E4496" w:themeFill="text2"/>
            <w:tcMar>
              <w:top w:w="113" w:type="dxa"/>
              <w:left w:w="113" w:type="dxa"/>
              <w:bottom w:w="113" w:type="dxa"/>
              <w:right w:w="113" w:type="dxa"/>
            </w:tcMar>
            <w:vAlign w:val="bottom"/>
          </w:tcPr>
          <w:p w14:paraId="4B44D608" w14:textId="77777777" w:rsidR="00B0791F" w:rsidRPr="00B0791F" w:rsidRDefault="00B0791F" w:rsidP="00B0791F">
            <w:pPr>
              <w:pStyle w:val="CDITable-HeaderRowCentre"/>
            </w:pPr>
            <w:r w:rsidRPr="00B0791F">
              <w:t>95% CI</w:t>
            </w:r>
          </w:p>
        </w:tc>
      </w:tr>
      <w:tr w:rsidR="00B0791F" w:rsidRPr="00B0791F" w14:paraId="41C89090" w14:textId="77777777" w:rsidTr="00B0791F">
        <w:trPr>
          <w:trHeight w:val="60"/>
        </w:trPr>
        <w:tc>
          <w:tcPr>
            <w:tcW w:w="1531" w:type="dxa"/>
            <w:vMerge w:val="restart"/>
            <w:tcBorders>
              <w:bottom w:val="single" w:sz="6" w:space="0" w:color="1E4496" w:themeColor="text2"/>
            </w:tcBorders>
            <w:shd w:val="clear" w:color="auto" w:fill="DCF4FC" w:themeFill="background2" w:themeFillTint="33"/>
            <w:tcMar>
              <w:top w:w="113" w:type="dxa"/>
              <w:left w:w="113" w:type="dxa"/>
              <w:bottom w:w="113" w:type="dxa"/>
              <w:right w:w="113" w:type="dxa"/>
            </w:tcMar>
            <w:vAlign w:val="center"/>
          </w:tcPr>
          <w:p w14:paraId="18F93FDD" w14:textId="77777777" w:rsidR="00B0791F" w:rsidRPr="00B0791F" w:rsidRDefault="00B0791F" w:rsidP="00B0791F">
            <w:pPr>
              <w:pStyle w:val="CDITable-RowLeft"/>
            </w:pPr>
            <w:r w:rsidRPr="00B0791F">
              <w:t>Critical</w:t>
            </w:r>
          </w:p>
        </w:tc>
        <w:tc>
          <w:tcPr>
            <w:tcW w:w="3231" w:type="dxa"/>
            <w:tcBorders>
              <w:bottom w:val="single" w:sz="6" w:space="0" w:color="1E4496" w:themeColor="text2"/>
            </w:tcBorders>
            <w:tcMar>
              <w:top w:w="113" w:type="dxa"/>
              <w:left w:w="113" w:type="dxa"/>
              <w:bottom w:w="113" w:type="dxa"/>
              <w:right w:w="113" w:type="dxa"/>
            </w:tcMar>
            <w:vAlign w:val="center"/>
          </w:tcPr>
          <w:p w14:paraId="2D13CCAA" w14:textId="77777777" w:rsidR="00B0791F" w:rsidRPr="00B0791F" w:rsidRDefault="00B0791F" w:rsidP="00B0791F">
            <w:pPr>
              <w:pStyle w:val="CDITable-RowLeft"/>
            </w:pPr>
            <w:r w:rsidRPr="00B0791F">
              <w:t>Enterobacterales</w:t>
            </w:r>
          </w:p>
        </w:tc>
        <w:tc>
          <w:tcPr>
            <w:tcW w:w="2551" w:type="dxa"/>
            <w:tcBorders>
              <w:bottom w:val="single" w:sz="6" w:space="0" w:color="1E4496" w:themeColor="text2"/>
            </w:tcBorders>
            <w:tcMar>
              <w:top w:w="113" w:type="dxa"/>
              <w:left w:w="113" w:type="dxa"/>
              <w:bottom w:w="113" w:type="dxa"/>
              <w:right w:w="113" w:type="dxa"/>
            </w:tcMar>
            <w:vAlign w:val="center"/>
          </w:tcPr>
          <w:p w14:paraId="6B9F6541" w14:textId="77777777" w:rsidR="00B0791F" w:rsidRPr="00B0791F" w:rsidRDefault="00B0791F" w:rsidP="00B0791F">
            <w:pPr>
              <w:pStyle w:val="CDITable-RowLeft"/>
            </w:pPr>
            <w:r w:rsidRPr="00B0791F">
              <w:t>Carbapenems</w:t>
            </w:r>
          </w:p>
        </w:tc>
        <w:tc>
          <w:tcPr>
            <w:tcW w:w="1758" w:type="dxa"/>
            <w:tcBorders>
              <w:bottom w:val="single" w:sz="6" w:space="0" w:color="1E4496" w:themeColor="text2"/>
            </w:tcBorders>
            <w:tcMar>
              <w:top w:w="113" w:type="dxa"/>
              <w:left w:w="113" w:type="dxa"/>
              <w:bottom w:w="113" w:type="dxa"/>
              <w:right w:w="113" w:type="dxa"/>
            </w:tcMar>
            <w:vAlign w:val="center"/>
          </w:tcPr>
          <w:p w14:paraId="5CFC6419" w14:textId="77777777" w:rsidR="00B0791F" w:rsidRPr="00B0791F" w:rsidRDefault="00B0791F" w:rsidP="00B0791F">
            <w:pPr>
              <w:pStyle w:val="CDITable-RowCentre"/>
            </w:pPr>
            <w:r w:rsidRPr="00B0791F">
              <w:t>932</w:t>
            </w:r>
          </w:p>
        </w:tc>
        <w:tc>
          <w:tcPr>
            <w:tcW w:w="1757" w:type="dxa"/>
            <w:tcBorders>
              <w:bottom w:val="single" w:sz="6" w:space="0" w:color="1E4496" w:themeColor="text2"/>
            </w:tcBorders>
            <w:tcMar>
              <w:top w:w="113" w:type="dxa"/>
              <w:left w:w="113" w:type="dxa"/>
              <w:bottom w:w="113" w:type="dxa"/>
              <w:right w:w="113" w:type="dxa"/>
            </w:tcMar>
            <w:vAlign w:val="center"/>
          </w:tcPr>
          <w:p w14:paraId="59990C17" w14:textId="77777777" w:rsidR="00B0791F" w:rsidRPr="00B0791F" w:rsidRDefault="00B0791F" w:rsidP="00B0791F">
            <w:pPr>
              <w:pStyle w:val="CDITable-RowCentre"/>
            </w:pPr>
            <w:r w:rsidRPr="00B0791F">
              <w:t>11</w:t>
            </w:r>
          </w:p>
        </w:tc>
        <w:tc>
          <w:tcPr>
            <w:tcW w:w="1758" w:type="dxa"/>
            <w:tcBorders>
              <w:bottom w:val="single" w:sz="6" w:space="0" w:color="1E4496" w:themeColor="text2"/>
            </w:tcBorders>
            <w:tcMar>
              <w:top w:w="113" w:type="dxa"/>
              <w:left w:w="113" w:type="dxa"/>
              <w:bottom w:w="113" w:type="dxa"/>
              <w:right w:w="113" w:type="dxa"/>
            </w:tcMar>
            <w:vAlign w:val="center"/>
          </w:tcPr>
          <w:p w14:paraId="5F71B59B" w14:textId="77777777" w:rsidR="00B0791F" w:rsidRPr="00B0791F" w:rsidRDefault="00B0791F" w:rsidP="00B0791F">
            <w:pPr>
              <w:pStyle w:val="CDITable-RowCentre"/>
            </w:pPr>
            <w:r w:rsidRPr="00B0791F">
              <w:t>1.2</w:t>
            </w:r>
          </w:p>
        </w:tc>
        <w:tc>
          <w:tcPr>
            <w:tcW w:w="1757" w:type="dxa"/>
            <w:tcBorders>
              <w:bottom w:val="single" w:sz="6" w:space="0" w:color="1E4496" w:themeColor="text2"/>
            </w:tcBorders>
            <w:tcMar>
              <w:top w:w="113" w:type="dxa"/>
              <w:left w:w="113" w:type="dxa"/>
              <w:bottom w:w="113" w:type="dxa"/>
              <w:right w:w="113" w:type="dxa"/>
            </w:tcMar>
            <w:vAlign w:val="center"/>
          </w:tcPr>
          <w:p w14:paraId="2850E0B0" w14:textId="77777777" w:rsidR="00B0791F" w:rsidRPr="00B0791F" w:rsidRDefault="00B0791F" w:rsidP="00B0791F">
            <w:pPr>
              <w:pStyle w:val="CDITable-RowCentre"/>
            </w:pPr>
            <w:r w:rsidRPr="00B0791F">
              <w:t>0.5–1.9</w:t>
            </w:r>
          </w:p>
        </w:tc>
      </w:tr>
      <w:tr w:rsidR="00B0791F" w:rsidRPr="00B0791F" w14:paraId="697FF984" w14:textId="77777777" w:rsidTr="00B0791F">
        <w:trPr>
          <w:trHeight w:val="60"/>
        </w:trPr>
        <w:tc>
          <w:tcPr>
            <w:tcW w:w="1531" w:type="dxa"/>
            <w:vMerge/>
            <w:tcBorders>
              <w:bottom w:val="single" w:sz="6" w:space="0" w:color="1E4496" w:themeColor="text2"/>
            </w:tcBorders>
            <w:shd w:val="clear" w:color="auto" w:fill="DCF4FC" w:themeFill="background2" w:themeFillTint="33"/>
          </w:tcPr>
          <w:p w14:paraId="465EA8DF" w14:textId="77777777" w:rsidR="00B0791F" w:rsidRPr="00B0791F" w:rsidRDefault="00B0791F" w:rsidP="00B0791F">
            <w:pPr>
              <w:pStyle w:val="CDITable-RowLeft"/>
            </w:pPr>
          </w:p>
        </w:tc>
        <w:tc>
          <w:tcPr>
            <w:tcW w:w="323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8815492" w14:textId="77777777" w:rsidR="00B0791F" w:rsidRPr="00B0791F" w:rsidRDefault="00B0791F" w:rsidP="00B0791F">
            <w:pPr>
              <w:pStyle w:val="CDITable-RowLeft"/>
            </w:pPr>
            <w:r w:rsidRPr="00B0791F">
              <w:t xml:space="preserve">Enterobacterales </w:t>
            </w:r>
          </w:p>
        </w:tc>
        <w:tc>
          <w:tcPr>
            <w:tcW w:w="255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4962B8C" w14:textId="77777777" w:rsidR="00B0791F" w:rsidRPr="00B0791F" w:rsidRDefault="00B0791F" w:rsidP="00B0791F">
            <w:pPr>
              <w:pStyle w:val="CDITable-RowLeft"/>
            </w:pPr>
            <w:r w:rsidRPr="00B0791F">
              <w:t>3GC</w:t>
            </w:r>
          </w:p>
        </w:tc>
        <w:tc>
          <w:tcPr>
            <w:tcW w:w="175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01170C7" w14:textId="77777777" w:rsidR="00B0791F" w:rsidRPr="00B0791F" w:rsidRDefault="00B0791F" w:rsidP="00B0791F">
            <w:pPr>
              <w:pStyle w:val="CDITable-RowCentre"/>
            </w:pPr>
            <w:r w:rsidRPr="00B0791F">
              <w:t>932</w:t>
            </w:r>
          </w:p>
        </w:tc>
        <w:tc>
          <w:tcPr>
            <w:tcW w:w="175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82050BE" w14:textId="77777777" w:rsidR="00B0791F" w:rsidRPr="00B0791F" w:rsidRDefault="00B0791F" w:rsidP="00B0791F">
            <w:pPr>
              <w:pStyle w:val="CDITable-RowCentre"/>
            </w:pPr>
            <w:r w:rsidRPr="00B0791F">
              <w:t>130</w:t>
            </w:r>
          </w:p>
        </w:tc>
        <w:tc>
          <w:tcPr>
            <w:tcW w:w="175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AC669AE" w14:textId="77777777" w:rsidR="00B0791F" w:rsidRPr="00B0791F" w:rsidRDefault="00B0791F" w:rsidP="00B0791F">
            <w:pPr>
              <w:pStyle w:val="CDITable-RowCentre"/>
            </w:pPr>
            <w:r w:rsidRPr="00B0791F">
              <w:t>13.9</w:t>
            </w:r>
          </w:p>
        </w:tc>
        <w:tc>
          <w:tcPr>
            <w:tcW w:w="175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8D11E30" w14:textId="77777777" w:rsidR="00B0791F" w:rsidRPr="00B0791F" w:rsidRDefault="00B0791F" w:rsidP="00B0791F">
            <w:pPr>
              <w:pStyle w:val="CDITable-RowCentre"/>
            </w:pPr>
            <w:r w:rsidRPr="00B0791F">
              <w:t>11.7–16.2</w:t>
            </w:r>
          </w:p>
        </w:tc>
      </w:tr>
      <w:tr w:rsidR="00B0791F" w:rsidRPr="00B0791F" w14:paraId="7CAE0B25" w14:textId="77777777" w:rsidTr="00B0791F">
        <w:trPr>
          <w:trHeight w:val="60"/>
        </w:trPr>
        <w:tc>
          <w:tcPr>
            <w:tcW w:w="1531" w:type="dxa"/>
            <w:vMerge/>
            <w:tcBorders>
              <w:bottom w:val="single" w:sz="6" w:space="0" w:color="1E4496" w:themeColor="text2"/>
            </w:tcBorders>
            <w:shd w:val="clear" w:color="auto" w:fill="DCF4FC" w:themeFill="background2" w:themeFillTint="33"/>
          </w:tcPr>
          <w:p w14:paraId="6D94343D" w14:textId="77777777" w:rsidR="00B0791F" w:rsidRPr="00B0791F" w:rsidRDefault="00B0791F" w:rsidP="00B0791F">
            <w:pPr>
              <w:pStyle w:val="CDITable-RowLeft"/>
            </w:pPr>
          </w:p>
        </w:tc>
        <w:tc>
          <w:tcPr>
            <w:tcW w:w="323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9A4E897" w14:textId="77777777" w:rsidR="00B0791F" w:rsidRPr="00B0791F" w:rsidRDefault="00B0791F" w:rsidP="00B0791F">
            <w:pPr>
              <w:pStyle w:val="CDITable-RowLeft"/>
            </w:pPr>
            <w:r w:rsidRPr="00B0791F">
              <w:rPr>
                <w:i/>
                <w:iCs/>
              </w:rPr>
              <w:t>A. baumannii</w:t>
            </w:r>
            <w:r w:rsidRPr="00B0791F">
              <w:t xml:space="preserve"> complex</w:t>
            </w:r>
          </w:p>
        </w:tc>
        <w:tc>
          <w:tcPr>
            <w:tcW w:w="255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67BE05D" w14:textId="77777777" w:rsidR="00B0791F" w:rsidRPr="00B0791F" w:rsidRDefault="00B0791F" w:rsidP="00B0791F">
            <w:pPr>
              <w:pStyle w:val="CDITable-RowLeft"/>
            </w:pPr>
            <w:r w:rsidRPr="00B0791F">
              <w:t>Carbapenems</w:t>
            </w:r>
          </w:p>
        </w:tc>
        <w:tc>
          <w:tcPr>
            <w:tcW w:w="175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95B4520" w14:textId="77777777" w:rsidR="00B0791F" w:rsidRPr="00B0791F" w:rsidRDefault="00B0791F" w:rsidP="00B0791F">
            <w:pPr>
              <w:pStyle w:val="CDITable-RowCentre"/>
            </w:pPr>
            <w:r w:rsidRPr="00B0791F">
              <w:t>15</w:t>
            </w:r>
          </w:p>
        </w:tc>
        <w:tc>
          <w:tcPr>
            <w:tcW w:w="175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D77A17D" w14:textId="77777777" w:rsidR="00B0791F" w:rsidRPr="00B0791F" w:rsidRDefault="00B0791F" w:rsidP="00B0791F">
            <w:pPr>
              <w:pStyle w:val="CDITable-RowCentre"/>
            </w:pPr>
            <w:r w:rsidRPr="00B0791F">
              <w:t>0</w:t>
            </w:r>
          </w:p>
        </w:tc>
        <w:tc>
          <w:tcPr>
            <w:tcW w:w="175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17AE91D" w14:textId="77777777" w:rsidR="00B0791F" w:rsidRPr="00B0791F" w:rsidRDefault="00B0791F" w:rsidP="00B0791F">
            <w:pPr>
              <w:pStyle w:val="CDITable-RowCentre"/>
            </w:pPr>
            <w:r w:rsidRPr="00B0791F">
              <w:t>0</w:t>
            </w:r>
          </w:p>
        </w:tc>
        <w:tc>
          <w:tcPr>
            <w:tcW w:w="175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34DD9EC" w14:textId="77777777" w:rsidR="00B0791F" w:rsidRPr="00B0791F" w:rsidRDefault="00B0791F" w:rsidP="00B0791F">
            <w:pPr>
              <w:pStyle w:val="CDITable-RowCentre"/>
            </w:pPr>
            <w:r w:rsidRPr="00B0791F">
              <w:t>—</w:t>
            </w:r>
          </w:p>
        </w:tc>
      </w:tr>
      <w:tr w:rsidR="00B0791F" w:rsidRPr="00B0791F" w14:paraId="0A6766DF" w14:textId="77777777" w:rsidTr="00B0791F">
        <w:trPr>
          <w:trHeight w:val="60"/>
        </w:trPr>
        <w:tc>
          <w:tcPr>
            <w:tcW w:w="1531" w:type="dxa"/>
            <w:vMerge w:val="restart"/>
            <w:tcBorders>
              <w:top w:val="single" w:sz="6" w:space="0" w:color="1E4496" w:themeColor="text2"/>
              <w:bottom w:val="single" w:sz="6" w:space="0" w:color="1E4496" w:themeColor="text2"/>
            </w:tcBorders>
            <w:shd w:val="clear" w:color="auto" w:fill="DCF4FC" w:themeFill="background2" w:themeFillTint="33"/>
            <w:tcMar>
              <w:top w:w="113" w:type="dxa"/>
              <w:left w:w="113" w:type="dxa"/>
              <w:bottom w:w="113" w:type="dxa"/>
              <w:right w:w="113" w:type="dxa"/>
            </w:tcMar>
            <w:vAlign w:val="center"/>
          </w:tcPr>
          <w:p w14:paraId="3BEE9788" w14:textId="77777777" w:rsidR="00B0791F" w:rsidRPr="00B0791F" w:rsidRDefault="00B0791F" w:rsidP="00B0791F">
            <w:pPr>
              <w:pStyle w:val="CDITable-RowLeft"/>
            </w:pPr>
            <w:r w:rsidRPr="00B0791F">
              <w:t>High</w:t>
            </w:r>
          </w:p>
        </w:tc>
        <w:tc>
          <w:tcPr>
            <w:tcW w:w="323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B381772" w14:textId="77777777" w:rsidR="00B0791F" w:rsidRPr="00B0791F" w:rsidRDefault="00B0791F" w:rsidP="00B0791F">
            <w:pPr>
              <w:pStyle w:val="CDITable-RowLeft"/>
            </w:pPr>
            <w:r w:rsidRPr="00B0791F">
              <w:rPr>
                <w:i/>
                <w:iCs/>
              </w:rPr>
              <w:t>Salmonella</w:t>
            </w:r>
            <w:r w:rsidRPr="00B0791F">
              <w:t xml:space="preserve"> Typhi</w:t>
            </w:r>
          </w:p>
        </w:tc>
        <w:tc>
          <w:tcPr>
            <w:tcW w:w="255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1E83E7D" w14:textId="77777777" w:rsidR="00B0791F" w:rsidRPr="00B0791F" w:rsidRDefault="00B0791F" w:rsidP="00B0791F">
            <w:pPr>
              <w:pStyle w:val="CDITable-RowLeft"/>
            </w:pPr>
            <w:r w:rsidRPr="00B0791F">
              <w:t>Fluroquinolones</w:t>
            </w:r>
          </w:p>
        </w:tc>
        <w:tc>
          <w:tcPr>
            <w:tcW w:w="175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5B22598" w14:textId="77777777" w:rsidR="00B0791F" w:rsidRPr="00B0791F" w:rsidRDefault="00B0791F" w:rsidP="00B0791F">
            <w:pPr>
              <w:pStyle w:val="CDITable-RowCentre"/>
            </w:pPr>
            <w:r w:rsidRPr="00B0791F">
              <w:t>50</w:t>
            </w:r>
          </w:p>
        </w:tc>
        <w:tc>
          <w:tcPr>
            <w:tcW w:w="175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E58E614" w14:textId="77777777" w:rsidR="00B0791F" w:rsidRPr="00B0791F" w:rsidRDefault="00B0791F" w:rsidP="00B0791F">
            <w:pPr>
              <w:pStyle w:val="CDITable-RowCentre"/>
            </w:pPr>
            <w:r w:rsidRPr="00B0791F">
              <w:t>47</w:t>
            </w:r>
          </w:p>
        </w:tc>
        <w:tc>
          <w:tcPr>
            <w:tcW w:w="175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37F4709" w14:textId="77777777" w:rsidR="00B0791F" w:rsidRPr="00B0791F" w:rsidRDefault="00B0791F" w:rsidP="00B0791F">
            <w:pPr>
              <w:pStyle w:val="CDITable-RowCentre"/>
            </w:pPr>
            <w:r w:rsidRPr="00B0791F">
              <w:t>94.0</w:t>
            </w:r>
          </w:p>
        </w:tc>
        <w:tc>
          <w:tcPr>
            <w:tcW w:w="175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4D4FFD5" w14:textId="77777777" w:rsidR="00B0791F" w:rsidRPr="00B0791F" w:rsidRDefault="00B0791F" w:rsidP="00B0791F">
            <w:pPr>
              <w:pStyle w:val="CDITable-RowCentre"/>
            </w:pPr>
            <w:r w:rsidRPr="00B0791F">
              <w:t>87.4–100</w:t>
            </w:r>
          </w:p>
        </w:tc>
      </w:tr>
      <w:tr w:rsidR="00B0791F" w:rsidRPr="00B0791F" w14:paraId="13341606" w14:textId="77777777" w:rsidTr="00B0791F">
        <w:trPr>
          <w:trHeight w:val="60"/>
        </w:trPr>
        <w:tc>
          <w:tcPr>
            <w:tcW w:w="1531" w:type="dxa"/>
            <w:vMerge/>
            <w:tcBorders>
              <w:bottom w:val="single" w:sz="6" w:space="0" w:color="1E4496" w:themeColor="text2"/>
            </w:tcBorders>
            <w:shd w:val="clear" w:color="auto" w:fill="DCF4FC" w:themeFill="background2" w:themeFillTint="33"/>
          </w:tcPr>
          <w:p w14:paraId="3BE24058" w14:textId="77777777" w:rsidR="00B0791F" w:rsidRPr="00B0791F" w:rsidRDefault="00B0791F" w:rsidP="00B0791F"/>
        </w:tc>
        <w:tc>
          <w:tcPr>
            <w:tcW w:w="323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1CB46CF" w14:textId="77777777" w:rsidR="00B0791F" w:rsidRPr="00B0791F" w:rsidRDefault="00B0791F" w:rsidP="00B0791F">
            <w:pPr>
              <w:pStyle w:val="CDITable-RowLeft"/>
            </w:pPr>
            <w:r w:rsidRPr="00B0791F">
              <w:rPr>
                <w:i/>
                <w:iCs/>
              </w:rPr>
              <w:t>Shigella</w:t>
            </w:r>
            <w:r w:rsidRPr="00B0791F">
              <w:t xml:space="preserve"> spp.</w:t>
            </w:r>
          </w:p>
        </w:tc>
        <w:tc>
          <w:tcPr>
            <w:tcW w:w="255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E68610C" w14:textId="77777777" w:rsidR="00B0791F" w:rsidRPr="00B0791F" w:rsidRDefault="00B0791F" w:rsidP="00B0791F">
            <w:pPr>
              <w:pStyle w:val="CDITable-RowLeft"/>
            </w:pPr>
            <w:r w:rsidRPr="00B0791F">
              <w:t>Fluroquinolones</w:t>
            </w:r>
          </w:p>
        </w:tc>
        <w:tc>
          <w:tcPr>
            <w:tcW w:w="175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55FC7ED" w14:textId="77777777" w:rsidR="00B0791F" w:rsidRPr="00B0791F" w:rsidRDefault="00B0791F" w:rsidP="00B0791F">
            <w:pPr>
              <w:pStyle w:val="CDITable-RowCentre"/>
            </w:pPr>
            <w:r w:rsidRPr="00B0791F">
              <w:t>1</w:t>
            </w:r>
          </w:p>
        </w:tc>
        <w:tc>
          <w:tcPr>
            <w:tcW w:w="175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6859C46" w14:textId="77777777" w:rsidR="00B0791F" w:rsidRPr="00B0791F" w:rsidRDefault="00B0791F" w:rsidP="00B0791F">
            <w:pPr>
              <w:pStyle w:val="CDITable-RowCentre"/>
            </w:pPr>
            <w:r w:rsidRPr="00B0791F">
              <w:t>0</w:t>
            </w:r>
          </w:p>
        </w:tc>
        <w:tc>
          <w:tcPr>
            <w:tcW w:w="175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EC906B7" w14:textId="77777777" w:rsidR="00B0791F" w:rsidRPr="00B0791F" w:rsidRDefault="00B0791F" w:rsidP="00B0791F">
            <w:pPr>
              <w:pStyle w:val="CDITable-RowCentre"/>
            </w:pPr>
            <w:r w:rsidRPr="00B0791F">
              <w:t>0</w:t>
            </w:r>
          </w:p>
        </w:tc>
        <w:tc>
          <w:tcPr>
            <w:tcW w:w="175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11379C9" w14:textId="77777777" w:rsidR="00B0791F" w:rsidRPr="00B0791F" w:rsidRDefault="00B0791F" w:rsidP="00B0791F">
            <w:pPr>
              <w:pStyle w:val="CDITable-RowCentre"/>
            </w:pPr>
            <w:r w:rsidRPr="00B0791F">
              <w:t>—</w:t>
            </w:r>
          </w:p>
        </w:tc>
      </w:tr>
      <w:tr w:rsidR="00B0791F" w:rsidRPr="00B0791F" w14:paraId="75778C15" w14:textId="77777777" w:rsidTr="00B0791F">
        <w:trPr>
          <w:trHeight w:val="60"/>
        </w:trPr>
        <w:tc>
          <w:tcPr>
            <w:tcW w:w="1531" w:type="dxa"/>
            <w:vMerge/>
            <w:tcBorders>
              <w:bottom w:val="single" w:sz="6" w:space="0" w:color="1E4496" w:themeColor="text2"/>
            </w:tcBorders>
            <w:shd w:val="clear" w:color="auto" w:fill="DCF4FC" w:themeFill="background2" w:themeFillTint="33"/>
          </w:tcPr>
          <w:p w14:paraId="503D9D59" w14:textId="77777777" w:rsidR="00B0791F" w:rsidRPr="00B0791F" w:rsidRDefault="00B0791F" w:rsidP="00B0791F"/>
        </w:tc>
        <w:tc>
          <w:tcPr>
            <w:tcW w:w="323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6CA4FDF" w14:textId="77777777" w:rsidR="00B0791F" w:rsidRPr="00B0791F" w:rsidRDefault="00B0791F" w:rsidP="00B0791F">
            <w:pPr>
              <w:pStyle w:val="CDITable-RowLeft"/>
              <w:rPr>
                <w:i/>
                <w:iCs/>
              </w:rPr>
            </w:pPr>
            <w:r w:rsidRPr="00B0791F">
              <w:rPr>
                <w:i/>
                <w:iCs/>
              </w:rPr>
              <w:t>E. faecium</w:t>
            </w:r>
          </w:p>
        </w:tc>
        <w:tc>
          <w:tcPr>
            <w:tcW w:w="255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A671778" w14:textId="77777777" w:rsidR="00B0791F" w:rsidRPr="00B0791F" w:rsidRDefault="00B0791F" w:rsidP="00B0791F">
            <w:pPr>
              <w:pStyle w:val="CDITable-RowLeft"/>
            </w:pPr>
            <w:r w:rsidRPr="00B0791F">
              <w:t>Vancomycin</w:t>
            </w:r>
          </w:p>
        </w:tc>
        <w:tc>
          <w:tcPr>
            <w:tcW w:w="175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FFC414A" w14:textId="77777777" w:rsidR="00B0791F" w:rsidRPr="00B0791F" w:rsidRDefault="00B0791F" w:rsidP="00B0791F">
            <w:pPr>
              <w:pStyle w:val="CDITable-RowCentre"/>
            </w:pPr>
            <w:r w:rsidRPr="00B0791F">
              <w:t>32</w:t>
            </w:r>
          </w:p>
        </w:tc>
        <w:tc>
          <w:tcPr>
            <w:tcW w:w="175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B61A6E5" w14:textId="77777777" w:rsidR="00B0791F" w:rsidRPr="00B0791F" w:rsidRDefault="00B0791F" w:rsidP="00B0791F">
            <w:pPr>
              <w:pStyle w:val="CDITable-RowCentre"/>
            </w:pPr>
            <w:r w:rsidRPr="00B0791F">
              <w:t>13</w:t>
            </w:r>
          </w:p>
        </w:tc>
        <w:tc>
          <w:tcPr>
            <w:tcW w:w="175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C4C986E" w14:textId="77777777" w:rsidR="00B0791F" w:rsidRPr="00B0791F" w:rsidRDefault="00B0791F" w:rsidP="00B0791F">
            <w:pPr>
              <w:pStyle w:val="CDITable-RowCentre"/>
            </w:pPr>
            <w:r w:rsidRPr="00B0791F">
              <w:t>40.6</w:t>
            </w:r>
          </w:p>
        </w:tc>
        <w:tc>
          <w:tcPr>
            <w:tcW w:w="175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180638A" w14:textId="77777777" w:rsidR="00B0791F" w:rsidRPr="00B0791F" w:rsidRDefault="00B0791F" w:rsidP="00B0791F">
            <w:pPr>
              <w:pStyle w:val="CDITable-RowCentre"/>
            </w:pPr>
            <w:r w:rsidRPr="00B0791F">
              <w:t>23.7–59.4</w:t>
            </w:r>
          </w:p>
        </w:tc>
      </w:tr>
      <w:tr w:rsidR="00B0791F" w:rsidRPr="00B0791F" w14:paraId="0F7A8DCD" w14:textId="77777777" w:rsidTr="00B0791F">
        <w:trPr>
          <w:trHeight w:val="60"/>
        </w:trPr>
        <w:tc>
          <w:tcPr>
            <w:tcW w:w="1531" w:type="dxa"/>
            <w:vMerge/>
            <w:tcBorders>
              <w:bottom w:val="single" w:sz="6" w:space="0" w:color="1E4496" w:themeColor="text2"/>
            </w:tcBorders>
            <w:shd w:val="clear" w:color="auto" w:fill="DCF4FC" w:themeFill="background2" w:themeFillTint="33"/>
          </w:tcPr>
          <w:p w14:paraId="0645F180" w14:textId="77777777" w:rsidR="00B0791F" w:rsidRPr="00B0791F" w:rsidRDefault="00B0791F" w:rsidP="00B0791F"/>
        </w:tc>
        <w:tc>
          <w:tcPr>
            <w:tcW w:w="323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44E7652" w14:textId="77777777" w:rsidR="00B0791F" w:rsidRPr="00B0791F" w:rsidRDefault="00B0791F" w:rsidP="00B0791F">
            <w:pPr>
              <w:pStyle w:val="CDITable-RowLeft"/>
              <w:rPr>
                <w:i/>
                <w:iCs/>
              </w:rPr>
            </w:pPr>
            <w:r w:rsidRPr="00B0791F">
              <w:rPr>
                <w:i/>
                <w:iCs/>
              </w:rPr>
              <w:t>P. aeruginosa</w:t>
            </w:r>
          </w:p>
        </w:tc>
        <w:tc>
          <w:tcPr>
            <w:tcW w:w="255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11DF1D2" w14:textId="77777777" w:rsidR="00B0791F" w:rsidRPr="00B0791F" w:rsidRDefault="00B0791F" w:rsidP="00B0791F">
            <w:pPr>
              <w:pStyle w:val="CDITable-RowLeft"/>
            </w:pPr>
            <w:r w:rsidRPr="00B0791F">
              <w:t>Carbapenems</w:t>
            </w:r>
          </w:p>
        </w:tc>
        <w:tc>
          <w:tcPr>
            <w:tcW w:w="175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4D2CA73" w14:textId="77777777" w:rsidR="00B0791F" w:rsidRPr="00B0791F" w:rsidRDefault="00B0791F" w:rsidP="00B0791F">
            <w:pPr>
              <w:pStyle w:val="CDITable-RowCentre"/>
            </w:pPr>
            <w:r w:rsidRPr="00B0791F">
              <w:t>68</w:t>
            </w:r>
          </w:p>
        </w:tc>
        <w:tc>
          <w:tcPr>
            <w:tcW w:w="175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5AD6A5A" w14:textId="77777777" w:rsidR="00B0791F" w:rsidRPr="00B0791F" w:rsidRDefault="00B0791F" w:rsidP="00B0791F">
            <w:pPr>
              <w:pStyle w:val="CDITable-RowCentre"/>
            </w:pPr>
            <w:r w:rsidRPr="00B0791F">
              <w:t>1</w:t>
            </w:r>
          </w:p>
        </w:tc>
        <w:tc>
          <w:tcPr>
            <w:tcW w:w="175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8D5F0F6" w14:textId="77777777" w:rsidR="00B0791F" w:rsidRPr="00B0791F" w:rsidRDefault="00B0791F" w:rsidP="00B0791F">
            <w:pPr>
              <w:pStyle w:val="CDITable-RowCentre"/>
            </w:pPr>
            <w:r w:rsidRPr="00B0791F">
              <w:t>1.5</w:t>
            </w:r>
          </w:p>
        </w:tc>
        <w:tc>
          <w:tcPr>
            <w:tcW w:w="175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289E748" w14:textId="77777777" w:rsidR="00B0791F" w:rsidRPr="00B0791F" w:rsidRDefault="00B0791F" w:rsidP="00B0791F">
            <w:pPr>
              <w:pStyle w:val="CDITable-RowCentre"/>
            </w:pPr>
            <w:r w:rsidRPr="00B0791F">
              <w:t>0–4.3</w:t>
            </w:r>
          </w:p>
        </w:tc>
      </w:tr>
      <w:tr w:rsidR="00B0791F" w:rsidRPr="00B0791F" w14:paraId="5B4B2AD3" w14:textId="77777777" w:rsidTr="00B0791F">
        <w:trPr>
          <w:trHeight w:val="60"/>
        </w:trPr>
        <w:tc>
          <w:tcPr>
            <w:tcW w:w="1531" w:type="dxa"/>
            <w:vMerge/>
            <w:tcBorders>
              <w:bottom w:val="single" w:sz="6" w:space="0" w:color="1E4496" w:themeColor="text2"/>
            </w:tcBorders>
            <w:shd w:val="clear" w:color="auto" w:fill="DCF4FC" w:themeFill="background2" w:themeFillTint="33"/>
          </w:tcPr>
          <w:p w14:paraId="6B9EA060" w14:textId="77777777" w:rsidR="00B0791F" w:rsidRPr="00B0791F" w:rsidRDefault="00B0791F" w:rsidP="00B0791F"/>
        </w:tc>
        <w:tc>
          <w:tcPr>
            <w:tcW w:w="323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F7B77D7" w14:textId="77777777" w:rsidR="00B0791F" w:rsidRPr="00B0791F" w:rsidRDefault="00B0791F" w:rsidP="00B0791F">
            <w:pPr>
              <w:pStyle w:val="CDITable-RowLeft"/>
            </w:pPr>
            <w:r w:rsidRPr="00B0791F">
              <w:t xml:space="preserve">Non-typhoidal </w:t>
            </w:r>
            <w:r w:rsidRPr="00B0791F">
              <w:rPr>
                <w:i/>
                <w:iCs/>
              </w:rPr>
              <w:t>Salmonella</w:t>
            </w:r>
          </w:p>
        </w:tc>
        <w:tc>
          <w:tcPr>
            <w:tcW w:w="255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EB13B68" w14:textId="77777777" w:rsidR="00B0791F" w:rsidRPr="00B0791F" w:rsidRDefault="00B0791F" w:rsidP="00B0791F">
            <w:pPr>
              <w:pStyle w:val="CDITable-RowLeft"/>
            </w:pPr>
            <w:r w:rsidRPr="00B0791F">
              <w:t>Fluroquinolones</w:t>
            </w:r>
          </w:p>
        </w:tc>
        <w:tc>
          <w:tcPr>
            <w:tcW w:w="175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0410FD8" w14:textId="77777777" w:rsidR="00B0791F" w:rsidRPr="00B0791F" w:rsidRDefault="00B0791F" w:rsidP="00B0791F">
            <w:pPr>
              <w:pStyle w:val="CDITable-RowCentre"/>
            </w:pPr>
            <w:r w:rsidRPr="00B0791F">
              <w:t>85</w:t>
            </w:r>
          </w:p>
        </w:tc>
        <w:tc>
          <w:tcPr>
            <w:tcW w:w="175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B09D678" w14:textId="77777777" w:rsidR="00B0791F" w:rsidRPr="00B0791F" w:rsidRDefault="00B0791F" w:rsidP="00B0791F">
            <w:pPr>
              <w:pStyle w:val="CDITable-RowCentre"/>
            </w:pPr>
            <w:r w:rsidRPr="00B0791F">
              <w:t>8</w:t>
            </w:r>
          </w:p>
        </w:tc>
        <w:tc>
          <w:tcPr>
            <w:tcW w:w="175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3757CF5" w14:textId="77777777" w:rsidR="00B0791F" w:rsidRPr="00B0791F" w:rsidRDefault="00B0791F" w:rsidP="00B0791F">
            <w:pPr>
              <w:pStyle w:val="CDITable-RowCentre"/>
            </w:pPr>
            <w:r w:rsidRPr="00B0791F">
              <w:t>9.4</w:t>
            </w:r>
          </w:p>
        </w:tc>
        <w:tc>
          <w:tcPr>
            <w:tcW w:w="175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D4781CC" w14:textId="77777777" w:rsidR="00B0791F" w:rsidRPr="00B0791F" w:rsidRDefault="00B0791F" w:rsidP="00B0791F">
            <w:pPr>
              <w:pStyle w:val="CDITable-RowCentre"/>
            </w:pPr>
            <w:r w:rsidRPr="00B0791F">
              <w:t>3.2–15.6</w:t>
            </w:r>
          </w:p>
        </w:tc>
      </w:tr>
      <w:tr w:rsidR="00B0791F" w:rsidRPr="00B0791F" w14:paraId="2DF1156E" w14:textId="77777777" w:rsidTr="00B0791F">
        <w:trPr>
          <w:trHeight w:val="60"/>
        </w:trPr>
        <w:tc>
          <w:tcPr>
            <w:tcW w:w="1531" w:type="dxa"/>
            <w:vMerge/>
            <w:tcBorders>
              <w:bottom w:val="single" w:sz="6" w:space="0" w:color="1E4496" w:themeColor="text2"/>
            </w:tcBorders>
            <w:shd w:val="clear" w:color="auto" w:fill="DCF4FC" w:themeFill="background2" w:themeFillTint="33"/>
          </w:tcPr>
          <w:p w14:paraId="6DB6D7F0" w14:textId="77777777" w:rsidR="00B0791F" w:rsidRPr="00B0791F" w:rsidRDefault="00B0791F" w:rsidP="00B0791F"/>
        </w:tc>
        <w:tc>
          <w:tcPr>
            <w:tcW w:w="323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A86F29F" w14:textId="77777777" w:rsidR="00B0791F" w:rsidRPr="00B0791F" w:rsidRDefault="00B0791F" w:rsidP="00B0791F">
            <w:pPr>
              <w:pStyle w:val="CDITable-RowLeft"/>
              <w:rPr>
                <w:i/>
                <w:iCs/>
              </w:rPr>
            </w:pPr>
            <w:r w:rsidRPr="00B0791F">
              <w:rPr>
                <w:i/>
                <w:iCs/>
              </w:rPr>
              <w:t>S. aureus</w:t>
            </w:r>
          </w:p>
        </w:tc>
        <w:tc>
          <w:tcPr>
            <w:tcW w:w="255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6168EE9" w14:textId="77777777" w:rsidR="00B0791F" w:rsidRPr="00B0791F" w:rsidRDefault="00B0791F" w:rsidP="00B0791F">
            <w:pPr>
              <w:pStyle w:val="CDITable-RowLeft"/>
            </w:pPr>
            <w:r w:rsidRPr="00B0791F">
              <w:t>Methicillin</w:t>
            </w:r>
          </w:p>
        </w:tc>
        <w:tc>
          <w:tcPr>
            <w:tcW w:w="175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A754F9E" w14:textId="77777777" w:rsidR="00B0791F" w:rsidRPr="00B0791F" w:rsidRDefault="00B0791F" w:rsidP="00B0791F">
            <w:pPr>
              <w:pStyle w:val="CDITable-RowCentre"/>
            </w:pPr>
            <w:r w:rsidRPr="00B0791F">
              <w:t>601</w:t>
            </w:r>
          </w:p>
        </w:tc>
        <w:tc>
          <w:tcPr>
            <w:tcW w:w="175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17C4B79" w14:textId="77777777" w:rsidR="00B0791F" w:rsidRPr="00B0791F" w:rsidRDefault="00B0791F" w:rsidP="00B0791F">
            <w:pPr>
              <w:pStyle w:val="CDITable-RowCentre"/>
            </w:pPr>
            <w:r w:rsidRPr="00B0791F">
              <w:t>82</w:t>
            </w:r>
          </w:p>
        </w:tc>
        <w:tc>
          <w:tcPr>
            <w:tcW w:w="175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8682A17" w14:textId="77777777" w:rsidR="00B0791F" w:rsidRPr="00B0791F" w:rsidRDefault="00B0791F" w:rsidP="00B0791F">
            <w:pPr>
              <w:pStyle w:val="CDITable-RowCentre"/>
            </w:pPr>
            <w:r w:rsidRPr="00B0791F">
              <w:t>13.6</w:t>
            </w:r>
          </w:p>
        </w:tc>
        <w:tc>
          <w:tcPr>
            <w:tcW w:w="175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F2372A0" w14:textId="77777777" w:rsidR="00B0791F" w:rsidRPr="00B0791F" w:rsidRDefault="00B0791F" w:rsidP="00B0791F">
            <w:pPr>
              <w:pStyle w:val="CDITable-RowCentre"/>
            </w:pPr>
            <w:r w:rsidRPr="00B0791F">
              <w:t>10.9–16.4</w:t>
            </w:r>
          </w:p>
        </w:tc>
      </w:tr>
      <w:tr w:rsidR="00B0791F" w:rsidRPr="00B0791F" w14:paraId="56988423" w14:textId="77777777" w:rsidTr="00B0791F">
        <w:trPr>
          <w:trHeight w:val="60"/>
        </w:trPr>
        <w:tc>
          <w:tcPr>
            <w:tcW w:w="1531" w:type="dxa"/>
            <w:vMerge/>
            <w:tcBorders>
              <w:bottom w:val="single" w:sz="6" w:space="0" w:color="1E4496" w:themeColor="text2"/>
            </w:tcBorders>
            <w:shd w:val="clear" w:color="auto" w:fill="DCF4FC" w:themeFill="background2" w:themeFillTint="33"/>
          </w:tcPr>
          <w:p w14:paraId="14CFE45F" w14:textId="77777777" w:rsidR="00B0791F" w:rsidRPr="00B0791F" w:rsidRDefault="00B0791F" w:rsidP="00B0791F"/>
        </w:tc>
        <w:tc>
          <w:tcPr>
            <w:tcW w:w="323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678C7F6" w14:textId="77777777" w:rsidR="00B0791F" w:rsidRPr="00B0791F" w:rsidRDefault="00B0791F" w:rsidP="00B0791F">
            <w:pPr>
              <w:pStyle w:val="CDITable-RowLeft"/>
            </w:pPr>
            <w:r w:rsidRPr="00B0791F">
              <w:rPr>
                <w:i/>
                <w:iCs/>
              </w:rPr>
              <w:t xml:space="preserve">Neisseria </w:t>
            </w:r>
            <w:proofErr w:type="spellStart"/>
            <w:r w:rsidRPr="00B0791F">
              <w:rPr>
                <w:i/>
                <w:iCs/>
              </w:rPr>
              <w:t>gonorrhoeae</w:t>
            </w:r>
            <w:r w:rsidRPr="00B0791F">
              <w:rPr>
                <w:vertAlign w:val="superscript"/>
              </w:rPr>
              <w:t>c</w:t>
            </w:r>
            <w:proofErr w:type="spellEnd"/>
          </w:p>
        </w:tc>
        <w:tc>
          <w:tcPr>
            <w:tcW w:w="255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29BEBBA" w14:textId="77777777" w:rsidR="00B0791F" w:rsidRPr="00B0791F" w:rsidRDefault="00B0791F" w:rsidP="00B0791F">
            <w:pPr>
              <w:pStyle w:val="CDITable-RowLeft"/>
            </w:pPr>
            <w:r w:rsidRPr="00B0791F">
              <w:t>3GC and/or fluroquinolones</w:t>
            </w:r>
          </w:p>
        </w:tc>
        <w:tc>
          <w:tcPr>
            <w:tcW w:w="175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2AF23BA" w14:textId="77777777" w:rsidR="00B0791F" w:rsidRPr="00B0791F" w:rsidRDefault="00B0791F" w:rsidP="00B0791F">
            <w:pPr>
              <w:pStyle w:val="CDITable-RowCentre"/>
            </w:pPr>
            <w:r w:rsidRPr="00B0791F">
              <w:t>—</w:t>
            </w:r>
          </w:p>
        </w:tc>
        <w:tc>
          <w:tcPr>
            <w:tcW w:w="175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3FA5249" w14:textId="77777777" w:rsidR="00B0791F" w:rsidRPr="00B0791F" w:rsidRDefault="00B0791F" w:rsidP="00B0791F">
            <w:pPr>
              <w:pStyle w:val="CDITable-RowCentre"/>
            </w:pPr>
            <w:r w:rsidRPr="00B0791F">
              <w:t>—</w:t>
            </w:r>
          </w:p>
        </w:tc>
        <w:tc>
          <w:tcPr>
            <w:tcW w:w="175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533B1CF" w14:textId="77777777" w:rsidR="00B0791F" w:rsidRPr="00B0791F" w:rsidRDefault="00B0791F" w:rsidP="00B0791F">
            <w:pPr>
              <w:pStyle w:val="CDITable-RowCentre"/>
            </w:pPr>
            <w:r w:rsidRPr="00B0791F">
              <w:t>—</w:t>
            </w:r>
          </w:p>
        </w:tc>
        <w:tc>
          <w:tcPr>
            <w:tcW w:w="175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B390C44" w14:textId="77777777" w:rsidR="00B0791F" w:rsidRPr="00B0791F" w:rsidRDefault="00B0791F" w:rsidP="00B0791F">
            <w:pPr>
              <w:pStyle w:val="CDITable-RowCentre"/>
            </w:pPr>
            <w:r w:rsidRPr="00B0791F">
              <w:t>—</w:t>
            </w:r>
          </w:p>
        </w:tc>
      </w:tr>
      <w:tr w:rsidR="00B0791F" w:rsidRPr="00B0791F" w14:paraId="233175E8" w14:textId="77777777" w:rsidTr="00B0791F">
        <w:trPr>
          <w:trHeight w:val="60"/>
        </w:trPr>
        <w:tc>
          <w:tcPr>
            <w:tcW w:w="1531" w:type="dxa"/>
            <w:vMerge w:val="restart"/>
            <w:tcBorders>
              <w:top w:val="single" w:sz="6" w:space="0" w:color="1E4496" w:themeColor="text2"/>
              <w:bottom w:val="single" w:sz="6" w:space="0" w:color="1E4496" w:themeColor="text2"/>
            </w:tcBorders>
            <w:shd w:val="clear" w:color="auto" w:fill="DCF4FC" w:themeFill="background2" w:themeFillTint="33"/>
            <w:tcMar>
              <w:top w:w="113" w:type="dxa"/>
              <w:left w:w="113" w:type="dxa"/>
              <w:bottom w:w="113" w:type="dxa"/>
              <w:right w:w="113" w:type="dxa"/>
            </w:tcMar>
            <w:vAlign w:val="center"/>
          </w:tcPr>
          <w:p w14:paraId="3412213C" w14:textId="77777777" w:rsidR="00B0791F" w:rsidRPr="00B0791F" w:rsidRDefault="00B0791F" w:rsidP="00B0791F">
            <w:pPr>
              <w:pStyle w:val="CDITable-RowLeft"/>
            </w:pPr>
            <w:r w:rsidRPr="00B0791F">
              <w:t>Medium</w:t>
            </w:r>
          </w:p>
        </w:tc>
        <w:tc>
          <w:tcPr>
            <w:tcW w:w="323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691D191" w14:textId="77777777" w:rsidR="00B0791F" w:rsidRPr="00B0791F" w:rsidRDefault="00B0791F" w:rsidP="00B0791F">
            <w:pPr>
              <w:pStyle w:val="CDITable-RowLeft"/>
            </w:pPr>
            <w:r w:rsidRPr="00B0791F">
              <w:t xml:space="preserve">Group A </w:t>
            </w:r>
            <w:proofErr w:type="spellStart"/>
            <w:r w:rsidRPr="00B0791F">
              <w:rPr>
                <w:i/>
                <w:iCs/>
              </w:rPr>
              <w:t>Streptococcus</w:t>
            </w:r>
            <w:r w:rsidRPr="00B0791F">
              <w:rPr>
                <w:vertAlign w:val="superscript"/>
              </w:rPr>
              <w:t>c</w:t>
            </w:r>
            <w:proofErr w:type="spellEnd"/>
          </w:p>
        </w:tc>
        <w:tc>
          <w:tcPr>
            <w:tcW w:w="255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3216831" w14:textId="77777777" w:rsidR="00B0791F" w:rsidRPr="00B0791F" w:rsidRDefault="00B0791F" w:rsidP="00B0791F">
            <w:pPr>
              <w:pStyle w:val="CDITable-RowLeft"/>
            </w:pPr>
            <w:r w:rsidRPr="00B0791F">
              <w:t>Macrolides</w:t>
            </w:r>
          </w:p>
        </w:tc>
        <w:tc>
          <w:tcPr>
            <w:tcW w:w="175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3A6E257" w14:textId="77777777" w:rsidR="00B0791F" w:rsidRPr="00B0791F" w:rsidRDefault="00B0791F" w:rsidP="00B0791F">
            <w:pPr>
              <w:pStyle w:val="CDITable-RowCentre"/>
            </w:pPr>
            <w:r w:rsidRPr="00B0791F">
              <w:t>—</w:t>
            </w:r>
          </w:p>
        </w:tc>
        <w:tc>
          <w:tcPr>
            <w:tcW w:w="175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445E279" w14:textId="77777777" w:rsidR="00B0791F" w:rsidRPr="00B0791F" w:rsidRDefault="00B0791F" w:rsidP="00B0791F">
            <w:pPr>
              <w:pStyle w:val="CDITable-RowCentre"/>
            </w:pPr>
            <w:r w:rsidRPr="00B0791F">
              <w:t>—</w:t>
            </w:r>
          </w:p>
        </w:tc>
        <w:tc>
          <w:tcPr>
            <w:tcW w:w="175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80DFEA4" w14:textId="77777777" w:rsidR="00B0791F" w:rsidRPr="00B0791F" w:rsidRDefault="00B0791F" w:rsidP="00B0791F">
            <w:pPr>
              <w:pStyle w:val="CDITable-RowCentre"/>
            </w:pPr>
            <w:r w:rsidRPr="00B0791F">
              <w:t>—</w:t>
            </w:r>
          </w:p>
        </w:tc>
        <w:tc>
          <w:tcPr>
            <w:tcW w:w="175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BEECCBE" w14:textId="77777777" w:rsidR="00B0791F" w:rsidRPr="00B0791F" w:rsidRDefault="00B0791F" w:rsidP="00B0791F">
            <w:pPr>
              <w:pStyle w:val="CDITable-RowCentre"/>
            </w:pPr>
            <w:r w:rsidRPr="00B0791F">
              <w:t>—</w:t>
            </w:r>
          </w:p>
        </w:tc>
      </w:tr>
      <w:tr w:rsidR="00B0791F" w:rsidRPr="00B0791F" w14:paraId="12DF0526" w14:textId="77777777" w:rsidTr="00B0791F">
        <w:trPr>
          <w:trHeight w:val="60"/>
        </w:trPr>
        <w:tc>
          <w:tcPr>
            <w:tcW w:w="1531" w:type="dxa"/>
            <w:vMerge/>
            <w:tcBorders>
              <w:bottom w:val="single" w:sz="6" w:space="0" w:color="1E4496" w:themeColor="text2"/>
            </w:tcBorders>
            <w:shd w:val="clear" w:color="auto" w:fill="DCF4FC" w:themeFill="background2" w:themeFillTint="33"/>
          </w:tcPr>
          <w:p w14:paraId="3B8519CD" w14:textId="77777777" w:rsidR="00B0791F" w:rsidRPr="00B0791F" w:rsidRDefault="00B0791F" w:rsidP="00B0791F">
            <w:pPr>
              <w:pStyle w:val="CDITable-RowLeft"/>
            </w:pPr>
          </w:p>
        </w:tc>
        <w:tc>
          <w:tcPr>
            <w:tcW w:w="323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C3BA31D" w14:textId="77777777" w:rsidR="00B0791F" w:rsidRPr="00B0791F" w:rsidRDefault="00B0791F" w:rsidP="00B0791F">
            <w:pPr>
              <w:pStyle w:val="CDITable-RowLeft"/>
            </w:pPr>
            <w:r w:rsidRPr="00B0791F">
              <w:rPr>
                <w:i/>
                <w:iCs/>
              </w:rPr>
              <w:t xml:space="preserve">Streptococcus </w:t>
            </w:r>
            <w:proofErr w:type="spellStart"/>
            <w:r w:rsidRPr="00B0791F">
              <w:rPr>
                <w:i/>
                <w:iCs/>
              </w:rPr>
              <w:t>pneumoniae</w:t>
            </w:r>
            <w:r w:rsidRPr="00B0791F">
              <w:rPr>
                <w:vertAlign w:val="superscript"/>
              </w:rPr>
              <w:t>c</w:t>
            </w:r>
            <w:proofErr w:type="spellEnd"/>
          </w:p>
        </w:tc>
        <w:tc>
          <w:tcPr>
            <w:tcW w:w="255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6ED80FB" w14:textId="77777777" w:rsidR="00B0791F" w:rsidRPr="00B0791F" w:rsidRDefault="00B0791F" w:rsidP="00B0791F">
            <w:pPr>
              <w:pStyle w:val="CDITable-RowLeft"/>
            </w:pPr>
            <w:r w:rsidRPr="00B0791F">
              <w:t>Macrolides</w:t>
            </w:r>
          </w:p>
        </w:tc>
        <w:tc>
          <w:tcPr>
            <w:tcW w:w="175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079D0F6" w14:textId="77777777" w:rsidR="00B0791F" w:rsidRPr="00B0791F" w:rsidRDefault="00B0791F" w:rsidP="00B0791F">
            <w:pPr>
              <w:pStyle w:val="CDITable-RowCentre"/>
            </w:pPr>
            <w:r w:rsidRPr="00B0791F">
              <w:t xml:space="preserve">— </w:t>
            </w:r>
          </w:p>
        </w:tc>
        <w:tc>
          <w:tcPr>
            <w:tcW w:w="175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C52348C" w14:textId="77777777" w:rsidR="00B0791F" w:rsidRPr="00B0791F" w:rsidRDefault="00B0791F" w:rsidP="00B0791F">
            <w:pPr>
              <w:pStyle w:val="CDITable-RowCentre"/>
            </w:pPr>
            <w:r w:rsidRPr="00B0791F">
              <w:t xml:space="preserve">— </w:t>
            </w:r>
          </w:p>
        </w:tc>
        <w:tc>
          <w:tcPr>
            <w:tcW w:w="175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8B6CE22" w14:textId="77777777" w:rsidR="00B0791F" w:rsidRPr="00B0791F" w:rsidRDefault="00B0791F" w:rsidP="00B0791F">
            <w:pPr>
              <w:pStyle w:val="CDITable-RowCentre"/>
            </w:pPr>
            <w:r w:rsidRPr="00B0791F">
              <w:t xml:space="preserve">— </w:t>
            </w:r>
          </w:p>
        </w:tc>
        <w:tc>
          <w:tcPr>
            <w:tcW w:w="175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80E97B6" w14:textId="77777777" w:rsidR="00B0791F" w:rsidRPr="00B0791F" w:rsidRDefault="00B0791F" w:rsidP="00B0791F">
            <w:pPr>
              <w:pStyle w:val="CDITable-RowCentre"/>
            </w:pPr>
            <w:r w:rsidRPr="00B0791F">
              <w:t xml:space="preserve">— </w:t>
            </w:r>
          </w:p>
        </w:tc>
      </w:tr>
      <w:tr w:rsidR="00B0791F" w:rsidRPr="00B0791F" w14:paraId="4ED8B537" w14:textId="77777777" w:rsidTr="00B0791F">
        <w:trPr>
          <w:trHeight w:val="60"/>
        </w:trPr>
        <w:tc>
          <w:tcPr>
            <w:tcW w:w="1531" w:type="dxa"/>
            <w:vMerge/>
            <w:tcBorders>
              <w:bottom w:val="single" w:sz="6" w:space="0" w:color="1E4496" w:themeColor="text2"/>
            </w:tcBorders>
            <w:shd w:val="clear" w:color="auto" w:fill="DCF4FC" w:themeFill="background2" w:themeFillTint="33"/>
          </w:tcPr>
          <w:p w14:paraId="10D54917" w14:textId="77777777" w:rsidR="00B0791F" w:rsidRPr="00B0791F" w:rsidRDefault="00B0791F" w:rsidP="00B0791F">
            <w:pPr>
              <w:pStyle w:val="CDITable-RowLeft"/>
            </w:pPr>
          </w:p>
        </w:tc>
        <w:tc>
          <w:tcPr>
            <w:tcW w:w="323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161B95E" w14:textId="77777777" w:rsidR="00B0791F" w:rsidRPr="00B0791F" w:rsidRDefault="00B0791F" w:rsidP="00B0791F">
            <w:pPr>
              <w:pStyle w:val="CDITable-RowLeft"/>
            </w:pPr>
            <w:r w:rsidRPr="00B0791F">
              <w:rPr>
                <w:i/>
                <w:iCs/>
              </w:rPr>
              <w:t xml:space="preserve">Haemophilus </w:t>
            </w:r>
            <w:proofErr w:type="spellStart"/>
            <w:r w:rsidRPr="00B0791F">
              <w:rPr>
                <w:i/>
                <w:iCs/>
              </w:rPr>
              <w:t>influenzae</w:t>
            </w:r>
            <w:r w:rsidRPr="00B0791F">
              <w:rPr>
                <w:vertAlign w:val="superscript"/>
              </w:rPr>
              <w:t>c</w:t>
            </w:r>
            <w:proofErr w:type="spellEnd"/>
          </w:p>
        </w:tc>
        <w:tc>
          <w:tcPr>
            <w:tcW w:w="255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D1125F5" w14:textId="77777777" w:rsidR="00B0791F" w:rsidRPr="00B0791F" w:rsidRDefault="00B0791F" w:rsidP="00B0791F">
            <w:pPr>
              <w:pStyle w:val="CDITable-RowLeft"/>
            </w:pPr>
            <w:r w:rsidRPr="00B0791F">
              <w:t>Ampicillin</w:t>
            </w:r>
          </w:p>
        </w:tc>
        <w:tc>
          <w:tcPr>
            <w:tcW w:w="175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5EA2DE7" w14:textId="77777777" w:rsidR="00B0791F" w:rsidRPr="00B0791F" w:rsidRDefault="00B0791F" w:rsidP="00B0791F">
            <w:pPr>
              <w:pStyle w:val="CDITable-RowCentre"/>
            </w:pPr>
            <w:r w:rsidRPr="00B0791F">
              <w:t>—</w:t>
            </w:r>
          </w:p>
        </w:tc>
        <w:tc>
          <w:tcPr>
            <w:tcW w:w="175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3EFC12C" w14:textId="77777777" w:rsidR="00B0791F" w:rsidRPr="00B0791F" w:rsidRDefault="00B0791F" w:rsidP="00B0791F">
            <w:pPr>
              <w:pStyle w:val="CDITable-RowCentre"/>
            </w:pPr>
            <w:r w:rsidRPr="00B0791F">
              <w:t>—</w:t>
            </w:r>
          </w:p>
        </w:tc>
        <w:tc>
          <w:tcPr>
            <w:tcW w:w="175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FD28F0D" w14:textId="77777777" w:rsidR="00B0791F" w:rsidRPr="00B0791F" w:rsidRDefault="00B0791F" w:rsidP="00B0791F">
            <w:pPr>
              <w:pStyle w:val="CDITable-RowCentre"/>
            </w:pPr>
            <w:r w:rsidRPr="00B0791F">
              <w:t>—</w:t>
            </w:r>
          </w:p>
        </w:tc>
        <w:tc>
          <w:tcPr>
            <w:tcW w:w="175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BC6A5F0" w14:textId="77777777" w:rsidR="00B0791F" w:rsidRPr="00B0791F" w:rsidRDefault="00B0791F" w:rsidP="00B0791F">
            <w:pPr>
              <w:pStyle w:val="CDITable-RowCentre"/>
            </w:pPr>
            <w:r w:rsidRPr="00B0791F">
              <w:t>—</w:t>
            </w:r>
          </w:p>
        </w:tc>
      </w:tr>
      <w:tr w:rsidR="00B0791F" w:rsidRPr="00B0791F" w14:paraId="63F861A5" w14:textId="77777777" w:rsidTr="00B0791F">
        <w:trPr>
          <w:trHeight w:val="60"/>
        </w:trPr>
        <w:tc>
          <w:tcPr>
            <w:tcW w:w="1531" w:type="dxa"/>
            <w:vMerge/>
            <w:tcBorders>
              <w:bottom w:val="single" w:sz="6" w:space="0" w:color="1E4496" w:themeColor="text2"/>
            </w:tcBorders>
            <w:shd w:val="clear" w:color="auto" w:fill="DCF4FC" w:themeFill="background2" w:themeFillTint="33"/>
          </w:tcPr>
          <w:p w14:paraId="6AACCE54" w14:textId="77777777" w:rsidR="00B0791F" w:rsidRPr="00B0791F" w:rsidRDefault="00B0791F" w:rsidP="00B0791F">
            <w:pPr>
              <w:pStyle w:val="CDITable-RowLeft"/>
            </w:pPr>
          </w:p>
        </w:tc>
        <w:tc>
          <w:tcPr>
            <w:tcW w:w="323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2745412" w14:textId="77777777" w:rsidR="00B0791F" w:rsidRPr="00B0791F" w:rsidRDefault="00B0791F" w:rsidP="00B0791F">
            <w:pPr>
              <w:pStyle w:val="CDITable-RowLeft"/>
            </w:pPr>
            <w:r w:rsidRPr="00B0791F">
              <w:t xml:space="preserve">Group B </w:t>
            </w:r>
            <w:proofErr w:type="spellStart"/>
            <w:r w:rsidRPr="00B0791F">
              <w:rPr>
                <w:i/>
                <w:iCs/>
              </w:rPr>
              <w:t>Streptococcus</w:t>
            </w:r>
            <w:r w:rsidRPr="00B0791F">
              <w:rPr>
                <w:vertAlign w:val="superscript"/>
              </w:rPr>
              <w:t>c</w:t>
            </w:r>
            <w:proofErr w:type="spellEnd"/>
          </w:p>
        </w:tc>
        <w:tc>
          <w:tcPr>
            <w:tcW w:w="255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3C9EB10" w14:textId="77777777" w:rsidR="00B0791F" w:rsidRPr="00B0791F" w:rsidRDefault="00B0791F" w:rsidP="00B0791F">
            <w:pPr>
              <w:pStyle w:val="CDITable-RowLeft"/>
            </w:pPr>
            <w:r w:rsidRPr="00B0791F">
              <w:t>Penicillin</w:t>
            </w:r>
          </w:p>
        </w:tc>
        <w:tc>
          <w:tcPr>
            <w:tcW w:w="175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44BAB51" w14:textId="77777777" w:rsidR="00B0791F" w:rsidRPr="00B0791F" w:rsidRDefault="00B0791F" w:rsidP="00B0791F">
            <w:pPr>
              <w:pStyle w:val="CDITable-RowCentre"/>
            </w:pPr>
            <w:r w:rsidRPr="00B0791F">
              <w:t xml:space="preserve">— </w:t>
            </w:r>
          </w:p>
        </w:tc>
        <w:tc>
          <w:tcPr>
            <w:tcW w:w="175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5F81F7C" w14:textId="77777777" w:rsidR="00B0791F" w:rsidRPr="00B0791F" w:rsidRDefault="00B0791F" w:rsidP="00B0791F">
            <w:pPr>
              <w:pStyle w:val="CDITable-RowCentre"/>
            </w:pPr>
            <w:r w:rsidRPr="00B0791F">
              <w:t xml:space="preserve">— </w:t>
            </w:r>
          </w:p>
        </w:tc>
        <w:tc>
          <w:tcPr>
            <w:tcW w:w="175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ADCC8D1" w14:textId="77777777" w:rsidR="00B0791F" w:rsidRPr="00B0791F" w:rsidRDefault="00B0791F" w:rsidP="00B0791F">
            <w:pPr>
              <w:pStyle w:val="CDITable-RowCentre"/>
            </w:pPr>
            <w:r w:rsidRPr="00B0791F">
              <w:t xml:space="preserve">— </w:t>
            </w:r>
          </w:p>
        </w:tc>
        <w:tc>
          <w:tcPr>
            <w:tcW w:w="175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310BB8F" w14:textId="77777777" w:rsidR="00B0791F" w:rsidRPr="00B0791F" w:rsidRDefault="00B0791F" w:rsidP="00B0791F">
            <w:pPr>
              <w:pStyle w:val="CDITable-RowCentre"/>
            </w:pPr>
            <w:r w:rsidRPr="00B0791F">
              <w:t xml:space="preserve">— </w:t>
            </w:r>
          </w:p>
        </w:tc>
      </w:tr>
    </w:tbl>
    <w:p w14:paraId="2236B477" w14:textId="77777777" w:rsidR="000E0216" w:rsidRPr="000E0216" w:rsidRDefault="000E0216" w:rsidP="00B0791F">
      <w:pPr>
        <w:pStyle w:val="CDITable-FirstFootnote"/>
        <w:rPr>
          <w:lang w:val="en-GB"/>
        </w:rPr>
      </w:pPr>
      <w:r w:rsidRPr="000E0216">
        <w:rPr>
          <w:lang w:val="en-GB"/>
        </w:rPr>
        <w:t>a</w:t>
      </w:r>
      <w:r w:rsidRPr="000E0216">
        <w:rPr>
          <w:lang w:val="en-GB"/>
        </w:rPr>
        <w:tab/>
        <w:t>N: number of isolates tested; n: number of resistant isolates; R%: proportion of resistant isolates; 95% CI: 95% confidence interval.</w:t>
      </w:r>
    </w:p>
    <w:p w14:paraId="27B5FF97" w14:textId="77777777" w:rsidR="000E0216" w:rsidRPr="000E0216" w:rsidRDefault="000E0216" w:rsidP="000E0216">
      <w:pPr>
        <w:pStyle w:val="CDITable-Footnote"/>
        <w:rPr>
          <w:lang w:val="en-GB"/>
        </w:rPr>
      </w:pPr>
      <w:r w:rsidRPr="000E0216">
        <w:rPr>
          <w:lang w:val="en-GB"/>
        </w:rPr>
        <w:t>b</w:t>
      </w:r>
      <w:r w:rsidRPr="000E0216">
        <w:rPr>
          <w:lang w:val="en-GB"/>
        </w:rPr>
        <w:tab/>
        <w:t>Carbapenems: meropenem, ertapenem, imipenem; 3GC (third-generation cephalosporins): ceftazidime, ceftriaxone; fluoroquinolones: ciprofloxacin, levofloxacin, moxifloxacin, norfloxacin.</w:t>
      </w:r>
    </w:p>
    <w:p w14:paraId="1B07CAA6" w14:textId="75B42A66" w:rsidR="000E0216" w:rsidRDefault="000E0216" w:rsidP="000E0216">
      <w:pPr>
        <w:pStyle w:val="CDITable-Footnote"/>
        <w:rPr>
          <w:lang w:val="en-GB"/>
        </w:rPr>
      </w:pPr>
      <w:r w:rsidRPr="000E0216">
        <w:rPr>
          <w:lang w:val="en-GB"/>
        </w:rPr>
        <w:t>c</w:t>
      </w:r>
      <w:r w:rsidRPr="000E0216">
        <w:rPr>
          <w:lang w:val="en-GB"/>
        </w:rPr>
        <w:tab/>
        <w:t xml:space="preserve">Organisms not collected within AGAR surveillance outcome </w:t>
      </w:r>
      <w:proofErr w:type="gramStart"/>
      <w:r w:rsidRPr="000E0216">
        <w:rPr>
          <w:lang w:val="en-GB"/>
        </w:rPr>
        <w:t>programs, but</w:t>
      </w:r>
      <w:proofErr w:type="gramEnd"/>
      <w:r w:rsidRPr="000E0216">
        <w:rPr>
          <w:lang w:val="en-GB"/>
        </w:rPr>
        <w:t xml:space="preserve"> listed here to provide context of the full WHO pathogen list.</w:t>
      </w:r>
    </w:p>
    <w:p w14:paraId="178D6FBF" w14:textId="77777777" w:rsidR="000E0216" w:rsidRDefault="000E0216" w:rsidP="00AC46DC">
      <w:pPr>
        <w:rPr>
          <w:lang w:val="en-GB"/>
        </w:rPr>
        <w:sectPr w:rsidR="000E0216" w:rsidSect="000E0216">
          <w:footnotePr>
            <w:numFmt w:val="lowerRoman"/>
          </w:footnotePr>
          <w:pgSz w:w="16840" w:h="11907" w:orient="landscape" w:code="9"/>
          <w:pgMar w:top="1134" w:right="1134" w:bottom="1134" w:left="1134" w:header="709" w:footer="567" w:gutter="0"/>
          <w:cols w:space="708"/>
          <w:docGrid w:linePitch="360"/>
        </w:sectPr>
      </w:pPr>
    </w:p>
    <w:p w14:paraId="5A37D9F1" w14:textId="77777777" w:rsidR="006E0B0E" w:rsidRDefault="008017B6" w:rsidP="000E0216">
      <w:pPr>
        <w:pStyle w:val="Heading1-nospacebefore"/>
      </w:pPr>
      <w:bookmarkStart w:id="34" w:name="_Toc213228006"/>
      <w:bookmarkStart w:id="35" w:name="_Toc195519590"/>
      <w:bookmarkStart w:id="36" w:name="_Toc195522359"/>
      <w:r>
        <w:lastRenderedPageBreak/>
        <w:t>Discussion</w:t>
      </w:r>
      <w:bookmarkEnd w:id="34"/>
    </w:p>
    <w:p w14:paraId="51DB2B9F" w14:textId="77777777" w:rsidR="000E0216" w:rsidRPr="000E0216" w:rsidRDefault="000E0216" w:rsidP="000E0216">
      <w:pPr>
        <w:rPr>
          <w:lang w:val="en-GB"/>
        </w:rPr>
      </w:pPr>
      <w:r w:rsidRPr="000E0216">
        <w:rPr>
          <w:lang w:val="en-GB"/>
        </w:rPr>
        <w:t xml:space="preserve">The 2022–2023 AGAR Kids Biennial Report shows stability in the AMR landscape within the Australian paediatric population, with few significant differences detected when compared to the 2020–2021 report. Minor variations observed between the two reporting periods were possibly due to the easing of coronavirus disease 2019 (COVID-19) public health measures across Australia in 2022. </w:t>
      </w:r>
    </w:p>
    <w:p w14:paraId="602541BC" w14:textId="77777777" w:rsidR="000E0216" w:rsidRPr="000E0216" w:rsidRDefault="000E0216" w:rsidP="000E0216">
      <w:pPr>
        <w:rPr>
          <w:lang w:val="en-GB"/>
        </w:rPr>
      </w:pPr>
      <w:r w:rsidRPr="000E0216">
        <w:rPr>
          <w:lang w:val="en-GB"/>
        </w:rPr>
        <w:t xml:space="preserve">Although the WHO BPPL was updated in 2024 and thus is different to the list reported against in the 2020–2021 AGAR Kids report, when compared to global estimates, the proportion of resistant isolates detected in the Australian paediatric population is limited. Whilst the global median resistance of </w:t>
      </w:r>
      <w:r w:rsidRPr="000E0216">
        <w:rPr>
          <w:i/>
          <w:iCs/>
          <w:lang w:val="en-GB"/>
        </w:rPr>
        <w:t>A. baumannii</w:t>
      </w:r>
      <w:r w:rsidRPr="000E0216">
        <w:rPr>
          <w:lang w:val="en-GB"/>
        </w:rPr>
        <w:t xml:space="preserve"> to carbapenems was 69.0–73.4% in 2022, no resistant isolates were reported in AGAR Kids. Conversely, whilst the global median resistance to ciprofloxacin for </w:t>
      </w:r>
      <w:r w:rsidRPr="000E0216">
        <w:rPr>
          <w:i/>
          <w:iCs/>
          <w:lang w:val="en-GB"/>
        </w:rPr>
        <w:t>Salmonella</w:t>
      </w:r>
      <w:r w:rsidRPr="000E0216">
        <w:rPr>
          <w:lang w:val="en-GB"/>
        </w:rPr>
        <w:t xml:space="preserve"> spp. was 16.7% (5.4–30.4%), the proportion in Australian children and adolescents was 46.9%. Though this result is higher than the global median estimates, the majority of ciprofloxacin-resistant </w:t>
      </w:r>
      <w:r w:rsidRPr="000E0216">
        <w:rPr>
          <w:i/>
          <w:iCs/>
          <w:lang w:val="en-GB"/>
        </w:rPr>
        <w:t>Salmonella</w:t>
      </w:r>
      <w:r w:rsidRPr="000E0216">
        <w:rPr>
          <w:lang w:val="en-GB"/>
        </w:rPr>
        <w:t xml:space="preserve"> observed in this report were </w:t>
      </w:r>
      <w:r w:rsidRPr="000E0216">
        <w:rPr>
          <w:i/>
          <w:iCs/>
          <w:lang w:val="en-GB"/>
        </w:rPr>
        <w:t>S</w:t>
      </w:r>
      <w:r w:rsidRPr="000E0216">
        <w:rPr>
          <w:lang w:val="en-GB"/>
        </w:rPr>
        <w:t>. Typhi, cases of which in Australia are almost always acquired whilst travelling to endemic regions.</w:t>
      </w:r>
      <w:r w:rsidRPr="000E0216">
        <w:rPr>
          <w:vertAlign w:val="superscript"/>
          <w:lang w:val="en-GB"/>
        </w:rPr>
        <w:t>14</w:t>
      </w:r>
      <w:r w:rsidRPr="000E0216">
        <w:rPr>
          <w:lang w:val="en-GB"/>
        </w:rPr>
        <w:t xml:space="preserve"> This is reflected by the significant reduction of salmonellosis notifications across the population to the National Notifiable Disease Surveillance System (NNDSS) during the Australian border lockdown period, and by the absence of any cases of </w:t>
      </w:r>
      <w:r w:rsidRPr="000E0216">
        <w:rPr>
          <w:i/>
          <w:iCs/>
          <w:lang w:val="en-GB"/>
        </w:rPr>
        <w:t>S</w:t>
      </w:r>
      <w:r w:rsidRPr="000E0216">
        <w:rPr>
          <w:lang w:val="en-GB"/>
        </w:rPr>
        <w:t xml:space="preserve">. Typhi or </w:t>
      </w:r>
      <w:r w:rsidRPr="000E0216">
        <w:rPr>
          <w:i/>
          <w:iCs/>
          <w:lang w:val="en-GB"/>
        </w:rPr>
        <w:t>S</w:t>
      </w:r>
      <w:r w:rsidRPr="000E0216">
        <w:rPr>
          <w:lang w:val="en-GB"/>
        </w:rPr>
        <w:t>. Paratyphi reported in the 2020–2021 AGAR Kids report.</w:t>
      </w:r>
      <w:r w:rsidRPr="000E0216">
        <w:rPr>
          <w:vertAlign w:val="superscript"/>
          <w:lang w:val="en-GB"/>
        </w:rPr>
        <w:t>4,15</w:t>
      </w:r>
      <w:r w:rsidRPr="000E0216">
        <w:rPr>
          <w:lang w:val="en-GB"/>
        </w:rPr>
        <w:t xml:space="preserve"> Considering children and adolescents have increased risk to Typhi acquisition when travelling overseas, increased messaging around </w:t>
      </w:r>
      <w:r w:rsidRPr="000E0216">
        <w:rPr>
          <w:i/>
          <w:iCs/>
          <w:lang w:val="en-GB"/>
        </w:rPr>
        <w:t>S</w:t>
      </w:r>
      <w:r w:rsidRPr="000E0216">
        <w:rPr>
          <w:lang w:val="en-GB"/>
        </w:rPr>
        <w:t>. Typhi vaccine uptake before overseas travel may be helpful in reducing the number of typhoid infections.</w:t>
      </w:r>
      <w:r w:rsidRPr="000E0216">
        <w:rPr>
          <w:vertAlign w:val="superscript"/>
          <w:lang w:val="en-GB"/>
        </w:rPr>
        <w:t>14,16</w:t>
      </w:r>
      <w:r w:rsidRPr="000E0216">
        <w:rPr>
          <w:lang w:val="en-GB"/>
        </w:rPr>
        <w:t xml:space="preserve"> The Australian Immunisation Handbook recommends typhoid vaccination for all travellers aged ≥ 2 years to endemic regions.</w:t>
      </w:r>
      <w:r w:rsidRPr="000E0216">
        <w:rPr>
          <w:vertAlign w:val="superscript"/>
          <w:lang w:val="en-GB"/>
        </w:rPr>
        <w:t>17</w:t>
      </w:r>
    </w:p>
    <w:p w14:paraId="1057B45F" w14:textId="77777777" w:rsidR="000E0216" w:rsidRPr="000E0216" w:rsidRDefault="000E0216" w:rsidP="000E0216">
      <w:pPr>
        <w:rPr>
          <w:lang w:val="en-GB"/>
        </w:rPr>
      </w:pPr>
      <w:r w:rsidRPr="000E0216">
        <w:rPr>
          <w:lang w:val="en-GB"/>
        </w:rPr>
        <w:t xml:space="preserve">Whilst most ciprofloxacin-resistant </w:t>
      </w:r>
      <w:r w:rsidRPr="000E0216">
        <w:rPr>
          <w:i/>
          <w:iCs/>
          <w:lang w:val="en-GB"/>
        </w:rPr>
        <w:t>Salmonella</w:t>
      </w:r>
      <w:r w:rsidRPr="000E0216">
        <w:rPr>
          <w:lang w:val="en-GB"/>
        </w:rPr>
        <w:t xml:space="preserve"> were identified as </w:t>
      </w:r>
      <w:r w:rsidRPr="000E0216">
        <w:rPr>
          <w:i/>
          <w:iCs/>
          <w:lang w:val="en-GB"/>
        </w:rPr>
        <w:t>S</w:t>
      </w:r>
      <w:r w:rsidRPr="000E0216">
        <w:rPr>
          <w:lang w:val="en-GB"/>
        </w:rPr>
        <w:t xml:space="preserve">. Typhi or </w:t>
      </w:r>
      <w:r w:rsidRPr="000E0216">
        <w:rPr>
          <w:i/>
          <w:iCs/>
          <w:lang w:val="en-GB"/>
        </w:rPr>
        <w:t>S</w:t>
      </w:r>
      <w:r w:rsidRPr="000E0216">
        <w:rPr>
          <w:lang w:val="en-GB"/>
        </w:rPr>
        <w:t xml:space="preserve">. Paratyphi, ~10% of non-typhoidal </w:t>
      </w:r>
      <w:r w:rsidRPr="000E0216">
        <w:rPr>
          <w:i/>
          <w:iCs/>
          <w:lang w:val="en-GB"/>
        </w:rPr>
        <w:t>Salmonella</w:t>
      </w:r>
      <w:r w:rsidRPr="000E0216">
        <w:rPr>
          <w:lang w:val="en-GB"/>
        </w:rPr>
        <w:t xml:space="preserve"> were also ciprofloxacin resistant, which is similar to other Australian AMR surveillance reports.</w:t>
      </w:r>
      <w:r w:rsidRPr="000E0216">
        <w:rPr>
          <w:vertAlign w:val="superscript"/>
          <w:lang w:val="en-GB"/>
        </w:rPr>
        <w:t>18</w:t>
      </w:r>
      <w:r w:rsidRPr="000E0216">
        <w:rPr>
          <w:lang w:val="en-GB"/>
        </w:rPr>
        <w:t xml:space="preserve"> Although ciprofloxacin-resistant </w:t>
      </w:r>
      <w:r w:rsidRPr="000E0216">
        <w:rPr>
          <w:i/>
          <w:iCs/>
          <w:lang w:val="en-GB"/>
        </w:rPr>
        <w:t>Salmonella</w:t>
      </w:r>
      <w:r w:rsidRPr="000E0216">
        <w:rPr>
          <w:lang w:val="en-GB"/>
        </w:rPr>
        <w:t xml:space="preserve"> BSIs are associated with overseas travel, several papers have described endogenous fluoroquinolone resistance in Australian </w:t>
      </w:r>
      <w:r w:rsidRPr="000E0216">
        <w:rPr>
          <w:i/>
          <w:iCs/>
          <w:lang w:val="en-GB"/>
        </w:rPr>
        <w:t>Salmonella</w:t>
      </w:r>
      <w:r w:rsidRPr="000E0216">
        <w:rPr>
          <w:lang w:val="en-GB"/>
        </w:rPr>
        <w:t xml:space="preserve"> isolates, as well as concordant resistance to third-generation cephalosporins or azithromycin.</w:t>
      </w:r>
      <w:r w:rsidRPr="000E0216">
        <w:rPr>
          <w:vertAlign w:val="superscript"/>
          <w:lang w:val="en-GB"/>
        </w:rPr>
        <w:t>19–21</w:t>
      </w:r>
      <w:r w:rsidRPr="000E0216">
        <w:rPr>
          <w:lang w:val="en-GB"/>
        </w:rPr>
        <w:t xml:space="preserve"> Monitoring fluoroquinolone resistance in animal </w:t>
      </w:r>
      <w:r w:rsidRPr="000E0216">
        <w:rPr>
          <w:i/>
          <w:iCs/>
          <w:lang w:val="en-GB"/>
        </w:rPr>
        <w:t>Salmonella</w:t>
      </w:r>
      <w:r w:rsidRPr="000E0216">
        <w:rPr>
          <w:lang w:val="en-GB"/>
        </w:rPr>
        <w:t xml:space="preserve"> isolates, particularly by surveillance of plasmid-mediated quinolone resistance (PMQR) genes, may provide oversight of endogenous ciprofloxacin resistance transmission in the circumstances of low numbers in humans.</w:t>
      </w:r>
      <w:r w:rsidRPr="000E0216">
        <w:rPr>
          <w:vertAlign w:val="superscript"/>
          <w:lang w:val="en-GB"/>
        </w:rPr>
        <w:t>22</w:t>
      </w:r>
      <w:r w:rsidRPr="000E0216">
        <w:rPr>
          <w:lang w:val="en-GB"/>
        </w:rPr>
        <w:t xml:space="preserve"> </w:t>
      </w:r>
    </w:p>
    <w:p w14:paraId="0FAF69A5" w14:textId="64690083" w:rsidR="000E0216" w:rsidRPr="000E0216" w:rsidRDefault="000E0216" w:rsidP="000E0216">
      <w:pPr>
        <w:rPr>
          <w:lang w:val="en-GB"/>
        </w:rPr>
      </w:pPr>
      <w:r w:rsidRPr="000E0216">
        <w:rPr>
          <w:lang w:val="en-GB"/>
        </w:rPr>
        <w:t>Although not statistically significant, the proportion of third-generation cephalosporin resistant Enterobacterales has continued to increase, with 15.9% of Enterobacterales resistant to third-generation cephalosporins in 2023; this is the highest proportion observed in the paediatric population across 11 years of AGAR surveillance.</w:t>
      </w:r>
      <w:r w:rsidRPr="000E0216">
        <w:rPr>
          <w:vertAlign w:val="superscript"/>
          <w:lang w:val="en-GB"/>
        </w:rPr>
        <w:t>6</w:t>
      </w:r>
      <w:r w:rsidRPr="000E0216">
        <w:rPr>
          <w:lang w:val="en-GB"/>
        </w:rPr>
        <w:t xml:space="preserve"> Research conducted from five Australian children’s hospitals during 2019–2021 indicates a slightly higher proportion of third-generation cephalosporin resistant Enterobacterales BSIs at 21.9%.</w:t>
      </w:r>
      <w:r w:rsidRPr="000E0216">
        <w:rPr>
          <w:vertAlign w:val="superscript"/>
          <w:lang w:val="en-GB"/>
        </w:rPr>
        <w:t>23</w:t>
      </w:r>
      <w:r w:rsidRPr="000E0216">
        <w:rPr>
          <w:lang w:val="en-GB"/>
        </w:rPr>
        <w:t xml:space="preserve"> As was observed in this report, children with third-generation cephalosporin resistant Enterobacterales BSIs, as well as those with MDR Enterobacterales BSIs, had longer hospital stays and higher mortality.</w:t>
      </w:r>
      <w:r w:rsidRPr="000E0216">
        <w:rPr>
          <w:vertAlign w:val="superscript"/>
          <w:lang w:val="en-GB"/>
        </w:rPr>
        <w:t>23</w:t>
      </w:r>
      <w:r w:rsidRPr="000E0216">
        <w:rPr>
          <w:lang w:val="en-GB"/>
        </w:rPr>
        <w:t xml:space="preserve"> In recent years, </w:t>
      </w:r>
      <w:r w:rsidR="00B0791F" w:rsidRPr="000E0216">
        <w:rPr>
          <w:lang w:val="en-GB"/>
        </w:rPr>
        <w:t>penicillins</w:t>
      </w:r>
      <w:r w:rsidRPr="000E0216">
        <w:rPr>
          <w:lang w:val="en-GB"/>
        </w:rPr>
        <w:t xml:space="preserve"> with extended-spectrum (J01CA), first-generation cephalosporins (J01DB), and β-lactam/β-lactamase inhibitor combinations (J01CR) were some of the more frequently dispensed systemic antibacterial classes under the Pharmaceutical Benefits Scheme (PBS) and Repatriation PBS (RPBS).</w:t>
      </w:r>
      <w:r w:rsidRPr="000E0216">
        <w:rPr>
          <w:vertAlign w:val="superscript"/>
          <w:lang w:val="en-GB"/>
        </w:rPr>
        <w:t>18</w:t>
      </w:r>
      <w:r w:rsidRPr="000E0216">
        <w:rPr>
          <w:lang w:val="en-GB"/>
        </w:rPr>
        <w:t xml:space="preserve"> As third-generation cephalosporins are often used as first-line empirical treatment for paediatric sepsis and meningitis, ongoing strategies to combat increasing resistance must include antimicrobial stewardship and ongoing attention to the appropriateness of third-generation cephalosporin use.</w:t>
      </w:r>
    </w:p>
    <w:p w14:paraId="57749D35" w14:textId="77777777" w:rsidR="000E0216" w:rsidRPr="000E0216" w:rsidRDefault="000E0216" w:rsidP="000E0216">
      <w:pPr>
        <w:rPr>
          <w:lang w:val="en-GB"/>
        </w:rPr>
      </w:pPr>
      <w:r w:rsidRPr="000E0216">
        <w:rPr>
          <w:lang w:val="en-GB"/>
        </w:rPr>
        <w:lastRenderedPageBreak/>
        <w:t>Over the past 10 years there has been a small but clinically important increase in the number of carbapenem-resistant Enterobacterales (CPE) in the AGAR paediatric population; from one isolate in 2014–2015 to 11 isolates in 2022–2023 (χ</w:t>
      </w:r>
      <w:r w:rsidRPr="000E0216">
        <w:rPr>
          <w:vertAlign w:val="superscript"/>
          <w:lang w:val="en-GB"/>
        </w:rPr>
        <w:t>2</w:t>
      </w:r>
      <w:r w:rsidRPr="000E0216">
        <w:rPr>
          <w:lang w:val="en-GB"/>
        </w:rPr>
        <w:t xml:space="preserve">: 5; </w:t>
      </w:r>
      <w:r w:rsidRPr="000E0216">
        <w:rPr>
          <w:i/>
          <w:iCs/>
          <w:lang w:val="en-GB"/>
        </w:rPr>
        <w:t>p</w:t>
      </w:r>
      <w:r w:rsidRPr="000E0216">
        <w:rPr>
          <w:lang w:val="en-GB"/>
        </w:rPr>
        <w:t xml:space="preserve"> = 0.02). A similar increase of CPE has been observed in the AGAR adult population. This trend has occurred in parallel with an increase in meropenem use since 2017.</w:t>
      </w:r>
      <w:r w:rsidRPr="000E0216">
        <w:rPr>
          <w:vertAlign w:val="superscript"/>
          <w:lang w:val="en-GB"/>
        </w:rPr>
        <w:t>18</w:t>
      </w:r>
      <w:r w:rsidRPr="000E0216">
        <w:rPr>
          <w:lang w:val="en-GB"/>
        </w:rPr>
        <w:t xml:space="preserve"> However, there has been no similar increase of carbapenem resistance observed in the </w:t>
      </w:r>
      <w:r w:rsidRPr="000E0216">
        <w:rPr>
          <w:i/>
          <w:iCs/>
          <w:lang w:val="en-GB"/>
        </w:rPr>
        <w:t>Acinetobacter</w:t>
      </w:r>
      <w:r w:rsidRPr="000E0216">
        <w:rPr>
          <w:lang w:val="en-GB"/>
        </w:rPr>
        <w:t xml:space="preserve"> spp. or </w:t>
      </w:r>
      <w:r w:rsidRPr="000E0216">
        <w:rPr>
          <w:i/>
          <w:iCs/>
          <w:lang w:val="en-GB"/>
        </w:rPr>
        <w:t>P. aeruginosa</w:t>
      </w:r>
      <w:r w:rsidRPr="000E0216">
        <w:rPr>
          <w:lang w:val="en-GB"/>
        </w:rPr>
        <w:t xml:space="preserve"> in either the paediatric or adult population. A more detailed analysis of CPE BSIs in Australia indicates that most isolates were locally acquired (endemic) rather than overseas.</w:t>
      </w:r>
      <w:r w:rsidRPr="000E0216">
        <w:rPr>
          <w:vertAlign w:val="superscript"/>
          <w:lang w:val="en-GB"/>
        </w:rPr>
        <w:t>18,24</w:t>
      </w:r>
      <w:r w:rsidRPr="000E0216">
        <w:rPr>
          <w:lang w:val="en-GB"/>
        </w:rPr>
        <w:t xml:space="preserve"> </w:t>
      </w:r>
    </w:p>
    <w:p w14:paraId="2FBFD1EC" w14:textId="77777777" w:rsidR="000E0216" w:rsidRPr="000E0216" w:rsidRDefault="000E0216" w:rsidP="000E0216">
      <w:pPr>
        <w:rPr>
          <w:lang w:val="en-GB"/>
        </w:rPr>
      </w:pPr>
      <w:r w:rsidRPr="000E0216">
        <w:rPr>
          <w:lang w:val="en-GB"/>
        </w:rPr>
        <w:t xml:space="preserve">There was no change in the proportion of antimicrobial resistance reported in </w:t>
      </w:r>
      <w:r w:rsidRPr="000E0216">
        <w:rPr>
          <w:i/>
          <w:iCs/>
          <w:lang w:val="en-GB"/>
        </w:rPr>
        <w:t>P. aeruginosa</w:t>
      </w:r>
      <w:r w:rsidRPr="000E0216">
        <w:rPr>
          <w:lang w:val="en-GB"/>
        </w:rPr>
        <w:t xml:space="preserve"> isolates during 2022–2023 in the paediatric AGAR populations, despite a national increase in piperacillin-tazobactam use from 2018–2022.</w:t>
      </w:r>
      <w:r w:rsidRPr="000E0216">
        <w:rPr>
          <w:vertAlign w:val="superscript"/>
          <w:lang w:val="en-GB"/>
        </w:rPr>
        <w:t>18,24,25</w:t>
      </w:r>
      <w:r w:rsidRPr="000E0216">
        <w:rPr>
          <w:lang w:val="en-GB"/>
        </w:rPr>
        <w:t xml:space="preserve"> In a recent analysis of paediatric </w:t>
      </w:r>
      <w:r w:rsidRPr="000E0216">
        <w:rPr>
          <w:i/>
          <w:iCs/>
          <w:lang w:val="en-GB"/>
        </w:rPr>
        <w:t>P. aeruginosa</w:t>
      </w:r>
      <w:r w:rsidRPr="000E0216">
        <w:rPr>
          <w:lang w:val="en-GB"/>
        </w:rPr>
        <w:t xml:space="preserve"> BSIs in Queensland, Slack et al. observed increases in piperacillin-tazobactam and ciprofloxacin resistances between 2015–2019.</w:t>
      </w:r>
      <w:r w:rsidRPr="000E0216">
        <w:rPr>
          <w:vertAlign w:val="superscript"/>
          <w:lang w:val="en-GB"/>
        </w:rPr>
        <w:t>26</w:t>
      </w:r>
      <w:r w:rsidRPr="000E0216">
        <w:rPr>
          <w:lang w:val="en-GB"/>
        </w:rPr>
        <w:t xml:space="preserve"> The piperacillin-tazobactam resistant proportions observed by Slack et al. are similar to those in the paediatric AGAR population, both during the same time frame (2015–2019) and in 2022–2023. Conversely, the proportion of ciprofloxacin resistance in the paediatric AGAR population is greater than that observed in the Queensland report.</w:t>
      </w:r>
      <w:r w:rsidRPr="000E0216">
        <w:rPr>
          <w:vertAlign w:val="superscript"/>
          <w:lang w:val="en-GB"/>
        </w:rPr>
        <w:t>6</w:t>
      </w:r>
      <w:r w:rsidRPr="000E0216">
        <w:rPr>
          <w:lang w:val="en-GB"/>
        </w:rPr>
        <w:t xml:space="preserve"> Resistance in </w:t>
      </w:r>
      <w:r w:rsidRPr="000E0216">
        <w:rPr>
          <w:i/>
          <w:iCs/>
          <w:lang w:val="en-GB"/>
        </w:rPr>
        <w:t>P. aeruginosa</w:t>
      </w:r>
      <w:r w:rsidRPr="000E0216">
        <w:rPr>
          <w:lang w:val="en-GB"/>
        </w:rPr>
        <w:t xml:space="preserve"> should be monitored carefully, as </w:t>
      </w:r>
      <w:r w:rsidRPr="000E0216">
        <w:rPr>
          <w:i/>
          <w:iCs/>
          <w:lang w:val="en-GB"/>
        </w:rPr>
        <w:t>P. aeruginosa</w:t>
      </w:r>
      <w:r w:rsidRPr="000E0216">
        <w:rPr>
          <w:lang w:val="en-GB"/>
        </w:rPr>
        <w:t xml:space="preserve"> BSIs are more frequent in patients with serious underlying comorbidities or frequent healthcare contact. </w:t>
      </w:r>
    </w:p>
    <w:p w14:paraId="6CE51223" w14:textId="77777777" w:rsidR="000E0216" w:rsidRPr="000E0216" w:rsidRDefault="000E0216" w:rsidP="000E0216">
      <w:pPr>
        <w:rPr>
          <w:lang w:val="en-GB"/>
        </w:rPr>
      </w:pPr>
      <w:r w:rsidRPr="000E0216">
        <w:rPr>
          <w:lang w:val="en-GB"/>
        </w:rPr>
        <w:t xml:space="preserve">There were no statistically significant changes in the proportions of </w:t>
      </w:r>
      <w:r w:rsidRPr="000E0216">
        <w:rPr>
          <w:i/>
          <w:iCs/>
          <w:lang w:val="en-GB"/>
        </w:rPr>
        <w:t>S. aureus</w:t>
      </w:r>
      <w:r w:rsidRPr="000E0216">
        <w:rPr>
          <w:lang w:val="en-GB"/>
        </w:rPr>
        <w:t xml:space="preserve"> resistance when compared to the previous AGAR Kids Biennial report. As previously observed, the Northern Territory had the highest proportion of </w:t>
      </w:r>
      <w:r w:rsidRPr="000E0216">
        <w:rPr>
          <w:i/>
          <w:iCs/>
          <w:lang w:val="en-GB"/>
        </w:rPr>
        <w:t>S. aureus</w:t>
      </w:r>
      <w:r w:rsidRPr="000E0216">
        <w:rPr>
          <w:lang w:val="en-GB"/>
        </w:rPr>
        <w:t xml:space="preserve"> that were methicillin resistant, as was observed in the adult population.</w:t>
      </w:r>
      <w:r w:rsidRPr="000E0216">
        <w:rPr>
          <w:vertAlign w:val="superscript"/>
          <w:lang w:val="en-GB"/>
        </w:rPr>
        <w:t>4,7,27</w:t>
      </w:r>
      <w:r w:rsidRPr="000E0216">
        <w:rPr>
          <w:lang w:val="en-GB"/>
        </w:rPr>
        <w:t xml:space="preserve"> In a recent analysis of MRSA data across the north of Australia (2016–2021), an increase in MRSA infection was associated with remoteness index; i.e., the more remote, the higher the odds of an MRSA infection. However, no significant association between socio-economic indexes and MRSA infection was observed.</w:t>
      </w:r>
      <w:r w:rsidRPr="000E0216">
        <w:rPr>
          <w:vertAlign w:val="superscript"/>
          <w:lang w:val="en-GB"/>
        </w:rPr>
        <w:t>28</w:t>
      </w:r>
      <w:r w:rsidRPr="000E0216">
        <w:rPr>
          <w:lang w:val="en-GB"/>
        </w:rPr>
        <w:t xml:space="preserve"> Using Bayesian modelling, Wozniak et. al., found the remote regions of east and west Pilbara (Western Australia), Daly-West Arnhem and Alice Springs (Northern Territory), and the Outback North (Queensland) had the highest predicted prevalence of MRSA across all age groups and sexes, whilst urban settings had the lowest predicted prevalence.</w:t>
      </w:r>
      <w:r w:rsidRPr="000E0216">
        <w:rPr>
          <w:vertAlign w:val="superscript"/>
          <w:lang w:val="en-GB"/>
        </w:rPr>
        <w:t>28</w:t>
      </w:r>
      <w:r w:rsidRPr="000E0216">
        <w:rPr>
          <w:lang w:val="en-GB"/>
        </w:rPr>
        <w:t xml:space="preserve"> Future geographic analysis of AGAR Kids data using similar methods across a national dataset are planned, with results expected to mirror these findings. </w:t>
      </w:r>
    </w:p>
    <w:p w14:paraId="2BB0E4F8" w14:textId="61FC0A82" w:rsidR="0001020A" w:rsidRDefault="000E0216" w:rsidP="00830AEA">
      <w:r w:rsidRPr="000E0216">
        <w:rPr>
          <w:lang w:val="en-GB"/>
        </w:rPr>
        <w:t xml:space="preserve">Although there was an increase in the proportion of </w:t>
      </w:r>
      <w:r w:rsidRPr="000E0216">
        <w:rPr>
          <w:i/>
          <w:iCs/>
          <w:lang w:val="en-GB"/>
        </w:rPr>
        <w:t>E. faecium</w:t>
      </w:r>
      <w:r w:rsidRPr="000E0216">
        <w:rPr>
          <w:lang w:val="en-GB"/>
        </w:rPr>
        <w:t xml:space="preserve"> resistant to vancomycin in the paediatric population between the two biennial reports, the total number of vancomycin-resistant </w:t>
      </w:r>
      <w:r w:rsidRPr="000E0216">
        <w:rPr>
          <w:i/>
          <w:iCs/>
          <w:lang w:val="en-GB"/>
        </w:rPr>
        <w:t>E.</w:t>
      </w:r>
      <w:r>
        <w:rPr>
          <w:i/>
          <w:iCs/>
          <w:lang w:val="en-GB"/>
        </w:rPr>
        <w:t> </w:t>
      </w:r>
      <w:r w:rsidRPr="000E0216">
        <w:rPr>
          <w:i/>
          <w:iCs/>
          <w:lang w:val="en-GB"/>
        </w:rPr>
        <w:t>faecium</w:t>
      </w:r>
      <w:r w:rsidRPr="000E0216">
        <w:rPr>
          <w:lang w:val="en-GB"/>
        </w:rPr>
        <w:t xml:space="preserve"> (VREfm) was small and should be interpreted with caution. It should be noted, however, that during the same </w:t>
      </w:r>
      <w:proofErr w:type="gramStart"/>
      <w:r w:rsidRPr="000E0216">
        <w:rPr>
          <w:lang w:val="en-GB"/>
        </w:rPr>
        <w:t>time period</w:t>
      </w:r>
      <w:proofErr w:type="gramEnd"/>
      <w:r w:rsidRPr="000E0216">
        <w:rPr>
          <w:lang w:val="en-GB"/>
        </w:rPr>
        <w:t xml:space="preserve"> the proportion of VREfm reported in the adult population increased significantly, from 37.2% in 2020–2021 to 48.9% in 2022–2023 (χ</w:t>
      </w:r>
      <w:r w:rsidRPr="000E0216">
        <w:rPr>
          <w:vertAlign w:val="superscript"/>
          <w:lang w:val="en-GB"/>
        </w:rPr>
        <w:t>2</w:t>
      </w:r>
      <w:r w:rsidRPr="000E0216">
        <w:rPr>
          <w:lang w:val="en-GB"/>
        </w:rPr>
        <w:t xml:space="preserve">: 29; </w:t>
      </w:r>
      <w:r w:rsidRPr="000E0216">
        <w:rPr>
          <w:i/>
          <w:iCs/>
          <w:lang w:val="en-GB"/>
        </w:rPr>
        <w:t>p</w:t>
      </w:r>
      <w:r w:rsidRPr="000E0216">
        <w:rPr>
          <w:lang w:val="en-GB"/>
        </w:rPr>
        <w:t xml:space="preserve"> &lt; 0.001). As observed in children and adolescents, all VRE reported in adults in 2022–2023 were </w:t>
      </w:r>
      <w:r w:rsidRPr="000E0216">
        <w:rPr>
          <w:i/>
          <w:iCs/>
          <w:lang w:val="en-GB"/>
        </w:rPr>
        <w:t>E. faecium</w:t>
      </w:r>
      <w:r w:rsidRPr="000E0216">
        <w:rPr>
          <w:lang w:val="en-GB"/>
        </w:rPr>
        <w:t>.</w:t>
      </w:r>
      <w:r w:rsidRPr="000E0216">
        <w:rPr>
          <w:vertAlign w:val="superscript"/>
          <w:lang w:val="en-GB"/>
        </w:rPr>
        <w:t>9</w:t>
      </w:r>
      <w:r w:rsidRPr="000E0216">
        <w:rPr>
          <w:lang w:val="en-GB"/>
        </w:rPr>
        <w:t xml:space="preserve"> When compared internationally, Australia continues to have higher proportions of </w:t>
      </w:r>
      <w:r w:rsidRPr="000E0216">
        <w:rPr>
          <w:i/>
          <w:iCs/>
          <w:lang w:val="en-GB"/>
        </w:rPr>
        <w:t>E. faecium</w:t>
      </w:r>
      <w:r w:rsidRPr="000E0216">
        <w:rPr>
          <w:lang w:val="en-GB"/>
        </w:rPr>
        <w:t xml:space="preserve"> that are vancomycin resistant: over the past five years, the United Kingdom observed increases in VREfm from 20.6% in 2019 to 22.4% in 2023 (</w:t>
      </w:r>
      <w:r w:rsidRPr="000E0216">
        <w:rPr>
          <w:i/>
          <w:iCs/>
          <w:lang w:val="en-GB"/>
        </w:rPr>
        <w:t>p</w:t>
      </w:r>
      <w:r w:rsidRPr="000E0216">
        <w:rPr>
          <w:lang w:val="en-GB"/>
        </w:rPr>
        <w:t xml:space="preserve"> = 0.07), and the EU/EEA population-weighted mean percentage of VREfm was 19.8% in 2023; however, national percentages of VRE across the EU/EEA ranged from 0.0% to 60.9%.</w:t>
      </w:r>
      <w:r w:rsidRPr="000E0216">
        <w:rPr>
          <w:vertAlign w:val="superscript"/>
          <w:lang w:val="en-GB"/>
        </w:rPr>
        <w:t>29,30</w:t>
      </w:r>
      <w:r w:rsidRPr="000E0216">
        <w:rPr>
          <w:lang w:val="en-GB"/>
        </w:rPr>
        <w:t xml:space="preserve"> As well as increasing resistance to vancomycin, there was an increase in the proportion of MDR enterococci in both adults and children in Australia. As </w:t>
      </w:r>
      <w:r w:rsidRPr="000E0216">
        <w:rPr>
          <w:i/>
          <w:iCs/>
          <w:lang w:val="en-GB"/>
        </w:rPr>
        <w:t>Enterococcus</w:t>
      </w:r>
      <w:r w:rsidRPr="000E0216">
        <w:rPr>
          <w:lang w:val="en-GB"/>
        </w:rPr>
        <w:t xml:space="preserve"> spp. have intrinsic resistance to several antimicrobial classes, increasing resistance to the few antimicrobial agents available to treat enterococcal BSIs poses a critical threat. </w:t>
      </w:r>
    </w:p>
    <w:p w14:paraId="3C4CBF95" w14:textId="67F3259F" w:rsidR="00FE2847" w:rsidRDefault="008017B6" w:rsidP="008017B6">
      <w:pPr>
        <w:pStyle w:val="Heading1"/>
      </w:pPr>
      <w:bookmarkStart w:id="37" w:name="_Toc213228007"/>
      <w:bookmarkEnd w:id="35"/>
      <w:bookmarkEnd w:id="36"/>
      <w:r>
        <w:lastRenderedPageBreak/>
        <w:t>Conclusion</w:t>
      </w:r>
      <w:r w:rsidR="000E0216">
        <w:t>s</w:t>
      </w:r>
      <w:bookmarkEnd w:id="37"/>
    </w:p>
    <w:p w14:paraId="675E8786" w14:textId="6C5C7402" w:rsidR="008017B6" w:rsidRPr="008017B6" w:rsidRDefault="000E0216" w:rsidP="008017B6">
      <w:r w:rsidRPr="000E0216">
        <w:rPr>
          <w:lang w:val="en-GB"/>
        </w:rPr>
        <w:t xml:space="preserve">The 2022–2023 AGAR Kids Biennial Report shows relative stability in the AMR landscape within the Australian paediatric population, with few significant differences detected when compared to the 2020–2021 report. From BSIs in children and adolescents during 2022–2023, there have been small increases in the proportions of resistant Enterobacterales and </w:t>
      </w:r>
      <w:r w:rsidRPr="000E0216">
        <w:rPr>
          <w:i/>
          <w:iCs/>
          <w:lang w:val="en-GB"/>
        </w:rPr>
        <w:t>Enterococcus</w:t>
      </w:r>
      <w:r w:rsidRPr="000E0216">
        <w:rPr>
          <w:lang w:val="en-GB"/>
        </w:rPr>
        <w:t xml:space="preserve"> spp. isolates reported, whilst resistance in </w:t>
      </w:r>
      <w:r w:rsidRPr="000E0216">
        <w:rPr>
          <w:i/>
          <w:iCs/>
          <w:lang w:val="en-GB"/>
        </w:rPr>
        <w:t>S. aureus</w:t>
      </w:r>
      <w:r w:rsidRPr="000E0216">
        <w:rPr>
          <w:lang w:val="en-GB"/>
        </w:rPr>
        <w:t xml:space="preserve"> has remained stable. The lifting of public health restrictions and the increase in international travel may have impacted the epidemiology of BSIs and antimicrobial resistance patterns in the paediatric AGAR population during 2022–2023. The second edition of the AGAR Kids Biennial report reiterates the importance of reporting age-delimited data in AMR surveillance reports, with distinct differences observed not only between adults and children, but amid age groups.</w:t>
      </w:r>
    </w:p>
    <w:p w14:paraId="30821C10" w14:textId="77777777" w:rsidR="00F216F0" w:rsidRDefault="00F216F0" w:rsidP="00F216F0">
      <w:pPr>
        <w:pStyle w:val="Heading1"/>
      </w:pPr>
      <w:bookmarkStart w:id="38" w:name="_Toc195530510"/>
      <w:bookmarkStart w:id="39" w:name="_Toc213228008"/>
      <w:bookmarkStart w:id="40" w:name="_Toc195530508"/>
      <w:r>
        <w:lastRenderedPageBreak/>
        <w:t>Acknowledgments</w:t>
      </w:r>
      <w:bookmarkEnd w:id="38"/>
      <w:bookmarkEnd w:id="39"/>
    </w:p>
    <w:p w14:paraId="5AC3C480" w14:textId="77777777" w:rsidR="000E0216" w:rsidRPr="000E0216" w:rsidRDefault="000E0216" w:rsidP="000E0216">
      <w:pPr>
        <w:rPr>
          <w:lang w:val="en-GB"/>
        </w:rPr>
      </w:pPr>
      <w:r w:rsidRPr="000E0216">
        <w:rPr>
          <w:lang w:val="en-GB"/>
        </w:rPr>
        <w:t>This report was the work of the AGAR Kids committee and was funded by the Australian Government Department of Health, Disability and Ageing. The AGAR Kids committee would like to thank the participants to the AGAR surveillance program in 2022/2023:</w:t>
      </w:r>
    </w:p>
    <w:p w14:paraId="23563825" w14:textId="77777777" w:rsidR="000E0216" w:rsidRPr="000E0216" w:rsidRDefault="000E0216" w:rsidP="007C505C">
      <w:pPr>
        <w:spacing w:before="240"/>
        <w:rPr>
          <w:b/>
          <w:bCs/>
          <w:lang w:val="en-GB"/>
        </w:rPr>
      </w:pPr>
      <w:r w:rsidRPr="000E0216">
        <w:rPr>
          <w:b/>
          <w:bCs/>
          <w:lang w:val="en-GB"/>
        </w:rPr>
        <w:t>Australian Capital Territory</w:t>
      </w:r>
    </w:p>
    <w:p w14:paraId="3DB4AE85" w14:textId="77777777" w:rsidR="000E0216" w:rsidRPr="000E0216" w:rsidRDefault="000E0216" w:rsidP="000E0216">
      <w:pPr>
        <w:rPr>
          <w:lang w:val="en-GB"/>
        </w:rPr>
      </w:pPr>
      <w:r w:rsidRPr="000E0216">
        <w:rPr>
          <w:lang w:val="en-GB"/>
        </w:rPr>
        <w:t xml:space="preserve">Peter Collignon and Susan Bradbury – The Canberra Hospital </w:t>
      </w:r>
    </w:p>
    <w:p w14:paraId="5797FE4E" w14:textId="77777777" w:rsidR="000E0216" w:rsidRPr="000E0216" w:rsidRDefault="000E0216" w:rsidP="007C505C">
      <w:pPr>
        <w:spacing w:before="240"/>
        <w:rPr>
          <w:b/>
          <w:bCs/>
          <w:lang w:val="en-GB"/>
        </w:rPr>
      </w:pPr>
      <w:r w:rsidRPr="000E0216">
        <w:rPr>
          <w:b/>
          <w:bCs/>
          <w:lang w:val="en-GB"/>
        </w:rPr>
        <w:t xml:space="preserve">New South Wales </w:t>
      </w:r>
    </w:p>
    <w:p w14:paraId="7D03D5F1" w14:textId="77777777" w:rsidR="000E0216" w:rsidRPr="000E0216" w:rsidRDefault="000E0216" w:rsidP="000E0216">
      <w:pPr>
        <w:rPr>
          <w:lang w:val="en-GB"/>
        </w:rPr>
      </w:pPr>
      <w:r w:rsidRPr="000E0216">
        <w:rPr>
          <w:lang w:val="en-GB"/>
        </w:rPr>
        <w:t xml:space="preserve">Alison Kesson and Andrew Jarrett – Children’s Hospital Westmead </w:t>
      </w:r>
    </w:p>
    <w:p w14:paraId="17337610" w14:textId="77777777" w:rsidR="000E0216" w:rsidRPr="000E0216" w:rsidRDefault="000E0216" w:rsidP="000E0216">
      <w:pPr>
        <w:pStyle w:val="Normal-lessspace"/>
      </w:pPr>
      <w:r w:rsidRPr="000E0216">
        <w:t xml:space="preserve">Thomas Gottlieb and John Huynh – Concord Hospital </w:t>
      </w:r>
    </w:p>
    <w:p w14:paraId="2C4512DD" w14:textId="77777777" w:rsidR="000E0216" w:rsidRPr="000E0216" w:rsidRDefault="000E0216" w:rsidP="000E0216">
      <w:pPr>
        <w:pStyle w:val="Normal-lessspace"/>
      </w:pPr>
      <w:r w:rsidRPr="000E0216">
        <w:t xml:space="preserve">Gabrielle O’Kane and Nola </w:t>
      </w:r>
      <w:proofErr w:type="spellStart"/>
      <w:r w:rsidRPr="000E0216">
        <w:t>Hitchick</w:t>
      </w:r>
      <w:proofErr w:type="spellEnd"/>
      <w:r w:rsidRPr="000E0216">
        <w:t xml:space="preserve"> – Gosford Hospital</w:t>
      </w:r>
    </w:p>
    <w:p w14:paraId="70F173F6" w14:textId="77777777" w:rsidR="000E0216" w:rsidRPr="000E0216" w:rsidRDefault="000E0216" w:rsidP="000E0216">
      <w:pPr>
        <w:pStyle w:val="Normal-lessspace"/>
      </w:pPr>
      <w:r w:rsidRPr="000E0216">
        <w:t xml:space="preserve">Hemalatha Varadhan and Bree Harris – John Hunter Hospital </w:t>
      </w:r>
    </w:p>
    <w:p w14:paraId="79FA8FBC" w14:textId="77777777" w:rsidR="000E0216" w:rsidRPr="000E0216" w:rsidRDefault="000E0216" w:rsidP="000E0216">
      <w:pPr>
        <w:pStyle w:val="Normal-lessspace"/>
      </w:pPr>
      <w:r w:rsidRPr="000E0216">
        <w:t xml:space="preserve">Michael Maley and Helen Ziochos – Liverpool Hospital </w:t>
      </w:r>
    </w:p>
    <w:p w14:paraId="1C692ABE" w14:textId="77777777" w:rsidR="000E0216" w:rsidRPr="000E0216" w:rsidRDefault="000E0216" w:rsidP="000E0216">
      <w:pPr>
        <w:pStyle w:val="Normal-lessspace"/>
      </w:pPr>
      <w:r w:rsidRPr="000E0216">
        <w:t xml:space="preserve">James Branley and Linda Douglass – Nepean Hospital </w:t>
      </w:r>
    </w:p>
    <w:p w14:paraId="09996FDA" w14:textId="77777777" w:rsidR="000E0216" w:rsidRPr="000E0216" w:rsidRDefault="000E0216" w:rsidP="000E0216">
      <w:pPr>
        <w:pStyle w:val="Normal-lessspace"/>
      </w:pPr>
      <w:r w:rsidRPr="000E0216">
        <w:t>Monica Lahra and Peter Huntington – Prince of Wales Hospital</w:t>
      </w:r>
    </w:p>
    <w:p w14:paraId="5E64B3D8" w14:textId="77777777" w:rsidR="000E0216" w:rsidRPr="000E0216" w:rsidRDefault="000E0216" w:rsidP="000E0216">
      <w:pPr>
        <w:pStyle w:val="Normal-lessspace"/>
      </w:pPr>
      <w:r w:rsidRPr="000E0216">
        <w:t xml:space="preserve">Angela Wong – Royal North Shore Hospital </w:t>
      </w:r>
    </w:p>
    <w:p w14:paraId="58544168" w14:textId="77777777" w:rsidR="000E0216" w:rsidRPr="000E0216" w:rsidRDefault="000E0216" w:rsidP="000E0216">
      <w:pPr>
        <w:pStyle w:val="Normal-lessspace"/>
      </w:pPr>
      <w:r w:rsidRPr="000E0216">
        <w:t>Sebastiaan van Hal and Thomas Le – Royal Prince Alfred Hospital</w:t>
      </w:r>
    </w:p>
    <w:p w14:paraId="335E07C0" w14:textId="77777777" w:rsidR="000E0216" w:rsidRPr="000E0216" w:rsidRDefault="000E0216" w:rsidP="000E0216">
      <w:pPr>
        <w:pStyle w:val="Normal-lessspace"/>
      </w:pPr>
      <w:r w:rsidRPr="000E0216">
        <w:t xml:space="preserve">David Lorenz – St Vincent’s Hospital </w:t>
      </w:r>
    </w:p>
    <w:p w14:paraId="395C29D7" w14:textId="77777777" w:rsidR="000E0216" w:rsidRPr="000E0216" w:rsidRDefault="000E0216" w:rsidP="000E0216">
      <w:pPr>
        <w:pStyle w:val="Normal-lessspace"/>
      </w:pPr>
      <w:r w:rsidRPr="000E0216">
        <w:t xml:space="preserve">Monica Lahra and Peter Huntington – Sydney Children’s Hospital </w:t>
      </w:r>
    </w:p>
    <w:p w14:paraId="1FBDF5D3" w14:textId="77777777" w:rsidR="000E0216" w:rsidRPr="000E0216" w:rsidRDefault="000E0216" w:rsidP="000E0216">
      <w:pPr>
        <w:pStyle w:val="Normal-lessspace"/>
      </w:pPr>
      <w:r w:rsidRPr="000E0216">
        <w:t xml:space="preserve">Jon Iredell and Andrew Ginn – Westmead Hospital </w:t>
      </w:r>
    </w:p>
    <w:p w14:paraId="558C5586" w14:textId="77777777" w:rsidR="000E0216" w:rsidRPr="000E0216" w:rsidRDefault="000E0216" w:rsidP="000E0216">
      <w:pPr>
        <w:pStyle w:val="Normal-lessspace"/>
      </w:pPr>
      <w:r w:rsidRPr="000E0216">
        <w:t xml:space="preserve">Peter Newton and Melissa Hoddle – Wollongong Hospital </w:t>
      </w:r>
    </w:p>
    <w:p w14:paraId="03B9E687" w14:textId="77777777" w:rsidR="000E0216" w:rsidRPr="000E0216" w:rsidRDefault="000E0216" w:rsidP="007C505C">
      <w:pPr>
        <w:spacing w:before="240"/>
        <w:rPr>
          <w:b/>
          <w:bCs/>
          <w:lang w:val="en-GB"/>
        </w:rPr>
      </w:pPr>
      <w:r w:rsidRPr="000E0216">
        <w:rPr>
          <w:b/>
          <w:bCs/>
          <w:lang w:val="en-GB"/>
        </w:rPr>
        <w:t xml:space="preserve">Northern Territory </w:t>
      </w:r>
    </w:p>
    <w:p w14:paraId="0DCD6B4A" w14:textId="77777777" w:rsidR="000E0216" w:rsidRPr="000E0216" w:rsidRDefault="000E0216" w:rsidP="000E0216">
      <w:pPr>
        <w:rPr>
          <w:lang w:val="en-GB"/>
        </w:rPr>
      </w:pPr>
      <w:r w:rsidRPr="000E0216">
        <w:rPr>
          <w:lang w:val="en-GB"/>
        </w:rPr>
        <w:t xml:space="preserve">James McLeod – Alice Springs Hospital </w:t>
      </w:r>
    </w:p>
    <w:p w14:paraId="1C99A9BC" w14:textId="77777777" w:rsidR="000E0216" w:rsidRPr="000E0216" w:rsidRDefault="000E0216" w:rsidP="007C505C">
      <w:pPr>
        <w:pStyle w:val="Normal-lessspace"/>
      </w:pPr>
      <w:r w:rsidRPr="000E0216">
        <w:t xml:space="preserve">Rob Baird and Jann Hennessy – Royal Darwin Hospital </w:t>
      </w:r>
    </w:p>
    <w:p w14:paraId="4E115F72" w14:textId="77777777" w:rsidR="000E0216" w:rsidRPr="000E0216" w:rsidRDefault="000E0216" w:rsidP="007C505C">
      <w:pPr>
        <w:spacing w:before="240"/>
        <w:rPr>
          <w:b/>
          <w:bCs/>
          <w:lang w:val="en-GB"/>
        </w:rPr>
      </w:pPr>
      <w:r w:rsidRPr="000E0216">
        <w:rPr>
          <w:b/>
          <w:bCs/>
          <w:lang w:val="en-GB"/>
        </w:rPr>
        <w:t xml:space="preserve">Queensland </w:t>
      </w:r>
    </w:p>
    <w:p w14:paraId="0B878391" w14:textId="77777777" w:rsidR="000E0216" w:rsidRPr="000E0216" w:rsidRDefault="000E0216" w:rsidP="000E0216">
      <w:pPr>
        <w:rPr>
          <w:lang w:val="en-GB"/>
        </w:rPr>
      </w:pPr>
      <w:r w:rsidRPr="000E0216">
        <w:rPr>
          <w:lang w:val="en-GB"/>
        </w:rPr>
        <w:t>Enzo Binotto and Annika Klein – Cairns Base Hospital</w:t>
      </w:r>
    </w:p>
    <w:p w14:paraId="68CEFB69" w14:textId="77777777" w:rsidR="000E0216" w:rsidRPr="000E0216" w:rsidRDefault="000E0216" w:rsidP="007C505C">
      <w:pPr>
        <w:pStyle w:val="Normal-lessspace"/>
      </w:pPr>
      <w:r w:rsidRPr="000E0216">
        <w:t>Petra Derrington and Cheryl Curtis – Gold Coast University Hospital</w:t>
      </w:r>
    </w:p>
    <w:p w14:paraId="678FCBA6" w14:textId="77777777" w:rsidR="000E0216" w:rsidRPr="000E0216" w:rsidRDefault="000E0216" w:rsidP="007C505C">
      <w:pPr>
        <w:pStyle w:val="Normal-lessspace"/>
      </w:pPr>
      <w:r w:rsidRPr="000E0216">
        <w:t xml:space="preserve">Jennifer Robson and Marianne Allen – </w:t>
      </w:r>
      <w:proofErr w:type="spellStart"/>
      <w:r w:rsidRPr="000E0216">
        <w:t>Greenslopes</w:t>
      </w:r>
      <w:proofErr w:type="spellEnd"/>
      <w:r w:rsidRPr="000E0216">
        <w:t xml:space="preserve"> Private Hospital and Mater Private Hospital</w:t>
      </w:r>
    </w:p>
    <w:p w14:paraId="12849DB6" w14:textId="77777777" w:rsidR="000E0216" w:rsidRPr="000E0216" w:rsidRDefault="000E0216" w:rsidP="007C505C">
      <w:pPr>
        <w:pStyle w:val="Normal-lessspace"/>
      </w:pPr>
      <w:r w:rsidRPr="000E0216">
        <w:t xml:space="preserve">Robert Horvath – Prince Charles Hospital </w:t>
      </w:r>
    </w:p>
    <w:p w14:paraId="04A31302" w14:textId="77777777" w:rsidR="000E0216" w:rsidRPr="000E0216" w:rsidRDefault="000E0216" w:rsidP="007C505C">
      <w:pPr>
        <w:pStyle w:val="Normal-lessspace"/>
      </w:pPr>
      <w:r w:rsidRPr="000E0216">
        <w:t xml:space="preserve">Naomi </w:t>
      </w:r>
      <w:proofErr w:type="spellStart"/>
      <w:r w:rsidRPr="000E0216">
        <w:t>Runnegar</w:t>
      </w:r>
      <w:proofErr w:type="spellEnd"/>
      <w:r w:rsidRPr="000E0216">
        <w:t xml:space="preserve"> and Joel Douglas – Princess Alexandra Hospital </w:t>
      </w:r>
    </w:p>
    <w:p w14:paraId="7F1CD691" w14:textId="77777777" w:rsidR="000E0216" w:rsidRPr="000E0216" w:rsidRDefault="000E0216" w:rsidP="007C505C">
      <w:pPr>
        <w:pStyle w:val="Normal-lessspace"/>
      </w:pPr>
      <w:r w:rsidRPr="000E0216">
        <w:t>Clare Nourse and Narelle George – Queensland Children’s Hospital</w:t>
      </w:r>
    </w:p>
    <w:p w14:paraId="10606447" w14:textId="77777777" w:rsidR="000E0216" w:rsidRPr="000E0216" w:rsidRDefault="000E0216" w:rsidP="007C505C">
      <w:pPr>
        <w:pStyle w:val="Normal-lessspace"/>
      </w:pPr>
      <w:r w:rsidRPr="000E0216">
        <w:t>Claire Heney and Narelle George – Royal Brisbane and Women’s Hospital</w:t>
      </w:r>
    </w:p>
    <w:p w14:paraId="5CF3A4F9" w14:textId="77777777" w:rsidR="000E0216" w:rsidRPr="000E0216" w:rsidRDefault="000E0216" w:rsidP="007C505C">
      <w:pPr>
        <w:keepNext/>
        <w:spacing w:before="240"/>
        <w:rPr>
          <w:b/>
          <w:bCs/>
          <w:lang w:val="en-GB"/>
        </w:rPr>
      </w:pPr>
      <w:r w:rsidRPr="000E0216">
        <w:rPr>
          <w:b/>
          <w:bCs/>
          <w:lang w:val="en-GB"/>
        </w:rPr>
        <w:lastRenderedPageBreak/>
        <w:t xml:space="preserve">South Australia </w:t>
      </w:r>
    </w:p>
    <w:p w14:paraId="0A0CD29B" w14:textId="77777777" w:rsidR="000E0216" w:rsidRPr="000E0216" w:rsidRDefault="000E0216" w:rsidP="000E0216">
      <w:pPr>
        <w:rPr>
          <w:lang w:val="en-GB"/>
        </w:rPr>
      </w:pPr>
      <w:r w:rsidRPr="000E0216">
        <w:rPr>
          <w:lang w:val="en-GB"/>
        </w:rPr>
        <w:t xml:space="preserve">Kelly </w:t>
      </w:r>
      <w:proofErr w:type="spellStart"/>
      <w:r w:rsidRPr="000E0216">
        <w:rPr>
          <w:lang w:val="en-GB"/>
        </w:rPr>
        <w:t>Papanaoum</w:t>
      </w:r>
      <w:proofErr w:type="spellEnd"/>
      <w:r w:rsidRPr="000E0216">
        <w:rPr>
          <w:lang w:val="en-GB"/>
        </w:rPr>
        <w:t xml:space="preserve"> and Xiao Ming Chen – Flinders Medical Centre</w:t>
      </w:r>
    </w:p>
    <w:p w14:paraId="28F8383C" w14:textId="77777777" w:rsidR="000E0216" w:rsidRPr="000E0216" w:rsidRDefault="000E0216" w:rsidP="007C505C">
      <w:pPr>
        <w:pStyle w:val="Normal-lessspace"/>
      </w:pPr>
      <w:r w:rsidRPr="000E0216">
        <w:t>Morgyn Warner and Kija Smith – Royal Adelaide Hospital and Women’s and Children’s Hospital</w:t>
      </w:r>
    </w:p>
    <w:p w14:paraId="55922AEA" w14:textId="77777777" w:rsidR="000E0216" w:rsidRPr="000E0216" w:rsidRDefault="000E0216" w:rsidP="007C505C">
      <w:pPr>
        <w:spacing w:before="240"/>
        <w:rPr>
          <w:b/>
          <w:bCs/>
          <w:lang w:val="en-GB"/>
        </w:rPr>
      </w:pPr>
      <w:r w:rsidRPr="000E0216">
        <w:rPr>
          <w:b/>
          <w:bCs/>
          <w:lang w:val="en-GB"/>
        </w:rPr>
        <w:t xml:space="preserve">Tasmania </w:t>
      </w:r>
    </w:p>
    <w:p w14:paraId="63853A08" w14:textId="77777777" w:rsidR="000E0216" w:rsidRPr="000E0216" w:rsidRDefault="000E0216" w:rsidP="000E0216">
      <w:pPr>
        <w:rPr>
          <w:lang w:val="en-GB"/>
        </w:rPr>
      </w:pPr>
      <w:r w:rsidRPr="000E0216">
        <w:rPr>
          <w:lang w:val="en-GB"/>
        </w:rPr>
        <w:t xml:space="preserve">Pankaja </w:t>
      </w:r>
      <w:proofErr w:type="spellStart"/>
      <w:r w:rsidRPr="000E0216">
        <w:rPr>
          <w:lang w:val="en-GB"/>
        </w:rPr>
        <w:t>Kalukottege</w:t>
      </w:r>
      <w:proofErr w:type="spellEnd"/>
      <w:r w:rsidRPr="000E0216">
        <w:rPr>
          <w:lang w:val="en-GB"/>
        </w:rPr>
        <w:t xml:space="preserve">, Kathy Wilcox, and Brooke Woolley – Launceston General Hospital </w:t>
      </w:r>
    </w:p>
    <w:p w14:paraId="09103BBF" w14:textId="77777777" w:rsidR="000E0216" w:rsidRPr="000E0216" w:rsidRDefault="000E0216" w:rsidP="007C505C">
      <w:pPr>
        <w:pStyle w:val="Normal-lessspace"/>
      </w:pPr>
      <w:r w:rsidRPr="000E0216">
        <w:t xml:space="preserve">Louise Cooley and David Jones – Royal Hobart Hospital </w:t>
      </w:r>
    </w:p>
    <w:p w14:paraId="4ED0C502" w14:textId="77777777" w:rsidR="000E0216" w:rsidRPr="000E0216" w:rsidRDefault="000E0216" w:rsidP="007C505C">
      <w:pPr>
        <w:spacing w:before="240"/>
        <w:rPr>
          <w:b/>
          <w:bCs/>
          <w:lang w:val="en-GB"/>
        </w:rPr>
      </w:pPr>
      <w:r w:rsidRPr="000E0216">
        <w:rPr>
          <w:b/>
          <w:bCs/>
          <w:lang w:val="en-GB"/>
        </w:rPr>
        <w:t xml:space="preserve">Victoria </w:t>
      </w:r>
    </w:p>
    <w:p w14:paraId="3A22C787" w14:textId="77777777" w:rsidR="000E0216" w:rsidRPr="000E0216" w:rsidRDefault="000E0216" w:rsidP="000E0216">
      <w:pPr>
        <w:rPr>
          <w:lang w:val="en-GB"/>
        </w:rPr>
      </w:pPr>
      <w:r w:rsidRPr="000E0216">
        <w:rPr>
          <w:lang w:val="en-GB"/>
        </w:rPr>
        <w:t xml:space="preserve">Adam Jenney and Jacqueline Williams – The Alfred Hospital </w:t>
      </w:r>
    </w:p>
    <w:p w14:paraId="634D4BCD" w14:textId="77777777" w:rsidR="000E0216" w:rsidRPr="000E0216" w:rsidRDefault="000E0216" w:rsidP="007C505C">
      <w:pPr>
        <w:pStyle w:val="Normal-lessspace"/>
      </w:pPr>
      <w:r w:rsidRPr="000E0216">
        <w:t xml:space="preserve">Marcel Leroi and Elizabeth Grabsch – Austin Health </w:t>
      </w:r>
    </w:p>
    <w:p w14:paraId="2761D56F" w14:textId="77777777" w:rsidR="000E0216" w:rsidRPr="000E0216" w:rsidRDefault="000E0216" w:rsidP="007C505C">
      <w:pPr>
        <w:pStyle w:val="Normal-lessspace"/>
      </w:pPr>
      <w:r w:rsidRPr="000E0216">
        <w:t>Tony Korman and Kathryn Cisera – Dandenong Hospital</w:t>
      </w:r>
    </w:p>
    <w:p w14:paraId="6F45D49E" w14:textId="77777777" w:rsidR="000E0216" w:rsidRPr="000E0216" w:rsidRDefault="000E0216" w:rsidP="007C505C">
      <w:pPr>
        <w:pStyle w:val="Normal-lessspace"/>
      </w:pPr>
      <w:r w:rsidRPr="000E0216">
        <w:t xml:space="preserve">Tony Korman and Despina </w:t>
      </w:r>
      <w:proofErr w:type="spellStart"/>
      <w:r w:rsidRPr="000E0216">
        <w:t>Kotsanas</w:t>
      </w:r>
      <w:proofErr w:type="spellEnd"/>
      <w:r w:rsidRPr="000E0216">
        <w:t xml:space="preserve"> – Monash Medical Centre and Monash Children’s Hospital </w:t>
      </w:r>
    </w:p>
    <w:p w14:paraId="64FAB4AC" w14:textId="77777777" w:rsidR="000E0216" w:rsidRPr="000E0216" w:rsidRDefault="000E0216" w:rsidP="007C505C">
      <w:pPr>
        <w:pStyle w:val="Normal-lessspace"/>
      </w:pPr>
      <w:r w:rsidRPr="000E0216">
        <w:t xml:space="preserve">Katherine Bond and Rose </w:t>
      </w:r>
      <w:proofErr w:type="spellStart"/>
      <w:r w:rsidRPr="000E0216">
        <w:t>Cotronei</w:t>
      </w:r>
      <w:proofErr w:type="spellEnd"/>
      <w:r w:rsidRPr="000E0216">
        <w:t xml:space="preserve"> – Royal Melbourne Hospital </w:t>
      </w:r>
    </w:p>
    <w:p w14:paraId="00F20D52" w14:textId="77777777" w:rsidR="000E0216" w:rsidRPr="000E0216" w:rsidRDefault="000E0216" w:rsidP="007C505C">
      <w:pPr>
        <w:pStyle w:val="Normal-lessspace"/>
      </w:pPr>
      <w:r w:rsidRPr="000E0216">
        <w:t xml:space="preserve">Andrew Daley and Gena Gonis – Royal Women’s Hospital </w:t>
      </w:r>
    </w:p>
    <w:p w14:paraId="60F5A64E" w14:textId="77777777" w:rsidR="000E0216" w:rsidRPr="000E0216" w:rsidRDefault="000E0216" w:rsidP="007C505C">
      <w:pPr>
        <w:pStyle w:val="Normal-lessspace"/>
      </w:pPr>
      <w:r w:rsidRPr="000E0216">
        <w:t xml:space="preserve">Amy Crowe and Lisa Brenton – St Vincent’s Hospital </w:t>
      </w:r>
    </w:p>
    <w:p w14:paraId="4AF9DBEC" w14:textId="77777777" w:rsidR="000E0216" w:rsidRPr="000E0216" w:rsidRDefault="000E0216" w:rsidP="007C505C">
      <w:pPr>
        <w:spacing w:before="240"/>
        <w:rPr>
          <w:b/>
          <w:bCs/>
          <w:lang w:val="en-GB"/>
        </w:rPr>
      </w:pPr>
      <w:r w:rsidRPr="000E0216">
        <w:rPr>
          <w:b/>
          <w:bCs/>
          <w:lang w:val="en-GB"/>
        </w:rPr>
        <w:t xml:space="preserve">Western Australia </w:t>
      </w:r>
    </w:p>
    <w:p w14:paraId="6E76CD04" w14:textId="77777777" w:rsidR="000E0216" w:rsidRPr="000E0216" w:rsidRDefault="000E0216" w:rsidP="000E0216">
      <w:pPr>
        <w:rPr>
          <w:lang w:val="en-GB"/>
        </w:rPr>
      </w:pPr>
      <w:r w:rsidRPr="000E0216">
        <w:rPr>
          <w:lang w:val="en-GB"/>
        </w:rPr>
        <w:t>Denise Daley and Shakeel Mowlaboccus – Fiona Stanley Hospital</w:t>
      </w:r>
    </w:p>
    <w:p w14:paraId="5EA3FBF3" w14:textId="77777777" w:rsidR="000E0216" w:rsidRPr="000E0216" w:rsidRDefault="000E0216" w:rsidP="007C505C">
      <w:pPr>
        <w:pStyle w:val="Normal-lessspace"/>
      </w:pPr>
      <w:r w:rsidRPr="000E0216">
        <w:t xml:space="preserve">Shalinie Perera and Ian Meyer – Joondalup Hospital </w:t>
      </w:r>
    </w:p>
    <w:p w14:paraId="54058FE3" w14:textId="77777777" w:rsidR="000E0216" w:rsidRPr="000E0216" w:rsidRDefault="000E0216" w:rsidP="007C505C">
      <w:pPr>
        <w:pStyle w:val="Normal-lessspace"/>
      </w:pPr>
      <w:r w:rsidRPr="000E0216">
        <w:t xml:space="preserve">Michael Leung and Jacinta Bowman – North-west WA Regional Hospitals </w:t>
      </w:r>
    </w:p>
    <w:p w14:paraId="746DE5E8" w14:textId="77777777" w:rsidR="000E0216" w:rsidRPr="000E0216" w:rsidRDefault="000E0216" w:rsidP="007C505C">
      <w:pPr>
        <w:pStyle w:val="Normal-lessspace"/>
      </w:pPr>
      <w:r w:rsidRPr="000E0216">
        <w:t>Christopher Blyth and Jacinta Bowman – Perth Children’s Hospital</w:t>
      </w:r>
    </w:p>
    <w:p w14:paraId="3719EB72" w14:textId="77777777" w:rsidR="000E0216" w:rsidRPr="000E0216" w:rsidRDefault="000E0216" w:rsidP="007C505C">
      <w:pPr>
        <w:pStyle w:val="Normal-lessspace"/>
      </w:pPr>
      <w:r w:rsidRPr="000E0216">
        <w:t xml:space="preserve">Owen Robinson and Geoffrey Coombs – Royal Perth Hospital </w:t>
      </w:r>
    </w:p>
    <w:p w14:paraId="786A391F" w14:textId="77777777" w:rsidR="000E0216" w:rsidRPr="000E0216" w:rsidRDefault="000E0216" w:rsidP="007C505C">
      <w:pPr>
        <w:pStyle w:val="Normal-lessspace"/>
      </w:pPr>
      <w:r w:rsidRPr="000E0216">
        <w:t xml:space="preserve">Ronan Murray and Jacinta Bowman – Sir Charles Gairdner Hospital </w:t>
      </w:r>
    </w:p>
    <w:p w14:paraId="0A7B595F" w14:textId="222097F3" w:rsidR="00F216F0" w:rsidRPr="008017B6" w:rsidRDefault="000E0216" w:rsidP="007C505C">
      <w:pPr>
        <w:pStyle w:val="Normal-lessspace"/>
      </w:pPr>
      <w:r w:rsidRPr="000E0216">
        <w:t xml:space="preserve">Sudha </w:t>
      </w:r>
      <w:proofErr w:type="spellStart"/>
      <w:r w:rsidRPr="000E0216">
        <w:t>Pottumarthy</w:t>
      </w:r>
      <w:proofErr w:type="spellEnd"/>
      <w:r w:rsidRPr="000E0216">
        <w:t xml:space="preserve">-Boddu and Alicia Robinson – St John of God Hospital Murdoch </w:t>
      </w:r>
    </w:p>
    <w:p w14:paraId="392056E5" w14:textId="77777777" w:rsidR="008A0736" w:rsidRDefault="008A0736" w:rsidP="008A0736">
      <w:pPr>
        <w:pStyle w:val="Heading1"/>
      </w:pPr>
      <w:bookmarkStart w:id="41" w:name="_Toc213228009"/>
      <w:r>
        <w:lastRenderedPageBreak/>
        <w:t>Author details</w:t>
      </w:r>
      <w:bookmarkEnd w:id="40"/>
      <w:bookmarkEnd w:id="41"/>
    </w:p>
    <w:p w14:paraId="7F64C383" w14:textId="77777777" w:rsidR="007C505C" w:rsidRPr="007C505C" w:rsidRDefault="007C505C" w:rsidP="007C505C">
      <w:pPr>
        <w:rPr>
          <w:lang w:val="en-GB"/>
        </w:rPr>
      </w:pPr>
      <w:r w:rsidRPr="007C505C">
        <w:rPr>
          <w:lang w:val="en-GB"/>
        </w:rPr>
        <w:t>Anita Williams,</w:t>
      </w:r>
      <w:r w:rsidRPr="007C505C">
        <w:rPr>
          <w:vertAlign w:val="superscript"/>
          <w:lang w:val="en-GB"/>
        </w:rPr>
        <w:t>1,2</w:t>
      </w:r>
      <w:r w:rsidRPr="007C505C">
        <w:rPr>
          <w:lang w:val="en-GB"/>
        </w:rPr>
        <w:t xml:space="preserve"> </w:t>
      </w:r>
    </w:p>
    <w:p w14:paraId="57AD7711" w14:textId="77777777" w:rsidR="007C505C" w:rsidRPr="007C505C" w:rsidRDefault="007C505C" w:rsidP="007C505C">
      <w:pPr>
        <w:pStyle w:val="Normal-lessspace"/>
      </w:pPr>
      <w:r w:rsidRPr="007C505C">
        <w:t>Geoffrey W Coombs,</w:t>
      </w:r>
      <w:r w:rsidRPr="007C505C">
        <w:rPr>
          <w:vertAlign w:val="superscript"/>
        </w:rPr>
        <w:t>3,4,5</w:t>
      </w:r>
      <w:r w:rsidRPr="007C505C">
        <w:t xml:space="preserve"> </w:t>
      </w:r>
    </w:p>
    <w:p w14:paraId="34BDB865" w14:textId="77777777" w:rsidR="007C505C" w:rsidRPr="007C505C" w:rsidRDefault="007C505C" w:rsidP="007C505C">
      <w:pPr>
        <w:pStyle w:val="Normal-lessspace"/>
      </w:pPr>
      <w:r w:rsidRPr="007C505C">
        <w:t>Jan M Bell,</w:t>
      </w:r>
      <w:r w:rsidRPr="007C505C">
        <w:rPr>
          <w:vertAlign w:val="superscript"/>
        </w:rPr>
        <w:t>6</w:t>
      </w:r>
      <w:r w:rsidRPr="007C505C">
        <w:t xml:space="preserve"> </w:t>
      </w:r>
    </w:p>
    <w:p w14:paraId="6D57BFC6" w14:textId="77777777" w:rsidR="007C505C" w:rsidRPr="007C505C" w:rsidRDefault="007C505C" w:rsidP="007C505C">
      <w:pPr>
        <w:pStyle w:val="Normal-lessspace"/>
      </w:pPr>
      <w:r w:rsidRPr="007C505C">
        <w:t>Denise A Daley,</w:t>
      </w:r>
      <w:r w:rsidRPr="007C505C">
        <w:rPr>
          <w:vertAlign w:val="superscript"/>
        </w:rPr>
        <w:t xml:space="preserve">4,5 </w:t>
      </w:r>
    </w:p>
    <w:p w14:paraId="5A64FAE6" w14:textId="77777777" w:rsidR="007C505C" w:rsidRPr="007C505C" w:rsidRDefault="007C505C" w:rsidP="007C505C">
      <w:pPr>
        <w:pStyle w:val="Normal-lessspace"/>
      </w:pPr>
      <w:r w:rsidRPr="007C505C">
        <w:t>Shakeel Mowlaboccus,</w:t>
      </w:r>
      <w:r w:rsidRPr="007C505C">
        <w:rPr>
          <w:vertAlign w:val="superscript"/>
        </w:rPr>
        <w:t>3,5</w:t>
      </w:r>
      <w:r w:rsidRPr="007C505C">
        <w:t xml:space="preserve"> </w:t>
      </w:r>
    </w:p>
    <w:p w14:paraId="6EFA4004" w14:textId="77777777" w:rsidR="007C505C" w:rsidRPr="007C505C" w:rsidRDefault="007C505C" w:rsidP="007C505C">
      <w:pPr>
        <w:pStyle w:val="Normal-lessspace"/>
      </w:pPr>
      <w:r w:rsidRPr="007C505C">
        <w:t>Penelope A Bryant,</w:t>
      </w:r>
      <w:r w:rsidRPr="007C505C">
        <w:rPr>
          <w:vertAlign w:val="superscript"/>
        </w:rPr>
        <w:t>7,8</w:t>
      </w:r>
      <w:r w:rsidRPr="007C505C">
        <w:t xml:space="preserve"> </w:t>
      </w:r>
    </w:p>
    <w:p w14:paraId="1176B9F7" w14:textId="77777777" w:rsidR="007C505C" w:rsidRPr="007C505C" w:rsidRDefault="007C505C" w:rsidP="007C505C">
      <w:pPr>
        <w:pStyle w:val="Normal-lessspace"/>
      </w:pPr>
      <w:r w:rsidRPr="007C505C">
        <w:t>Anita J Campbell,</w:t>
      </w:r>
      <w:r w:rsidRPr="007C505C">
        <w:rPr>
          <w:vertAlign w:val="superscript"/>
        </w:rPr>
        <w:t xml:space="preserve">1,10,11 </w:t>
      </w:r>
    </w:p>
    <w:p w14:paraId="12C8EA69" w14:textId="77777777" w:rsidR="007C505C" w:rsidRPr="007C505C" w:rsidRDefault="007C505C" w:rsidP="007C505C">
      <w:pPr>
        <w:pStyle w:val="Normal-lessspace"/>
      </w:pPr>
      <w:r w:rsidRPr="007C505C">
        <w:t>Louise Cooley,</w:t>
      </w:r>
      <w:r w:rsidRPr="007C505C">
        <w:rPr>
          <w:vertAlign w:val="superscript"/>
        </w:rPr>
        <w:t>12,13</w:t>
      </w:r>
      <w:r w:rsidRPr="007C505C">
        <w:t xml:space="preserve"> </w:t>
      </w:r>
    </w:p>
    <w:p w14:paraId="40D58208" w14:textId="77777777" w:rsidR="007C505C" w:rsidRPr="007C505C" w:rsidRDefault="007C505C" w:rsidP="007C505C">
      <w:pPr>
        <w:pStyle w:val="Normal-lessspace"/>
      </w:pPr>
      <w:r w:rsidRPr="007C505C">
        <w:t>Annaleise R Howard-Jones,</w:t>
      </w:r>
      <w:r w:rsidRPr="007C505C">
        <w:rPr>
          <w:vertAlign w:val="superscript"/>
        </w:rPr>
        <w:t>14,15</w:t>
      </w:r>
      <w:r w:rsidRPr="007C505C">
        <w:t xml:space="preserve"> </w:t>
      </w:r>
    </w:p>
    <w:p w14:paraId="59EA361C" w14:textId="77777777" w:rsidR="007C505C" w:rsidRPr="007C505C" w:rsidRDefault="007C505C" w:rsidP="007C505C">
      <w:pPr>
        <w:pStyle w:val="Normal-lessspace"/>
      </w:pPr>
      <w:r w:rsidRPr="007C505C">
        <w:t>Jon Iredell,</w:t>
      </w:r>
      <w:r w:rsidRPr="007C505C">
        <w:rPr>
          <w:vertAlign w:val="superscript"/>
        </w:rPr>
        <w:t>15-18</w:t>
      </w:r>
      <w:r w:rsidRPr="007C505C">
        <w:t xml:space="preserve"> </w:t>
      </w:r>
    </w:p>
    <w:p w14:paraId="092ABBC6" w14:textId="77777777" w:rsidR="007C505C" w:rsidRPr="007C505C" w:rsidRDefault="007C505C" w:rsidP="007C505C">
      <w:pPr>
        <w:pStyle w:val="Normal-lessspace"/>
      </w:pPr>
      <w:r w:rsidRPr="007C505C">
        <w:t>Adam D Irwin,</w:t>
      </w:r>
      <w:r w:rsidRPr="007C505C">
        <w:rPr>
          <w:vertAlign w:val="superscript"/>
        </w:rPr>
        <w:t>19,20</w:t>
      </w:r>
      <w:r w:rsidRPr="007C505C">
        <w:t xml:space="preserve"> </w:t>
      </w:r>
    </w:p>
    <w:p w14:paraId="4772481C" w14:textId="77777777" w:rsidR="007C505C" w:rsidRPr="007C505C" w:rsidRDefault="007C505C" w:rsidP="007C505C">
      <w:pPr>
        <w:pStyle w:val="Normal-lessspace"/>
      </w:pPr>
      <w:r w:rsidRPr="007C505C">
        <w:t>Brendan McMullan,</w:t>
      </w:r>
      <w:r w:rsidRPr="007C505C">
        <w:rPr>
          <w:vertAlign w:val="superscript"/>
        </w:rPr>
        <w:t>21,22</w:t>
      </w:r>
      <w:r w:rsidRPr="007C505C">
        <w:t xml:space="preserve"> </w:t>
      </w:r>
    </w:p>
    <w:p w14:paraId="06454852" w14:textId="77777777" w:rsidR="007C505C" w:rsidRPr="007C505C" w:rsidRDefault="007C505C" w:rsidP="007C505C">
      <w:pPr>
        <w:pStyle w:val="Normal-lessspace"/>
      </w:pPr>
      <w:r w:rsidRPr="007C505C">
        <w:t>Morgyn S Warner,</w:t>
      </w:r>
      <w:r w:rsidRPr="007C505C">
        <w:rPr>
          <w:vertAlign w:val="superscript"/>
        </w:rPr>
        <w:t>23,24</w:t>
      </w:r>
      <w:r w:rsidRPr="007C505C">
        <w:t xml:space="preserve"> </w:t>
      </w:r>
    </w:p>
    <w:p w14:paraId="2AF425B7" w14:textId="77777777" w:rsidR="007C505C" w:rsidRPr="007C505C" w:rsidRDefault="007C505C" w:rsidP="007C505C">
      <w:pPr>
        <w:pStyle w:val="Normal-lessspace"/>
      </w:pPr>
      <w:r w:rsidRPr="007C505C">
        <w:t>Phoebe CM Williams,</w:t>
      </w:r>
      <w:r w:rsidRPr="007C505C">
        <w:rPr>
          <w:vertAlign w:val="superscript"/>
        </w:rPr>
        <w:t>15,21,22,25</w:t>
      </w:r>
      <w:r w:rsidRPr="007C505C">
        <w:t xml:space="preserve"> </w:t>
      </w:r>
    </w:p>
    <w:p w14:paraId="7357B299" w14:textId="77777777" w:rsidR="007C505C" w:rsidRPr="007C505C" w:rsidRDefault="007C505C" w:rsidP="007C505C">
      <w:pPr>
        <w:pStyle w:val="Normal-lessspace"/>
      </w:pPr>
      <w:r w:rsidRPr="007C505C">
        <w:t>Christopher C Blyth</w:t>
      </w:r>
      <w:r w:rsidRPr="007C505C">
        <w:rPr>
          <w:vertAlign w:val="superscript"/>
        </w:rPr>
        <w:t>1,10,11,26</w:t>
      </w:r>
    </w:p>
    <w:p w14:paraId="066B7E9D" w14:textId="77777777" w:rsidR="007C505C" w:rsidRPr="007C505C" w:rsidRDefault="007C505C" w:rsidP="007C505C">
      <w:pPr>
        <w:pStyle w:val="CDINumberedList1L1"/>
        <w:rPr>
          <w:lang w:val="en-GB"/>
        </w:rPr>
      </w:pPr>
      <w:r w:rsidRPr="007C505C">
        <w:rPr>
          <w:lang w:val="en-GB"/>
        </w:rPr>
        <w:t>Wesfarmers Centre of Vaccines and Infectious Diseases, The Kids Research Institute Australia, Nedlands, WA</w:t>
      </w:r>
    </w:p>
    <w:p w14:paraId="64E4F738" w14:textId="77777777" w:rsidR="007C505C" w:rsidRPr="007C505C" w:rsidRDefault="007C505C" w:rsidP="007C505C">
      <w:pPr>
        <w:pStyle w:val="CDINumberedList1L1"/>
        <w:rPr>
          <w:lang w:val="en-GB"/>
        </w:rPr>
      </w:pPr>
      <w:r w:rsidRPr="007C505C">
        <w:rPr>
          <w:lang w:val="en-GB"/>
        </w:rPr>
        <w:t>UWA Centre for Child Health Research, School of Medicine, University of Western Australia, Nedlands, WA</w:t>
      </w:r>
    </w:p>
    <w:p w14:paraId="3EED034C" w14:textId="77777777" w:rsidR="007C505C" w:rsidRPr="007C505C" w:rsidRDefault="007C505C" w:rsidP="007C505C">
      <w:pPr>
        <w:pStyle w:val="CDINumberedList1L1"/>
        <w:rPr>
          <w:lang w:val="en-GB"/>
        </w:rPr>
      </w:pPr>
      <w:r w:rsidRPr="007C505C">
        <w:rPr>
          <w:lang w:val="en-GB"/>
        </w:rPr>
        <w:t>School of Medical, Molecular and Forensic Sciences, Murdoch University, Murdoch, WA</w:t>
      </w:r>
    </w:p>
    <w:p w14:paraId="25A4604A" w14:textId="77777777" w:rsidR="007C505C" w:rsidRPr="007C505C" w:rsidRDefault="007C505C" w:rsidP="007C505C">
      <w:pPr>
        <w:pStyle w:val="CDINumberedList1L1"/>
        <w:rPr>
          <w:lang w:val="en-GB"/>
        </w:rPr>
      </w:pPr>
      <w:r w:rsidRPr="007C505C">
        <w:rPr>
          <w:lang w:val="en-GB"/>
        </w:rPr>
        <w:t>Department of Microbiology, PathWest Laboratory Medicine WA, Fiona Stanley Hospital, Murdoch, WA</w:t>
      </w:r>
    </w:p>
    <w:p w14:paraId="2E0EBD04" w14:textId="77777777" w:rsidR="007C505C" w:rsidRPr="007C505C" w:rsidRDefault="007C505C" w:rsidP="007C505C">
      <w:pPr>
        <w:pStyle w:val="CDINumberedList1L1"/>
        <w:rPr>
          <w:lang w:val="en-GB"/>
        </w:rPr>
      </w:pPr>
      <w:r w:rsidRPr="007C505C">
        <w:rPr>
          <w:lang w:val="en-GB"/>
        </w:rPr>
        <w:t>Australian Group on Antimicrobial Resistance, Fiona Stanley Hospital, Murdoch, WA</w:t>
      </w:r>
    </w:p>
    <w:p w14:paraId="06761CE5" w14:textId="77777777" w:rsidR="007C505C" w:rsidRPr="007C505C" w:rsidRDefault="007C505C" w:rsidP="007C505C">
      <w:pPr>
        <w:pStyle w:val="CDINumberedList1L1"/>
        <w:rPr>
          <w:lang w:val="en-GB"/>
        </w:rPr>
      </w:pPr>
      <w:r w:rsidRPr="007C505C">
        <w:rPr>
          <w:lang w:val="en-GB"/>
        </w:rPr>
        <w:t>Australian Group on Antimicrobial Resistance, Adelaide, SA</w:t>
      </w:r>
    </w:p>
    <w:p w14:paraId="7C3F39E1" w14:textId="77777777" w:rsidR="007C505C" w:rsidRPr="007C505C" w:rsidRDefault="007C505C" w:rsidP="007C505C">
      <w:pPr>
        <w:pStyle w:val="CDINumberedList1L1"/>
        <w:rPr>
          <w:lang w:val="en-GB"/>
        </w:rPr>
      </w:pPr>
      <w:r w:rsidRPr="007C505C">
        <w:rPr>
          <w:lang w:val="en-GB"/>
        </w:rPr>
        <w:t>Infectious Diseases, The Royal Children's Hospital Melbourne, Parkville, Victoria</w:t>
      </w:r>
    </w:p>
    <w:p w14:paraId="209C71E3" w14:textId="77777777" w:rsidR="007C505C" w:rsidRPr="007C505C" w:rsidRDefault="007C505C" w:rsidP="007C505C">
      <w:pPr>
        <w:pStyle w:val="CDINumberedList1L1"/>
        <w:rPr>
          <w:lang w:val="en-GB"/>
        </w:rPr>
      </w:pPr>
      <w:r w:rsidRPr="007C505C">
        <w:rPr>
          <w:lang w:val="en-GB"/>
        </w:rPr>
        <w:t xml:space="preserve">Department of Paediatrics, University of Melbourne, Parkville, Victoria </w:t>
      </w:r>
    </w:p>
    <w:p w14:paraId="2CC9E2C3" w14:textId="77777777" w:rsidR="007C505C" w:rsidRPr="007C505C" w:rsidRDefault="007C505C" w:rsidP="007C505C">
      <w:pPr>
        <w:pStyle w:val="CDINumberedList1L1"/>
        <w:rPr>
          <w:lang w:val="en-GB"/>
        </w:rPr>
      </w:pPr>
      <w:r w:rsidRPr="007C505C">
        <w:rPr>
          <w:lang w:val="en-GB"/>
        </w:rPr>
        <w:t>Clinical Paediatrics, Murdoch Children's Research Institute, Parkville, Victoria</w:t>
      </w:r>
    </w:p>
    <w:p w14:paraId="580D2FC0" w14:textId="77777777" w:rsidR="007C505C" w:rsidRPr="007C505C" w:rsidRDefault="007C505C" w:rsidP="007C505C">
      <w:pPr>
        <w:pStyle w:val="CDINumberedList1L1"/>
        <w:rPr>
          <w:lang w:val="en-GB"/>
        </w:rPr>
      </w:pPr>
      <w:r w:rsidRPr="007C505C">
        <w:rPr>
          <w:lang w:val="en-GB"/>
        </w:rPr>
        <w:t>Department of Infectious Diseases, Perth Children's Hospital, Nedlands, WA</w:t>
      </w:r>
    </w:p>
    <w:p w14:paraId="0CEDBB95" w14:textId="77777777" w:rsidR="007C505C" w:rsidRPr="007C505C" w:rsidRDefault="007C505C" w:rsidP="007C505C">
      <w:pPr>
        <w:pStyle w:val="CDINumberedList1L1"/>
        <w:rPr>
          <w:lang w:val="en-GB"/>
        </w:rPr>
      </w:pPr>
      <w:r w:rsidRPr="007C505C">
        <w:rPr>
          <w:lang w:val="en-GB"/>
        </w:rPr>
        <w:t>Division of Paediatrics, School of Medicine, University of Western Australia, Nedlands, WA</w:t>
      </w:r>
    </w:p>
    <w:p w14:paraId="17420D03" w14:textId="77777777" w:rsidR="007C505C" w:rsidRPr="007C505C" w:rsidRDefault="007C505C" w:rsidP="007C505C">
      <w:pPr>
        <w:pStyle w:val="CDINumberedList1L1"/>
        <w:rPr>
          <w:lang w:val="en-GB"/>
        </w:rPr>
      </w:pPr>
      <w:r w:rsidRPr="007C505C">
        <w:rPr>
          <w:lang w:val="en-GB"/>
        </w:rPr>
        <w:t>Department of Microbiology and Infectious Diseases, Royal Hobart Hospital, Hobart, Tasmania</w:t>
      </w:r>
    </w:p>
    <w:p w14:paraId="5BF9E350" w14:textId="77777777" w:rsidR="007C505C" w:rsidRPr="007C505C" w:rsidRDefault="007C505C" w:rsidP="007C505C">
      <w:pPr>
        <w:pStyle w:val="CDINumberedList1L1"/>
        <w:rPr>
          <w:lang w:val="en-GB"/>
        </w:rPr>
      </w:pPr>
      <w:r w:rsidRPr="007C505C">
        <w:rPr>
          <w:lang w:val="en-GB"/>
        </w:rPr>
        <w:t>School of Medicine, University of Tasmania, Hobart, Tasmania</w:t>
      </w:r>
    </w:p>
    <w:p w14:paraId="1C9248E2" w14:textId="77777777" w:rsidR="007C505C" w:rsidRPr="007C505C" w:rsidRDefault="007C505C" w:rsidP="007C505C">
      <w:pPr>
        <w:pStyle w:val="CDINumberedList1L1"/>
        <w:rPr>
          <w:lang w:val="en-GB"/>
        </w:rPr>
      </w:pPr>
      <w:r w:rsidRPr="007C505C">
        <w:rPr>
          <w:lang w:val="en-GB"/>
        </w:rPr>
        <w:lastRenderedPageBreak/>
        <w:t xml:space="preserve">Department of Infectious Diseases &amp; Microbiology, The Children's Hospital at Westmead, Westmead, NSW </w:t>
      </w:r>
    </w:p>
    <w:p w14:paraId="3302D141" w14:textId="77777777" w:rsidR="007C505C" w:rsidRPr="007C505C" w:rsidRDefault="007C505C" w:rsidP="007C505C">
      <w:pPr>
        <w:pStyle w:val="CDINumberedList1L1"/>
        <w:rPr>
          <w:lang w:val="en-GB"/>
        </w:rPr>
      </w:pPr>
      <w:r w:rsidRPr="007C505C">
        <w:rPr>
          <w:lang w:val="en-GB"/>
        </w:rPr>
        <w:t>Sydney Institute for Infectious Diseases (SydneyID), The University of Sydney, Camperdown, NSW</w:t>
      </w:r>
    </w:p>
    <w:p w14:paraId="0E228B93" w14:textId="77777777" w:rsidR="007C505C" w:rsidRPr="007C505C" w:rsidRDefault="007C505C" w:rsidP="007C505C">
      <w:pPr>
        <w:pStyle w:val="CDINumberedList1L1"/>
        <w:rPr>
          <w:lang w:val="en-GB"/>
        </w:rPr>
      </w:pPr>
      <w:r w:rsidRPr="007C505C">
        <w:rPr>
          <w:lang w:val="en-GB"/>
        </w:rPr>
        <w:t>Centre for Infectious Diseases and Microbiology, The Westmead Institute for Medical Research, Westmead, NSW</w:t>
      </w:r>
    </w:p>
    <w:p w14:paraId="5E513B86" w14:textId="77777777" w:rsidR="007C505C" w:rsidRPr="007C505C" w:rsidRDefault="007C505C" w:rsidP="007C505C">
      <w:pPr>
        <w:pStyle w:val="CDINumberedList1L1"/>
        <w:rPr>
          <w:lang w:val="en-GB"/>
        </w:rPr>
      </w:pPr>
      <w:r w:rsidRPr="007C505C">
        <w:rPr>
          <w:lang w:val="en-GB"/>
        </w:rPr>
        <w:t>Faculty of Medicine and Health, University of Sydney, Sydney, NSW</w:t>
      </w:r>
    </w:p>
    <w:p w14:paraId="6D657B90" w14:textId="77777777" w:rsidR="007C505C" w:rsidRPr="007C505C" w:rsidRDefault="007C505C" w:rsidP="007C505C">
      <w:pPr>
        <w:pStyle w:val="CDINumberedList1L1"/>
        <w:rPr>
          <w:lang w:val="en-GB"/>
        </w:rPr>
      </w:pPr>
      <w:r w:rsidRPr="007C505C">
        <w:rPr>
          <w:lang w:val="en-GB"/>
        </w:rPr>
        <w:t>Westmead Hospital, Western Sydney Local Health District, Westmead, NSW</w:t>
      </w:r>
    </w:p>
    <w:p w14:paraId="69423520" w14:textId="77777777" w:rsidR="007C505C" w:rsidRPr="007C505C" w:rsidRDefault="007C505C" w:rsidP="007C505C">
      <w:pPr>
        <w:pStyle w:val="CDINumberedList1L1"/>
        <w:rPr>
          <w:lang w:val="en-GB"/>
        </w:rPr>
      </w:pPr>
      <w:r w:rsidRPr="007C505C">
        <w:rPr>
          <w:lang w:val="en-GB"/>
        </w:rPr>
        <w:t>UQ Centre for Clinical Research, The University of Queensland, Brisbane, Queensland</w:t>
      </w:r>
    </w:p>
    <w:p w14:paraId="2BFD0988" w14:textId="77777777" w:rsidR="007C505C" w:rsidRPr="007C505C" w:rsidRDefault="007C505C" w:rsidP="007C505C">
      <w:pPr>
        <w:pStyle w:val="CDINumberedList1L1"/>
        <w:rPr>
          <w:lang w:val="en-GB"/>
        </w:rPr>
      </w:pPr>
      <w:r w:rsidRPr="007C505C">
        <w:rPr>
          <w:lang w:val="en-GB"/>
        </w:rPr>
        <w:t>Infection Management and Prevention Service, Queensland Children’s Hospital, Brisbane, Queensland</w:t>
      </w:r>
    </w:p>
    <w:p w14:paraId="25637861" w14:textId="77777777" w:rsidR="007C505C" w:rsidRPr="007C505C" w:rsidRDefault="007C505C" w:rsidP="007C505C">
      <w:pPr>
        <w:pStyle w:val="CDINumberedList1L1"/>
        <w:rPr>
          <w:lang w:val="en-GB"/>
        </w:rPr>
      </w:pPr>
      <w:r w:rsidRPr="007C505C">
        <w:rPr>
          <w:lang w:val="en-GB"/>
        </w:rPr>
        <w:t>School of Clinical Medicine, Faculty of Medicine and Health, University of New South Wales, Kensington, NSW</w:t>
      </w:r>
    </w:p>
    <w:p w14:paraId="740DF023" w14:textId="77777777" w:rsidR="007C505C" w:rsidRPr="007C505C" w:rsidRDefault="007C505C" w:rsidP="007C505C">
      <w:pPr>
        <w:pStyle w:val="CDINumberedList1L1"/>
        <w:rPr>
          <w:lang w:val="en-GB"/>
        </w:rPr>
      </w:pPr>
      <w:r w:rsidRPr="007C505C">
        <w:rPr>
          <w:lang w:val="en-GB"/>
        </w:rPr>
        <w:t>Department of Immunology and Infectious Diseases, Sydney Children’s Hospital, Sydney Children’s Hospitals Network, Randwick, NSW</w:t>
      </w:r>
    </w:p>
    <w:p w14:paraId="55C252D1" w14:textId="77777777" w:rsidR="007C505C" w:rsidRPr="007C505C" w:rsidRDefault="007C505C" w:rsidP="007C505C">
      <w:pPr>
        <w:pStyle w:val="CDINumberedList1L1"/>
        <w:rPr>
          <w:lang w:val="en-GB"/>
        </w:rPr>
      </w:pPr>
      <w:r w:rsidRPr="007C505C">
        <w:rPr>
          <w:lang w:val="en-GB"/>
        </w:rPr>
        <w:t>Microbiology &amp; Infectious Diseases Directorate, SA Pathology, Central Adelaide Local Health Network, Adelaide, SA</w:t>
      </w:r>
    </w:p>
    <w:p w14:paraId="1AF00F8B" w14:textId="77777777" w:rsidR="007C505C" w:rsidRPr="007C505C" w:rsidRDefault="007C505C" w:rsidP="007C505C">
      <w:pPr>
        <w:pStyle w:val="CDINumberedList1L1"/>
        <w:rPr>
          <w:lang w:val="en-GB"/>
        </w:rPr>
      </w:pPr>
      <w:r w:rsidRPr="007C505C">
        <w:rPr>
          <w:lang w:val="en-GB"/>
        </w:rPr>
        <w:t>Faculty of Health and Medical Sciences, University of Adelaide, Adelaide, SA</w:t>
      </w:r>
    </w:p>
    <w:p w14:paraId="06910564" w14:textId="77777777" w:rsidR="007C505C" w:rsidRPr="007C505C" w:rsidRDefault="007C505C" w:rsidP="007C505C">
      <w:pPr>
        <w:pStyle w:val="CDINumberedList1L1"/>
        <w:rPr>
          <w:lang w:val="en-GB"/>
        </w:rPr>
      </w:pPr>
      <w:r w:rsidRPr="007C505C">
        <w:rPr>
          <w:lang w:val="en-GB"/>
        </w:rPr>
        <w:t>School of Women and Children’s Health, University of New South Wales, Kensington, NSW</w:t>
      </w:r>
    </w:p>
    <w:p w14:paraId="04888228" w14:textId="77777777" w:rsidR="007C505C" w:rsidRPr="007C505C" w:rsidRDefault="007C505C" w:rsidP="007C505C">
      <w:pPr>
        <w:pStyle w:val="CDINumberedList1L1"/>
        <w:rPr>
          <w:lang w:val="en-GB"/>
        </w:rPr>
      </w:pPr>
      <w:r w:rsidRPr="007C505C">
        <w:rPr>
          <w:lang w:val="en-GB"/>
        </w:rPr>
        <w:t>Department of Microbiology, PathWest Laboratory Medicine WA, QEII Medical Centre, Nedlands, WA</w:t>
      </w:r>
    </w:p>
    <w:p w14:paraId="60995C63" w14:textId="77777777" w:rsidR="00423436" w:rsidRDefault="00423436" w:rsidP="00423436">
      <w:pPr>
        <w:pStyle w:val="CDICorrespondingauthor"/>
      </w:pPr>
      <w:r>
        <w:t>Corresponding author</w:t>
      </w:r>
    </w:p>
    <w:p w14:paraId="1892D4FE" w14:textId="77777777" w:rsidR="007C505C" w:rsidRDefault="007C505C" w:rsidP="007C505C">
      <w:r>
        <w:t>Ms Anita Williams</w:t>
      </w:r>
    </w:p>
    <w:p w14:paraId="5401D263" w14:textId="77777777" w:rsidR="007C505C" w:rsidRDefault="007C505C" w:rsidP="007C505C">
      <w:r>
        <w:t>Address: The Kids Research Institute Australia, 15 Hospital Ave, Nedlands 6009 WA</w:t>
      </w:r>
    </w:p>
    <w:p w14:paraId="64F1100E" w14:textId="77777777" w:rsidR="007C505C" w:rsidRDefault="007C505C" w:rsidP="007C505C">
      <w:r>
        <w:t>Phone: +61 8 6319 1000</w:t>
      </w:r>
    </w:p>
    <w:p w14:paraId="767A1D00" w14:textId="7CEC8919" w:rsidR="008A0736" w:rsidRDefault="007C505C" w:rsidP="007C505C">
      <w:r>
        <w:t xml:space="preserve">Email: </w:t>
      </w:r>
      <w:hyperlink r:id="rId24" w:history="1">
        <w:r w:rsidRPr="00A47960">
          <w:rPr>
            <w:rStyle w:val="Hyperlink"/>
          </w:rPr>
          <w:t>anita.williams@thekids.org.au</w:t>
        </w:r>
      </w:hyperlink>
      <w:r>
        <w:t xml:space="preserve"> </w:t>
      </w:r>
    </w:p>
    <w:p w14:paraId="45B77D70" w14:textId="77777777" w:rsidR="008A0736" w:rsidRDefault="008A0736" w:rsidP="00122ADA">
      <w:pPr>
        <w:pStyle w:val="Heading1"/>
      </w:pPr>
      <w:bookmarkStart w:id="42" w:name="_Toc195530511"/>
      <w:bookmarkStart w:id="43" w:name="_Toc213228010"/>
      <w:r>
        <w:lastRenderedPageBreak/>
        <w:t>References</w:t>
      </w:r>
      <w:bookmarkEnd w:id="42"/>
      <w:bookmarkEnd w:id="43"/>
    </w:p>
    <w:p w14:paraId="54E09E8F" w14:textId="63AE1F3C" w:rsidR="007C505C" w:rsidRDefault="007C505C" w:rsidP="001D6DD4">
      <w:pPr>
        <w:pStyle w:val="CDINumberedList1L1"/>
        <w:numPr>
          <w:ilvl w:val="0"/>
          <w:numId w:val="10"/>
        </w:numPr>
        <w:ind w:left="397" w:hanging="397"/>
      </w:pPr>
      <w:r>
        <w:t xml:space="preserve">Department of Health, Department of Agriculture, Water and the Environment. </w:t>
      </w:r>
      <w:r w:rsidRPr="007C505C">
        <w:rPr>
          <w:i/>
          <w:iCs/>
        </w:rPr>
        <w:t xml:space="preserve">Australia’s National Antimicrobial Resistance Strategy – 2020 and </w:t>
      </w:r>
      <w:proofErr w:type="gramStart"/>
      <w:r w:rsidRPr="007C505C">
        <w:rPr>
          <w:i/>
          <w:iCs/>
        </w:rPr>
        <w:t>Beyond</w:t>
      </w:r>
      <w:proofErr w:type="gramEnd"/>
      <w:r>
        <w:t xml:space="preserve">. Publication number 12589. Canberra: Australian Government Department of Health, Disability and Ageing; 2019. [Accessed on 24 May 2023.] Available from: </w:t>
      </w:r>
      <w:hyperlink r:id="rId25" w:history="1">
        <w:r w:rsidRPr="00A47960">
          <w:rPr>
            <w:rStyle w:val="Hyperlink"/>
          </w:rPr>
          <w:t>https://www.amr.gov.au/sites/default/files/2022-11/australia-s-national-antimicrobial-resistance-strategy-2020-and-beyond_0.pdf</w:t>
        </w:r>
      </w:hyperlink>
      <w:r>
        <w:t>.</w:t>
      </w:r>
    </w:p>
    <w:p w14:paraId="482FC0E5" w14:textId="3F27C42C" w:rsidR="007C505C" w:rsidRDefault="007C505C" w:rsidP="001D6DD4">
      <w:pPr>
        <w:pStyle w:val="CDINumberedList1L1"/>
        <w:ind w:left="397" w:hanging="397"/>
      </w:pPr>
      <w:r>
        <w:t xml:space="preserve">Buttery J, Yang Y, Sharland M, World Society for Pediatric Infectious Diseases. World Society for Pediatric Infectious Diseases declaration on combating antimicrobial resistance in children. </w:t>
      </w:r>
      <w:r w:rsidRPr="007C505C">
        <w:rPr>
          <w:i/>
          <w:iCs/>
        </w:rPr>
        <w:t>World J Pediatr</w:t>
      </w:r>
      <w:r>
        <w:t xml:space="preserve">. 2018;14(6):523–4. doi: </w:t>
      </w:r>
      <w:hyperlink r:id="rId26" w:history="1">
        <w:r w:rsidRPr="00A47960">
          <w:rPr>
            <w:rStyle w:val="Hyperlink"/>
          </w:rPr>
          <w:t>https://doi.org/10.1007/s12519-018-0195-x</w:t>
        </w:r>
      </w:hyperlink>
      <w:r>
        <w:t>.</w:t>
      </w:r>
    </w:p>
    <w:p w14:paraId="6B07EF13" w14:textId="1D738191" w:rsidR="007C505C" w:rsidRDefault="007C505C" w:rsidP="001D6DD4">
      <w:pPr>
        <w:pStyle w:val="CDINumberedList1L1"/>
        <w:ind w:left="397" w:hanging="397"/>
      </w:pPr>
      <w:r>
        <w:t xml:space="preserve">World Society for Pediatric Infectious Diseases (WSPID). Declaration on Combating Antimicrobial Resistance in Children. [Media statement.] Geneva: WSPID; July 2020. [Accessed on 23 June 2025.] Available from: </w:t>
      </w:r>
      <w:hyperlink r:id="rId27" w:history="1">
        <w:r w:rsidRPr="00A47960">
          <w:rPr>
            <w:rStyle w:val="Hyperlink"/>
          </w:rPr>
          <w:t>https://wspid.org/declaration-on-combating-antimicrobial-resistance-in-children/</w:t>
        </w:r>
      </w:hyperlink>
      <w:r>
        <w:t>.</w:t>
      </w:r>
    </w:p>
    <w:p w14:paraId="2A6B9C99" w14:textId="2FB4F5AA" w:rsidR="007C505C" w:rsidRDefault="007C505C" w:rsidP="001D6DD4">
      <w:pPr>
        <w:pStyle w:val="CDINumberedList1L1"/>
        <w:ind w:left="397" w:hanging="397"/>
      </w:pPr>
      <w:r>
        <w:t xml:space="preserve">Williams A, Coombs GW, Bell J, Daley D, Mowlaboccus S, Bryant PA et al. Australian Group on Antimicrobial Research surveillance outcome programs – bloodstream infections and antimicrobial resistance patterns from patients less than 18 years of age, January 2020 – December 2021. </w:t>
      </w:r>
      <w:r w:rsidRPr="007C505C">
        <w:rPr>
          <w:i/>
          <w:iCs/>
        </w:rPr>
        <w:t>Commun Dis Intell (2018)</w:t>
      </w:r>
      <w:r>
        <w:t>. 2024;48. doi: </w:t>
      </w:r>
      <w:hyperlink r:id="rId28" w:history="1">
        <w:r w:rsidRPr="00A47960">
          <w:rPr>
            <w:rStyle w:val="Hyperlink"/>
          </w:rPr>
          <w:t>https://doi.org/10.33321/cdi.2024.48.32</w:t>
        </w:r>
      </w:hyperlink>
      <w:r>
        <w:t>.</w:t>
      </w:r>
    </w:p>
    <w:p w14:paraId="7D63543F" w14:textId="7C31CFE0" w:rsidR="007C505C" w:rsidRDefault="007C505C" w:rsidP="001D6DD4">
      <w:pPr>
        <w:pStyle w:val="CDINumberedList1L1"/>
        <w:ind w:left="397" w:hanging="397"/>
      </w:pPr>
      <w:r>
        <w:t xml:space="preserve">Williams A, Coombs GW, Bell JM, Daley DA, Mowlaboccus S, Bryant PA et al. </w:t>
      </w:r>
      <w:r w:rsidRPr="007C505C">
        <w:rPr>
          <w:i/>
          <w:iCs/>
        </w:rPr>
        <w:t>AGAR Kids Surveillance Outcome Programs – Bloodstream Infections from Patients &lt;18 Years, January 2022 – December 2023</w:t>
      </w:r>
      <w:r>
        <w:t xml:space="preserve">. Perth: Australian Group on Antimicrobial Resistance (AGAR); May 2025. Available from: </w:t>
      </w:r>
      <w:hyperlink r:id="rId29" w:history="1">
        <w:r w:rsidRPr="00A47960">
          <w:rPr>
            <w:rStyle w:val="Hyperlink"/>
          </w:rPr>
          <w:t>https://agargroup.org.au/wp-content/uploads/2025/05/AGAR-Kids-2nd-Biennial_FINAL.pdf</w:t>
        </w:r>
      </w:hyperlink>
      <w:r>
        <w:t>.</w:t>
      </w:r>
    </w:p>
    <w:p w14:paraId="66A3FDB4" w14:textId="6A1DC4AB" w:rsidR="007C505C" w:rsidRDefault="007C505C" w:rsidP="001D6DD4">
      <w:pPr>
        <w:pStyle w:val="CDINumberedList1L1"/>
        <w:ind w:left="397" w:hanging="397"/>
      </w:pPr>
      <w:r>
        <w:t xml:space="preserve">Williams A, Coombs GW, Bell JM, Daley DA, Mowlaboccus S, Bryant PA et al. </w:t>
      </w:r>
      <w:proofErr w:type="gramStart"/>
      <w:r>
        <w:t>Antimicrobial</w:t>
      </w:r>
      <w:proofErr w:type="gramEnd"/>
      <w:r>
        <w:t xml:space="preserve"> resistance in </w:t>
      </w:r>
      <w:r w:rsidRPr="007C505C">
        <w:rPr>
          <w:i/>
          <w:iCs/>
        </w:rPr>
        <w:t>Enterobacterales</w:t>
      </w:r>
      <w:r>
        <w:t xml:space="preserve">, </w:t>
      </w:r>
      <w:r w:rsidRPr="007C505C">
        <w:rPr>
          <w:i/>
          <w:iCs/>
        </w:rPr>
        <w:t>Acinetobacter</w:t>
      </w:r>
      <w:r>
        <w:t xml:space="preserve"> spp. and </w:t>
      </w:r>
      <w:r w:rsidRPr="007C505C">
        <w:rPr>
          <w:i/>
          <w:iCs/>
        </w:rPr>
        <w:t>Pseudomonas aeruginosa</w:t>
      </w:r>
      <w:r>
        <w:t xml:space="preserve"> isolates from bloodstream infections in Australian children, 2013–2021. </w:t>
      </w:r>
      <w:r w:rsidRPr="007C505C">
        <w:rPr>
          <w:i/>
          <w:iCs/>
        </w:rPr>
        <w:t>J Pediatric Infect Dis Soc</w:t>
      </w:r>
      <w:r>
        <w:t xml:space="preserve">. 2024;13(12):617–25. doi: </w:t>
      </w:r>
      <w:hyperlink r:id="rId30" w:history="1">
        <w:r w:rsidRPr="00A47960">
          <w:rPr>
            <w:rStyle w:val="Hyperlink"/>
          </w:rPr>
          <w:t>https://doi.org/10.1093/jpids/piae111</w:t>
        </w:r>
      </w:hyperlink>
      <w:r>
        <w:t xml:space="preserve">. </w:t>
      </w:r>
    </w:p>
    <w:p w14:paraId="3C48D64E" w14:textId="0FA0AA95" w:rsidR="007C505C" w:rsidRDefault="007C505C" w:rsidP="001D6DD4">
      <w:pPr>
        <w:pStyle w:val="CDINumberedList1L1"/>
        <w:ind w:left="397" w:hanging="397"/>
      </w:pPr>
      <w:r>
        <w:t xml:space="preserve">Williams A, Coombs GW, Bell JM, Daley DA, Mowlaboccus S, Bryant PA et al. </w:t>
      </w:r>
      <w:proofErr w:type="gramStart"/>
      <w:r>
        <w:t>Antimicrobial</w:t>
      </w:r>
      <w:proofErr w:type="gramEnd"/>
      <w:r>
        <w:t xml:space="preserve"> resistance in </w:t>
      </w:r>
      <w:r w:rsidRPr="007C505C">
        <w:rPr>
          <w:i/>
          <w:iCs/>
        </w:rPr>
        <w:t>Staphylococcus aureus</w:t>
      </w:r>
      <w:r>
        <w:t xml:space="preserve"> and </w:t>
      </w:r>
      <w:r w:rsidRPr="007C505C">
        <w:rPr>
          <w:i/>
          <w:iCs/>
        </w:rPr>
        <w:t>Enterococci</w:t>
      </w:r>
      <w:r>
        <w:t xml:space="preserve"> spp. isolates from bloodstream infections in Australian children, 2013–2021. </w:t>
      </w:r>
      <w:r w:rsidRPr="007C505C">
        <w:rPr>
          <w:i/>
          <w:iCs/>
        </w:rPr>
        <w:t>J Pediatric Infect Dis Soc</w:t>
      </w:r>
      <w:r>
        <w:t>. 2025;14(2</w:t>
      </w:r>
      <w:proofErr w:type="gramStart"/>
      <w:r>
        <w:t>):piae</w:t>
      </w:r>
      <w:proofErr w:type="gramEnd"/>
      <w:r>
        <w:t xml:space="preserve">110. doi: </w:t>
      </w:r>
      <w:hyperlink r:id="rId31" w:history="1">
        <w:r w:rsidRPr="00A47960">
          <w:rPr>
            <w:rStyle w:val="Hyperlink"/>
          </w:rPr>
          <w:t>https://doi.org/10.1093/jpids/piae110</w:t>
        </w:r>
      </w:hyperlink>
      <w:r>
        <w:t xml:space="preserve">. </w:t>
      </w:r>
    </w:p>
    <w:p w14:paraId="51524819" w14:textId="25562378" w:rsidR="007C505C" w:rsidRDefault="007C505C" w:rsidP="001D6DD4">
      <w:pPr>
        <w:pStyle w:val="CDINumberedList1L1"/>
        <w:ind w:left="397" w:hanging="397"/>
      </w:pPr>
      <w:r>
        <w:t xml:space="preserve">Williams A, Coombs GW, Bell J, Daley DA, Mowlaboccus S, Bryant PA et al. </w:t>
      </w:r>
      <w:proofErr w:type="gramStart"/>
      <w:r w:rsidRPr="007C505C">
        <w:rPr>
          <w:i/>
          <w:iCs/>
        </w:rPr>
        <w:t>Antimicrobial</w:t>
      </w:r>
      <w:proofErr w:type="gramEnd"/>
      <w:r w:rsidRPr="007C505C">
        <w:rPr>
          <w:i/>
          <w:iCs/>
        </w:rPr>
        <w:t xml:space="preserve"> resistance in bacteraemic isolates from paediatric patients in Australia, 2013–2021: an AGAR-Kids report</w:t>
      </w:r>
      <w:r>
        <w:t xml:space="preserve">. Perth: AGAR; March 2024. Available from: </w:t>
      </w:r>
      <w:hyperlink r:id="rId32" w:history="1">
        <w:r w:rsidRPr="00A47960">
          <w:rPr>
            <w:rStyle w:val="Hyperlink"/>
          </w:rPr>
          <w:t>https://agargroup.org.au/wp-content/uploads/2024/03/AGAR-Kids_nine-year-report-2013-2021_20240315.pdf</w:t>
        </w:r>
      </w:hyperlink>
      <w:r>
        <w:t>.</w:t>
      </w:r>
    </w:p>
    <w:p w14:paraId="5CA4D826" w14:textId="247309B1" w:rsidR="007C505C" w:rsidRDefault="007C505C" w:rsidP="001D6DD4">
      <w:pPr>
        <w:pStyle w:val="CDINumberedList1L1"/>
        <w:ind w:left="397" w:hanging="397"/>
      </w:pPr>
      <w:r>
        <w:t xml:space="preserve">Coombs G, Bell J, Blyth C, Bond K, Daley D, Cooley L et al. </w:t>
      </w:r>
      <w:r w:rsidRPr="007C505C">
        <w:rPr>
          <w:i/>
          <w:iCs/>
        </w:rPr>
        <w:t>Australian Group on Antimicrobial Resistance Surveillance Outcomes Programs: Bloodstream Infections 2023 Report</w:t>
      </w:r>
      <w:r>
        <w:t xml:space="preserve">. Sydney: Australian Commission on Safety and Quality in Health Care (ACSQHC); November 2024. [Accessed on 8 January 2025.] Available from: </w:t>
      </w:r>
      <w:hyperlink r:id="rId33" w:history="1">
        <w:r w:rsidRPr="00A47960">
          <w:rPr>
            <w:rStyle w:val="Hyperlink"/>
          </w:rPr>
          <w:t>https://www.safetyandquality.gov.au/sites/default/files/2024-12/agar_surveillance_outcome_programs_report_2023.pdf</w:t>
        </w:r>
      </w:hyperlink>
      <w:r>
        <w:t>.</w:t>
      </w:r>
    </w:p>
    <w:p w14:paraId="3B050751" w14:textId="49C3A7F6" w:rsidR="007C505C" w:rsidRDefault="007C505C" w:rsidP="001D6DD4">
      <w:pPr>
        <w:pStyle w:val="CDINumberedList1L1"/>
        <w:ind w:left="397" w:hanging="397"/>
      </w:pPr>
      <w:r>
        <w:lastRenderedPageBreak/>
        <w:t xml:space="preserve">European Committee on Antimicrobial Susceptibility Testing (EUCAST). </w:t>
      </w:r>
      <w:r w:rsidRPr="007C505C">
        <w:rPr>
          <w:i/>
          <w:iCs/>
        </w:rPr>
        <w:t>Breakpoint tables for interpretation of MICs and zone diameters, Version 14.0</w:t>
      </w:r>
      <w:r>
        <w:t xml:space="preserve">. Basel: EUCAST; January 2024. Available from: </w:t>
      </w:r>
      <w:hyperlink r:id="rId34" w:history="1">
        <w:r w:rsidRPr="00A47960">
          <w:rPr>
            <w:rStyle w:val="Hyperlink"/>
          </w:rPr>
          <w:t>https://www.eucast.org/fileadmin/src/media/PDFs/EUCAST_files/Breakpoint_tables/v_14.0_Breakpoint_Tables.pdf</w:t>
        </w:r>
      </w:hyperlink>
      <w:r>
        <w:t>.</w:t>
      </w:r>
    </w:p>
    <w:p w14:paraId="4AF67C47" w14:textId="53D575D0" w:rsidR="007C505C" w:rsidRDefault="007C505C" w:rsidP="001D6DD4">
      <w:pPr>
        <w:pStyle w:val="CDINumberedList1L1"/>
        <w:ind w:left="397" w:hanging="397"/>
      </w:pPr>
      <w:r>
        <w:t xml:space="preserve">Berends MS, Friedrich AW, Albers CJ, Luz CF, Sinha BNM, Glasner C. AMR—an R package for working with antimicrobial resistance data. </w:t>
      </w:r>
      <w:r w:rsidRPr="007C505C">
        <w:rPr>
          <w:i/>
          <w:iCs/>
        </w:rPr>
        <w:t xml:space="preserve">J Stat </w:t>
      </w:r>
      <w:proofErr w:type="spellStart"/>
      <w:r w:rsidRPr="007C505C">
        <w:rPr>
          <w:i/>
          <w:iCs/>
        </w:rPr>
        <w:t>Softw</w:t>
      </w:r>
      <w:proofErr w:type="spellEnd"/>
      <w:r>
        <w:t>. 2022;104(3):1–31. doi: </w:t>
      </w:r>
      <w:r>
        <w:rPr>
          <w:rStyle w:val="Hyperlink"/>
        </w:rPr>
        <w:t>https://doi.org/10.18637/jss.v104.i03</w:t>
      </w:r>
      <w:r>
        <w:t xml:space="preserve">. </w:t>
      </w:r>
    </w:p>
    <w:p w14:paraId="6D0A7F11" w14:textId="2A53D4F7" w:rsidR="007C505C" w:rsidRDefault="007C505C" w:rsidP="001D6DD4">
      <w:pPr>
        <w:pStyle w:val="CDINumberedList1L1"/>
        <w:ind w:left="397" w:hanging="397"/>
      </w:pPr>
      <w:r>
        <w:t xml:space="preserve">World Health Organization (WHO). </w:t>
      </w:r>
      <w:r w:rsidRPr="007C505C">
        <w:rPr>
          <w:i/>
          <w:iCs/>
        </w:rPr>
        <w:t>WHO Bacterial Priority Pathogens List, 2024: bacterial pathogens of public health importance to guide research, development and strategies to prevent and control antimicrobial resistance</w:t>
      </w:r>
      <w:r>
        <w:t xml:space="preserve">. Geneva: WHO; 2024. [Accessed on 20 May 2024.] Available from: </w:t>
      </w:r>
      <w:hyperlink r:id="rId35" w:history="1">
        <w:r w:rsidRPr="00A47960">
          <w:rPr>
            <w:rStyle w:val="Hyperlink"/>
          </w:rPr>
          <w:t>https://iris.who.int/bitstream/handle/10665/376776/9789240093461-eng.pdf</w:t>
        </w:r>
      </w:hyperlink>
      <w:r>
        <w:t>.</w:t>
      </w:r>
    </w:p>
    <w:p w14:paraId="46B98FC2" w14:textId="3BC3328D" w:rsidR="007C505C" w:rsidRDefault="007C505C" w:rsidP="001D6DD4">
      <w:pPr>
        <w:pStyle w:val="CDINumberedList1L1"/>
        <w:ind w:left="397" w:hanging="397"/>
      </w:pPr>
      <w:r>
        <w:t xml:space="preserve">Coombs G, Bell JM, Daley D, Collignon P, Cooley L, Gottlieb T et al. </w:t>
      </w:r>
      <w:r w:rsidRPr="007C505C">
        <w:rPr>
          <w:i/>
          <w:iCs/>
        </w:rPr>
        <w:t>Australian Group on Antimicrobial Resistance Surveillance Outcomes Programs: Bloodstream Infections 2022 Report</w:t>
      </w:r>
      <w:r>
        <w:t xml:space="preserve">. Sydney: ACSQHC; December 2023. Available from: </w:t>
      </w:r>
      <w:hyperlink r:id="rId36" w:history="1">
        <w:r w:rsidRPr="00A47960">
          <w:rPr>
            <w:rStyle w:val="Hyperlink"/>
          </w:rPr>
          <w:t>https://www.safetyandquality.gov.au/publications-and-resources/resource-library/agar-surveillance-outcome-programs-2022-report-0</w:t>
        </w:r>
      </w:hyperlink>
      <w:r>
        <w:t>.</w:t>
      </w:r>
    </w:p>
    <w:p w14:paraId="57CCE48F" w14:textId="6C34029A" w:rsidR="007C505C" w:rsidRDefault="007C505C" w:rsidP="001D6DD4">
      <w:pPr>
        <w:pStyle w:val="CDINumberedList1L1"/>
        <w:ind w:left="397" w:hanging="397"/>
      </w:pPr>
      <w:r>
        <w:t xml:space="preserve">Forster DP, Leder K. Typhoid fever in travellers: estimating the risk of acquisition by country. </w:t>
      </w:r>
      <w:r w:rsidRPr="007C505C">
        <w:rPr>
          <w:i/>
          <w:iCs/>
        </w:rPr>
        <w:t>J</w:t>
      </w:r>
      <w:r>
        <w:rPr>
          <w:i/>
          <w:iCs/>
        </w:rPr>
        <w:t> </w:t>
      </w:r>
      <w:r w:rsidRPr="007C505C">
        <w:rPr>
          <w:i/>
          <w:iCs/>
        </w:rPr>
        <w:t>Travel Med</w:t>
      </w:r>
      <w:r>
        <w:t>. 2021;28(8</w:t>
      </w:r>
      <w:proofErr w:type="gramStart"/>
      <w:r>
        <w:t>):taab</w:t>
      </w:r>
      <w:proofErr w:type="gramEnd"/>
      <w:r>
        <w:t xml:space="preserve">150. doi: </w:t>
      </w:r>
      <w:hyperlink r:id="rId37" w:history="1">
        <w:r w:rsidRPr="00A47960">
          <w:rPr>
            <w:rStyle w:val="Hyperlink"/>
          </w:rPr>
          <w:t>https://doi.org/10.1093/jtm/taab150</w:t>
        </w:r>
      </w:hyperlink>
      <w:r>
        <w:t xml:space="preserve">. </w:t>
      </w:r>
    </w:p>
    <w:p w14:paraId="6A692F0B" w14:textId="00F2ED2E" w:rsidR="007C505C" w:rsidRDefault="007C505C" w:rsidP="001D6DD4">
      <w:pPr>
        <w:pStyle w:val="CDINumberedList1L1"/>
        <w:ind w:left="397" w:hanging="397"/>
      </w:pPr>
      <w:r>
        <w:t xml:space="preserve">Davis BPF, Amin J, Franklin N, Beggs PJ. Salmonellosis in Australia in 2020: possible impacts of COVID-19 related public health measures. </w:t>
      </w:r>
      <w:r w:rsidRPr="007C505C">
        <w:rPr>
          <w:i/>
          <w:iCs/>
        </w:rPr>
        <w:t>Commun Dis Intell (2018)</w:t>
      </w:r>
      <w:r>
        <w:t>. 2022;46. doi: </w:t>
      </w:r>
      <w:hyperlink r:id="rId38" w:history="1">
        <w:r w:rsidRPr="00A47960">
          <w:rPr>
            <w:rStyle w:val="Hyperlink"/>
          </w:rPr>
          <w:t>https://doi.org/10.33321/cdi.2022.46.2</w:t>
        </w:r>
      </w:hyperlink>
      <w:r>
        <w:t>.</w:t>
      </w:r>
    </w:p>
    <w:p w14:paraId="603EA4D1" w14:textId="4547A763" w:rsidR="007C505C" w:rsidRDefault="007C505C" w:rsidP="001D6DD4">
      <w:pPr>
        <w:pStyle w:val="CDINumberedList1L1"/>
        <w:ind w:left="397" w:hanging="397"/>
      </w:pPr>
      <w:r>
        <w:t xml:space="preserve">Stanaway JD, Reiner RC, Blacker BF, Goldberg EM, Khalil IA, Troeger CE et al. The global burden of typhoid and paratyphoid fevers: a systematic analysis for the Global Burden of Disease Study 2017. </w:t>
      </w:r>
      <w:r w:rsidRPr="007C505C">
        <w:rPr>
          <w:i/>
          <w:iCs/>
        </w:rPr>
        <w:t>Lancet Infect Dis</w:t>
      </w:r>
      <w:r>
        <w:t xml:space="preserve">. 2019;19(4):369–81. </w:t>
      </w:r>
      <w:r>
        <w:br/>
        <w:t>doi: </w:t>
      </w:r>
      <w:hyperlink r:id="rId39" w:history="1">
        <w:r w:rsidRPr="00A47960">
          <w:rPr>
            <w:rStyle w:val="Hyperlink"/>
          </w:rPr>
          <w:t>https://doi.org/10.1016/S1473-3099(18)30685-6</w:t>
        </w:r>
      </w:hyperlink>
      <w:r>
        <w:t xml:space="preserve">. </w:t>
      </w:r>
    </w:p>
    <w:p w14:paraId="5E45CE60" w14:textId="707883F6" w:rsidR="007C505C" w:rsidRDefault="007C505C" w:rsidP="001D6DD4">
      <w:pPr>
        <w:pStyle w:val="CDINumberedList1L1"/>
        <w:ind w:left="397" w:hanging="397"/>
      </w:pPr>
      <w:r>
        <w:t xml:space="preserve">Australian Technical Advisory Group on Immunisation (ATAGI). </w:t>
      </w:r>
      <w:r w:rsidRPr="007C505C">
        <w:rPr>
          <w:i/>
          <w:iCs/>
        </w:rPr>
        <w:t>The Australian Immunisation Handbook</w:t>
      </w:r>
      <w:r>
        <w:t xml:space="preserve">. Canberra: Australian Government Department of Health, Disability and Ageing; 2023. [Accessed on 20 April 2023.] Available from: </w:t>
      </w:r>
      <w:hyperlink r:id="rId40" w:history="1">
        <w:r w:rsidRPr="00A47960">
          <w:rPr>
            <w:rStyle w:val="Hyperlink"/>
          </w:rPr>
          <w:t>https://immunisationhandbook.health.gov.au/</w:t>
        </w:r>
      </w:hyperlink>
      <w:r>
        <w:t>.</w:t>
      </w:r>
    </w:p>
    <w:p w14:paraId="370B1AA8" w14:textId="3875E1BC" w:rsidR="007C505C" w:rsidRDefault="007C505C" w:rsidP="001D6DD4">
      <w:pPr>
        <w:pStyle w:val="CDINumberedList1L1"/>
        <w:ind w:left="397" w:hanging="397"/>
      </w:pPr>
      <w:r>
        <w:t xml:space="preserve">ACSQHC. AURA 2023: </w:t>
      </w:r>
      <w:r w:rsidRPr="007C505C">
        <w:rPr>
          <w:i/>
          <w:iCs/>
        </w:rPr>
        <w:t>Fifth Australian report on antimicrobial use and resistance in human health</w:t>
      </w:r>
      <w:r>
        <w:t xml:space="preserve">. Sydney: ACSQHC; 2023. Available from: </w:t>
      </w:r>
      <w:hyperlink r:id="rId41" w:history="1">
        <w:r w:rsidRPr="00A47960">
          <w:rPr>
            <w:rStyle w:val="Hyperlink"/>
          </w:rPr>
          <w:t>https://www.safetyandquality.gov.au/publications-and-resources/resource-library/aura-2023-fifth-australian-report-antimicrobial-use-and-resistance-human-health-report</w:t>
        </w:r>
      </w:hyperlink>
      <w:r>
        <w:t xml:space="preserve">. </w:t>
      </w:r>
    </w:p>
    <w:p w14:paraId="400A7A72" w14:textId="4790E27A" w:rsidR="007C505C" w:rsidRDefault="007C505C" w:rsidP="001D6DD4">
      <w:pPr>
        <w:pStyle w:val="CDINumberedList1L1"/>
        <w:ind w:left="397" w:hanging="397"/>
      </w:pPr>
      <w:r>
        <w:t xml:space="preserve">Williamson DA, Lane CR, Easton M, </w:t>
      </w:r>
      <w:proofErr w:type="spellStart"/>
      <w:r>
        <w:t>Valcanis</w:t>
      </w:r>
      <w:proofErr w:type="spellEnd"/>
      <w:r>
        <w:t xml:space="preserve"> M, Strachan J, Veitch MG et al. Increasing antimicrobial resistance in nontyphoidal </w:t>
      </w:r>
      <w:r w:rsidRPr="007C505C">
        <w:rPr>
          <w:i/>
          <w:iCs/>
        </w:rPr>
        <w:t>Salmonella</w:t>
      </w:r>
      <w:r>
        <w:t xml:space="preserve"> isolates in Australia from 1979 to 2015. </w:t>
      </w:r>
      <w:r w:rsidRPr="007C505C">
        <w:rPr>
          <w:i/>
          <w:iCs/>
        </w:rPr>
        <w:t xml:space="preserve">Antimicrob Agents </w:t>
      </w:r>
      <w:proofErr w:type="spellStart"/>
      <w:r w:rsidRPr="007C505C">
        <w:rPr>
          <w:i/>
          <w:iCs/>
        </w:rPr>
        <w:t>Chemother</w:t>
      </w:r>
      <w:proofErr w:type="spellEnd"/>
      <w:r>
        <w:t>. 2018;62(2):10.1128/aac.02012-17. doi: </w:t>
      </w:r>
      <w:hyperlink r:id="rId42" w:history="1">
        <w:r w:rsidRPr="00A47960">
          <w:rPr>
            <w:rStyle w:val="Hyperlink"/>
          </w:rPr>
          <w:t>https://doi.org/10.1128/AAC.02012-17</w:t>
        </w:r>
      </w:hyperlink>
      <w:r>
        <w:t xml:space="preserve">. </w:t>
      </w:r>
    </w:p>
    <w:p w14:paraId="6D0831F7" w14:textId="6CAB6875" w:rsidR="007C505C" w:rsidRDefault="007C505C" w:rsidP="001D6DD4">
      <w:pPr>
        <w:pStyle w:val="CDINumberedList1L1"/>
        <w:ind w:left="397" w:hanging="397"/>
      </w:pPr>
      <w:r>
        <w:t xml:space="preserve">Sia CM, Baines SL, </w:t>
      </w:r>
      <w:proofErr w:type="spellStart"/>
      <w:r>
        <w:t>Valcanis</w:t>
      </w:r>
      <w:proofErr w:type="spellEnd"/>
      <w:r>
        <w:t xml:space="preserve"> M, Lee DYJ, Gonçalves da Silva A, Ballard SA et al. Genomic diversity of antimicrobial resistance in non-typhoidal </w:t>
      </w:r>
      <w:r w:rsidRPr="007C505C">
        <w:rPr>
          <w:i/>
          <w:iCs/>
        </w:rPr>
        <w:t>Salmonella</w:t>
      </w:r>
      <w:r>
        <w:t xml:space="preserve"> in Victoria, Australia. </w:t>
      </w:r>
      <w:proofErr w:type="spellStart"/>
      <w:r w:rsidRPr="007C505C">
        <w:rPr>
          <w:i/>
          <w:iCs/>
        </w:rPr>
        <w:t>Microb</w:t>
      </w:r>
      <w:proofErr w:type="spellEnd"/>
      <w:r w:rsidRPr="007C505C">
        <w:rPr>
          <w:i/>
          <w:iCs/>
        </w:rPr>
        <w:t xml:space="preserve"> </w:t>
      </w:r>
      <w:proofErr w:type="spellStart"/>
      <w:r w:rsidRPr="007C505C">
        <w:rPr>
          <w:i/>
          <w:iCs/>
        </w:rPr>
        <w:t>Genom</w:t>
      </w:r>
      <w:proofErr w:type="spellEnd"/>
      <w:r>
        <w:t xml:space="preserve">. 2021;7(12):000725. doi: </w:t>
      </w:r>
      <w:hyperlink r:id="rId43" w:history="1">
        <w:r w:rsidRPr="00A47960">
          <w:rPr>
            <w:rStyle w:val="Hyperlink"/>
          </w:rPr>
          <w:t>https://doi.org/10.1099/mgen.0.000725</w:t>
        </w:r>
      </w:hyperlink>
      <w:r>
        <w:t xml:space="preserve">. </w:t>
      </w:r>
    </w:p>
    <w:p w14:paraId="6E71C6AA" w14:textId="44C53E99" w:rsidR="007C505C" w:rsidRDefault="007C505C" w:rsidP="001D6DD4">
      <w:pPr>
        <w:pStyle w:val="CDINumberedList1L1"/>
        <w:ind w:left="397" w:hanging="397"/>
      </w:pPr>
      <w:r>
        <w:lastRenderedPageBreak/>
        <w:t xml:space="preserve">Luo L, Payne M, Wang Q, Kaur S, Rathnayake IU, Graham R et al. Genomic epidemiology and multilevel genome typing of Australian </w:t>
      </w:r>
      <w:r w:rsidRPr="007C505C">
        <w:rPr>
          <w:i/>
          <w:iCs/>
        </w:rPr>
        <w:t>Salmonella enterica</w:t>
      </w:r>
      <w:r>
        <w:t xml:space="preserve"> serovar Enteritidis. </w:t>
      </w:r>
      <w:r w:rsidRPr="007C505C">
        <w:rPr>
          <w:i/>
          <w:iCs/>
        </w:rPr>
        <w:t>Microbiol Spectr</w:t>
      </w:r>
      <w:r>
        <w:t>. 2023;11(1</w:t>
      </w:r>
      <w:proofErr w:type="gramStart"/>
      <w:r>
        <w:t>):e</w:t>
      </w:r>
      <w:proofErr w:type="gramEnd"/>
      <w:r>
        <w:t xml:space="preserve">0301422. doi: </w:t>
      </w:r>
      <w:hyperlink r:id="rId44" w:history="1">
        <w:r w:rsidRPr="00A47960">
          <w:rPr>
            <w:rStyle w:val="Hyperlink"/>
          </w:rPr>
          <w:t>https://doi.org/10.1128/spectrum.03014-22</w:t>
        </w:r>
      </w:hyperlink>
      <w:r>
        <w:t xml:space="preserve">. </w:t>
      </w:r>
    </w:p>
    <w:p w14:paraId="1DDF645E" w14:textId="3A2C7C63" w:rsidR="007C505C" w:rsidRDefault="007C505C" w:rsidP="001D6DD4">
      <w:pPr>
        <w:pStyle w:val="CDINumberedList1L1"/>
        <w:ind w:left="397" w:hanging="397"/>
      </w:pPr>
      <w:r>
        <w:t xml:space="preserve">Cuypers WL, Jacobs J, Wong V, Klemm EJ, </w:t>
      </w:r>
      <w:proofErr w:type="spellStart"/>
      <w:r>
        <w:t>Deborggraeve</w:t>
      </w:r>
      <w:proofErr w:type="spellEnd"/>
      <w:r>
        <w:t xml:space="preserve"> S, Van Puyvelde S. Fluoroquinolone resistance in Salmonella: insights by whole-genome sequencing. </w:t>
      </w:r>
      <w:proofErr w:type="spellStart"/>
      <w:r w:rsidRPr="007C505C">
        <w:rPr>
          <w:i/>
          <w:iCs/>
        </w:rPr>
        <w:t>Microb</w:t>
      </w:r>
      <w:proofErr w:type="spellEnd"/>
      <w:r w:rsidRPr="007C505C">
        <w:rPr>
          <w:i/>
          <w:iCs/>
        </w:rPr>
        <w:t xml:space="preserve"> </w:t>
      </w:r>
      <w:proofErr w:type="spellStart"/>
      <w:r w:rsidRPr="007C505C">
        <w:rPr>
          <w:i/>
          <w:iCs/>
        </w:rPr>
        <w:t>Genom</w:t>
      </w:r>
      <w:proofErr w:type="spellEnd"/>
      <w:r>
        <w:t>. 2018;4(7</w:t>
      </w:r>
      <w:proofErr w:type="gramStart"/>
      <w:r>
        <w:t>):e</w:t>
      </w:r>
      <w:proofErr w:type="gramEnd"/>
      <w:r>
        <w:t xml:space="preserve">000195. doi: </w:t>
      </w:r>
      <w:hyperlink r:id="rId45" w:history="1">
        <w:r w:rsidRPr="00A47960">
          <w:rPr>
            <w:rStyle w:val="Hyperlink"/>
          </w:rPr>
          <w:t>https://doi.org/10.1099/mgen.0.000195</w:t>
        </w:r>
      </w:hyperlink>
      <w:r>
        <w:t>.</w:t>
      </w:r>
    </w:p>
    <w:p w14:paraId="1E1A2053" w14:textId="39094D6C" w:rsidR="007C505C" w:rsidRDefault="007C505C" w:rsidP="001D6DD4">
      <w:pPr>
        <w:pStyle w:val="CDINumberedList1L1"/>
        <w:ind w:left="397" w:hanging="397"/>
      </w:pPr>
      <w:r>
        <w:t xml:space="preserve">Wen SCH, Harris PNA, Forde B, </w:t>
      </w:r>
      <w:proofErr w:type="spellStart"/>
      <w:r>
        <w:t>Permana</w:t>
      </w:r>
      <w:proofErr w:type="spellEnd"/>
      <w:r>
        <w:t xml:space="preserve"> B, Chatfield MD, Lau CL et al. Characterization of gram-negative bloodstream infections in hospitalized Australian children and their clinical outcomes. </w:t>
      </w:r>
      <w:r w:rsidRPr="007C505C">
        <w:rPr>
          <w:i/>
          <w:iCs/>
        </w:rPr>
        <w:t>Clin Infect Dis</w:t>
      </w:r>
      <w:r>
        <w:t>. 2024;79(3</w:t>
      </w:r>
      <w:proofErr w:type="gramStart"/>
      <w:r>
        <w:t>):ciae</w:t>
      </w:r>
      <w:proofErr w:type="gramEnd"/>
      <w:r>
        <w:t xml:space="preserve">341. doi: </w:t>
      </w:r>
      <w:hyperlink r:id="rId46" w:history="1">
        <w:r w:rsidRPr="00A47960">
          <w:rPr>
            <w:rStyle w:val="Hyperlink"/>
          </w:rPr>
          <w:t>https://doi.org/10.1093/cid/ciae341</w:t>
        </w:r>
      </w:hyperlink>
      <w:r>
        <w:t xml:space="preserve">. </w:t>
      </w:r>
    </w:p>
    <w:p w14:paraId="6B56D024" w14:textId="6E6DAEB8" w:rsidR="007C505C" w:rsidRDefault="007C505C" w:rsidP="001D6DD4">
      <w:pPr>
        <w:pStyle w:val="CDINumberedList1L1"/>
        <w:ind w:left="397" w:hanging="397"/>
      </w:pPr>
      <w:r>
        <w:t xml:space="preserve">Bell JM, Lubian AF, Partridge SR, Gottlieb T, Robson J, Iredell J et al. Australian Group on Antimicrobial Resistance (AGAR) Gram-negative Surveillance Outcome Program (GnSOP) Bloodstream Infection Annual Report 2023. </w:t>
      </w:r>
      <w:r w:rsidRPr="007C505C">
        <w:rPr>
          <w:i/>
          <w:iCs/>
        </w:rPr>
        <w:t>Commun Dis Intell (2018)</w:t>
      </w:r>
      <w:r>
        <w:t>. 2025;49. doi: </w:t>
      </w:r>
      <w:hyperlink r:id="rId47" w:history="1">
        <w:r w:rsidRPr="00A47960">
          <w:rPr>
            <w:rStyle w:val="Hyperlink"/>
          </w:rPr>
          <w:t>https://doi.org/10.33321/cdi.2025.49.003</w:t>
        </w:r>
      </w:hyperlink>
      <w:r>
        <w:t>.</w:t>
      </w:r>
    </w:p>
    <w:p w14:paraId="7C7BD38F" w14:textId="2078AED1" w:rsidR="007C505C" w:rsidRDefault="007C505C" w:rsidP="001D6DD4">
      <w:pPr>
        <w:pStyle w:val="CDINumberedList1L1"/>
        <w:ind w:left="397" w:hanging="397"/>
      </w:pPr>
      <w:r>
        <w:t xml:space="preserve">Bell JM, Lubian AF, Partridge SR, Gottlieb T, Robson J, Iredell JR et al. Australian Group on Antimicrobial Resistance (AGAR) Gram-negative Surveillance Outcome Program (GnSOP) Bloodstream Infection Annual Report 2022. </w:t>
      </w:r>
      <w:r w:rsidRPr="007C505C">
        <w:rPr>
          <w:i/>
          <w:iCs/>
        </w:rPr>
        <w:t>Commun Dis Intell (2018)</w:t>
      </w:r>
      <w:r>
        <w:t>. 2023;47. doi: </w:t>
      </w:r>
      <w:hyperlink r:id="rId48" w:history="1">
        <w:r w:rsidRPr="00A47960">
          <w:rPr>
            <w:rStyle w:val="Hyperlink"/>
          </w:rPr>
          <w:t>https://doi.org/10.33321/cdi.2023.47.69</w:t>
        </w:r>
      </w:hyperlink>
      <w:r>
        <w:t xml:space="preserve">. </w:t>
      </w:r>
    </w:p>
    <w:p w14:paraId="3570171A" w14:textId="679E81AD" w:rsidR="007C505C" w:rsidRDefault="007C505C" w:rsidP="001D6DD4">
      <w:pPr>
        <w:pStyle w:val="CDINumberedList1L1"/>
        <w:ind w:left="397" w:hanging="397"/>
      </w:pPr>
      <w:r>
        <w:t xml:space="preserve">Slack MPE, Grimwood K, </w:t>
      </w:r>
      <w:proofErr w:type="spellStart"/>
      <w:r>
        <w:t>Tuzel</w:t>
      </w:r>
      <w:proofErr w:type="spellEnd"/>
      <w:r>
        <w:t xml:space="preserve"> E, Kim H, Edwards F, </w:t>
      </w:r>
      <w:proofErr w:type="spellStart"/>
      <w:r>
        <w:t>Laupland</w:t>
      </w:r>
      <w:proofErr w:type="spellEnd"/>
      <w:r>
        <w:t xml:space="preserve"> KB. </w:t>
      </w:r>
      <w:r w:rsidRPr="007C505C">
        <w:rPr>
          <w:i/>
          <w:iCs/>
        </w:rPr>
        <w:t>Pseudomonas aeruginosa</w:t>
      </w:r>
      <w:r>
        <w:t xml:space="preserve"> bloodstream infections in children in Queensland, Australia, 2000–2019. </w:t>
      </w:r>
      <w:r w:rsidRPr="007C505C">
        <w:rPr>
          <w:i/>
          <w:iCs/>
        </w:rPr>
        <w:t>J Paediatr Child Health</w:t>
      </w:r>
      <w:r>
        <w:t xml:space="preserve">. 2025;61(2):241–8. doi: </w:t>
      </w:r>
      <w:hyperlink r:id="rId49" w:history="1">
        <w:r w:rsidRPr="00A47960">
          <w:rPr>
            <w:rStyle w:val="Hyperlink"/>
          </w:rPr>
          <w:t>https://doi.org/10.1111/jpc.16745</w:t>
        </w:r>
      </w:hyperlink>
      <w:r>
        <w:t xml:space="preserve">. </w:t>
      </w:r>
    </w:p>
    <w:p w14:paraId="2833078E" w14:textId="5E228B12" w:rsidR="007C505C" w:rsidRDefault="007C505C" w:rsidP="001D6DD4">
      <w:pPr>
        <w:pStyle w:val="CDINumberedList1L1"/>
        <w:ind w:left="397" w:hanging="397"/>
      </w:pPr>
      <w:r>
        <w:t xml:space="preserve">Coombs G, Daley D, Shoby P, Mowlaboccus S. Australian Group on Antimicrobial Resistance (AGAR) Australian </w:t>
      </w:r>
      <w:r w:rsidRPr="007C505C">
        <w:rPr>
          <w:i/>
          <w:iCs/>
        </w:rPr>
        <w:t>Staphylococcus aureus</w:t>
      </w:r>
      <w:r>
        <w:t xml:space="preserve"> Surveillance Outcome Program (ASSOP) Bloodstream Infection Annual Report 2023. </w:t>
      </w:r>
      <w:r w:rsidRPr="007C505C">
        <w:rPr>
          <w:i/>
          <w:iCs/>
        </w:rPr>
        <w:t>Commun Dis Intell (2018)</w:t>
      </w:r>
      <w:r>
        <w:t>. 2024;48. doi: </w:t>
      </w:r>
      <w:hyperlink r:id="rId50" w:history="1">
        <w:r w:rsidRPr="00A47960">
          <w:rPr>
            <w:rStyle w:val="Hyperlink"/>
          </w:rPr>
          <w:t>https://doi.org/10.33321/cdi.2024.48.57</w:t>
        </w:r>
      </w:hyperlink>
      <w:r>
        <w:t>.</w:t>
      </w:r>
    </w:p>
    <w:p w14:paraId="48B59486" w14:textId="7CF54813" w:rsidR="007C505C" w:rsidRDefault="007C505C" w:rsidP="001D6DD4">
      <w:pPr>
        <w:pStyle w:val="CDINumberedList1L1"/>
        <w:ind w:left="397" w:hanging="397"/>
      </w:pPr>
      <w:r>
        <w:t xml:space="preserve">Wozniak TM, Young A, Conlan D, Shausan A, Dyda A, Sartorius B et al. Application of Bayesian spatial modelling to uncover geographical disparities and improve antimicrobial resistant surveillance. [Preprint.] </w:t>
      </w:r>
      <w:proofErr w:type="spellStart"/>
      <w:r w:rsidRPr="007C505C">
        <w:rPr>
          <w:i/>
          <w:iCs/>
        </w:rPr>
        <w:t>medRXiv</w:t>
      </w:r>
      <w:proofErr w:type="spellEnd"/>
      <w:r>
        <w:t>. 2024. [Accessed on 9 January 2025.] doi: </w:t>
      </w:r>
      <w:hyperlink r:id="rId51" w:history="1">
        <w:r w:rsidRPr="00A47960">
          <w:rPr>
            <w:rStyle w:val="Hyperlink"/>
          </w:rPr>
          <w:t>https://doi.org/10.1101/2024.11.06.24316846</w:t>
        </w:r>
      </w:hyperlink>
      <w:r>
        <w:t>.</w:t>
      </w:r>
    </w:p>
    <w:p w14:paraId="790FAC85" w14:textId="0206DE01" w:rsidR="007C505C" w:rsidRDefault="007C505C" w:rsidP="001D6DD4">
      <w:pPr>
        <w:pStyle w:val="CDINumberedList1L1"/>
        <w:ind w:left="397" w:hanging="397"/>
      </w:pPr>
      <w:r>
        <w:t xml:space="preserve">UK Health Security Agency (UKHSA). </w:t>
      </w:r>
      <w:r w:rsidRPr="007C505C">
        <w:rPr>
          <w:i/>
          <w:iCs/>
        </w:rPr>
        <w:t>English surveillance programme for antimicrobial utilisation and resistance (ESPAUR) report 2023 to 2024</w:t>
      </w:r>
      <w:r>
        <w:t xml:space="preserve">. London: UKHSA; November 2024. [Accessed on 20 December 2024.] Available from: </w:t>
      </w:r>
      <w:hyperlink r:id="rId52" w:history="1">
        <w:r w:rsidR="001D6DD4" w:rsidRPr="00A47960">
          <w:rPr>
            <w:rStyle w:val="Hyperlink"/>
          </w:rPr>
          <w:t>https://www.gov.uk/government/publications/english-surveillance-programme-antimicrobial-utilisation-and-resistance-espaur-report</w:t>
        </w:r>
      </w:hyperlink>
      <w:r>
        <w:t>.</w:t>
      </w:r>
    </w:p>
    <w:p w14:paraId="2B541605" w14:textId="0783F313" w:rsidR="0058264F" w:rsidRPr="001E3ECB" w:rsidRDefault="007C505C" w:rsidP="001D6DD4">
      <w:pPr>
        <w:pStyle w:val="CDINumberedList1L1"/>
        <w:ind w:left="397" w:hanging="397"/>
      </w:pPr>
      <w:r>
        <w:t xml:space="preserve">European Centre for Disease Prevention and Control (ECDC). </w:t>
      </w:r>
      <w:r w:rsidRPr="001D6DD4">
        <w:rPr>
          <w:i/>
          <w:iCs/>
        </w:rPr>
        <w:t>Antimicrobial resistance in the EU/EEA (EARS-Net) – Annual epidemiological report for 2023</w:t>
      </w:r>
      <w:r>
        <w:t>. Stockholm: ECDC; 18</w:t>
      </w:r>
      <w:r w:rsidR="001D6DD4">
        <w:t> </w:t>
      </w:r>
      <w:r>
        <w:t xml:space="preserve">November 2024. Available from: </w:t>
      </w:r>
      <w:hyperlink r:id="rId53" w:history="1">
        <w:r w:rsidR="001D6DD4" w:rsidRPr="00A47960">
          <w:rPr>
            <w:rStyle w:val="Hyperlink"/>
          </w:rPr>
          <w:t>https://www.ecdc.europa.eu/en/publications-data/antimicrobial-resistance-eueea-ears-net-annual-epidemiological-report-2023</w:t>
        </w:r>
      </w:hyperlink>
      <w:r>
        <w:t>.</w:t>
      </w:r>
    </w:p>
    <w:p w14:paraId="53DD799C" w14:textId="77777777" w:rsidR="004973B4" w:rsidRDefault="004973B4" w:rsidP="004973B4">
      <w:pPr>
        <w:pStyle w:val="Heading1-nospacebefore"/>
      </w:pPr>
      <w:bookmarkStart w:id="44" w:name="_Toc213228011"/>
      <w:r>
        <w:lastRenderedPageBreak/>
        <w:t>Appendix A</w:t>
      </w:r>
      <w:bookmarkEnd w:id="44"/>
    </w:p>
    <w:p w14:paraId="728F2D8F" w14:textId="5620E069" w:rsidR="004973B4" w:rsidRDefault="001D6DD4" w:rsidP="004E0FDE">
      <w:pPr>
        <w:pStyle w:val="CDITable-Title"/>
        <w:spacing w:before="240"/>
      </w:pPr>
      <w:bookmarkStart w:id="45" w:name="_Toc213076659"/>
      <w:r w:rsidRPr="001D6DD4">
        <w:t>Table A.1.1: Number and proportion of the ten most frequently reported isolates to the Australian Group on Antimicrobial Resistance in patients aged &lt; 18 years, January 2020 – December 2021</w:t>
      </w:r>
      <w:bookmarkEnd w:id="45"/>
    </w:p>
    <w:tbl>
      <w:tblPr>
        <w:tblW w:w="0" w:type="auto"/>
        <w:tblLayout w:type="fixed"/>
        <w:tblCellMar>
          <w:left w:w="0" w:type="dxa"/>
          <w:right w:w="0" w:type="dxa"/>
        </w:tblCellMar>
        <w:tblLook w:val="0000" w:firstRow="0" w:lastRow="0" w:firstColumn="0" w:lastColumn="0" w:noHBand="0" w:noVBand="0"/>
        <w:tblCaption w:val="Table A.1.1: Number and proportion of the ten most frequently reported isolates to the Australian Group on Antimicrobial Resistance in patients aged &lt; 18 years, January 2020 – December 2021"/>
        <w:tblDescription w:val="Table A.1.1 shows the number and proportion of ten most frequently reported isolates to AGAR in children and adolescents &lt;18 years for 2020-2021. When compared with Table A.1.2 (which shows the ten most frequently reported AGAR isolates for children an adolescents for 2022-2023), it can be seen that the seven most frequently reported isolates are consistent across both time periods. "/>
      </w:tblPr>
      <w:tblGrid>
        <w:gridCol w:w="3685"/>
        <w:gridCol w:w="992"/>
        <w:gridCol w:w="992"/>
        <w:gridCol w:w="992"/>
        <w:gridCol w:w="993"/>
        <w:gridCol w:w="992"/>
        <w:gridCol w:w="992"/>
      </w:tblGrid>
      <w:tr w:rsidR="00E04F46" w:rsidRPr="00500736" w14:paraId="77921657" w14:textId="77777777" w:rsidTr="00E04F46">
        <w:trPr>
          <w:trHeight w:val="283"/>
          <w:tblHeader/>
        </w:trPr>
        <w:tc>
          <w:tcPr>
            <w:tcW w:w="3685" w:type="dxa"/>
            <w:vMerge w:val="restart"/>
            <w:shd w:val="clear" w:color="auto" w:fill="1E4496" w:themeFill="text2"/>
            <w:tcMar>
              <w:top w:w="113" w:type="dxa"/>
              <w:left w:w="113" w:type="dxa"/>
              <w:bottom w:w="113" w:type="dxa"/>
              <w:right w:w="113" w:type="dxa"/>
            </w:tcMar>
            <w:vAlign w:val="bottom"/>
          </w:tcPr>
          <w:p w14:paraId="3E292F4B" w14:textId="77777777" w:rsidR="00E04F46" w:rsidRPr="00500736" w:rsidRDefault="00E04F46" w:rsidP="00500736">
            <w:pPr>
              <w:pStyle w:val="CDITable-HeaderRowLeft"/>
            </w:pPr>
            <w:r w:rsidRPr="00500736">
              <w:t>Organism</w:t>
            </w:r>
          </w:p>
        </w:tc>
        <w:tc>
          <w:tcPr>
            <w:tcW w:w="1984" w:type="dxa"/>
            <w:gridSpan w:val="2"/>
            <w:tcBorders>
              <w:bottom w:val="single" w:sz="6" w:space="0" w:color="FFFFFF" w:themeColor="background1"/>
            </w:tcBorders>
            <w:shd w:val="clear" w:color="auto" w:fill="1E4496" w:themeFill="text2"/>
            <w:tcMar>
              <w:top w:w="113" w:type="dxa"/>
              <w:left w:w="113" w:type="dxa"/>
              <w:bottom w:w="57" w:type="dxa"/>
              <w:right w:w="113" w:type="dxa"/>
            </w:tcMar>
            <w:vAlign w:val="bottom"/>
          </w:tcPr>
          <w:p w14:paraId="4D082D28" w14:textId="56140FB0" w:rsidR="00E04F46" w:rsidRPr="00500736" w:rsidRDefault="00E04F46" w:rsidP="00500736">
            <w:pPr>
              <w:pStyle w:val="CDITable-HeaderRowCentre"/>
            </w:pPr>
            <w:r w:rsidRPr="00500736">
              <w:t>2020</w:t>
            </w:r>
            <w:r>
              <w:br/>
            </w:r>
            <w:r w:rsidRPr="00500736">
              <w:t>N: 823</w:t>
            </w:r>
          </w:p>
        </w:tc>
        <w:tc>
          <w:tcPr>
            <w:tcW w:w="1985" w:type="dxa"/>
            <w:gridSpan w:val="2"/>
            <w:tcBorders>
              <w:bottom w:val="single" w:sz="6" w:space="0" w:color="FFFFFF" w:themeColor="background1"/>
            </w:tcBorders>
            <w:shd w:val="clear" w:color="auto" w:fill="1E4496" w:themeFill="text2"/>
            <w:tcMar>
              <w:top w:w="113" w:type="dxa"/>
              <w:left w:w="113" w:type="dxa"/>
              <w:bottom w:w="57" w:type="dxa"/>
              <w:right w:w="113" w:type="dxa"/>
            </w:tcMar>
            <w:vAlign w:val="bottom"/>
          </w:tcPr>
          <w:p w14:paraId="4DB93A5C" w14:textId="75B36341" w:rsidR="00E04F46" w:rsidRPr="00500736" w:rsidRDefault="00E04F46" w:rsidP="00500736">
            <w:pPr>
              <w:pStyle w:val="CDITable-HeaderRowCentre"/>
            </w:pPr>
            <w:r w:rsidRPr="00500736">
              <w:t>2021</w:t>
            </w:r>
            <w:r>
              <w:br/>
            </w:r>
            <w:r w:rsidRPr="00500736">
              <w:t>N: 856</w:t>
            </w:r>
          </w:p>
        </w:tc>
        <w:tc>
          <w:tcPr>
            <w:tcW w:w="1984" w:type="dxa"/>
            <w:gridSpan w:val="2"/>
            <w:tcBorders>
              <w:bottom w:val="single" w:sz="6" w:space="0" w:color="FFFFFF" w:themeColor="background1"/>
            </w:tcBorders>
            <w:shd w:val="clear" w:color="auto" w:fill="1E4496" w:themeFill="text2"/>
            <w:tcMar>
              <w:top w:w="113" w:type="dxa"/>
              <w:left w:w="113" w:type="dxa"/>
              <w:bottom w:w="57" w:type="dxa"/>
              <w:right w:w="113" w:type="dxa"/>
            </w:tcMar>
            <w:vAlign w:val="bottom"/>
          </w:tcPr>
          <w:p w14:paraId="5600CBAA" w14:textId="19D2558C" w:rsidR="00E04F46" w:rsidRPr="00500736" w:rsidRDefault="00E04F46" w:rsidP="00500736">
            <w:pPr>
              <w:pStyle w:val="CDITable-HeaderRowCentre"/>
            </w:pPr>
            <w:r w:rsidRPr="00500736">
              <w:t>2020–2021</w:t>
            </w:r>
            <w:r>
              <w:br/>
            </w:r>
            <w:r w:rsidRPr="00500736">
              <w:t>N: 1,679</w:t>
            </w:r>
          </w:p>
        </w:tc>
      </w:tr>
      <w:tr w:rsidR="00500736" w:rsidRPr="00500736" w14:paraId="0705A077" w14:textId="77777777" w:rsidTr="00E04F46">
        <w:trPr>
          <w:trHeight w:val="60"/>
          <w:tblHeader/>
        </w:trPr>
        <w:tc>
          <w:tcPr>
            <w:tcW w:w="3685" w:type="dxa"/>
            <w:vMerge/>
            <w:shd w:val="clear" w:color="auto" w:fill="1E4496" w:themeFill="text2"/>
          </w:tcPr>
          <w:p w14:paraId="044D6491" w14:textId="77777777" w:rsidR="00500736" w:rsidRPr="00500736" w:rsidRDefault="00500736" w:rsidP="00500736"/>
        </w:tc>
        <w:tc>
          <w:tcPr>
            <w:tcW w:w="992" w:type="dxa"/>
            <w:tcBorders>
              <w:top w:val="single" w:sz="6" w:space="0" w:color="FFFFFF" w:themeColor="background1"/>
            </w:tcBorders>
            <w:shd w:val="clear" w:color="auto" w:fill="1E4496" w:themeFill="text2"/>
            <w:tcMar>
              <w:top w:w="113" w:type="dxa"/>
              <w:left w:w="113" w:type="dxa"/>
              <w:bottom w:w="113" w:type="dxa"/>
              <w:right w:w="113" w:type="dxa"/>
            </w:tcMar>
            <w:vAlign w:val="bottom"/>
          </w:tcPr>
          <w:p w14:paraId="2817BB8F" w14:textId="77777777" w:rsidR="00500736" w:rsidRPr="00500736" w:rsidRDefault="00500736" w:rsidP="00500736">
            <w:pPr>
              <w:pStyle w:val="CDITable-HeaderRowCentre"/>
            </w:pPr>
            <w:r w:rsidRPr="00500736">
              <w:t>n</w:t>
            </w:r>
          </w:p>
        </w:tc>
        <w:tc>
          <w:tcPr>
            <w:tcW w:w="992" w:type="dxa"/>
            <w:tcBorders>
              <w:top w:val="single" w:sz="6" w:space="0" w:color="FFFFFF" w:themeColor="background1"/>
              <w:right w:val="single" w:sz="6" w:space="0" w:color="FFFFFF" w:themeColor="background1"/>
            </w:tcBorders>
            <w:shd w:val="clear" w:color="auto" w:fill="1E4496" w:themeFill="text2"/>
            <w:tcMar>
              <w:top w:w="113" w:type="dxa"/>
              <w:left w:w="113" w:type="dxa"/>
              <w:bottom w:w="113" w:type="dxa"/>
              <w:right w:w="113" w:type="dxa"/>
            </w:tcMar>
            <w:vAlign w:val="bottom"/>
          </w:tcPr>
          <w:p w14:paraId="31832F39" w14:textId="77777777" w:rsidR="00500736" w:rsidRPr="00500736" w:rsidRDefault="00500736" w:rsidP="00500736">
            <w:pPr>
              <w:pStyle w:val="CDITable-HeaderRowCentre"/>
            </w:pPr>
            <w:r w:rsidRPr="00500736">
              <w:t>%</w:t>
            </w:r>
          </w:p>
        </w:tc>
        <w:tc>
          <w:tcPr>
            <w:tcW w:w="992" w:type="dxa"/>
            <w:tcBorders>
              <w:top w:val="single" w:sz="6" w:space="0" w:color="FFFFFF" w:themeColor="background1"/>
              <w:left w:val="single" w:sz="6" w:space="0" w:color="FFFFFF" w:themeColor="background1"/>
            </w:tcBorders>
            <w:shd w:val="clear" w:color="auto" w:fill="1E4496" w:themeFill="text2"/>
            <w:tcMar>
              <w:top w:w="113" w:type="dxa"/>
              <w:left w:w="113" w:type="dxa"/>
              <w:bottom w:w="113" w:type="dxa"/>
              <w:right w:w="113" w:type="dxa"/>
            </w:tcMar>
            <w:vAlign w:val="bottom"/>
          </w:tcPr>
          <w:p w14:paraId="10B7621F" w14:textId="77777777" w:rsidR="00500736" w:rsidRPr="00500736" w:rsidRDefault="00500736" w:rsidP="00500736">
            <w:pPr>
              <w:pStyle w:val="CDITable-HeaderRowCentre"/>
            </w:pPr>
            <w:r w:rsidRPr="00500736">
              <w:t>n</w:t>
            </w:r>
          </w:p>
        </w:tc>
        <w:tc>
          <w:tcPr>
            <w:tcW w:w="993" w:type="dxa"/>
            <w:tcBorders>
              <w:top w:val="single" w:sz="6" w:space="0" w:color="FFFFFF" w:themeColor="background1"/>
              <w:right w:val="single" w:sz="6" w:space="0" w:color="FFFFFF" w:themeColor="background1"/>
            </w:tcBorders>
            <w:shd w:val="clear" w:color="auto" w:fill="1E4496" w:themeFill="text2"/>
            <w:tcMar>
              <w:top w:w="113" w:type="dxa"/>
              <w:left w:w="113" w:type="dxa"/>
              <w:bottom w:w="113" w:type="dxa"/>
              <w:right w:w="113" w:type="dxa"/>
            </w:tcMar>
            <w:vAlign w:val="bottom"/>
          </w:tcPr>
          <w:p w14:paraId="663BEC84" w14:textId="77777777" w:rsidR="00500736" w:rsidRPr="00500736" w:rsidRDefault="00500736" w:rsidP="00500736">
            <w:pPr>
              <w:pStyle w:val="CDITable-HeaderRowCentre"/>
            </w:pPr>
            <w:r w:rsidRPr="00500736">
              <w:t>%</w:t>
            </w:r>
          </w:p>
        </w:tc>
        <w:tc>
          <w:tcPr>
            <w:tcW w:w="992" w:type="dxa"/>
            <w:tcBorders>
              <w:top w:val="single" w:sz="6" w:space="0" w:color="FFFFFF" w:themeColor="background1"/>
              <w:left w:val="single" w:sz="6" w:space="0" w:color="FFFFFF" w:themeColor="background1"/>
            </w:tcBorders>
            <w:shd w:val="clear" w:color="auto" w:fill="1E4496" w:themeFill="text2"/>
            <w:tcMar>
              <w:top w:w="113" w:type="dxa"/>
              <w:left w:w="113" w:type="dxa"/>
              <w:bottom w:w="113" w:type="dxa"/>
              <w:right w:w="113" w:type="dxa"/>
            </w:tcMar>
            <w:vAlign w:val="bottom"/>
          </w:tcPr>
          <w:p w14:paraId="23ED7911" w14:textId="77777777" w:rsidR="00500736" w:rsidRPr="00500736" w:rsidRDefault="00500736" w:rsidP="00500736">
            <w:pPr>
              <w:pStyle w:val="CDITable-HeaderRowCentre"/>
            </w:pPr>
            <w:r w:rsidRPr="00500736">
              <w:t>n</w:t>
            </w:r>
          </w:p>
        </w:tc>
        <w:tc>
          <w:tcPr>
            <w:tcW w:w="992" w:type="dxa"/>
            <w:tcBorders>
              <w:top w:val="single" w:sz="6" w:space="0" w:color="FFFFFF" w:themeColor="background1"/>
            </w:tcBorders>
            <w:shd w:val="clear" w:color="auto" w:fill="1E4496" w:themeFill="text2"/>
            <w:tcMar>
              <w:top w:w="113" w:type="dxa"/>
              <w:left w:w="113" w:type="dxa"/>
              <w:bottom w:w="113" w:type="dxa"/>
              <w:right w:w="113" w:type="dxa"/>
            </w:tcMar>
            <w:vAlign w:val="bottom"/>
          </w:tcPr>
          <w:p w14:paraId="684A5757" w14:textId="77777777" w:rsidR="00500736" w:rsidRPr="00500736" w:rsidRDefault="00500736" w:rsidP="00500736">
            <w:pPr>
              <w:pStyle w:val="CDITable-HeaderRowCentre"/>
            </w:pPr>
            <w:r w:rsidRPr="00500736">
              <w:t>%</w:t>
            </w:r>
          </w:p>
        </w:tc>
      </w:tr>
      <w:tr w:rsidR="00500736" w:rsidRPr="00500736" w14:paraId="3BF7453E" w14:textId="77777777" w:rsidTr="00E04F46">
        <w:trPr>
          <w:trHeight w:val="60"/>
        </w:trPr>
        <w:tc>
          <w:tcPr>
            <w:tcW w:w="3685" w:type="dxa"/>
            <w:tcBorders>
              <w:bottom w:val="single" w:sz="6" w:space="0" w:color="1E4496" w:themeColor="text2"/>
            </w:tcBorders>
            <w:tcMar>
              <w:top w:w="96" w:type="dxa"/>
              <w:left w:w="113" w:type="dxa"/>
              <w:bottom w:w="96" w:type="dxa"/>
              <w:right w:w="113" w:type="dxa"/>
            </w:tcMar>
            <w:vAlign w:val="center"/>
          </w:tcPr>
          <w:p w14:paraId="7DE9B25E" w14:textId="77777777" w:rsidR="00500736" w:rsidRPr="00E04F46" w:rsidRDefault="00500736" w:rsidP="00500736">
            <w:pPr>
              <w:pStyle w:val="CDITable-RowLeft"/>
              <w:rPr>
                <w:i/>
                <w:iCs/>
              </w:rPr>
            </w:pPr>
            <w:r w:rsidRPr="00E04F46">
              <w:rPr>
                <w:i/>
                <w:iCs/>
              </w:rPr>
              <w:t>Staphylococcus aureus</w:t>
            </w:r>
          </w:p>
        </w:tc>
        <w:tc>
          <w:tcPr>
            <w:tcW w:w="992" w:type="dxa"/>
            <w:tcBorders>
              <w:bottom w:val="single" w:sz="6" w:space="0" w:color="1E4496" w:themeColor="text2"/>
            </w:tcBorders>
            <w:tcMar>
              <w:top w:w="96" w:type="dxa"/>
              <w:left w:w="113" w:type="dxa"/>
              <w:bottom w:w="96" w:type="dxa"/>
              <w:right w:w="113" w:type="dxa"/>
            </w:tcMar>
            <w:vAlign w:val="center"/>
          </w:tcPr>
          <w:p w14:paraId="096CC8BF" w14:textId="77777777" w:rsidR="00500736" w:rsidRPr="00500736" w:rsidRDefault="00500736" w:rsidP="00500736">
            <w:pPr>
              <w:pStyle w:val="CDITable-RowCentre"/>
            </w:pPr>
            <w:r w:rsidRPr="00500736">
              <w:t>303</w:t>
            </w:r>
          </w:p>
        </w:tc>
        <w:tc>
          <w:tcPr>
            <w:tcW w:w="992" w:type="dxa"/>
            <w:tcBorders>
              <w:bottom w:val="single" w:sz="6" w:space="0" w:color="1E4496" w:themeColor="text2"/>
            </w:tcBorders>
            <w:tcMar>
              <w:top w:w="96" w:type="dxa"/>
              <w:left w:w="113" w:type="dxa"/>
              <w:bottom w:w="96" w:type="dxa"/>
              <w:right w:w="113" w:type="dxa"/>
            </w:tcMar>
            <w:vAlign w:val="center"/>
          </w:tcPr>
          <w:p w14:paraId="2D5DFFF6" w14:textId="77777777" w:rsidR="00500736" w:rsidRPr="00500736" w:rsidRDefault="00500736" w:rsidP="00500736">
            <w:pPr>
              <w:pStyle w:val="CDITable-RowCentre"/>
            </w:pPr>
            <w:r w:rsidRPr="00500736">
              <w:t>36.8</w:t>
            </w:r>
          </w:p>
        </w:tc>
        <w:tc>
          <w:tcPr>
            <w:tcW w:w="992" w:type="dxa"/>
            <w:tcBorders>
              <w:bottom w:val="single" w:sz="6" w:space="0" w:color="1E4496" w:themeColor="text2"/>
            </w:tcBorders>
            <w:tcMar>
              <w:top w:w="96" w:type="dxa"/>
              <w:left w:w="113" w:type="dxa"/>
              <w:bottom w:w="96" w:type="dxa"/>
              <w:right w:w="113" w:type="dxa"/>
            </w:tcMar>
            <w:vAlign w:val="center"/>
          </w:tcPr>
          <w:p w14:paraId="0A31392B" w14:textId="77777777" w:rsidR="00500736" w:rsidRPr="00500736" w:rsidRDefault="00500736" w:rsidP="00500736">
            <w:pPr>
              <w:pStyle w:val="CDITable-RowCentre"/>
            </w:pPr>
            <w:r w:rsidRPr="00500736">
              <w:t>304</w:t>
            </w:r>
          </w:p>
        </w:tc>
        <w:tc>
          <w:tcPr>
            <w:tcW w:w="993" w:type="dxa"/>
            <w:tcBorders>
              <w:bottom w:val="single" w:sz="6" w:space="0" w:color="1E4496" w:themeColor="text2"/>
            </w:tcBorders>
            <w:tcMar>
              <w:top w:w="96" w:type="dxa"/>
              <w:left w:w="113" w:type="dxa"/>
              <w:bottom w:w="96" w:type="dxa"/>
              <w:right w:w="113" w:type="dxa"/>
            </w:tcMar>
            <w:vAlign w:val="center"/>
          </w:tcPr>
          <w:p w14:paraId="1D6ACDF6" w14:textId="77777777" w:rsidR="00500736" w:rsidRPr="00500736" w:rsidRDefault="00500736" w:rsidP="00500736">
            <w:pPr>
              <w:pStyle w:val="CDITable-RowCentre"/>
            </w:pPr>
            <w:r w:rsidRPr="00500736">
              <w:t>35.5</w:t>
            </w:r>
          </w:p>
        </w:tc>
        <w:tc>
          <w:tcPr>
            <w:tcW w:w="992" w:type="dxa"/>
            <w:tcBorders>
              <w:bottom w:val="single" w:sz="6" w:space="0" w:color="1E4496" w:themeColor="text2"/>
            </w:tcBorders>
            <w:tcMar>
              <w:top w:w="96" w:type="dxa"/>
              <w:left w:w="113" w:type="dxa"/>
              <w:bottom w:w="96" w:type="dxa"/>
              <w:right w:w="113" w:type="dxa"/>
            </w:tcMar>
            <w:vAlign w:val="center"/>
          </w:tcPr>
          <w:p w14:paraId="256C17B5" w14:textId="77777777" w:rsidR="00500736" w:rsidRPr="00500736" w:rsidRDefault="00500736" w:rsidP="00500736">
            <w:pPr>
              <w:pStyle w:val="CDITable-RowCentre"/>
            </w:pPr>
            <w:r w:rsidRPr="00500736">
              <w:t>607</w:t>
            </w:r>
          </w:p>
        </w:tc>
        <w:tc>
          <w:tcPr>
            <w:tcW w:w="992" w:type="dxa"/>
            <w:tcBorders>
              <w:bottom w:val="single" w:sz="6" w:space="0" w:color="1E4496" w:themeColor="text2"/>
            </w:tcBorders>
            <w:tcMar>
              <w:top w:w="96" w:type="dxa"/>
              <w:left w:w="113" w:type="dxa"/>
              <w:bottom w:w="96" w:type="dxa"/>
              <w:right w:w="113" w:type="dxa"/>
            </w:tcMar>
            <w:vAlign w:val="center"/>
          </w:tcPr>
          <w:p w14:paraId="3ED63D37" w14:textId="77777777" w:rsidR="00500736" w:rsidRPr="00500736" w:rsidRDefault="00500736" w:rsidP="00500736">
            <w:pPr>
              <w:pStyle w:val="CDITable-RowCentre"/>
            </w:pPr>
            <w:r w:rsidRPr="00500736">
              <w:t>36.2</w:t>
            </w:r>
          </w:p>
        </w:tc>
      </w:tr>
      <w:tr w:rsidR="00500736" w:rsidRPr="00500736" w14:paraId="57A6AE91" w14:textId="77777777" w:rsidTr="00E04F46">
        <w:trPr>
          <w:trHeight w:val="60"/>
        </w:trPr>
        <w:tc>
          <w:tcPr>
            <w:tcW w:w="3685"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18282255" w14:textId="77777777" w:rsidR="00500736" w:rsidRPr="00E04F46" w:rsidRDefault="00500736" w:rsidP="00500736">
            <w:pPr>
              <w:pStyle w:val="CDITable-RowLeft"/>
              <w:rPr>
                <w:i/>
                <w:iCs/>
              </w:rPr>
            </w:pPr>
            <w:r w:rsidRPr="00E04F46">
              <w:rPr>
                <w:i/>
                <w:iCs/>
              </w:rPr>
              <w:t>Escherichia coli</w:t>
            </w:r>
          </w:p>
        </w:tc>
        <w:tc>
          <w:tcPr>
            <w:tcW w:w="992"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56B9E34E" w14:textId="77777777" w:rsidR="00500736" w:rsidRPr="00500736" w:rsidRDefault="00500736" w:rsidP="00500736">
            <w:pPr>
              <w:pStyle w:val="CDITable-RowCentre"/>
            </w:pPr>
            <w:r w:rsidRPr="00500736">
              <w:t>163</w:t>
            </w:r>
          </w:p>
        </w:tc>
        <w:tc>
          <w:tcPr>
            <w:tcW w:w="992"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34520BAA" w14:textId="77777777" w:rsidR="00500736" w:rsidRPr="00500736" w:rsidRDefault="00500736" w:rsidP="00500736">
            <w:pPr>
              <w:pStyle w:val="CDITable-RowCentre"/>
            </w:pPr>
            <w:r w:rsidRPr="00500736">
              <w:t>19.8</w:t>
            </w:r>
          </w:p>
        </w:tc>
        <w:tc>
          <w:tcPr>
            <w:tcW w:w="992"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4A965AEA" w14:textId="77777777" w:rsidR="00500736" w:rsidRPr="00500736" w:rsidRDefault="00500736" w:rsidP="00500736">
            <w:pPr>
              <w:pStyle w:val="CDITable-RowCentre"/>
            </w:pPr>
            <w:r w:rsidRPr="00500736">
              <w:t>215</w:t>
            </w:r>
          </w:p>
        </w:tc>
        <w:tc>
          <w:tcPr>
            <w:tcW w:w="993"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052A9AE7" w14:textId="77777777" w:rsidR="00500736" w:rsidRPr="00500736" w:rsidRDefault="00500736" w:rsidP="00500736">
            <w:pPr>
              <w:pStyle w:val="CDITable-RowCentre"/>
            </w:pPr>
            <w:r w:rsidRPr="00500736">
              <w:t>25.1</w:t>
            </w:r>
          </w:p>
        </w:tc>
        <w:tc>
          <w:tcPr>
            <w:tcW w:w="992"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4E8545DE" w14:textId="77777777" w:rsidR="00500736" w:rsidRPr="00500736" w:rsidRDefault="00500736" w:rsidP="00500736">
            <w:pPr>
              <w:pStyle w:val="CDITable-RowCentre"/>
            </w:pPr>
            <w:r w:rsidRPr="00500736">
              <w:t>378</w:t>
            </w:r>
          </w:p>
        </w:tc>
        <w:tc>
          <w:tcPr>
            <w:tcW w:w="992"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69D62718" w14:textId="77777777" w:rsidR="00500736" w:rsidRPr="00500736" w:rsidRDefault="00500736" w:rsidP="00500736">
            <w:pPr>
              <w:pStyle w:val="CDITable-RowCentre"/>
            </w:pPr>
            <w:r w:rsidRPr="00500736">
              <w:t>22.5</w:t>
            </w:r>
          </w:p>
        </w:tc>
      </w:tr>
      <w:tr w:rsidR="00500736" w:rsidRPr="00500736" w14:paraId="4324913A" w14:textId="77777777" w:rsidTr="00E04F46">
        <w:trPr>
          <w:trHeight w:val="60"/>
        </w:trPr>
        <w:tc>
          <w:tcPr>
            <w:tcW w:w="3685"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3083CB44" w14:textId="77777777" w:rsidR="00500736" w:rsidRPr="00E04F46" w:rsidRDefault="00500736" w:rsidP="00500736">
            <w:pPr>
              <w:pStyle w:val="CDITable-RowLeft"/>
              <w:rPr>
                <w:i/>
                <w:iCs/>
              </w:rPr>
            </w:pPr>
            <w:r w:rsidRPr="00E04F46">
              <w:rPr>
                <w:i/>
                <w:iCs/>
              </w:rPr>
              <w:t>Enterococcus faecalis</w:t>
            </w:r>
          </w:p>
        </w:tc>
        <w:tc>
          <w:tcPr>
            <w:tcW w:w="992"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4B19BA55" w14:textId="77777777" w:rsidR="00500736" w:rsidRPr="00500736" w:rsidRDefault="00500736" w:rsidP="00500736">
            <w:pPr>
              <w:pStyle w:val="CDITable-RowCentre"/>
            </w:pPr>
            <w:r w:rsidRPr="00500736">
              <w:t>60</w:t>
            </w:r>
          </w:p>
        </w:tc>
        <w:tc>
          <w:tcPr>
            <w:tcW w:w="992"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350E256C" w14:textId="77777777" w:rsidR="00500736" w:rsidRPr="00500736" w:rsidRDefault="00500736" w:rsidP="00500736">
            <w:pPr>
              <w:pStyle w:val="CDITable-RowCentre"/>
            </w:pPr>
            <w:r w:rsidRPr="00500736">
              <w:t>7.3</w:t>
            </w:r>
          </w:p>
        </w:tc>
        <w:tc>
          <w:tcPr>
            <w:tcW w:w="992"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7ABE7234" w14:textId="77777777" w:rsidR="00500736" w:rsidRPr="00500736" w:rsidRDefault="00500736" w:rsidP="00500736">
            <w:pPr>
              <w:pStyle w:val="CDITable-RowCentre"/>
            </w:pPr>
            <w:r w:rsidRPr="00500736">
              <w:t>62</w:t>
            </w:r>
          </w:p>
        </w:tc>
        <w:tc>
          <w:tcPr>
            <w:tcW w:w="993"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77302A26" w14:textId="77777777" w:rsidR="00500736" w:rsidRPr="00500736" w:rsidRDefault="00500736" w:rsidP="00500736">
            <w:pPr>
              <w:pStyle w:val="CDITable-RowCentre"/>
            </w:pPr>
            <w:r w:rsidRPr="00500736">
              <w:t>7.2</w:t>
            </w:r>
          </w:p>
        </w:tc>
        <w:tc>
          <w:tcPr>
            <w:tcW w:w="992"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0DCDFE5A" w14:textId="77777777" w:rsidR="00500736" w:rsidRPr="00500736" w:rsidRDefault="00500736" w:rsidP="00500736">
            <w:pPr>
              <w:pStyle w:val="CDITable-RowCentre"/>
            </w:pPr>
            <w:r w:rsidRPr="00500736">
              <w:t>122</w:t>
            </w:r>
          </w:p>
        </w:tc>
        <w:tc>
          <w:tcPr>
            <w:tcW w:w="992"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32A370A1" w14:textId="77777777" w:rsidR="00500736" w:rsidRPr="00500736" w:rsidRDefault="00500736" w:rsidP="00500736">
            <w:pPr>
              <w:pStyle w:val="CDITable-RowCentre"/>
            </w:pPr>
            <w:r w:rsidRPr="00500736">
              <w:t>7.3</w:t>
            </w:r>
          </w:p>
        </w:tc>
      </w:tr>
      <w:tr w:rsidR="00500736" w:rsidRPr="00500736" w14:paraId="2A4092CB" w14:textId="77777777" w:rsidTr="00E04F46">
        <w:trPr>
          <w:trHeight w:val="60"/>
        </w:trPr>
        <w:tc>
          <w:tcPr>
            <w:tcW w:w="3685"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6CE43582" w14:textId="77777777" w:rsidR="00500736" w:rsidRPr="00E04F46" w:rsidRDefault="00500736" w:rsidP="00500736">
            <w:pPr>
              <w:pStyle w:val="CDITable-RowLeft"/>
              <w:rPr>
                <w:i/>
                <w:iCs/>
              </w:rPr>
            </w:pPr>
            <w:r w:rsidRPr="00E04F46">
              <w:rPr>
                <w:i/>
                <w:iCs/>
              </w:rPr>
              <w:t xml:space="preserve">Klebsiella pneumoniae </w:t>
            </w:r>
            <w:r w:rsidRPr="00E04F46">
              <w:t>complex</w:t>
            </w:r>
          </w:p>
        </w:tc>
        <w:tc>
          <w:tcPr>
            <w:tcW w:w="992"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09E5BB75" w14:textId="77777777" w:rsidR="00500736" w:rsidRPr="00500736" w:rsidRDefault="00500736" w:rsidP="00500736">
            <w:pPr>
              <w:pStyle w:val="CDITable-RowCentre"/>
            </w:pPr>
            <w:r w:rsidRPr="00500736">
              <w:t>61</w:t>
            </w:r>
          </w:p>
        </w:tc>
        <w:tc>
          <w:tcPr>
            <w:tcW w:w="992"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4D553B77" w14:textId="77777777" w:rsidR="00500736" w:rsidRPr="00500736" w:rsidRDefault="00500736" w:rsidP="00500736">
            <w:pPr>
              <w:pStyle w:val="CDITable-RowCentre"/>
            </w:pPr>
            <w:r w:rsidRPr="00500736">
              <w:t>7.4</w:t>
            </w:r>
          </w:p>
        </w:tc>
        <w:tc>
          <w:tcPr>
            <w:tcW w:w="992"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59D71467" w14:textId="77777777" w:rsidR="00500736" w:rsidRPr="00500736" w:rsidRDefault="00500736" w:rsidP="00500736">
            <w:pPr>
              <w:pStyle w:val="CDITable-RowCentre"/>
            </w:pPr>
            <w:r w:rsidRPr="00500736">
              <w:t>61</w:t>
            </w:r>
          </w:p>
        </w:tc>
        <w:tc>
          <w:tcPr>
            <w:tcW w:w="993"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2B369AE5" w14:textId="77777777" w:rsidR="00500736" w:rsidRPr="00500736" w:rsidRDefault="00500736" w:rsidP="00500736">
            <w:pPr>
              <w:pStyle w:val="CDITable-RowCentre"/>
            </w:pPr>
            <w:r w:rsidRPr="00500736">
              <w:t>7.1</w:t>
            </w:r>
          </w:p>
        </w:tc>
        <w:tc>
          <w:tcPr>
            <w:tcW w:w="992"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68E1171C" w14:textId="77777777" w:rsidR="00500736" w:rsidRPr="00500736" w:rsidRDefault="00500736" w:rsidP="00500736">
            <w:pPr>
              <w:pStyle w:val="CDITable-RowCentre"/>
            </w:pPr>
            <w:r w:rsidRPr="00500736">
              <w:t>122</w:t>
            </w:r>
          </w:p>
        </w:tc>
        <w:tc>
          <w:tcPr>
            <w:tcW w:w="992"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1E4077CC" w14:textId="77777777" w:rsidR="00500736" w:rsidRPr="00500736" w:rsidRDefault="00500736" w:rsidP="00500736">
            <w:pPr>
              <w:pStyle w:val="CDITable-RowCentre"/>
            </w:pPr>
            <w:r w:rsidRPr="00500736">
              <w:t>7.3</w:t>
            </w:r>
          </w:p>
        </w:tc>
      </w:tr>
      <w:tr w:rsidR="00500736" w:rsidRPr="00500736" w14:paraId="6B6E53A1" w14:textId="77777777" w:rsidTr="00E04F46">
        <w:trPr>
          <w:trHeight w:val="60"/>
        </w:trPr>
        <w:tc>
          <w:tcPr>
            <w:tcW w:w="3685"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0A4C4CBE" w14:textId="77777777" w:rsidR="00500736" w:rsidRPr="00E04F46" w:rsidRDefault="00500736" w:rsidP="00500736">
            <w:pPr>
              <w:pStyle w:val="CDITable-RowLeft"/>
              <w:rPr>
                <w:i/>
                <w:iCs/>
              </w:rPr>
            </w:pPr>
            <w:r w:rsidRPr="00E04F46">
              <w:rPr>
                <w:i/>
                <w:iCs/>
              </w:rPr>
              <w:t xml:space="preserve">Enterobacter cloacae </w:t>
            </w:r>
            <w:r w:rsidRPr="00E04F46">
              <w:t>complex</w:t>
            </w:r>
          </w:p>
        </w:tc>
        <w:tc>
          <w:tcPr>
            <w:tcW w:w="992"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2C28C414" w14:textId="77777777" w:rsidR="00500736" w:rsidRPr="00500736" w:rsidRDefault="00500736" w:rsidP="00500736">
            <w:pPr>
              <w:pStyle w:val="CDITable-RowCentre"/>
            </w:pPr>
            <w:r w:rsidRPr="00500736">
              <w:t>60</w:t>
            </w:r>
          </w:p>
        </w:tc>
        <w:tc>
          <w:tcPr>
            <w:tcW w:w="992"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32F70FCE" w14:textId="77777777" w:rsidR="00500736" w:rsidRPr="00500736" w:rsidRDefault="00500736" w:rsidP="00500736">
            <w:pPr>
              <w:pStyle w:val="CDITable-RowCentre"/>
            </w:pPr>
            <w:r w:rsidRPr="00500736">
              <w:t>7.3</w:t>
            </w:r>
          </w:p>
        </w:tc>
        <w:tc>
          <w:tcPr>
            <w:tcW w:w="992"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4B2611D3" w14:textId="77777777" w:rsidR="00500736" w:rsidRPr="00500736" w:rsidRDefault="00500736" w:rsidP="00500736">
            <w:pPr>
              <w:pStyle w:val="CDITable-RowCentre"/>
            </w:pPr>
            <w:r w:rsidRPr="00500736">
              <w:t>46</w:t>
            </w:r>
          </w:p>
        </w:tc>
        <w:tc>
          <w:tcPr>
            <w:tcW w:w="993"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0E86AA24" w14:textId="77777777" w:rsidR="00500736" w:rsidRPr="00500736" w:rsidRDefault="00500736" w:rsidP="00500736">
            <w:pPr>
              <w:pStyle w:val="CDITable-RowCentre"/>
            </w:pPr>
            <w:r w:rsidRPr="00500736">
              <w:t>5.4</w:t>
            </w:r>
          </w:p>
        </w:tc>
        <w:tc>
          <w:tcPr>
            <w:tcW w:w="992"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5F39DC6D" w14:textId="77777777" w:rsidR="00500736" w:rsidRPr="00500736" w:rsidRDefault="00500736" w:rsidP="00500736">
            <w:pPr>
              <w:pStyle w:val="CDITable-RowCentre"/>
            </w:pPr>
            <w:r w:rsidRPr="00500736">
              <w:t>106</w:t>
            </w:r>
          </w:p>
        </w:tc>
        <w:tc>
          <w:tcPr>
            <w:tcW w:w="992"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49CA2806" w14:textId="77777777" w:rsidR="00500736" w:rsidRPr="00500736" w:rsidRDefault="00500736" w:rsidP="00500736">
            <w:pPr>
              <w:pStyle w:val="CDITable-RowCentre"/>
            </w:pPr>
            <w:r w:rsidRPr="00500736">
              <w:t>6.3</w:t>
            </w:r>
          </w:p>
        </w:tc>
      </w:tr>
      <w:tr w:rsidR="00500736" w:rsidRPr="00500736" w14:paraId="5E1D70BE" w14:textId="77777777" w:rsidTr="00E04F46">
        <w:trPr>
          <w:trHeight w:val="60"/>
        </w:trPr>
        <w:tc>
          <w:tcPr>
            <w:tcW w:w="3685"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028B4572" w14:textId="77777777" w:rsidR="00500736" w:rsidRPr="00E04F46" w:rsidRDefault="00500736" w:rsidP="00500736">
            <w:pPr>
              <w:pStyle w:val="CDITable-RowLeft"/>
              <w:rPr>
                <w:i/>
                <w:iCs/>
              </w:rPr>
            </w:pPr>
            <w:r w:rsidRPr="00E04F46">
              <w:rPr>
                <w:i/>
                <w:iCs/>
              </w:rPr>
              <w:t xml:space="preserve">Salmonella </w:t>
            </w:r>
            <w:r w:rsidRPr="00E04F46">
              <w:t>(non-Typhi)</w:t>
            </w:r>
          </w:p>
        </w:tc>
        <w:tc>
          <w:tcPr>
            <w:tcW w:w="992"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33F3E6EE" w14:textId="77777777" w:rsidR="00500736" w:rsidRPr="00500736" w:rsidRDefault="00500736" w:rsidP="00500736">
            <w:pPr>
              <w:pStyle w:val="CDITable-RowCentre"/>
            </w:pPr>
            <w:r w:rsidRPr="00500736">
              <w:t>22</w:t>
            </w:r>
          </w:p>
        </w:tc>
        <w:tc>
          <w:tcPr>
            <w:tcW w:w="992"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2EEEFB00" w14:textId="77777777" w:rsidR="00500736" w:rsidRPr="00500736" w:rsidRDefault="00500736" w:rsidP="00500736">
            <w:pPr>
              <w:pStyle w:val="CDITable-RowCentre"/>
            </w:pPr>
            <w:r w:rsidRPr="00500736">
              <w:t>2.7</w:t>
            </w:r>
          </w:p>
        </w:tc>
        <w:tc>
          <w:tcPr>
            <w:tcW w:w="992"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212004DF" w14:textId="77777777" w:rsidR="00500736" w:rsidRPr="00500736" w:rsidRDefault="00500736" w:rsidP="00500736">
            <w:pPr>
              <w:pStyle w:val="CDITable-RowCentre"/>
            </w:pPr>
            <w:r w:rsidRPr="00500736">
              <w:t>52</w:t>
            </w:r>
          </w:p>
        </w:tc>
        <w:tc>
          <w:tcPr>
            <w:tcW w:w="993"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646798A1" w14:textId="77777777" w:rsidR="00500736" w:rsidRPr="00500736" w:rsidRDefault="00500736" w:rsidP="00500736">
            <w:pPr>
              <w:pStyle w:val="CDITable-RowCentre"/>
            </w:pPr>
            <w:r w:rsidRPr="00500736">
              <w:t>6.1</w:t>
            </w:r>
          </w:p>
        </w:tc>
        <w:tc>
          <w:tcPr>
            <w:tcW w:w="992"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75574C79" w14:textId="77777777" w:rsidR="00500736" w:rsidRPr="00500736" w:rsidRDefault="00500736" w:rsidP="00500736">
            <w:pPr>
              <w:pStyle w:val="CDITable-RowCentre"/>
            </w:pPr>
            <w:r w:rsidRPr="00500736">
              <w:t>74</w:t>
            </w:r>
          </w:p>
        </w:tc>
        <w:tc>
          <w:tcPr>
            <w:tcW w:w="992"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311DC50E" w14:textId="77777777" w:rsidR="00500736" w:rsidRPr="00500736" w:rsidRDefault="00500736" w:rsidP="00500736">
            <w:pPr>
              <w:pStyle w:val="CDITable-RowCentre"/>
            </w:pPr>
            <w:r w:rsidRPr="00500736">
              <w:t>4.4</w:t>
            </w:r>
          </w:p>
        </w:tc>
      </w:tr>
      <w:tr w:rsidR="00500736" w:rsidRPr="00500736" w14:paraId="3969E83B" w14:textId="77777777" w:rsidTr="00E04F46">
        <w:trPr>
          <w:trHeight w:val="60"/>
        </w:trPr>
        <w:tc>
          <w:tcPr>
            <w:tcW w:w="3685"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2A7B0DE1" w14:textId="77777777" w:rsidR="00500736" w:rsidRPr="00E04F46" w:rsidRDefault="00500736" w:rsidP="00500736">
            <w:pPr>
              <w:pStyle w:val="CDITable-RowLeft"/>
              <w:rPr>
                <w:i/>
                <w:iCs/>
              </w:rPr>
            </w:pPr>
            <w:r w:rsidRPr="00E04F46">
              <w:rPr>
                <w:i/>
                <w:iCs/>
              </w:rPr>
              <w:t>Pseudomonas aeruginosa</w:t>
            </w:r>
          </w:p>
        </w:tc>
        <w:tc>
          <w:tcPr>
            <w:tcW w:w="992"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4DD036F2" w14:textId="77777777" w:rsidR="00500736" w:rsidRPr="00500736" w:rsidRDefault="00500736" w:rsidP="00500736">
            <w:pPr>
              <w:pStyle w:val="CDITable-RowCentre"/>
            </w:pPr>
            <w:r w:rsidRPr="00500736">
              <w:t>31</w:t>
            </w:r>
          </w:p>
        </w:tc>
        <w:tc>
          <w:tcPr>
            <w:tcW w:w="992"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47D8C352" w14:textId="77777777" w:rsidR="00500736" w:rsidRPr="00500736" w:rsidRDefault="00500736" w:rsidP="00500736">
            <w:pPr>
              <w:pStyle w:val="CDITable-RowCentre"/>
            </w:pPr>
            <w:r w:rsidRPr="00500736">
              <w:t>3.8</w:t>
            </w:r>
          </w:p>
        </w:tc>
        <w:tc>
          <w:tcPr>
            <w:tcW w:w="992"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61C9FFB9" w14:textId="77777777" w:rsidR="00500736" w:rsidRPr="00500736" w:rsidRDefault="00500736" w:rsidP="00500736">
            <w:pPr>
              <w:pStyle w:val="CDITable-RowCentre"/>
            </w:pPr>
            <w:r w:rsidRPr="00500736">
              <w:t>30</w:t>
            </w:r>
          </w:p>
        </w:tc>
        <w:tc>
          <w:tcPr>
            <w:tcW w:w="993"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1D643B5E" w14:textId="77777777" w:rsidR="00500736" w:rsidRPr="00500736" w:rsidRDefault="00500736" w:rsidP="00500736">
            <w:pPr>
              <w:pStyle w:val="CDITable-RowCentre"/>
            </w:pPr>
            <w:r w:rsidRPr="00500736">
              <w:t>3.5</w:t>
            </w:r>
          </w:p>
        </w:tc>
        <w:tc>
          <w:tcPr>
            <w:tcW w:w="992"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294652DA" w14:textId="77777777" w:rsidR="00500736" w:rsidRPr="00500736" w:rsidRDefault="00500736" w:rsidP="00500736">
            <w:pPr>
              <w:pStyle w:val="CDITable-RowCentre"/>
            </w:pPr>
            <w:r w:rsidRPr="00500736">
              <w:t>61</w:t>
            </w:r>
          </w:p>
        </w:tc>
        <w:tc>
          <w:tcPr>
            <w:tcW w:w="992"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09E53689" w14:textId="77777777" w:rsidR="00500736" w:rsidRPr="00500736" w:rsidRDefault="00500736" w:rsidP="00500736">
            <w:pPr>
              <w:pStyle w:val="CDITable-RowCentre"/>
            </w:pPr>
            <w:r w:rsidRPr="00500736">
              <w:t>3.6</w:t>
            </w:r>
          </w:p>
        </w:tc>
      </w:tr>
      <w:tr w:rsidR="00500736" w:rsidRPr="00500736" w14:paraId="65F3C843" w14:textId="77777777" w:rsidTr="00E04F46">
        <w:trPr>
          <w:trHeight w:val="60"/>
        </w:trPr>
        <w:tc>
          <w:tcPr>
            <w:tcW w:w="3685"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2EFEFDB2" w14:textId="77777777" w:rsidR="00500736" w:rsidRPr="00E04F46" w:rsidRDefault="00500736" w:rsidP="00500736">
            <w:pPr>
              <w:pStyle w:val="CDITable-RowLeft"/>
              <w:rPr>
                <w:i/>
                <w:iCs/>
              </w:rPr>
            </w:pPr>
            <w:r w:rsidRPr="00E04F46">
              <w:rPr>
                <w:i/>
                <w:iCs/>
              </w:rPr>
              <w:t>Enterococcus faecium</w:t>
            </w:r>
          </w:p>
        </w:tc>
        <w:tc>
          <w:tcPr>
            <w:tcW w:w="992"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07575C7A" w14:textId="77777777" w:rsidR="00500736" w:rsidRPr="00500736" w:rsidRDefault="00500736" w:rsidP="00500736">
            <w:pPr>
              <w:pStyle w:val="CDITable-RowCentre"/>
            </w:pPr>
            <w:r w:rsidRPr="00500736">
              <w:t>32</w:t>
            </w:r>
          </w:p>
        </w:tc>
        <w:tc>
          <w:tcPr>
            <w:tcW w:w="992"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3D835A62" w14:textId="77777777" w:rsidR="00500736" w:rsidRPr="00500736" w:rsidRDefault="00500736" w:rsidP="00500736">
            <w:pPr>
              <w:pStyle w:val="CDITable-RowCentre"/>
            </w:pPr>
            <w:r w:rsidRPr="00500736">
              <w:t>3.9</w:t>
            </w:r>
          </w:p>
        </w:tc>
        <w:tc>
          <w:tcPr>
            <w:tcW w:w="992"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732F45EE" w14:textId="77777777" w:rsidR="00500736" w:rsidRPr="00500736" w:rsidRDefault="00500736" w:rsidP="00500736">
            <w:pPr>
              <w:pStyle w:val="CDITable-RowCentre"/>
            </w:pPr>
            <w:r w:rsidRPr="00500736">
              <w:t>9</w:t>
            </w:r>
          </w:p>
        </w:tc>
        <w:tc>
          <w:tcPr>
            <w:tcW w:w="993"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779A9D9D" w14:textId="77777777" w:rsidR="00500736" w:rsidRPr="00500736" w:rsidRDefault="00500736" w:rsidP="00500736">
            <w:pPr>
              <w:pStyle w:val="CDITable-RowCentre"/>
            </w:pPr>
            <w:r w:rsidRPr="00500736">
              <w:t>1.1</w:t>
            </w:r>
          </w:p>
        </w:tc>
        <w:tc>
          <w:tcPr>
            <w:tcW w:w="992"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019D8E71" w14:textId="77777777" w:rsidR="00500736" w:rsidRPr="00500736" w:rsidRDefault="00500736" w:rsidP="00500736">
            <w:pPr>
              <w:pStyle w:val="CDITable-RowCentre"/>
            </w:pPr>
            <w:r w:rsidRPr="00500736">
              <w:t>41</w:t>
            </w:r>
          </w:p>
        </w:tc>
        <w:tc>
          <w:tcPr>
            <w:tcW w:w="992"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146E4904" w14:textId="77777777" w:rsidR="00500736" w:rsidRPr="00500736" w:rsidRDefault="00500736" w:rsidP="00500736">
            <w:pPr>
              <w:pStyle w:val="CDITable-RowCentre"/>
            </w:pPr>
            <w:r w:rsidRPr="00500736">
              <w:t>2.4</w:t>
            </w:r>
          </w:p>
        </w:tc>
      </w:tr>
      <w:tr w:rsidR="00500736" w:rsidRPr="00500736" w14:paraId="5279FF5D" w14:textId="77777777" w:rsidTr="00E04F46">
        <w:trPr>
          <w:trHeight w:val="60"/>
        </w:trPr>
        <w:tc>
          <w:tcPr>
            <w:tcW w:w="3685"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5456A551" w14:textId="77777777" w:rsidR="00500736" w:rsidRPr="00E04F46" w:rsidRDefault="00500736" w:rsidP="00500736">
            <w:pPr>
              <w:pStyle w:val="CDITable-RowLeft"/>
              <w:rPr>
                <w:i/>
                <w:iCs/>
              </w:rPr>
            </w:pPr>
            <w:r w:rsidRPr="00E04F46">
              <w:rPr>
                <w:i/>
                <w:iCs/>
              </w:rPr>
              <w:t>Klebsiella oxytoca</w:t>
            </w:r>
          </w:p>
        </w:tc>
        <w:tc>
          <w:tcPr>
            <w:tcW w:w="992"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1B10F709" w14:textId="77777777" w:rsidR="00500736" w:rsidRPr="00500736" w:rsidRDefault="00500736" w:rsidP="00500736">
            <w:pPr>
              <w:pStyle w:val="CDITable-RowCentre"/>
            </w:pPr>
            <w:r w:rsidRPr="00500736">
              <w:t>13</w:t>
            </w:r>
          </w:p>
        </w:tc>
        <w:tc>
          <w:tcPr>
            <w:tcW w:w="992"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74E1C93E" w14:textId="77777777" w:rsidR="00500736" w:rsidRPr="00500736" w:rsidRDefault="00500736" w:rsidP="00500736">
            <w:pPr>
              <w:pStyle w:val="CDITable-RowCentre"/>
            </w:pPr>
            <w:r w:rsidRPr="00500736">
              <w:t>1.6</w:t>
            </w:r>
          </w:p>
        </w:tc>
        <w:tc>
          <w:tcPr>
            <w:tcW w:w="992"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14F2397A" w14:textId="77777777" w:rsidR="00500736" w:rsidRPr="00500736" w:rsidRDefault="00500736" w:rsidP="00500736">
            <w:pPr>
              <w:pStyle w:val="CDITable-RowCentre"/>
            </w:pPr>
            <w:r w:rsidRPr="00500736">
              <w:t>17</w:t>
            </w:r>
          </w:p>
        </w:tc>
        <w:tc>
          <w:tcPr>
            <w:tcW w:w="993"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2B93AACE" w14:textId="77777777" w:rsidR="00500736" w:rsidRPr="00500736" w:rsidRDefault="00500736" w:rsidP="00500736">
            <w:pPr>
              <w:pStyle w:val="CDITable-RowCentre"/>
            </w:pPr>
            <w:r w:rsidRPr="00500736">
              <w:t>2.0</w:t>
            </w:r>
          </w:p>
        </w:tc>
        <w:tc>
          <w:tcPr>
            <w:tcW w:w="992"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5B0C5E20" w14:textId="77777777" w:rsidR="00500736" w:rsidRPr="00500736" w:rsidRDefault="00500736" w:rsidP="00500736">
            <w:pPr>
              <w:pStyle w:val="CDITable-RowCentre"/>
            </w:pPr>
            <w:r w:rsidRPr="00500736">
              <w:t>30</w:t>
            </w:r>
          </w:p>
        </w:tc>
        <w:tc>
          <w:tcPr>
            <w:tcW w:w="992"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0483E1CC" w14:textId="77777777" w:rsidR="00500736" w:rsidRPr="00500736" w:rsidRDefault="00500736" w:rsidP="00500736">
            <w:pPr>
              <w:pStyle w:val="CDITable-RowCentre"/>
            </w:pPr>
            <w:r w:rsidRPr="00500736">
              <w:t>1.8</w:t>
            </w:r>
          </w:p>
        </w:tc>
      </w:tr>
      <w:tr w:rsidR="00500736" w:rsidRPr="00500736" w14:paraId="301C55FB" w14:textId="77777777" w:rsidTr="00E04F46">
        <w:trPr>
          <w:trHeight w:val="60"/>
        </w:trPr>
        <w:tc>
          <w:tcPr>
            <w:tcW w:w="3685"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2D466BBA" w14:textId="77777777" w:rsidR="00500736" w:rsidRPr="00E04F46" w:rsidRDefault="00500736" w:rsidP="00500736">
            <w:pPr>
              <w:pStyle w:val="CDITable-RowLeft"/>
              <w:rPr>
                <w:i/>
                <w:iCs/>
              </w:rPr>
            </w:pPr>
            <w:r w:rsidRPr="00E04F46">
              <w:rPr>
                <w:i/>
                <w:iCs/>
              </w:rPr>
              <w:t xml:space="preserve">Acinetobacter baumannii </w:t>
            </w:r>
            <w:r w:rsidRPr="00E04F46">
              <w:t>complex</w:t>
            </w:r>
          </w:p>
        </w:tc>
        <w:tc>
          <w:tcPr>
            <w:tcW w:w="992"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019F895A" w14:textId="77777777" w:rsidR="00500736" w:rsidRPr="00500736" w:rsidRDefault="00500736" w:rsidP="00500736">
            <w:pPr>
              <w:pStyle w:val="CDITable-RowCentre"/>
            </w:pPr>
            <w:r w:rsidRPr="00500736">
              <w:t>10</w:t>
            </w:r>
          </w:p>
        </w:tc>
        <w:tc>
          <w:tcPr>
            <w:tcW w:w="992"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6064FFCF" w14:textId="77777777" w:rsidR="00500736" w:rsidRPr="00500736" w:rsidRDefault="00500736" w:rsidP="00500736">
            <w:pPr>
              <w:pStyle w:val="CDITable-RowCentre"/>
            </w:pPr>
            <w:r w:rsidRPr="00500736">
              <w:t>1.2</w:t>
            </w:r>
          </w:p>
        </w:tc>
        <w:tc>
          <w:tcPr>
            <w:tcW w:w="992"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1DB6984C" w14:textId="77777777" w:rsidR="00500736" w:rsidRPr="00500736" w:rsidRDefault="00500736" w:rsidP="00500736">
            <w:pPr>
              <w:pStyle w:val="CDITable-RowCentre"/>
            </w:pPr>
            <w:r w:rsidRPr="00500736">
              <w:t>8</w:t>
            </w:r>
          </w:p>
        </w:tc>
        <w:tc>
          <w:tcPr>
            <w:tcW w:w="993"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00FD505D" w14:textId="77777777" w:rsidR="00500736" w:rsidRPr="00500736" w:rsidRDefault="00500736" w:rsidP="00500736">
            <w:pPr>
              <w:pStyle w:val="CDITable-RowCentre"/>
            </w:pPr>
            <w:r w:rsidRPr="00500736">
              <w:t>0.9</w:t>
            </w:r>
          </w:p>
        </w:tc>
        <w:tc>
          <w:tcPr>
            <w:tcW w:w="992"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1100AE78" w14:textId="77777777" w:rsidR="00500736" w:rsidRPr="00500736" w:rsidRDefault="00500736" w:rsidP="00500736">
            <w:pPr>
              <w:pStyle w:val="CDITable-RowCentre"/>
            </w:pPr>
            <w:r w:rsidRPr="00500736">
              <w:t>18</w:t>
            </w:r>
          </w:p>
        </w:tc>
        <w:tc>
          <w:tcPr>
            <w:tcW w:w="992"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6231EB4A" w14:textId="77777777" w:rsidR="00500736" w:rsidRPr="00500736" w:rsidRDefault="00500736" w:rsidP="00500736">
            <w:pPr>
              <w:pStyle w:val="CDITable-RowCentre"/>
            </w:pPr>
            <w:r w:rsidRPr="00500736">
              <w:t>1.1</w:t>
            </w:r>
          </w:p>
        </w:tc>
      </w:tr>
    </w:tbl>
    <w:p w14:paraId="366B8D42" w14:textId="3BC74E44" w:rsidR="001D6DD4" w:rsidRDefault="001D6DD4" w:rsidP="001D6DD4">
      <w:pPr>
        <w:pStyle w:val="CDITable-Title"/>
      </w:pPr>
      <w:bookmarkStart w:id="46" w:name="_Toc213076660"/>
      <w:r w:rsidRPr="001D6DD4">
        <w:t>Table A.1.2: Number and proportion of the ten most frequently reported isolates to the Australian Group on Antimicrobial Resistance in patients aged &lt; 18 years, January 2022 – December 2023</w:t>
      </w:r>
      <w:bookmarkEnd w:id="46"/>
    </w:p>
    <w:tbl>
      <w:tblPr>
        <w:tblW w:w="0" w:type="auto"/>
        <w:tblLayout w:type="fixed"/>
        <w:tblCellMar>
          <w:left w:w="0" w:type="dxa"/>
          <w:right w:w="0" w:type="dxa"/>
        </w:tblCellMar>
        <w:tblLook w:val="0000" w:firstRow="0" w:lastRow="0" w:firstColumn="0" w:lastColumn="0" w:noHBand="0" w:noVBand="0"/>
        <w:tblCaption w:val="Table A.1.2: Number and proportion of the ten most frequently reported isolates to the Australian Group on Antimicrobial Resistance in patients aged &lt; 18 years, January 2022 – December 2023"/>
        <w:tblDescription w:val="Table A.1.2 shows the number and proportion of ten most frequently reported isolates to AGAR in children and adolescents &lt;18 years for 2022-2023. When compared with Table A.1.1 (which shows the ten most frequently reported AGAR isolates for children an adolescents for 2020-2021), it can be seen that the seven most frequently reported isolates are consistent across both time periods. "/>
      </w:tblPr>
      <w:tblGrid>
        <w:gridCol w:w="3685"/>
        <w:gridCol w:w="992"/>
        <w:gridCol w:w="992"/>
        <w:gridCol w:w="992"/>
        <w:gridCol w:w="993"/>
        <w:gridCol w:w="992"/>
        <w:gridCol w:w="992"/>
      </w:tblGrid>
      <w:tr w:rsidR="00E04F46" w:rsidRPr="00500736" w14:paraId="242C027D" w14:textId="77777777" w:rsidTr="00E04F46">
        <w:trPr>
          <w:trHeight w:val="283"/>
          <w:tblHeader/>
        </w:trPr>
        <w:tc>
          <w:tcPr>
            <w:tcW w:w="3685" w:type="dxa"/>
            <w:vMerge w:val="restart"/>
            <w:shd w:val="clear" w:color="auto" w:fill="1E4496" w:themeFill="text2"/>
            <w:tcMar>
              <w:top w:w="113" w:type="dxa"/>
              <w:left w:w="113" w:type="dxa"/>
              <w:bottom w:w="113" w:type="dxa"/>
              <w:right w:w="113" w:type="dxa"/>
            </w:tcMar>
            <w:vAlign w:val="bottom"/>
          </w:tcPr>
          <w:p w14:paraId="1762AEAD" w14:textId="77777777" w:rsidR="00E04F46" w:rsidRPr="00500736" w:rsidRDefault="00E04F46" w:rsidP="00500736">
            <w:pPr>
              <w:pStyle w:val="CDITable-HeaderRowLeft"/>
            </w:pPr>
            <w:r w:rsidRPr="00500736">
              <w:t>Organism</w:t>
            </w:r>
          </w:p>
        </w:tc>
        <w:tc>
          <w:tcPr>
            <w:tcW w:w="1984" w:type="dxa"/>
            <w:gridSpan w:val="2"/>
            <w:tcBorders>
              <w:bottom w:val="single" w:sz="6" w:space="0" w:color="FFFFFF" w:themeColor="background1"/>
            </w:tcBorders>
            <w:shd w:val="clear" w:color="auto" w:fill="1E4496" w:themeFill="text2"/>
            <w:tcMar>
              <w:top w:w="113" w:type="dxa"/>
              <w:left w:w="113" w:type="dxa"/>
              <w:bottom w:w="57" w:type="dxa"/>
              <w:right w:w="113" w:type="dxa"/>
            </w:tcMar>
            <w:vAlign w:val="bottom"/>
          </w:tcPr>
          <w:p w14:paraId="3FD3EDB4" w14:textId="230F1DCF" w:rsidR="00E04F46" w:rsidRPr="00500736" w:rsidRDefault="00E04F46" w:rsidP="00500736">
            <w:pPr>
              <w:pStyle w:val="CDITable-HeaderRowCentre"/>
            </w:pPr>
            <w:r w:rsidRPr="00500736">
              <w:t>2022</w:t>
            </w:r>
            <w:r>
              <w:br/>
            </w:r>
            <w:r w:rsidRPr="00500736">
              <w:t>N: 791</w:t>
            </w:r>
          </w:p>
        </w:tc>
        <w:tc>
          <w:tcPr>
            <w:tcW w:w="1985" w:type="dxa"/>
            <w:gridSpan w:val="2"/>
            <w:tcBorders>
              <w:bottom w:val="single" w:sz="6" w:space="0" w:color="FFFFFF" w:themeColor="background1"/>
            </w:tcBorders>
            <w:shd w:val="clear" w:color="auto" w:fill="1E4496" w:themeFill="text2"/>
            <w:tcMar>
              <w:top w:w="113" w:type="dxa"/>
              <w:left w:w="113" w:type="dxa"/>
              <w:bottom w:w="57" w:type="dxa"/>
              <w:right w:w="113" w:type="dxa"/>
            </w:tcMar>
            <w:vAlign w:val="bottom"/>
          </w:tcPr>
          <w:p w14:paraId="4052D77A" w14:textId="1B2D2436" w:rsidR="00E04F46" w:rsidRPr="00500736" w:rsidRDefault="00E04F46" w:rsidP="00500736">
            <w:pPr>
              <w:pStyle w:val="CDITable-HeaderRowCentre"/>
            </w:pPr>
            <w:r w:rsidRPr="00500736">
              <w:t>2023</w:t>
            </w:r>
            <w:r>
              <w:br/>
            </w:r>
            <w:r w:rsidRPr="00500736">
              <w:t>N: 1,036</w:t>
            </w:r>
          </w:p>
        </w:tc>
        <w:tc>
          <w:tcPr>
            <w:tcW w:w="1984" w:type="dxa"/>
            <w:gridSpan w:val="2"/>
            <w:tcBorders>
              <w:bottom w:val="single" w:sz="6" w:space="0" w:color="FFFFFF" w:themeColor="background1"/>
            </w:tcBorders>
            <w:shd w:val="clear" w:color="auto" w:fill="1E4496" w:themeFill="text2"/>
            <w:tcMar>
              <w:top w:w="113" w:type="dxa"/>
              <w:left w:w="113" w:type="dxa"/>
              <w:bottom w:w="57" w:type="dxa"/>
              <w:right w:w="113" w:type="dxa"/>
            </w:tcMar>
            <w:vAlign w:val="bottom"/>
          </w:tcPr>
          <w:p w14:paraId="452128EE" w14:textId="58DB83F8" w:rsidR="00E04F46" w:rsidRPr="00500736" w:rsidRDefault="00E04F46" w:rsidP="00500736">
            <w:pPr>
              <w:pStyle w:val="CDITable-HeaderRowCentre"/>
            </w:pPr>
            <w:r w:rsidRPr="00500736">
              <w:t>2022–2023</w:t>
            </w:r>
            <w:r>
              <w:br/>
            </w:r>
            <w:r w:rsidRPr="00500736">
              <w:t>N: 1,827</w:t>
            </w:r>
          </w:p>
        </w:tc>
      </w:tr>
      <w:tr w:rsidR="00500736" w:rsidRPr="00500736" w14:paraId="0299FA3E" w14:textId="77777777" w:rsidTr="00E04F46">
        <w:trPr>
          <w:trHeight w:val="60"/>
          <w:tblHeader/>
        </w:trPr>
        <w:tc>
          <w:tcPr>
            <w:tcW w:w="3685" w:type="dxa"/>
            <w:vMerge/>
            <w:shd w:val="clear" w:color="auto" w:fill="1E4496" w:themeFill="text2"/>
          </w:tcPr>
          <w:p w14:paraId="45F393D1" w14:textId="77777777" w:rsidR="00500736" w:rsidRPr="00500736" w:rsidRDefault="00500736" w:rsidP="00500736"/>
        </w:tc>
        <w:tc>
          <w:tcPr>
            <w:tcW w:w="992" w:type="dxa"/>
            <w:tcBorders>
              <w:top w:val="single" w:sz="6" w:space="0" w:color="FFFFFF" w:themeColor="background1"/>
            </w:tcBorders>
            <w:shd w:val="clear" w:color="auto" w:fill="1E4496" w:themeFill="text2"/>
            <w:tcMar>
              <w:top w:w="113" w:type="dxa"/>
              <w:left w:w="113" w:type="dxa"/>
              <w:bottom w:w="113" w:type="dxa"/>
              <w:right w:w="113" w:type="dxa"/>
            </w:tcMar>
            <w:vAlign w:val="bottom"/>
          </w:tcPr>
          <w:p w14:paraId="2C7A910B" w14:textId="77777777" w:rsidR="00500736" w:rsidRPr="00500736" w:rsidRDefault="00500736" w:rsidP="00500736">
            <w:pPr>
              <w:pStyle w:val="CDITable-HeaderRowCentre"/>
            </w:pPr>
            <w:r w:rsidRPr="00500736">
              <w:t>n</w:t>
            </w:r>
          </w:p>
        </w:tc>
        <w:tc>
          <w:tcPr>
            <w:tcW w:w="992" w:type="dxa"/>
            <w:tcBorders>
              <w:top w:val="single" w:sz="6" w:space="0" w:color="FFFFFF" w:themeColor="background1"/>
              <w:right w:val="single" w:sz="6" w:space="0" w:color="FFFFFF" w:themeColor="background1"/>
            </w:tcBorders>
            <w:shd w:val="clear" w:color="auto" w:fill="1E4496" w:themeFill="text2"/>
            <w:tcMar>
              <w:top w:w="113" w:type="dxa"/>
              <w:left w:w="113" w:type="dxa"/>
              <w:bottom w:w="113" w:type="dxa"/>
              <w:right w:w="113" w:type="dxa"/>
            </w:tcMar>
            <w:vAlign w:val="bottom"/>
          </w:tcPr>
          <w:p w14:paraId="751B1DD9" w14:textId="77777777" w:rsidR="00500736" w:rsidRPr="00500736" w:rsidRDefault="00500736" w:rsidP="00500736">
            <w:pPr>
              <w:pStyle w:val="CDITable-HeaderRowCentre"/>
            </w:pPr>
            <w:r w:rsidRPr="00500736">
              <w:t>%</w:t>
            </w:r>
          </w:p>
        </w:tc>
        <w:tc>
          <w:tcPr>
            <w:tcW w:w="992" w:type="dxa"/>
            <w:tcBorders>
              <w:top w:val="single" w:sz="6" w:space="0" w:color="FFFFFF" w:themeColor="background1"/>
              <w:left w:val="single" w:sz="6" w:space="0" w:color="FFFFFF" w:themeColor="background1"/>
            </w:tcBorders>
            <w:shd w:val="clear" w:color="auto" w:fill="1E4496" w:themeFill="text2"/>
            <w:tcMar>
              <w:top w:w="113" w:type="dxa"/>
              <w:left w:w="113" w:type="dxa"/>
              <w:bottom w:w="113" w:type="dxa"/>
              <w:right w:w="113" w:type="dxa"/>
            </w:tcMar>
            <w:vAlign w:val="bottom"/>
          </w:tcPr>
          <w:p w14:paraId="2C54F948" w14:textId="77777777" w:rsidR="00500736" w:rsidRPr="00500736" w:rsidRDefault="00500736" w:rsidP="00500736">
            <w:pPr>
              <w:pStyle w:val="CDITable-HeaderRowCentre"/>
            </w:pPr>
            <w:r w:rsidRPr="00500736">
              <w:t>n</w:t>
            </w:r>
          </w:p>
        </w:tc>
        <w:tc>
          <w:tcPr>
            <w:tcW w:w="993" w:type="dxa"/>
            <w:tcBorders>
              <w:top w:val="single" w:sz="6" w:space="0" w:color="FFFFFF" w:themeColor="background1"/>
              <w:right w:val="single" w:sz="6" w:space="0" w:color="FFFFFF" w:themeColor="background1"/>
            </w:tcBorders>
            <w:shd w:val="clear" w:color="auto" w:fill="1E4496" w:themeFill="text2"/>
            <w:tcMar>
              <w:top w:w="113" w:type="dxa"/>
              <w:left w:w="113" w:type="dxa"/>
              <w:bottom w:w="113" w:type="dxa"/>
              <w:right w:w="113" w:type="dxa"/>
            </w:tcMar>
            <w:vAlign w:val="bottom"/>
          </w:tcPr>
          <w:p w14:paraId="52EC04EA" w14:textId="77777777" w:rsidR="00500736" w:rsidRPr="00500736" w:rsidRDefault="00500736" w:rsidP="00500736">
            <w:pPr>
              <w:pStyle w:val="CDITable-HeaderRowCentre"/>
            </w:pPr>
            <w:r w:rsidRPr="00500736">
              <w:t>%</w:t>
            </w:r>
          </w:p>
        </w:tc>
        <w:tc>
          <w:tcPr>
            <w:tcW w:w="992" w:type="dxa"/>
            <w:tcBorders>
              <w:top w:val="single" w:sz="6" w:space="0" w:color="FFFFFF" w:themeColor="background1"/>
              <w:left w:val="single" w:sz="6" w:space="0" w:color="FFFFFF" w:themeColor="background1"/>
            </w:tcBorders>
            <w:shd w:val="clear" w:color="auto" w:fill="1E4496" w:themeFill="text2"/>
            <w:tcMar>
              <w:top w:w="113" w:type="dxa"/>
              <w:left w:w="113" w:type="dxa"/>
              <w:bottom w:w="113" w:type="dxa"/>
              <w:right w:w="113" w:type="dxa"/>
            </w:tcMar>
            <w:vAlign w:val="bottom"/>
          </w:tcPr>
          <w:p w14:paraId="438562F8" w14:textId="77777777" w:rsidR="00500736" w:rsidRPr="00500736" w:rsidRDefault="00500736" w:rsidP="00500736">
            <w:pPr>
              <w:pStyle w:val="CDITable-HeaderRowCentre"/>
            </w:pPr>
            <w:r w:rsidRPr="00500736">
              <w:t>n</w:t>
            </w:r>
          </w:p>
        </w:tc>
        <w:tc>
          <w:tcPr>
            <w:tcW w:w="992" w:type="dxa"/>
            <w:tcBorders>
              <w:top w:val="single" w:sz="6" w:space="0" w:color="FFFFFF" w:themeColor="background1"/>
            </w:tcBorders>
            <w:shd w:val="clear" w:color="auto" w:fill="1E4496" w:themeFill="text2"/>
            <w:tcMar>
              <w:top w:w="113" w:type="dxa"/>
              <w:left w:w="113" w:type="dxa"/>
              <w:bottom w:w="113" w:type="dxa"/>
              <w:right w:w="113" w:type="dxa"/>
            </w:tcMar>
            <w:vAlign w:val="bottom"/>
          </w:tcPr>
          <w:p w14:paraId="6F329563" w14:textId="77777777" w:rsidR="00500736" w:rsidRPr="00500736" w:rsidRDefault="00500736" w:rsidP="00500736">
            <w:pPr>
              <w:pStyle w:val="CDITable-HeaderRowCentre"/>
            </w:pPr>
            <w:r w:rsidRPr="00500736">
              <w:t>%</w:t>
            </w:r>
          </w:p>
        </w:tc>
      </w:tr>
      <w:tr w:rsidR="00500736" w:rsidRPr="00500736" w14:paraId="592DD8A8" w14:textId="77777777" w:rsidTr="00E04F46">
        <w:trPr>
          <w:trHeight w:val="60"/>
        </w:trPr>
        <w:tc>
          <w:tcPr>
            <w:tcW w:w="3685" w:type="dxa"/>
            <w:tcBorders>
              <w:bottom w:val="single" w:sz="6" w:space="0" w:color="1E4496" w:themeColor="text2"/>
            </w:tcBorders>
            <w:tcMar>
              <w:top w:w="96" w:type="dxa"/>
              <w:left w:w="113" w:type="dxa"/>
              <w:bottom w:w="96" w:type="dxa"/>
              <w:right w:w="113" w:type="dxa"/>
            </w:tcMar>
            <w:vAlign w:val="center"/>
          </w:tcPr>
          <w:p w14:paraId="6821D8FD" w14:textId="77777777" w:rsidR="00500736" w:rsidRPr="00E04F46" w:rsidRDefault="00500736" w:rsidP="00500736">
            <w:pPr>
              <w:pStyle w:val="CDITable-RowLeft"/>
              <w:rPr>
                <w:i/>
                <w:iCs/>
              </w:rPr>
            </w:pPr>
            <w:r w:rsidRPr="00E04F46">
              <w:rPr>
                <w:i/>
                <w:iCs/>
              </w:rPr>
              <w:t>Staphylococcus aureus</w:t>
            </w:r>
          </w:p>
        </w:tc>
        <w:tc>
          <w:tcPr>
            <w:tcW w:w="992" w:type="dxa"/>
            <w:tcBorders>
              <w:bottom w:val="single" w:sz="6" w:space="0" w:color="1E4496" w:themeColor="text2"/>
            </w:tcBorders>
            <w:tcMar>
              <w:top w:w="96" w:type="dxa"/>
              <w:left w:w="113" w:type="dxa"/>
              <w:bottom w:w="96" w:type="dxa"/>
              <w:right w:w="113" w:type="dxa"/>
            </w:tcMar>
            <w:vAlign w:val="center"/>
          </w:tcPr>
          <w:p w14:paraId="758E5227" w14:textId="77777777" w:rsidR="00500736" w:rsidRPr="00500736" w:rsidRDefault="00500736" w:rsidP="00500736">
            <w:pPr>
              <w:pStyle w:val="CDITable-RowCentre"/>
            </w:pPr>
            <w:r w:rsidRPr="00500736">
              <w:t>278</w:t>
            </w:r>
          </w:p>
        </w:tc>
        <w:tc>
          <w:tcPr>
            <w:tcW w:w="992" w:type="dxa"/>
            <w:tcBorders>
              <w:bottom w:val="single" w:sz="6" w:space="0" w:color="1E4496" w:themeColor="text2"/>
            </w:tcBorders>
            <w:tcMar>
              <w:top w:w="96" w:type="dxa"/>
              <w:left w:w="113" w:type="dxa"/>
              <w:bottom w:w="96" w:type="dxa"/>
              <w:right w:w="113" w:type="dxa"/>
            </w:tcMar>
            <w:vAlign w:val="center"/>
          </w:tcPr>
          <w:p w14:paraId="6FF296C1" w14:textId="77777777" w:rsidR="00500736" w:rsidRPr="00500736" w:rsidRDefault="00500736" w:rsidP="00500736">
            <w:pPr>
              <w:pStyle w:val="CDITable-RowCentre"/>
            </w:pPr>
            <w:r w:rsidRPr="00500736">
              <w:t>35.1</w:t>
            </w:r>
          </w:p>
        </w:tc>
        <w:tc>
          <w:tcPr>
            <w:tcW w:w="992" w:type="dxa"/>
            <w:tcBorders>
              <w:bottom w:val="single" w:sz="6" w:space="0" w:color="1E4496" w:themeColor="text2"/>
            </w:tcBorders>
            <w:tcMar>
              <w:top w:w="96" w:type="dxa"/>
              <w:left w:w="113" w:type="dxa"/>
              <w:bottom w:w="96" w:type="dxa"/>
              <w:right w:w="113" w:type="dxa"/>
            </w:tcMar>
            <w:vAlign w:val="center"/>
          </w:tcPr>
          <w:p w14:paraId="488E5C3B" w14:textId="77777777" w:rsidR="00500736" w:rsidRPr="00500736" w:rsidRDefault="00500736" w:rsidP="00500736">
            <w:pPr>
              <w:pStyle w:val="CDITable-RowCentre"/>
            </w:pPr>
            <w:r w:rsidRPr="00500736">
              <w:t>323</w:t>
            </w:r>
          </w:p>
        </w:tc>
        <w:tc>
          <w:tcPr>
            <w:tcW w:w="993" w:type="dxa"/>
            <w:tcBorders>
              <w:bottom w:val="single" w:sz="6" w:space="0" w:color="1E4496" w:themeColor="text2"/>
            </w:tcBorders>
            <w:tcMar>
              <w:top w:w="96" w:type="dxa"/>
              <w:left w:w="113" w:type="dxa"/>
              <w:bottom w:w="96" w:type="dxa"/>
              <w:right w:w="113" w:type="dxa"/>
            </w:tcMar>
            <w:vAlign w:val="center"/>
          </w:tcPr>
          <w:p w14:paraId="18750F7D" w14:textId="77777777" w:rsidR="00500736" w:rsidRPr="00500736" w:rsidRDefault="00500736" w:rsidP="00500736">
            <w:pPr>
              <w:pStyle w:val="CDITable-RowCentre"/>
            </w:pPr>
            <w:r w:rsidRPr="00500736">
              <w:t>31.2</w:t>
            </w:r>
          </w:p>
        </w:tc>
        <w:tc>
          <w:tcPr>
            <w:tcW w:w="992" w:type="dxa"/>
            <w:tcBorders>
              <w:bottom w:val="single" w:sz="6" w:space="0" w:color="1E4496" w:themeColor="text2"/>
            </w:tcBorders>
            <w:tcMar>
              <w:top w:w="96" w:type="dxa"/>
              <w:left w:w="113" w:type="dxa"/>
              <w:bottom w:w="96" w:type="dxa"/>
              <w:right w:w="113" w:type="dxa"/>
            </w:tcMar>
            <w:vAlign w:val="center"/>
          </w:tcPr>
          <w:p w14:paraId="5DDFEFE5" w14:textId="77777777" w:rsidR="00500736" w:rsidRPr="00500736" w:rsidRDefault="00500736" w:rsidP="00500736">
            <w:pPr>
              <w:pStyle w:val="CDITable-RowCentre"/>
            </w:pPr>
            <w:r w:rsidRPr="00500736">
              <w:t>601</w:t>
            </w:r>
          </w:p>
        </w:tc>
        <w:tc>
          <w:tcPr>
            <w:tcW w:w="992" w:type="dxa"/>
            <w:tcBorders>
              <w:bottom w:val="single" w:sz="6" w:space="0" w:color="1E4496" w:themeColor="text2"/>
            </w:tcBorders>
            <w:tcMar>
              <w:top w:w="96" w:type="dxa"/>
              <w:left w:w="113" w:type="dxa"/>
              <w:bottom w:w="96" w:type="dxa"/>
              <w:right w:w="113" w:type="dxa"/>
            </w:tcMar>
            <w:vAlign w:val="center"/>
          </w:tcPr>
          <w:p w14:paraId="73031AF3" w14:textId="77777777" w:rsidR="00500736" w:rsidRPr="00500736" w:rsidRDefault="00500736" w:rsidP="00500736">
            <w:pPr>
              <w:pStyle w:val="CDITable-RowCentre"/>
            </w:pPr>
            <w:r w:rsidRPr="00500736">
              <w:t>32.9</w:t>
            </w:r>
          </w:p>
        </w:tc>
      </w:tr>
      <w:tr w:rsidR="00500736" w:rsidRPr="00500736" w14:paraId="672B6E17" w14:textId="77777777" w:rsidTr="00E04F46">
        <w:trPr>
          <w:trHeight w:val="60"/>
        </w:trPr>
        <w:tc>
          <w:tcPr>
            <w:tcW w:w="3685"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4EDD92F3" w14:textId="77777777" w:rsidR="00500736" w:rsidRPr="00E04F46" w:rsidRDefault="00500736" w:rsidP="00500736">
            <w:pPr>
              <w:pStyle w:val="CDITable-RowLeft"/>
              <w:rPr>
                <w:i/>
                <w:iCs/>
              </w:rPr>
            </w:pPr>
            <w:r w:rsidRPr="00E04F46">
              <w:rPr>
                <w:i/>
                <w:iCs/>
              </w:rPr>
              <w:t>Escherichia coli</w:t>
            </w:r>
          </w:p>
        </w:tc>
        <w:tc>
          <w:tcPr>
            <w:tcW w:w="992"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255B6007" w14:textId="77777777" w:rsidR="00500736" w:rsidRPr="00500736" w:rsidRDefault="00500736" w:rsidP="00500736">
            <w:pPr>
              <w:pStyle w:val="CDITable-RowCentre"/>
            </w:pPr>
            <w:r w:rsidRPr="00500736">
              <w:t>200</w:t>
            </w:r>
          </w:p>
        </w:tc>
        <w:tc>
          <w:tcPr>
            <w:tcW w:w="992"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3D7FA7A9" w14:textId="77777777" w:rsidR="00500736" w:rsidRPr="00500736" w:rsidRDefault="00500736" w:rsidP="00500736">
            <w:pPr>
              <w:pStyle w:val="CDITable-RowCentre"/>
            </w:pPr>
            <w:r w:rsidRPr="00500736">
              <w:t>25.3</w:t>
            </w:r>
          </w:p>
        </w:tc>
        <w:tc>
          <w:tcPr>
            <w:tcW w:w="992"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654FE44C" w14:textId="77777777" w:rsidR="00500736" w:rsidRPr="00500736" w:rsidRDefault="00500736" w:rsidP="00500736">
            <w:pPr>
              <w:pStyle w:val="CDITable-RowCentre"/>
            </w:pPr>
            <w:r w:rsidRPr="00500736">
              <w:t>257</w:t>
            </w:r>
          </w:p>
        </w:tc>
        <w:tc>
          <w:tcPr>
            <w:tcW w:w="993"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44F612A6" w14:textId="77777777" w:rsidR="00500736" w:rsidRPr="00500736" w:rsidRDefault="00500736" w:rsidP="00500736">
            <w:pPr>
              <w:pStyle w:val="CDITable-RowCentre"/>
            </w:pPr>
            <w:r w:rsidRPr="00500736">
              <w:t>24.8</w:t>
            </w:r>
          </w:p>
        </w:tc>
        <w:tc>
          <w:tcPr>
            <w:tcW w:w="992"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2F363862" w14:textId="77777777" w:rsidR="00500736" w:rsidRPr="00500736" w:rsidRDefault="00500736" w:rsidP="00500736">
            <w:pPr>
              <w:pStyle w:val="CDITable-RowCentre"/>
            </w:pPr>
            <w:r w:rsidRPr="00500736">
              <w:t>457</w:t>
            </w:r>
          </w:p>
        </w:tc>
        <w:tc>
          <w:tcPr>
            <w:tcW w:w="992"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4E1DC56B" w14:textId="77777777" w:rsidR="00500736" w:rsidRPr="00500736" w:rsidRDefault="00500736" w:rsidP="00500736">
            <w:pPr>
              <w:pStyle w:val="CDITable-RowCentre"/>
            </w:pPr>
            <w:r w:rsidRPr="00500736">
              <w:t>25.0</w:t>
            </w:r>
          </w:p>
        </w:tc>
      </w:tr>
      <w:tr w:rsidR="00500736" w:rsidRPr="00500736" w14:paraId="21B27E4A" w14:textId="77777777" w:rsidTr="00E04F46">
        <w:trPr>
          <w:trHeight w:val="60"/>
        </w:trPr>
        <w:tc>
          <w:tcPr>
            <w:tcW w:w="3685"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082B487E" w14:textId="77777777" w:rsidR="00500736" w:rsidRPr="00E04F46" w:rsidRDefault="00500736" w:rsidP="00500736">
            <w:pPr>
              <w:pStyle w:val="CDITable-RowLeft"/>
              <w:rPr>
                <w:i/>
                <w:iCs/>
              </w:rPr>
            </w:pPr>
            <w:r w:rsidRPr="00E04F46">
              <w:rPr>
                <w:i/>
                <w:iCs/>
              </w:rPr>
              <w:t>Enterococcus faecalis</w:t>
            </w:r>
          </w:p>
        </w:tc>
        <w:tc>
          <w:tcPr>
            <w:tcW w:w="992"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7F88BEF8" w14:textId="77777777" w:rsidR="00500736" w:rsidRPr="00500736" w:rsidRDefault="00500736" w:rsidP="00500736">
            <w:pPr>
              <w:pStyle w:val="CDITable-RowCentre"/>
            </w:pPr>
            <w:r w:rsidRPr="00500736">
              <w:t>67</w:t>
            </w:r>
          </w:p>
        </w:tc>
        <w:tc>
          <w:tcPr>
            <w:tcW w:w="992"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3C132EF3" w14:textId="77777777" w:rsidR="00500736" w:rsidRPr="00500736" w:rsidRDefault="00500736" w:rsidP="00500736">
            <w:pPr>
              <w:pStyle w:val="CDITable-RowCentre"/>
            </w:pPr>
            <w:r w:rsidRPr="00500736">
              <w:t>8.5</w:t>
            </w:r>
          </w:p>
        </w:tc>
        <w:tc>
          <w:tcPr>
            <w:tcW w:w="992"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46FCE7AF" w14:textId="77777777" w:rsidR="00500736" w:rsidRPr="00500736" w:rsidRDefault="00500736" w:rsidP="00500736">
            <w:pPr>
              <w:pStyle w:val="CDITable-RowCentre"/>
            </w:pPr>
            <w:r w:rsidRPr="00500736">
              <w:t>69</w:t>
            </w:r>
          </w:p>
        </w:tc>
        <w:tc>
          <w:tcPr>
            <w:tcW w:w="993"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6F510262" w14:textId="77777777" w:rsidR="00500736" w:rsidRPr="00500736" w:rsidRDefault="00500736" w:rsidP="00500736">
            <w:pPr>
              <w:pStyle w:val="CDITable-RowCentre"/>
            </w:pPr>
            <w:r w:rsidRPr="00500736">
              <w:t>6.7</w:t>
            </w:r>
          </w:p>
        </w:tc>
        <w:tc>
          <w:tcPr>
            <w:tcW w:w="992"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11D55354" w14:textId="77777777" w:rsidR="00500736" w:rsidRPr="00500736" w:rsidRDefault="00500736" w:rsidP="00500736">
            <w:pPr>
              <w:pStyle w:val="CDITable-RowCentre"/>
            </w:pPr>
            <w:r w:rsidRPr="00500736">
              <w:t>136</w:t>
            </w:r>
          </w:p>
        </w:tc>
        <w:tc>
          <w:tcPr>
            <w:tcW w:w="992"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3FEA7C61" w14:textId="77777777" w:rsidR="00500736" w:rsidRPr="00500736" w:rsidRDefault="00500736" w:rsidP="00500736">
            <w:pPr>
              <w:pStyle w:val="CDITable-RowCentre"/>
            </w:pPr>
            <w:r w:rsidRPr="00500736">
              <w:t>7.4</w:t>
            </w:r>
          </w:p>
        </w:tc>
      </w:tr>
      <w:tr w:rsidR="00500736" w:rsidRPr="00500736" w14:paraId="4D3BD604" w14:textId="77777777" w:rsidTr="00E04F46">
        <w:trPr>
          <w:trHeight w:val="60"/>
        </w:trPr>
        <w:tc>
          <w:tcPr>
            <w:tcW w:w="3685"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57A3A9AF" w14:textId="77777777" w:rsidR="00500736" w:rsidRPr="00E04F46" w:rsidRDefault="00500736" w:rsidP="00500736">
            <w:pPr>
              <w:pStyle w:val="CDITable-RowLeft"/>
              <w:rPr>
                <w:i/>
                <w:iCs/>
              </w:rPr>
            </w:pPr>
            <w:r w:rsidRPr="00E04F46">
              <w:rPr>
                <w:i/>
                <w:iCs/>
              </w:rPr>
              <w:t xml:space="preserve">Klebsiella pneumoniae </w:t>
            </w:r>
            <w:r w:rsidRPr="00666A14">
              <w:t>complex</w:t>
            </w:r>
          </w:p>
        </w:tc>
        <w:tc>
          <w:tcPr>
            <w:tcW w:w="992"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3CB17F62" w14:textId="77777777" w:rsidR="00500736" w:rsidRPr="00500736" w:rsidRDefault="00500736" w:rsidP="00500736">
            <w:pPr>
              <w:pStyle w:val="CDITable-RowCentre"/>
            </w:pPr>
            <w:r w:rsidRPr="00500736">
              <w:t>45</w:t>
            </w:r>
          </w:p>
        </w:tc>
        <w:tc>
          <w:tcPr>
            <w:tcW w:w="992"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0070A028" w14:textId="77777777" w:rsidR="00500736" w:rsidRPr="00500736" w:rsidRDefault="00500736" w:rsidP="00500736">
            <w:pPr>
              <w:pStyle w:val="CDITable-RowCentre"/>
            </w:pPr>
            <w:r w:rsidRPr="00500736">
              <w:t>5.7</w:t>
            </w:r>
          </w:p>
        </w:tc>
        <w:tc>
          <w:tcPr>
            <w:tcW w:w="992"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7BBCD1EE" w14:textId="77777777" w:rsidR="00500736" w:rsidRPr="00500736" w:rsidRDefault="00500736" w:rsidP="00500736">
            <w:pPr>
              <w:pStyle w:val="CDITable-RowCentre"/>
            </w:pPr>
            <w:r w:rsidRPr="00500736">
              <w:t>62</w:t>
            </w:r>
          </w:p>
        </w:tc>
        <w:tc>
          <w:tcPr>
            <w:tcW w:w="993"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15CE8888" w14:textId="77777777" w:rsidR="00500736" w:rsidRPr="00500736" w:rsidRDefault="00500736" w:rsidP="00500736">
            <w:pPr>
              <w:pStyle w:val="CDITable-RowCentre"/>
            </w:pPr>
            <w:r w:rsidRPr="00500736">
              <w:t>6.0</w:t>
            </w:r>
          </w:p>
        </w:tc>
        <w:tc>
          <w:tcPr>
            <w:tcW w:w="992"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2F588C2B" w14:textId="77777777" w:rsidR="00500736" w:rsidRPr="00500736" w:rsidRDefault="00500736" w:rsidP="00500736">
            <w:pPr>
              <w:pStyle w:val="CDITable-RowCentre"/>
            </w:pPr>
            <w:r w:rsidRPr="00500736">
              <w:t>107</w:t>
            </w:r>
          </w:p>
        </w:tc>
        <w:tc>
          <w:tcPr>
            <w:tcW w:w="992"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73062163" w14:textId="77777777" w:rsidR="00500736" w:rsidRPr="00500736" w:rsidRDefault="00500736" w:rsidP="00500736">
            <w:pPr>
              <w:pStyle w:val="CDITable-RowCentre"/>
            </w:pPr>
            <w:r w:rsidRPr="00500736">
              <w:t>5.9</w:t>
            </w:r>
          </w:p>
        </w:tc>
      </w:tr>
      <w:tr w:rsidR="00500736" w:rsidRPr="00500736" w14:paraId="02A3A3B6" w14:textId="77777777" w:rsidTr="00E04F46">
        <w:trPr>
          <w:trHeight w:val="60"/>
        </w:trPr>
        <w:tc>
          <w:tcPr>
            <w:tcW w:w="3685"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0B8E2575" w14:textId="77777777" w:rsidR="00500736" w:rsidRPr="00E04F46" w:rsidRDefault="00500736" w:rsidP="00500736">
            <w:pPr>
              <w:pStyle w:val="CDITable-RowLeft"/>
              <w:rPr>
                <w:i/>
                <w:iCs/>
              </w:rPr>
            </w:pPr>
            <w:r w:rsidRPr="00E04F46">
              <w:rPr>
                <w:i/>
                <w:iCs/>
              </w:rPr>
              <w:t xml:space="preserve">Enterobacter cloacae </w:t>
            </w:r>
            <w:r w:rsidRPr="00E04F46">
              <w:t>complex</w:t>
            </w:r>
          </w:p>
        </w:tc>
        <w:tc>
          <w:tcPr>
            <w:tcW w:w="992"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673FB059" w14:textId="77777777" w:rsidR="00500736" w:rsidRPr="00500736" w:rsidRDefault="00500736" w:rsidP="00500736">
            <w:pPr>
              <w:pStyle w:val="CDITable-RowCentre"/>
            </w:pPr>
            <w:r w:rsidRPr="00500736">
              <w:t>37</w:t>
            </w:r>
          </w:p>
        </w:tc>
        <w:tc>
          <w:tcPr>
            <w:tcW w:w="992"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115D450A" w14:textId="77777777" w:rsidR="00500736" w:rsidRPr="00500736" w:rsidRDefault="00500736" w:rsidP="00500736">
            <w:pPr>
              <w:pStyle w:val="CDITable-RowCentre"/>
            </w:pPr>
            <w:r w:rsidRPr="00500736">
              <w:t>4.7</w:t>
            </w:r>
          </w:p>
        </w:tc>
        <w:tc>
          <w:tcPr>
            <w:tcW w:w="992"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422E4A07" w14:textId="77777777" w:rsidR="00500736" w:rsidRPr="00500736" w:rsidRDefault="00500736" w:rsidP="00500736">
            <w:pPr>
              <w:pStyle w:val="CDITable-RowCentre"/>
            </w:pPr>
            <w:r w:rsidRPr="00500736">
              <w:t>54</w:t>
            </w:r>
          </w:p>
        </w:tc>
        <w:tc>
          <w:tcPr>
            <w:tcW w:w="993"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04DACDA2" w14:textId="77777777" w:rsidR="00500736" w:rsidRPr="00500736" w:rsidRDefault="00500736" w:rsidP="00500736">
            <w:pPr>
              <w:pStyle w:val="CDITable-RowCentre"/>
            </w:pPr>
            <w:r w:rsidRPr="00500736">
              <w:t>5.2</w:t>
            </w:r>
          </w:p>
        </w:tc>
        <w:tc>
          <w:tcPr>
            <w:tcW w:w="992"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590F6038" w14:textId="77777777" w:rsidR="00500736" w:rsidRPr="00500736" w:rsidRDefault="00500736" w:rsidP="00500736">
            <w:pPr>
              <w:pStyle w:val="CDITable-RowCentre"/>
            </w:pPr>
            <w:r w:rsidRPr="00500736">
              <w:t>91</w:t>
            </w:r>
          </w:p>
        </w:tc>
        <w:tc>
          <w:tcPr>
            <w:tcW w:w="992"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3DEB302A" w14:textId="77777777" w:rsidR="00500736" w:rsidRPr="00500736" w:rsidRDefault="00500736" w:rsidP="00500736">
            <w:pPr>
              <w:pStyle w:val="CDITable-RowCentre"/>
            </w:pPr>
            <w:r w:rsidRPr="00500736">
              <w:t>5.0</w:t>
            </w:r>
          </w:p>
        </w:tc>
      </w:tr>
      <w:tr w:rsidR="00500736" w:rsidRPr="00500736" w14:paraId="5ACEE826" w14:textId="77777777" w:rsidTr="00E04F46">
        <w:trPr>
          <w:trHeight w:val="60"/>
        </w:trPr>
        <w:tc>
          <w:tcPr>
            <w:tcW w:w="3685"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5ACC3889" w14:textId="77777777" w:rsidR="00500736" w:rsidRPr="00E04F46" w:rsidRDefault="00500736" w:rsidP="00500736">
            <w:pPr>
              <w:pStyle w:val="CDITable-RowLeft"/>
              <w:rPr>
                <w:i/>
                <w:iCs/>
              </w:rPr>
            </w:pPr>
            <w:r w:rsidRPr="00E04F46">
              <w:rPr>
                <w:i/>
                <w:iCs/>
              </w:rPr>
              <w:t xml:space="preserve">Salmonella </w:t>
            </w:r>
            <w:r w:rsidRPr="00E04F46">
              <w:t>(non-Typhi)</w:t>
            </w:r>
          </w:p>
        </w:tc>
        <w:tc>
          <w:tcPr>
            <w:tcW w:w="992"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67A1BB2F" w14:textId="77777777" w:rsidR="00500736" w:rsidRPr="00500736" w:rsidRDefault="00500736" w:rsidP="00500736">
            <w:pPr>
              <w:pStyle w:val="CDITable-RowCentre"/>
            </w:pPr>
            <w:r w:rsidRPr="00500736">
              <w:t>34</w:t>
            </w:r>
          </w:p>
        </w:tc>
        <w:tc>
          <w:tcPr>
            <w:tcW w:w="992"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4296DBA2" w14:textId="77777777" w:rsidR="00500736" w:rsidRPr="00500736" w:rsidRDefault="00500736" w:rsidP="00500736">
            <w:pPr>
              <w:pStyle w:val="CDITable-RowCentre"/>
            </w:pPr>
            <w:r w:rsidRPr="00500736">
              <w:t>4.3</w:t>
            </w:r>
          </w:p>
        </w:tc>
        <w:tc>
          <w:tcPr>
            <w:tcW w:w="992"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30749C5C" w14:textId="77777777" w:rsidR="00500736" w:rsidRPr="00500736" w:rsidRDefault="00500736" w:rsidP="00500736">
            <w:pPr>
              <w:pStyle w:val="CDITable-RowCentre"/>
            </w:pPr>
            <w:r w:rsidRPr="00500736">
              <w:t>51</w:t>
            </w:r>
          </w:p>
        </w:tc>
        <w:tc>
          <w:tcPr>
            <w:tcW w:w="993"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049F4C58" w14:textId="77777777" w:rsidR="00500736" w:rsidRPr="00500736" w:rsidRDefault="00500736" w:rsidP="00500736">
            <w:pPr>
              <w:pStyle w:val="CDITable-RowCentre"/>
            </w:pPr>
            <w:r w:rsidRPr="00500736">
              <w:t>4.9</w:t>
            </w:r>
          </w:p>
        </w:tc>
        <w:tc>
          <w:tcPr>
            <w:tcW w:w="992"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6E40740E" w14:textId="77777777" w:rsidR="00500736" w:rsidRPr="00500736" w:rsidRDefault="00500736" w:rsidP="00500736">
            <w:pPr>
              <w:pStyle w:val="CDITable-RowCentre"/>
            </w:pPr>
            <w:r w:rsidRPr="00500736">
              <w:t>85</w:t>
            </w:r>
          </w:p>
        </w:tc>
        <w:tc>
          <w:tcPr>
            <w:tcW w:w="992"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39B11DBF" w14:textId="77777777" w:rsidR="00500736" w:rsidRPr="00500736" w:rsidRDefault="00500736" w:rsidP="00500736">
            <w:pPr>
              <w:pStyle w:val="CDITable-RowCentre"/>
            </w:pPr>
            <w:r w:rsidRPr="00500736">
              <w:t>4.7</w:t>
            </w:r>
          </w:p>
        </w:tc>
      </w:tr>
      <w:tr w:rsidR="00500736" w:rsidRPr="00500736" w14:paraId="61FDB941" w14:textId="77777777" w:rsidTr="00E04F46">
        <w:trPr>
          <w:trHeight w:val="60"/>
        </w:trPr>
        <w:tc>
          <w:tcPr>
            <w:tcW w:w="3685"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4EACE9BF" w14:textId="77777777" w:rsidR="00500736" w:rsidRPr="00E04F46" w:rsidRDefault="00500736" w:rsidP="00500736">
            <w:pPr>
              <w:pStyle w:val="CDITable-RowLeft"/>
              <w:rPr>
                <w:i/>
                <w:iCs/>
              </w:rPr>
            </w:pPr>
            <w:r w:rsidRPr="00E04F46">
              <w:rPr>
                <w:i/>
                <w:iCs/>
              </w:rPr>
              <w:t>Pseudomonas aeruginosa</w:t>
            </w:r>
          </w:p>
        </w:tc>
        <w:tc>
          <w:tcPr>
            <w:tcW w:w="992"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5A902C76" w14:textId="77777777" w:rsidR="00500736" w:rsidRPr="00500736" w:rsidRDefault="00500736" w:rsidP="00500736">
            <w:pPr>
              <w:pStyle w:val="CDITable-RowCentre"/>
            </w:pPr>
            <w:r w:rsidRPr="00500736">
              <w:t>38</w:t>
            </w:r>
          </w:p>
        </w:tc>
        <w:tc>
          <w:tcPr>
            <w:tcW w:w="992"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6806902B" w14:textId="77777777" w:rsidR="00500736" w:rsidRPr="00500736" w:rsidRDefault="00500736" w:rsidP="00500736">
            <w:pPr>
              <w:pStyle w:val="CDITable-RowCentre"/>
            </w:pPr>
            <w:r w:rsidRPr="00500736">
              <w:t>4.8</w:t>
            </w:r>
          </w:p>
        </w:tc>
        <w:tc>
          <w:tcPr>
            <w:tcW w:w="992"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5ED5B1A3" w14:textId="77777777" w:rsidR="00500736" w:rsidRPr="00500736" w:rsidRDefault="00500736" w:rsidP="00500736">
            <w:pPr>
              <w:pStyle w:val="CDITable-RowCentre"/>
            </w:pPr>
            <w:r w:rsidRPr="00500736">
              <w:t>30</w:t>
            </w:r>
          </w:p>
        </w:tc>
        <w:tc>
          <w:tcPr>
            <w:tcW w:w="993"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470CA942" w14:textId="77777777" w:rsidR="00500736" w:rsidRPr="00500736" w:rsidRDefault="00500736" w:rsidP="00500736">
            <w:pPr>
              <w:pStyle w:val="CDITable-RowCentre"/>
            </w:pPr>
            <w:r w:rsidRPr="00500736">
              <w:t>2.9</w:t>
            </w:r>
          </w:p>
        </w:tc>
        <w:tc>
          <w:tcPr>
            <w:tcW w:w="992"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4BC62A28" w14:textId="77777777" w:rsidR="00500736" w:rsidRPr="00500736" w:rsidRDefault="00500736" w:rsidP="00500736">
            <w:pPr>
              <w:pStyle w:val="CDITable-RowCentre"/>
            </w:pPr>
            <w:r w:rsidRPr="00500736">
              <w:t>68</w:t>
            </w:r>
          </w:p>
        </w:tc>
        <w:tc>
          <w:tcPr>
            <w:tcW w:w="992"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0C4C30ED" w14:textId="77777777" w:rsidR="00500736" w:rsidRPr="00500736" w:rsidRDefault="00500736" w:rsidP="00500736">
            <w:pPr>
              <w:pStyle w:val="CDITable-RowCentre"/>
            </w:pPr>
            <w:r w:rsidRPr="00500736">
              <w:t>3.7</w:t>
            </w:r>
          </w:p>
        </w:tc>
      </w:tr>
      <w:tr w:rsidR="00500736" w:rsidRPr="00500736" w14:paraId="1C00585E" w14:textId="77777777" w:rsidTr="00E04F46">
        <w:trPr>
          <w:trHeight w:val="60"/>
        </w:trPr>
        <w:tc>
          <w:tcPr>
            <w:tcW w:w="3685"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5DB8E58D" w14:textId="77777777" w:rsidR="00500736" w:rsidRPr="00E04F46" w:rsidRDefault="00500736" w:rsidP="00500736">
            <w:pPr>
              <w:pStyle w:val="CDITable-RowLeft"/>
              <w:rPr>
                <w:i/>
                <w:iCs/>
              </w:rPr>
            </w:pPr>
            <w:r w:rsidRPr="00E04F46">
              <w:rPr>
                <w:i/>
                <w:iCs/>
              </w:rPr>
              <w:t xml:space="preserve">Salmonella </w:t>
            </w:r>
            <w:r w:rsidRPr="00E04F46">
              <w:t>Typhi</w:t>
            </w:r>
          </w:p>
        </w:tc>
        <w:tc>
          <w:tcPr>
            <w:tcW w:w="992"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194B447E" w14:textId="77777777" w:rsidR="00500736" w:rsidRPr="00500736" w:rsidRDefault="00500736" w:rsidP="00500736">
            <w:pPr>
              <w:pStyle w:val="CDITable-RowCentre"/>
            </w:pPr>
            <w:r w:rsidRPr="00500736">
              <w:t>15</w:t>
            </w:r>
          </w:p>
        </w:tc>
        <w:tc>
          <w:tcPr>
            <w:tcW w:w="992"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778F4952" w14:textId="77777777" w:rsidR="00500736" w:rsidRPr="00500736" w:rsidRDefault="00500736" w:rsidP="00500736">
            <w:pPr>
              <w:pStyle w:val="CDITable-RowCentre"/>
            </w:pPr>
            <w:r w:rsidRPr="00500736">
              <w:t>1.9</w:t>
            </w:r>
          </w:p>
        </w:tc>
        <w:tc>
          <w:tcPr>
            <w:tcW w:w="992"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4EFCCDCB" w14:textId="77777777" w:rsidR="00500736" w:rsidRPr="00500736" w:rsidRDefault="00500736" w:rsidP="00500736">
            <w:pPr>
              <w:pStyle w:val="CDITable-RowCentre"/>
            </w:pPr>
            <w:r w:rsidRPr="00500736">
              <w:t>35</w:t>
            </w:r>
          </w:p>
        </w:tc>
        <w:tc>
          <w:tcPr>
            <w:tcW w:w="993"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536FBA17" w14:textId="77777777" w:rsidR="00500736" w:rsidRPr="00500736" w:rsidRDefault="00500736" w:rsidP="00500736">
            <w:pPr>
              <w:pStyle w:val="CDITable-RowCentre"/>
            </w:pPr>
            <w:r w:rsidRPr="00500736">
              <w:t>3.4</w:t>
            </w:r>
          </w:p>
        </w:tc>
        <w:tc>
          <w:tcPr>
            <w:tcW w:w="992"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0042D9EE" w14:textId="77777777" w:rsidR="00500736" w:rsidRPr="00500736" w:rsidRDefault="00500736" w:rsidP="00500736">
            <w:pPr>
              <w:pStyle w:val="CDITable-RowCentre"/>
            </w:pPr>
            <w:r w:rsidRPr="00500736">
              <w:t>50</w:t>
            </w:r>
          </w:p>
        </w:tc>
        <w:tc>
          <w:tcPr>
            <w:tcW w:w="992"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1FAF1D36" w14:textId="77777777" w:rsidR="00500736" w:rsidRPr="00500736" w:rsidRDefault="00500736" w:rsidP="00500736">
            <w:pPr>
              <w:pStyle w:val="CDITable-RowCentre"/>
            </w:pPr>
            <w:r w:rsidRPr="00500736">
              <w:t>2.7</w:t>
            </w:r>
          </w:p>
        </w:tc>
      </w:tr>
      <w:tr w:rsidR="00500736" w:rsidRPr="00500736" w14:paraId="2DFCC33B" w14:textId="77777777" w:rsidTr="00E04F46">
        <w:trPr>
          <w:trHeight w:val="60"/>
        </w:trPr>
        <w:tc>
          <w:tcPr>
            <w:tcW w:w="3685"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544AD568" w14:textId="77777777" w:rsidR="00500736" w:rsidRPr="00E04F46" w:rsidRDefault="00500736" w:rsidP="00500736">
            <w:pPr>
              <w:pStyle w:val="CDITable-RowLeft"/>
              <w:rPr>
                <w:i/>
                <w:iCs/>
              </w:rPr>
            </w:pPr>
            <w:r w:rsidRPr="00E04F46">
              <w:rPr>
                <w:i/>
                <w:iCs/>
              </w:rPr>
              <w:t>Serratia marcescens</w:t>
            </w:r>
          </w:p>
        </w:tc>
        <w:tc>
          <w:tcPr>
            <w:tcW w:w="992"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55E9C6A7" w14:textId="77777777" w:rsidR="00500736" w:rsidRPr="00500736" w:rsidRDefault="00500736" w:rsidP="00500736">
            <w:pPr>
              <w:pStyle w:val="CDITable-RowCentre"/>
            </w:pPr>
            <w:r w:rsidRPr="00500736">
              <w:t>12</w:t>
            </w:r>
          </w:p>
        </w:tc>
        <w:tc>
          <w:tcPr>
            <w:tcW w:w="992"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0476E6A3" w14:textId="77777777" w:rsidR="00500736" w:rsidRPr="00500736" w:rsidRDefault="00500736" w:rsidP="00500736">
            <w:pPr>
              <w:pStyle w:val="CDITable-RowCentre"/>
            </w:pPr>
            <w:r w:rsidRPr="00500736">
              <w:t>1.5</w:t>
            </w:r>
          </w:p>
        </w:tc>
        <w:tc>
          <w:tcPr>
            <w:tcW w:w="992"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607AB941" w14:textId="77777777" w:rsidR="00500736" w:rsidRPr="00500736" w:rsidRDefault="00500736" w:rsidP="00500736">
            <w:pPr>
              <w:pStyle w:val="CDITable-RowCentre"/>
            </w:pPr>
            <w:r w:rsidRPr="00500736">
              <w:t>23</w:t>
            </w:r>
          </w:p>
        </w:tc>
        <w:tc>
          <w:tcPr>
            <w:tcW w:w="993"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5F21DBBC" w14:textId="77777777" w:rsidR="00500736" w:rsidRPr="00500736" w:rsidRDefault="00500736" w:rsidP="00500736">
            <w:pPr>
              <w:pStyle w:val="CDITable-RowCentre"/>
            </w:pPr>
            <w:r w:rsidRPr="00500736">
              <w:t>2.2</w:t>
            </w:r>
          </w:p>
        </w:tc>
        <w:tc>
          <w:tcPr>
            <w:tcW w:w="992"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30F7B56E" w14:textId="77777777" w:rsidR="00500736" w:rsidRPr="00500736" w:rsidRDefault="00500736" w:rsidP="00500736">
            <w:pPr>
              <w:pStyle w:val="CDITable-RowCentre"/>
            </w:pPr>
            <w:r w:rsidRPr="00500736">
              <w:t>35</w:t>
            </w:r>
          </w:p>
        </w:tc>
        <w:tc>
          <w:tcPr>
            <w:tcW w:w="992"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29F819A6" w14:textId="77777777" w:rsidR="00500736" w:rsidRPr="00500736" w:rsidRDefault="00500736" w:rsidP="00500736">
            <w:pPr>
              <w:pStyle w:val="CDITable-RowCentre"/>
            </w:pPr>
            <w:r w:rsidRPr="00500736">
              <w:t>1.9</w:t>
            </w:r>
          </w:p>
        </w:tc>
      </w:tr>
      <w:tr w:rsidR="00500736" w:rsidRPr="00500736" w14:paraId="05FA88D8" w14:textId="77777777" w:rsidTr="00E04F46">
        <w:trPr>
          <w:trHeight w:val="60"/>
        </w:trPr>
        <w:tc>
          <w:tcPr>
            <w:tcW w:w="3685"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54DA84AD" w14:textId="77777777" w:rsidR="00500736" w:rsidRPr="00E04F46" w:rsidRDefault="00500736" w:rsidP="00500736">
            <w:pPr>
              <w:pStyle w:val="CDITable-RowLeft"/>
              <w:rPr>
                <w:i/>
                <w:iCs/>
              </w:rPr>
            </w:pPr>
            <w:r w:rsidRPr="00E04F46">
              <w:rPr>
                <w:i/>
                <w:iCs/>
              </w:rPr>
              <w:t>Enterococcus faecium</w:t>
            </w:r>
          </w:p>
        </w:tc>
        <w:tc>
          <w:tcPr>
            <w:tcW w:w="992"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5E20BD4F" w14:textId="77777777" w:rsidR="00500736" w:rsidRPr="00500736" w:rsidRDefault="00500736" w:rsidP="00500736">
            <w:pPr>
              <w:pStyle w:val="CDITable-RowCentre"/>
            </w:pPr>
            <w:r w:rsidRPr="00500736">
              <w:t>15</w:t>
            </w:r>
          </w:p>
        </w:tc>
        <w:tc>
          <w:tcPr>
            <w:tcW w:w="992"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290B5F16" w14:textId="77777777" w:rsidR="00500736" w:rsidRPr="00500736" w:rsidRDefault="00500736" w:rsidP="00500736">
            <w:pPr>
              <w:pStyle w:val="CDITable-RowCentre"/>
            </w:pPr>
            <w:r w:rsidRPr="00500736">
              <w:t>1.9</w:t>
            </w:r>
          </w:p>
        </w:tc>
        <w:tc>
          <w:tcPr>
            <w:tcW w:w="992"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344B8B3C" w14:textId="77777777" w:rsidR="00500736" w:rsidRPr="00500736" w:rsidRDefault="00500736" w:rsidP="00500736">
            <w:pPr>
              <w:pStyle w:val="CDITable-RowCentre"/>
            </w:pPr>
            <w:r w:rsidRPr="00500736">
              <w:t>18</w:t>
            </w:r>
          </w:p>
        </w:tc>
        <w:tc>
          <w:tcPr>
            <w:tcW w:w="993"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51295822" w14:textId="77777777" w:rsidR="00500736" w:rsidRPr="00500736" w:rsidRDefault="00500736" w:rsidP="00500736">
            <w:pPr>
              <w:pStyle w:val="CDITable-RowCentre"/>
            </w:pPr>
            <w:r w:rsidRPr="00500736">
              <w:t>1.7</w:t>
            </w:r>
          </w:p>
        </w:tc>
        <w:tc>
          <w:tcPr>
            <w:tcW w:w="992"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3A26FA4D" w14:textId="77777777" w:rsidR="00500736" w:rsidRPr="00500736" w:rsidRDefault="00500736" w:rsidP="00500736">
            <w:pPr>
              <w:pStyle w:val="CDITable-RowCentre"/>
            </w:pPr>
            <w:r w:rsidRPr="00500736">
              <w:t>33</w:t>
            </w:r>
          </w:p>
        </w:tc>
        <w:tc>
          <w:tcPr>
            <w:tcW w:w="992"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045D2FAC" w14:textId="77777777" w:rsidR="00500736" w:rsidRPr="00500736" w:rsidRDefault="00500736" w:rsidP="00500736">
            <w:pPr>
              <w:pStyle w:val="CDITable-RowCentre"/>
            </w:pPr>
            <w:r w:rsidRPr="00500736">
              <w:t>1.8</w:t>
            </w:r>
          </w:p>
        </w:tc>
      </w:tr>
    </w:tbl>
    <w:p w14:paraId="72ED80D2" w14:textId="77777777" w:rsidR="001D6DD4" w:rsidRDefault="001D6DD4" w:rsidP="00E04F46"/>
    <w:sectPr w:rsidR="001D6DD4" w:rsidSect="001E3ECB">
      <w:footnotePr>
        <w:numFmt w:val="lowerRoman"/>
      </w:footnotePr>
      <w:pgSz w:w="11907" w:h="16840" w:code="9"/>
      <w:pgMar w:top="1134" w:right="1134" w:bottom="1134"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03DB5" w14:textId="77777777" w:rsidR="00C67DA9" w:rsidRDefault="00C67DA9" w:rsidP="00E54DBA">
      <w:r>
        <w:separator/>
      </w:r>
    </w:p>
    <w:p w14:paraId="243C02D3" w14:textId="77777777" w:rsidR="00C67DA9" w:rsidRDefault="00C67DA9"/>
    <w:p w14:paraId="2D4529BA" w14:textId="77777777" w:rsidR="00C67DA9" w:rsidRDefault="00C67DA9" w:rsidP="008714B0"/>
  </w:endnote>
  <w:endnote w:type="continuationSeparator" w:id="0">
    <w:p w14:paraId="3343D299" w14:textId="77777777" w:rsidR="00C67DA9" w:rsidRDefault="00C67DA9" w:rsidP="00E54DBA">
      <w:r>
        <w:continuationSeparator/>
      </w:r>
    </w:p>
    <w:p w14:paraId="4BF30056" w14:textId="77777777" w:rsidR="00C67DA9" w:rsidRDefault="00C67DA9"/>
    <w:p w14:paraId="4460CB64" w14:textId="77777777" w:rsidR="00C67DA9" w:rsidRDefault="00C67DA9"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nrope ExtraLight">
    <w:altName w:val="Calibri"/>
    <w:charset w:val="00"/>
    <w:family w:val="auto"/>
    <w:pitch w:val="variable"/>
    <w:sig w:usb0="A00002BF" w:usb1="5000206B" w:usb2="00000000" w:usb3="00000000" w:csb0="0000019F" w:csb1="00000000"/>
  </w:font>
  <w:font w:name="MyriadPro-Bold">
    <w:altName w:val="Calibri"/>
    <w:panose1 w:val="00000000000000000000"/>
    <w:charset w:val="00"/>
    <w:family w:val="auto"/>
    <w:notTrueType/>
    <w:pitch w:val="default"/>
    <w:sig w:usb0="00000003" w:usb1="00000000" w:usb2="00000000" w:usb3="00000000" w:csb0="00000001" w:csb1="00000000"/>
  </w:font>
  <w:font w:name="MyriadPro-Regular">
    <w:altName w:val="Calibri"/>
    <w:panose1 w:val="00000000000000000000"/>
    <w:charset w:val="00"/>
    <w:family w:val="auto"/>
    <w:notTrueType/>
    <w:pitch w:val="default"/>
    <w:sig w:usb0="00000003" w:usb1="00000000" w:usb2="00000000" w:usb3="00000000" w:csb0="00000001" w:csb1="00000000"/>
  </w:font>
  <w:font w:name="Minion3-Bold">
    <w:altName w:val="Calibri"/>
    <w:panose1 w:val="00000000000000000000"/>
    <w:charset w:val="00"/>
    <w:family w:val="auto"/>
    <w:notTrueType/>
    <w:pitch w:val="default"/>
    <w:sig w:usb0="00000003" w:usb1="00000000" w:usb2="00000000" w:usb3="00000000" w:csb0="00000001" w:csb1="00000000"/>
  </w:font>
  <w:font w:name="Minion3Caption-Regular">
    <w:altName w:val="Calibri"/>
    <w:panose1 w:val="00000000000000000000"/>
    <w:charset w:val="00"/>
    <w:family w:val="auto"/>
    <w:notTrueType/>
    <w:pitch w:val="default"/>
    <w:sig w:usb0="00000003" w:usb1="00000000" w:usb2="00000000" w:usb3="00000000" w:csb0="00000001" w:csb1="00000000"/>
  </w:font>
  <w:font w:name="Minion3-Regular">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HelveticaNeueLTPro-Roman">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AECDF" w14:textId="77777777" w:rsidR="00B87589" w:rsidRDefault="00FA4A4C">
    <w:r>
      <w:rPr>
        <w:noProof/>
        <w14:ligatures w14:val="none"/>
      </w:rPr>
      <mc:AlternateContent>
        <mc:Choice Requires="wps">
          <w:drawing>
            <wp:anchor distT="0" distB="0" distL="0" distR="0" simplePos="0" relativeHeight="251662336" behindDoc="0" locked="0" layoutInCell="1" allowOverlap="1" wp14:anchorId="6E76DDA6" wp14:editId="61221D97">
              <wp:simplePos x="635" y="635"/>
              <wp:positionH relativeFrom="page">
                <wp:align>center</wp:align>
              </wp:positionH>
              <wp:positionV relativeFrom="page">
                <wp:align>bottom</wp:align>
              </wp:positionV>
              <wp:extent cx="551815" cy="518795"/>
              <wp:effectExtent l="0" t="0" r="635" b="0"/>
              <wp:wrapNone/>
              <wp:docPr id="22850963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518795"/>
                      </a:xfrm>
                      <a:prstGeom prst="rect">
                        <a:avLst/>
                      </a:prstGeom>
                      <a:noFill/>
                      <a:ln>
                        <a:noFill/>
                      </a:ln>
                    </wps:spPr>
                    <wps:txbx>
                      <w:txbxContent>
                        <w:p w14:paraId="712D49DE" w14:textId="77777777" w:rsidR="00FA4A4C" w:rsidRPr="00FA4A4C" w:rsidRDefault="00FA4A4C" w:rsidP="00FA4A4C">
                          <w:pPr>
                            <w:rPr>
                              <w:rFonts w:ascii="Calibri" w:eastAsia="Calibri" w:hAnsi="Calibri" w:cs="Calibri"/>
                              <w:noProof/>
                              <w:color w:val="FF0000"/>
                              <w:sz w:val="24"/>
                              <w:szCs w:val="24"/>
                            </w:rPr>
                          </w:pPr>
                          <w:r w:rsidRPr="00FA4A4C">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E76DDA6" id="_x0000_t202" coordsize="21600,21600" o:spt="202" path="m,l,21600r21600,l21600,xe">
              <v:stroke joinstyle="miter"/>
              <v:path gradientshapeok="t" o:connecttype="rect"/>
            </v:shapetype>
            <v:shape id="Text Box 5" o:spid="_x0000_s1027" type="#_x0000_t202" alt="OFFICIAL" style="position:absolute;margin-left:0;margin-top:0;width:43.45pt;height:40.8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" filled="f" stroked="f">
              <v:textbox style="mso-fit-shape-to-text:t" inset="0,0,0,15pt">
                <w:txbxContent>
                  <w:p w14:paraId="712D49DE" w14:textId="77777777" w:rsidR="00FA4A4C" w:rsidRPr="00FA4A4C" w:rsidRDefault="00FA4A4C" w:rsidP="00FA4A4C">
                    <w:pPr>
                      <w:rPr>
                        <w:rFonts w:ascii="Calibri" w:eastAsia="Calibri" w:hAnsi="Calibri" w:cs="Calibri"/>
                        <w:noProof/>
                        <w:color w:val="FF0000"/>
                        <w:sz w:val="24"/>
                        <w:szCs w:val="24"/>
                      </w:rPr>
                    </w:pPr>
                    <w:r w:rsidRPr="00FA4A4C">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E43E8" w14:textId="029BD266" w:rsidR="00AB3C13" w:rsidRPr="00800288" w:rsidRDefault="00AB3C13" w:rsidP="00800288">
    <w:pPr>
      <w:pStyle w:val="CDIFooter"/>
    </w:pPr>
    <w:hyperlink r:id="rId1" w:history="1"/>
    <w:r w:rsidR="00385655" w:rsidRPr="00385655">
      <w:rPr>
        <w:rStyle w:val="CDIFooteritalicChar"/>
      </w:rPr>
      <w:t>Commun Dis Intell (2018)</w:t>
    </w:r>
    <w:r w:rsidR="00385655" w:rsidRPr="001D0612">
      <w:t xml:space="preserve">  </w:t>
    </w:r>
    <w:fldSimple w:instr=" DOCPROPERTY  Year  \* MERGEFORMAT ">
      <w:r w:rsidR="00C67DA9">
        <w:t>2025</w:t>
      </w:r>
    </w:fldSimple>
    <w:r w:rsidR="009B78A9">
      <w:t>;</w:t>
    </w:r>
    <w:fldSimple w:instr=" DOCPROPERTY  Vol  \* MERGEFORMAT ">
      <w:r w:rsidR="00C67DA9">
        <w:t>49</w:t>
      </w:r>
    </w:fldSimple>
    <w:r w:rsidR="00385655" w:rsidRPr="001D0612">
      <w:t xml:space="preserve"> </w:t>
    </w:r>
    <w:r w:rsidR="00385655" w:rsidRPr="00B85B74">
      <w:t>•</w:t>
    </w:r>
    <w:r w:rsidR="00385655">
      <w:t xml:space="preserve"> </w:t>
    </w:r>
    <w:fldSimple w:instr=" DOCPROPERTY  DOI  \* MERGEFORMAT ">
      <w:r w:rsidR="001A3297">
        <w:t>doi.org/10.33321/cdi.2025.49.052</w:t>
      </w:r>
    </w:fldSimple>
    <w:r w:rsidR="00343991" w:rsidRPr="00800288">
      <w:t xml:space="preserve"> </w:t>
    </w:r>
    <w:r w:rsidR="00343991" w:rsidRPr="00800288">
      <w:rPr>
        <w:rStyle w:val="CDICopyrighttextbullet"/>
        <w:rFonts w:cstheme="minorBidi"/>
        <w:color w:val="auto"/>
      </w:rPr>
      <w:t>•</w:t>
    </w:r>
    <w:r w:rsidR="00343991" w:rsidRPr="00800288">
      <w:t xml:space="preserve"> Epub</w:t>
    </w:r>
    <w:r w:rsidR="00C735E0">
      <w:t xml:space="preserve"> date:</w:t>
    </w:r>
    <w:r w:rsidR="00343991" w:rsidRPr="00800288">
      <w:t xml:space="preserve"> </w:t>
    </w:r>
    <w:fldSimple w:instr=" DOCPROPERTY  ePubDate  \* MERGEFORMAT ">
      <w:r w:rsidR="001A3297">
        <w:t>18.11.2025</w:t>
      </w:r>
    </w:fldSimple>
    <w:r w:rsidR="00040B99" w:rsidRPr="00800288">
      <w:ptab w:relativeTo="margin" w:alignment="right" w:leader="none"/>
    </w:r>
    <w:r w:rsidR="00343991" w:rsidRPr="00800288">
      <w:fldChar w:fldCharType="begin"/>
    </w:r>
    <w:r w:rsidR="00343991" w:rsidRPr="00800288">
      <w:instrText xml:space="preserve"> PAGE   \* MERGEFORMAT </w:instrText>
    </w:r>
    <w:r w:rsidR="00343991" w:rsidRPr="00800288">
      <w:fldChar w:fldCharType="separate"/>
    </w:r>
    <w:r w:rsidR="00343991" w:rsidRPr="00800288">
      <w:t>3</w:t>
    </w:r>
    <w:r w:rsidR="00343991" w:rsidRPr="00800288">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41B8D" w14:textId="77777777" w:rsidR="00B87589" w:rsidRDefault="00FA4A4C">
    <w:r>
      <w:rPr>
        <w:noProof/>
        <w14:ligatures w14:val="none"/>
      </w:rPr>
      <mc:AlternateContent>
        <mc:Choice Requires="wps">
          <w:drawing>
            <wp:anchor distT="0" distB="0" distL="0" distR="0" simplePos="0" relativeHeight="251661312" behindDoc="0" locked="0" layoutInCell="1" allowOverlap="1" wp14:anchorId="2E05CB0D" wp14:editId="2F4B7BE7">
              <wp:simplePos x="635" y="635"/>
              <wp:positionH relativeFrom="page">
                <wp:align>center</wp:align>
              </wp:positionH>
              <wp:positionV relativeFrom="page">
                <wp:align>bottom</wp:align>
              </wp:positionV>
              <wp:extent cx="551815" cy="518795"/>
              <wp:effectExtent l="0" t="0" r="635" b="0"/>
              <wp:wrapNone/>
              <wp:docPr id="142370391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518795"/>
                      </a:xfrm>
                      <a:prstGeom prst="rect">
                        <a:avLst/>
                      </a:prstGeom>
                      <a:noFill/>
                      <a:ln>
                        <a:noFill/>
                      </a:ln>
                    </wps:spPr>
                    <wps:txbx>
                      <w:txbxContent>
                        <w:p w14:paraId="0732A498" w14:textId="77777777" w:rsidR="00FA4A4C" w:rsidRPr="00FA4A4C" w:rsidRDefault="00FA4A4C" w:rsidP="00FA4A4C">
                          <w:pPr>
                            <w:rPr>
                              <w:rFonts w:ascii="Calibri" w:eastAsia="Calibri" w:hAnsi="Calibri" w:cs="Calibri"/>
                              <w:noProof/>
                              <w:color w:val="FF0000"/>
                              <w:sz w:val="24"/>
                              <w:szCs w:val="24"/>
                            </w:rPr>
                          </w:pPr>
                          <w:r w:rsidRPr="00FA4A4C">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E05CB0D" id="_x0000_t202" coordsize="21600,21600" o:spt="202" path="m,l,21600r21600,l21600,xe">
              <v:stroke joinstyle="miter"/>
              <v:path gradientshapeok="t" o:connecttype="rect"/>
            </v:shapetype>
            <v:shape id="Text Box 4" o:spid="_x0000_s1029" type="#_x0000_t202" alt="OFFICIAL" style="position:absolute;margin-left:0;margin-top:0;width:43.45pt;height:40.8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" filled="f" stroked="f">
              <v:textbox style="mso-fit-shape-to-text:t" inset="0,0,0,15pt">
                <w:txbxContent>
                  <w:p w14:paraId="0732A498" w14:textId="77777777" w:rsidR="00FA4A4C" w:rsidRPr="00FA4A4C" w:rsidRDefault="00FA4A4C" w:rsidP="00FA4A4C">
                    <w:pPr>
                      <w:rPr>
                        <w:rFonts w:ascii="Calibri" w:eastAsia="Calibri" w:hAnsi="Calibri" w:cs="Calibri"/>
                        <w:noProof/>
                        <w:color w:val="FF0000"/>
                        <w:sz w:val="24"/>
                        <w:szCs w:val="24"/>
                      </w:rPr>
                    </w:pPr>
                    <w:r w:rsidRPr="00FA4A4C">
                      <w:rPr>
                        <w:rFonts w:ascii="Calibri" w:eastAsia="Calibri" w:hAnsi="Calibri" w:cs="Calibri"/>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CC39B" w14:textId="77777777" w:rsidR="00C67DA9" w:rsidRPr="00B91FB5" w:rsidRDefault="00C67DA9" w:rsidP="00B91FB5">
      <w:pPr>
        <w:spacing w:line="240" w:lineRule="auto"/>
        <w:rPr>
          <w:sz w:val="18"/>
          <w:szCs w:val="18"/>
        </w:rPr>
      </w:pPr>
      <w:r w:rsidRPr="00B91FB5">
        <w:rPr>
          <w:sz w:val="18"/>
          <w:szCs w:val="18"/>
        </w:rPr>
        <w:separator/>
      </w:r>
    </w:p>
  </w:footnote>
  <w:footnote w:type="continuationSeparator" w:id="0">
    <w:p w14:paraId="12E1C786" w14:textId="77777777" w:rsidR="00C67DA9" w:rsidRDefault="00C67DA9" w:rsidP="00E54DBA">
      <w:r>
        <w:continuationSeparator/>
      </w:r>
    </w:p>
  </w:footnote>
  <w:footnote w:type="continuationNotice" w:id="1">
    <w:p w14:paraId="50E14B6F" w14:textId="77777777" w:rsidR="00C67DA9" w:rsidRPr="00224EFF" w:rsidRDefault="00C67DA9" w:rsidP="00224E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5847B" w14:textId="77777777" w:rsidR="00B87589" w:rsidRDefault="00FA4A4C">
    <w:pPr>
      <w:pStyle w:val="Header"/>
    </w:pPr>
    <w:r>
      <w:rPr>
        <w:noProof/>
        <w14:ligatures w14:val="none"/>
      </w:rPr>
      <mc:AlternateContent>
        <mc:Choice Requires="wps">
          <w:drawing>
            <wp:anchor distT="0" distB="0" distL="0" distR="0" simplePos="0" relativeHeight="251659264" behindDoc="0" locked="0" layoutInCell="1" allowOverlap="1" wp14:anchorId="4AD76C36" wp14:editId="455F2763">
              <wp:simplePos x="635" y="635"/>
              <wp:positionH relativeFrom="page">
                <wp:align>center</wp:align>
              </wp:positionH>
              <wp:positionV relativeFrom="page">
                <wp:align>top</wp:align>
              </wp:positionV>
              <wp:extent cx="551815" cy="518795"/>
              <wp:effectExtent l="0" t="0" r="635" b="14605"/>
              <wp:wrapNone/>
              <wp:docPr id="73921907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518795"/>
                      </a:xfrm>
                      <a:prstGeom prst="rect">
                        <a:avLst/>
                      </a:prstGeom>
                      <a:noFill/>
                      <a:ln>
                        <a:noFill/>
                      </a:ln>
                    </wps:spPr>
                    <wps:txbx>
                      <w:txbxContent>
                        <w:p w14:paraId="5E11FB08" w14:textId="77777777" w:rsidR="00FA4A4C" w:rsidRPr="00FA4A4C" w:rsidRDefault="00FA4A4C" w:rsidP="00FA4A4C">
                          <w:pPr>
                            <w:rPr>
                              <w:rFonts w:ascii="Calibri" w:eastAsia="Calibri" w:hAnsi="Calibri" w:cs="Calibri"/>
                              <w:noProof/>
                              <w:color w:val="FF0000"/>
                              <w:sz w:val="24"/>
                              <w:szCs w:val="24"/>
                            </w:rPr>
                          </w:pPr>
                          <w:r w:rsidRPr="00FA4A4C">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AD76C36" id="_x0000_t202" coordsize="21600,21600" o:spt="202" path="m,l,21600r21600,l21600,xe">
              <v:stroke joinstyle="miter"/>
              <v:path gradientshapeok="t" o:connecttype="rect"/>
            </v:shapetype>
            <v:shape id="Text Box 2" o:spid="_x0000_s1026" type="#_x0000_t202" alt="OFFICIAL" style="position:absolute;margin-left:0;margin-top:0;width:43.45pt;height:40.8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" filled="f" stroked="f">
              <v:textbox style="mso-fit-shape-to-text:t" inset="0,15pt,0,0">
                <w:txbxContent>
                  <w:p w14:paraId="5E11FB08" w14:textId="77777777" w:rsidR="00FA4A4C" w:rsidRPr="00FA4A4C" w:rsidRDefault="00FA4A4C" w:rsidP="00FA4A4C">
                    <w:pPr>
                      <w:rPr>
                        <w:rFonts w:ascii="Calibri" w:eastAsia="Calibri" w:hAnsi="Calibri" w:cs="Calibri"/>
                        <w:noProof/>
                        <w:color w:val="FF0000"/>
                        <w:sz w:val="24"/>
                        <w:szCs w:val="24"/>
                      </w:rPr>
                    </w:pPr>
                    <w:r w:rsidRPr="00FA4A4C">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2CF51" w14:textId="77777777" w:rsidR="00B87589" w:rsidRDefault="00B875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40724" w14:textId="77777777" w:rsidR="00B87589" w:rsidRDefault="00FA4A4C">
    <w:pPr>
      <w:pStyle w:val="Header"/>
    </w:pPr>
    <w:r>
      <w:rPr>
        <w:noProof/>
        <w14:ligatures w14:val="none"/>
      </w:rPr>
      <mc:AlternateContent>
        <mc:Choice Requires="wps">
          <w:drawing>
            <wp:anchor distT="0" distB="0" distL="0" distR="0" simplePos="0" relativeHeight="251658240" behindDoc="0" locked="0" layoutInCell="1" allowOverlap="1" wp14:anchorId="74D62675" wp14:editId="568E5954">
              <wp:simplePos x="635" y="635"/>
              <wp:positionH relativeFrom="page">
                <wp:align>center</wp:align>
              </wp:positionH>
              <wp:positionV relativeFrom="page">
                <wp:align>top</wp:align>
              </wp:positionV>
              <wp:extent cx="551815" cy="518795"/>
              <wp:effectExtent l="0" t="0" r="635" b="14605"/>
              <wp:wrapNone/>
              <wp:docPr id="168226068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518795"/>
                      </a:xfrm>
                      <a:prstGeom prst="rect">
                        <a:avLst/>
                      </a:prstGeom>
                      <a:noFill/>
                      <a:ln>
                        <a:noFill/>
                      </a:ln>
                    </wps:spPr>
                    <wps:txbx>
                      <w:txbxContent>
                        <w:p w14:paraId="1B6AC33D" w14:textId="77777777" w:rsidR="00FA4A4C" w:rsidRPr="00FA4A4C" w:rsidRDefault="00FA4A4C" w:rsidP="00FA4A4C">
                          <w:pPr>
                            <w:rPr>
                              <w:rFonts w:ascii="Calibri" w:eastAsia="Calibri" w:hAnsi="Calibri" w:cs="Calibri"/>
                              <w:noProof/>
                              <w:color w:val="FF0000"/>
                              <w:sz w:val="24"/>
                              <w:szCs w:val="24"/>
                            </w:rPr>
                          </w:pPr>
                          <w:r w:rsidRPr="00FA4A4C">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4D62675" id="_x0000_t202" coordsize="21600,21600" o:spt="202" path="m,l,21600r21600,l21600,xe">
              <v:stroke joinstyle="miter"/>
              <v:path gradientshapeok="t" o:connecttype="rect"/>
            </v:shapetype>
            <v:shape id="Text Box 1" o:spid="_x0000_s1028" type="#_x0000_t202" alt="OFFICIAL" style="position:absolute;margin-left:0;margin-top:0;width:43.45pt;height:40.8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" filled="f" stroked="f">
              <v:textbox style="mso-fit-shape-to-text:t" inset="0,15pt,0,0">
                <w:txbxContent>
                  <w:p w14:paraId="1B6AC33D" w14:textId="77777777" w:rsidR="00FA4A4C" w:rsidRPr="00FA4A4C" w:rsidRDefault="00FA4A4C" w:rsidP="00FA4A4C">
                    <w:pPr>
                      <w:rPr>
                        <w:rFonts w:ascii="Calibri" w:eastAsia="Calibri" w:hAnsi="Calibri" w:cs="Calibri"/>
                        <w:noProof/>
                        <w:color w:val="FF0000"/>
                        <w:sz w:val="24"/>
                        <w:szCs w:val="24"/>
                      </w:rPr>
                    </w:pPr>
                    <w:r w:rsidRPr="00FA4A4C">
                      <w:rPr>
                        <w:rFonts w:ascii="Calibri" w:eastAsia="Calibri" w:hAnsi="Calibri" w:cs="Calibri"/>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91E94"/>
    <w:multiLevelType w:val="hybridMultilevel"/>
    <w:tmpl w:val="09A44BB6"/>
    <w:lvl w:ilvl="0" w:tplc="92961A60">
      <w:start w:val="1"/>
      <w:numFmt w:val="bullet"/>
      <w:pStyle w:val="CDITable-RowBullets"/>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C5F1EF6"/>
    <w:multiLevelType w:val="hybridMultilevel"/>
    <w:tmpl w:val="85B4BADC"/>
    <w:lvl w:ilvl="0" w:tplc="B0D0A176">
      <w:start w:val="1"/>
      <w:numFmt w:val="decimal"/>
      <w:pStyle w:val="CDINumberedList1L1"/>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29CB7B26"/>
    <w:multiLevelType w:val="hybridMultilevel"/>
    <w:tmpl w:val="5C0EEDE2"/>
    <w:lvl w:ilvl="0" w:tplc="8318AE78">
      <w:start w:val="1"/>
      <w:numFmt w:val="bullet"/>
      <w:pStyle w:val="CDIBullets"/>
      <w:lvlText w:val=""/>
      <w:lvlJc w:val="left"/>
      <w:pPr>
        <w:ind w:left="717"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0A15146"/>
    <w:multiLevelType w:val="multilevel"/>
    <w:tmpl w:val="65E20FA4"/>
    <w:styleLink w:val="CDInavybullet"/>
    <w:lvl w:ilvl="0">
      <w:start w:val="1"/>
      <w:numFmt w:val="bullet"/>
      <w:lvlText w:val=""/>
      <w:lvlJc w:val="left"/>
      <w:pPr>
        <w:ind w:left="720" w:hanging="360"/>
      </w:pPr>
      <w:rPr>
        <w:rFonts w:ascii="Symbol" w:hAnsi="Symbol" w:hint="default"/>
        <w:color w:val="083E9C"/>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BE56707"/>
    <w:multiLevelType w:val="hybridMultilevel"/>
    <w:tmpl w:val="CB20149E"/>
    <w:lvl w:ilvl="0" w:tplc="AF84EEEE">
      <w:start w:val="1"/>
      <w:numFmt w:val="bullet"/>
      <w:pStyle w:val="CDICopyright-lessspace"/>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E560A59"/>
    <w:multiLevelType w:val="multilevel"/>
    <w:tmpl w:val="39B67F0C"/>
    <w:lvl w:ilvl="0">
      <w:start w:val="1"/>
      <w:numFmt w:val="bullet"/>
      <w:pStyle w:val="CDICopyrightBullets"/>
      <w:lvlText w:val=""/>
      <w:lvlJc w:val="left"/>
      <w:pPr>
        <w:ind w:left="717" w:hanging="360"/>
      </w:pPr>
      <w:rPr>
        <w:rFonts w:ascii="Symbol" w:hAnsi="Symbol" w:hint="default"/>
        <w:color w:val="auto"/>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7608516B"/>
    <w:multiLevelType w:val="hybridMultilevel"/>
    <w:tmpl w:val="40B0EB26"/>
    <w:lvl w:ilvl="0" w:tplc="91CE0806">
      <w:start w:val="1"/>
      <w:numFmt w:val="bullet"/>
      <w:pStyle w:val="CDIBoxBullet"/>
      <w:lvlText w:val=""/>
      <w:lvlJc w:val="left"/>
      <w:pPr>
        <w:ind w:left="360" w:hanging="360"/>
      </w:pPr>
      <w:rPr>
        <w:rFonts w:ascii="Symbol" w:hAnsi="Symbol" w:hint="default"/>
        <w:color w:val="1E4496"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A90445D"/>
    <w:multiLevelType w:val="hybridMultilevel"/>
    <w:tmpl w:val="5ED80582"/>
    <w:lvl w:ilvl="0" w:tplc="67BC335E">
      <w:start w:val="1"/>
      <w:numFmt w:val="bullet"/>
      <w:pStyle w:val="CDIBulletsL2"/>
      <w:lvlText w:val=""/>
      <w:lvlJc w:val="left"/>
      <w:pPr>
        <w:ind w:left="1074" w:hanging="360"/>
      </w:pPr>
      <w:rPr>
        <w:rFonts w:ascii="Symbol" w:hAnsi="Symbol" w:hint="default"/>
        <w:color w:val="auto"/>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num w:numId="1" w16cid:durableId="479153694">
    <w:abstractNumId w:val="1"/>
  </w:num>
  <w:num w:numId="2" w16cid:durableId="283313819">
    <w:abstractNumId w:val="2"/>
  </w:num>
  <w:num w:numId="3" w16cid:durableId="528883462">
    <w:abstractNumId w:val="0"/>
  </w:num>
  <w:num w:numId="4" w16cid:durableId="1956327888">
    <w:abstractNumId w:val="1"/>
    <w:lvlOverride w:ilvl="0">
      <w:startOverride w:val="1"/>
    </w:lvlOverride>
  </w:num>
  <w:num w:numId="5" w16cid:durableId="1590312649">
    <w:abstractNumId w:val="6"/>
  </w:num>
  <w:num w:numId="6" w16cid:durableId="1497988032">
    <w:abstractNumId w:val="4"/>
  </w:num>
  <w:num w:numId="7" w16cid:durableId="682168431">
    <w:abstractNumId w:val="3"/>
  </w:num>
  <w:num w:numId="8" w16cid:durableId="972060625">
    <w:abstractNumId w:val="5"/>
  </w:num>
  <w:num w:numId="9" w16cid:durableId="786123373">
    <w:abstractNumId w:val="7"/>
  </w:num>
  <w:num w:numId="10" w16cid:durableId="23362646">
    <w:abstractNumId w:val="1"/>
    <w:lvlOverride w:ilvl="0">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1701" w:allStyles="1" w:customStyles="0" w:latentStyles="0" w:stylesInUse="0" w:headingStyles="0" w:numberingStyles="0" w:tableStyles="0" w:directFormattingOnRuns="1" w:directFormattingOnParagraphs="1" w:directFormattingOnNumbering="1" w:directFormattingOnTables="0" w:clearFormatting="1" w:top3HeadingStyles="0" w:visibleStyles="0" w:alternateStyleNames="0"/>
  <w:stylePaneSortMethod w:val="0000"/>
  <w:defaultTabStop w:val="720"/>
  <w:noPunctuationKerning/>
  <w:characterSpacingControl w:val="doNotCompress"/>
  <w:hdrShapeDefaults>
    <o:shapedefaults v:ext="edit" spidmax="2050"/>
  </w:hdrShapeDefaults>
  <w:footnotePr>
    <w:numFmt w:val="lowerRoman"/>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DA9"/>
    <w:rsid w:val="00000B5B"/>
    <w:rsid w:val="00001611"/>
    <w:rsid w:val="00002B8D"/>
    <w:rsid w:val="000073ED"/>
    <w:rsid w:val="0001020A"/>
    <w:rsid w:val="000104A8"/>
    <w:rsid w:val="0001246E"/>
    <w:rsid w:val="000124B1"/>
    <w:rsid w:val="00013B65"/>
    <w:rsid w:val="000147ED"/>
    <w:rsid w:val="00014B0F"/>
    <w:rsid w:val="00015416"/>
    <w:rsid w:val="0001562E"/>
    <w:rsid w:val="00016FE6"/>
    <w:rsid w:val="00022656"/>
    <w:rsid w:val="0002642D"/>
    <w:rsid w:val="000264AB"/>
    <w:rsid w:val="00026D55"/>
    <w:rsid w:val="000306B9"/>
    <w:rsid w:val="00031064"/>
    <w:rsid w:val="00031692"/>
    <w:rsid w:val="00032531"/>
    <w:rsid w:val="000325A0"/>
    <w:rsid w:val="00032BCB"/>
    <w:rsid w:val="00034DCB"/>
    <w:rsid w:val="00040B99"/>
    <w:rsid w:val="000420DA"/>
    <w:rsid w:val="00043B80"/>
    <w:rsid w:val="000449DD"/>
    <w:rsid w:val="000471BF"/>
    <w:rsid w:val="00047B68"/>
    <w:rsid w:val="000522C6"/>
    <w:rsid w:val="00052600"/>
    <w:rsid w:val="0005643C"/>
    <w:rsid w:val="0006264A"/>
    <w:rsid w:val="00065A6B"/>
    <w:rsid w:val="00066764"/>
    <w:rsid w:val="000705FF"/>
    <w:rsid w:val="000733B3"/>
    <w:rsid w:val="00073D77"/>
    <w:rsid w:val="0007479B"/>
    <w:rsid w:val="00074D39"/>
    <w:rsid w:val="00080A4B"/>
    <w:rsid w:val="00081655"/>
    <w:rsid w:val="00084BAB"/>
    <w:rsid w:val="000864E0"/>
    <w:rsid w:val="00087301"/>
    <w:rsid w:val="000879D8"/>
    <w:rsid w:val="00087CC4"/>
    <w:rsid w:val="00090F9D"/>
    <w:rsid w:val="000969B3"/>
    <w:rsid w:val="000A26CA"/>
    <w:rsid w:val="000A5F42"/>
    <w:rsid w:val="000A7822"/>
    <w:rsid w:val="000B4AE0"/>
    <w:rsid w:val="000B4B63"/>
    <w:rsid w:val="000C34E2"/>
    <w:rsid w:val="000C3D48"/>
    <w:rsid w:val="000C3FB4"/>
    <w:rsid w:val="000C6D3B"/>
    <w:rsid w:val="000D38EE"/>
    <w:rsid w:val="000D4B4D"/>
    <w:rsid w:val="000D6A8E"/>
    <w:rsid w:val="000E0216"/>
    <w:rsid w:val="000E1322"/>
    <w:rsid w:val="000E6C4C"/>
    <w:rsid w:val="000F223B"/>
    <w:rsid w:val="000F32C7"/>
    <w:rsid w:val="000F44BA"/>
    <w:rsid w:val="000F73D7"/>
    <w:rsid w:val="0010033C"/>
    <w:rsid w:val="001020EE"/>
    <w:rsid w:val="00110B7D"/>
    <w:rsid w:val="00112E44"/>
    <w:rsid w:val="00113D58"/>
    <w:rsid w:val="00116D90"/>
    <w:rsid w:val="001176D5"/>
    <w:rsid w:val="001200CB"/>
    <w:rsid w:val="00122ADA"/>
    <w:rsid w:val="00126546"/>
    <w:rsid w:val="0013546A"/>
    <w:rsid w:val="001371D9"/>
    <w:rsid w:val="001378A3"/>
    <w:rsid w:val="00137C98"/>
    <w:rsid w:val="00142578"/>
    <w:rsid w:val="00144F10"/>
    <w:rsid w:val="00146435"/>
    <w:rsid w:val="00153D94"/>
    <w:rsid w:val="00154D35"/>
    <w:rsid w:val="00155582"/>
    <w:rsid w:val="00161590"/>
    <w:rsid w:val="00161C85"/>
    <w:rsid w:val="00162FE6"/>
    <w:rsid w:val="00163BE3"/>
    <w:rsid w:val="001704D1"/>
    <w:rsid w:val="0017056E"/>
    <w:rsid w:val="00171CC0"/>
    <w:rsid w:val="001723AC"/>
    <w:rsid w:val="00175494"/>
    <w:rsid w:val="00175629"/>
    <w:rsid w:val="00182456"/>
    <w:rsid w:val="001830EC"/>
    <w:rsid w:val="00183534"/>
    <w:rsid w:val="0018758E"/>
    <w:rsid w:val="00194A12"/>
    <w:rsid w:val="00197A4A"/>
    <w:rsid w:val="00197ACB"/>
    <w:rsid w:val="001A26DD"/>
    <w:rsid w:val="001A3297"/>
    <w:rsid w:val="001A4A96"/>
    <w:rsid w:val="001A5900"/>
    <w:rsid w:val="001A5D05"/>
    <w:rsid w:val="001A796C"/>
    <w:rsid w:val="001B0E7B"/>
    <w:rsid w:val="001B248E"/>
    <w:rsid w:val="001B2614"/>
    <w:rsid w:val="001B37B8"/>
    <w:rsid w:val="001B4B8D"/>
    <w:rsid w:val="001B552F"/>
    <w:rsid w:val="001C0893"/>
    <w:rsid w:val="001C1303"/>
    <w:rsid w:val="001C1BD1"/>
    <w:rsid w:val="001C2B4B"/>
    <w:rsid w:val="001C2C3A"/>
    <w:rsid w:val="001C5BB1"/>
    <w:rsid w:val="001C5F09"/>
    <w:rsid w:val="001C70B2"/>
    <w:rsid w:val="001C7CE1"/>
    <w:rsid w:val="001D0612"/>
    <w:rsid w:val="001D37C7"/>
    <w:rsid w:val="001D5B20"/>
    <w:rsid w:val="001D6888"/>
    <w:rsid w:val="001D6DD4"/>
    <w:rsid w:val="001E3ECB"/>
    <w:rsid w:val="001E4E1D"/>
    <w:rsid w:val="001E562B"/>
    <w:rsid w:val="001E5D4C"/>
    <w:rsid w:val="001F0D9D"/>
    <w:rsid w:val="001F6248"/>
    <w:rsid w:val="002006BA"/>
    <w:rsid w:val="002212C9"/>
    <w:rsid w:val="00221481"/>
    <w:rsid w:val="00223F42"/>
    <w:rsid w:val="00224EFF"/>
    <w:rsid w:val="0022524E"/>
    <w:rsid w:val="0022732D"/>
    <w:rsid w:val="002276DC"/>
    <w:rsid w:val="00227E00"/>
    <w:rsid w:val="00227F05"/>
    <w:rsid w:val="002307CB"/>
    <w:rsid w:val="00231046"/>
    <w:rsid w:val="0023151F"/>
    <w:rsid w:val="00234F21"/>
    <w:rsid w:val="00236A5F"/>
    <w:rsid w:val="00242659"/>
    <w:rsid w:val="002428F7"/>
    <w:rsid w:val="00242A9E"/>
    <w:rsid w:val="0024315F"/>
    <w:rsid w:val="00245439"/>
    <w:rsid w:val="0024631C"/>
    <w:rsid w:val="00252C9A"/>
    <w:rsid w:val="00254E56"/>
    <w:rsid w:val="00256309"/>
    <w:rsid w:val="002571C9"/>
    <w:rsid w:val="00257484"/>
    <w:rsid w:val="00260636"/>
    <w:rsid w:val="00262EA6"/>
    <w:rsid w:val="002648D3"/>
    <w:rsid w:val="00264B29"/>
    <w:rsid w:val="00271AFA"/>
    <w:rsid w:val="00275C5C"/>
    <w:rsid w:val="00275C78"/>
    <w:rsid w:val="00275F5D"/>
    <w:rsid w:val="00280594"/>
    <w:rsid w:val="00281EE3"/>
    <w:rsid w:val="00282B56"/>
    <w:rsid w:val="00284E4A"/>
    <w:rsid w:val="00290E04"/>
    <w:rsid w:val="002A3799"/>
    <w:rsid w:val="002A3BCC"/>
    <w:rsid w:val="002A4516"/>
    <w:rsid w:val="002A569F"/>
    <w:rsid w:val="002A5B2C"/>
    <w:rsid w:val="002A7066"/>
    <w:rsid w:val="002B001E"/>
    <w:rsid w:val="002B09B7"/>
    <w:rsid w:val="002B3482"/>
    <w:rsid w:val="002B493C"/>
    <w:rsid w:val="002B75A9"/>
    <w:rsid w:val="002B7779"/>
    <w:rsid w:val="002C21B0"/>
    <w:rsid w:val="002C3003"/>
    <w:rsid w:val="002C4CD7"/>
    <w:rsid w:val="002C5D55"/>
    <w:rsid w:val="002D74C3"/>
    <w:rsid w:val="002E12D6"/>
    <w:rsid w:val="002E2FB3"/>
    <w:rsid w:val="002E5438"/>
    <w:rsid w:val="002F327B"/>
    <w:rsid w:val="00301626"/>
    <w:rsid w:val="003052F5"/>
    <w:rsid w:val="003059EC"/>
    <w:rsid w:val="00316727"/>
    <w:rsid w:val="00316CCD"/>
    <w:rsid w:val="00324F7E"/>
    <w:rsid w:val="0032526F"/>
    <w:rsid w:val="00325841"/>
    <w:rsid w:val="003316F4"/>
    <w:rsid w:val="003323BC"/>
    <w:rsid w:val="003370A9"/>
    <w:rsid w:val="0034063D"/>
    <w:rsid w:val="0034139B"/>
    <w:rsid w:val="00341720"/>
    <w:rsid w:val="00343991"/>
    <w:rsid w:val="003452F7"/>
    <w:rsid w:val="00345738"/>
    <w:rsid w:val="00346D42"/>
    <w:rsid w:val="00346E11"/>
    <w:rsid w:val="00350D1D"/>
    <w:rsid w:val="00351337"/>
    <w:rsid w:val="00351364"/>
    <w:rsid w:val="00351A5A"/>
    <w:rsid w:val="003601C0"/>
    <w:rsid w:val="00360B3A"/>
    <w:rsid w:val="003635F5"/>
    <w:rsid w:val="00371080"/>
    <w:rsid w:val="0037146D"/>
    <w:rsid w:val="00372A88"/>
    <w:rsid w:val="00373D51"/>
    <w:rsid w:val="00374F80"/>
    <w:rsid w:val="00381A0F"/>
    <w:rsid w:val="00381E8E"/>
    <w:rsid w:val="00385655"/>
    <w:rsid w:val="003858B4"/>
    <w:rsid w:val="00390F66"/>
    <w:rsid w:val="00392D07"/>
    <w:rsid w:val="00393B4D"/>
    <w:rsid w:val="003A1B3A"/>
    <w:rsid w:val="003A25A3"/>
    <w:rsid w:val="003A40F5"/>
    <w:rsid w:val="003A5BF3"/>
    <w:rsid w:val="003B3487"/>
    <w:rsid w:val="003B5B8C"/>
    <w:rsid w:val="003B7ADD"/>
    <w:rsid w:val="003C02BF"/>
    <w:rsid w:val="003C2299"/>
    <w:rsid w:val="003C23C9"/>
    <w:rsid w:val="003C554E"/>
    <w:rsid w:val="003C5E16"/>
    <w:rsid w:val="003C7841"/>
    <w:rsid w:val="003D0190"/>
    <w:rsid w:val="003D15AE"/>
    <w:rsid w:val="003D18AF"/>
    <w:rsid w:val="003D2AE3"/>
    <w:rsid w:val="003D5EAA"/>
    <w:rsid w:val="003D79B1"/>
    <w:rsid w:val="003E3A4E"/>
    <w:rsid w:val="003E4B09"/>
    <w:rsid w:val="003E74EE"/>
    <w:rsid w:val="003F0552"/>
    <w:rsid w:val="003F2AC2"/>
    <w:rsid w:val="003F3BC2"/>
    <w:rsid w:val="003F5172"/>
    <w:rsid w:val="003F725B"/>
    <w:rsid w:val="00401ED1"/>
    <w:rsid w:val="0040224C"/>
    <w:rsid w:val="00403F8B"/>
    <w:rsid w:val="004101DC"/>
    <w:rsid w:val="00410513"/>
    <w:rsid w:val="00411852"/>
    <w:rsid w:val="004118D0"/>
    <w:rsid w:val="00413397"/>
    <w:rsid w:val="00413EE1"/>
    <w:rsid w:val="00415494"/>
    <w:rsid w:val="004164BB"/>
    <w:rsid w:val="00417EF2"/>
    <w:rsid w:val="0042000E"/>
    <w:rsid w:val="00421A14"/>
    <w:rsid w:val="00421ECE"/>
    <w:rsid w:val="004228F2"/>
    <w:rsid w:val="00422FEB"/>
    <w:rsid w:val="00423436"/>
    <w:rsid w:val="0042435E"/>
    <w:rsid w:val="00425757"/>
    <w:rsid w:val="004315F5"/>
    <w:rsid w:val="00432ADD"/>
    <w:rsid w:val="00433456"/>
    <w:rsid w:val="00433DFA"/>
    <w:rsid w:val="00435D67"/>
    <w:rsid w:val="0043642C"/>
    <w:rsid w:val="0043704E"/>
    <w:rsid w:val="00437680"/>
    <w:rsid w:val="004427FD"/>
    <w:rsid w:val="004568FC"/>
    <w:rsid w:val="00461653"/>
    <w:rsid w:val="00464A58"/>
    <w:rsid w:val="00464E0D"/>
    <w:rsid w:val="00470721"/>
    <w:rsid w:val="00470C19"/>
    <w:rsid w:val="00471494"/>
    <w:rsid w:val="00472B68"/>
    <w:rsid w:val="00473D2D"/>
    <w:rsid w:val="00481503"/>
    <w:rsid w:val="00484919"/>
    <w:rsid w:val="004914F7"/>
    <w:rsid w:val="00491C26"/>
    <w:rsid w:val="00492014"/>
    <w:rsid w:val="004973B4"/>
    <w:rsid w:val="004A19B8"/>
    <w:rsid w:val="004A2125"/>
    <w:rsid w:val="004A38F6"/>
    <w:rsid w:val="004B0C95"/>
    <w:rsid w:val="004B0E96"/>
    <w:rsid w:val="004B1266"/>
    <w:rsid w:val="004B4EB6"/>
    <w:rsid w:val="004B4F34"/>
    <w:rsid w:val="004C04D3"/>
    <w:rsid w:val="004C083C"/>
    <w:rsid w:val="004C2636"/>
    <w:rsid w:val="004C3BDE"/>
    <w:rsid w:val="004C62AA"/>
    <w:rsid w:val="004C67C6"/>
    <w:rsid w:val="004D1D6A"/>
    <w:rsid w:val="004D29DE"/>
    <w:rsid w:val="004E078E"/>
    <w:rsid w:val="004E0FDE"/>
    <w:rsid w:val="004E1094"/>
    <w:rsid w:val="004E2E81"/>
    <w:rsid w:val="004E5103"/>
    <w:rsid w:val="004F5434"/>
    <w:rsid w:val="004F55C9"/>
    <w:rsid w:val="00500736"/>
    <w:rsid w:val="00505184"/>
    <w:rsid w:val="0050662A"/>
    <w:rsid w:val="00510EAC"/>
    <w:rsid w:val="005138AF"/>
    <w:rsid w:val="00514F40"/>
    <w:rsid w:val="005226F2"/>
    <w:rsid w:val="00526875"/>
    <w:rsid w:val="0052708C"/>
    <w:rsid w:val="00532189"/>
    <w:rsid w:val="00536DD8"/>
    <w:rsid w:val="00542A57"/>
    <w:rsid w:val="00543294"/>
    <w:rsid w:val="00543F95"/>
    <w:rsid w:val="00545068"/>
    <w:rsid w:val="0054635D"/>
    <w:rsid w:val="005608D4"/>
    <w:rsid w:val="005635C8"/>
    <w:rsid w:val="00565974"/>
    <w:rsid w:val="005665CA"/>
    <w:rsid w:val="00570913"/>
    <w:rsid w:val="00572200"/>
    <w:rsid w:val="005732C0"/>
    <w:rsid w:val="0057336D"/>
    <w:rsid w:val="0057489A"/>
    <w:rsid w:val="00574ACF"/>
    <w:rsid w:val="00581588"/>
    <w:rsid w:val="0058264F"/>
    <w:rsid w:val="0058540B"/>
    <w:rsid w:val="00587C87"/>
    <w:rsid w:val="00590B80"/>
    <w:rsid w:val="005A4E9D"/>
    <w:rsid w:val="005B11C6"/>
    <w:rsid w:val="005B3134"/>
    <w:rsid w:val="005B35C8"/>
    <w:rsid w:val="005B4E61"/>
    <w:rsid w:val="005B595A"/>
    <w:rsid w:val="005B66C2"/>
    <w:rsid w:val="005B7A44"/>
    <w:rsid w:val="005C1AA0"/>
    <w:rsid w:val="005C3CE9"/>
    <w:rsid w:val="005C485F"/>
    <w:rsid w:val="005C4923"/>
    <w:rsid w:val="005C4EEF"/>
    <w:rsid w:val="005C66A6"/>
    <w:rsid w:val="005C7FD1"/>
    <w:rsid w:val="005D2465"/>
    <w:rsid w:val="005D304C"/>
    <w:rsid w:val="005D4A40"/>
    <w:rsid w:val="005D79A5"/>
    <w:rsid w:val="005E33DD"/>
    <w:rsid w:val="005E3E4C"/>
    <w:rsid w:val="005E4229"/>
    <w:rsid w:val="005E5181"/>
    <w:rsid w:val="005E540E"/>
    <w:rsid w:val="005E55FB"/>
    <w:rsid w:val="005E709A"/>
    <w:rsid w:val="005E78FD"/>
    <w:rsid w:val="005F16BB"/>
    <w:rsid w:val="005F58C4"/>
    <w:rsid w:val="00600103"/>
    <w:rsid w:val="006018F5"/>
    <w:rsid w:val="00602AC1"/>
    <w:rsid w:val="00604098"/>
    <w:rsid w:val="00605B0B"/>
    <w:rsid w:val="00606DFF"/>
    <w:rsid w:val="00607115"/>
    <w:rsid w:val="006108F2"/>
    <w:rsid w:val="00611DAB"/>
    <w:rsid w:val="00620509"/>
    <w:rsid w:val="00620768"/>
    <w:rsid w:val="006221DD"/>
    <w:rsid w:val="00624477"/>
    <w:rsid w:val="0062594B"/>
    <w:rsid w:val="00627997"/>
    <w:rsid w:val="006306A8"/>
    <w:rsid w:val="006307C1"/>
    <w:rsid w:val="00631406"/>
    <w:rsid w:val="006324FF"/>
    <w:rsid w:val="00632787"/>
    <w:rsid w:val="00632B07"/>
    <w:rsid w:val="006351D6"/>
    <w:rsid w:val="00636E0D"/>
    <w:rsid w:val="0064142F"/>
    <w:rsid w:val="00643CB4"/>
    <w:rsid w:val="00644B9D"/>
    <w:rsid w:val="00647DEA"/>
    <w:rsid w:val="00656427"/>
    <w:rsid w:val="00656FDA"/>
    <w:rsid w:val="00660255"/>
    <w:rsid w:val="00661FE1"/>
    <w:rsid w:val="00662078"/>
    <w:rsid w:val="0066362A"/>
    <w:rsid w:val="00663EA5"/>
    <w:rsid w:val="00666A14"/>
    <w:rsid w:val="00666D94"/>
    <w:rsid w:val="00676161"/>
    <w:rsid w:val="00681509"/>
    <w:rsid w:val="00682146"/>
    <w:rsid w:val="00682E53"/>
    <w:rsid w:val="00683E6F"/>
    <w:rsid w:val="006862C0"/>
    <w:rsid w:val="00690811"/>
    <w:rsid w:val="00690957"/>
    <w:rsid w:val="00693DAE"/>
    <w:rsid w:val="00697039"/>
    <w:rsid w:val="006971F3"/>
    <w:rsid w:val="006A12BE"/>
    <w:rsid w:val="006A6B07"/>
    <w:rsid w:val="006B16A5"/>
    <w:rsid w:val="006B337D"/>
    <w:rsid w:val="006B78B3"/>
    <w:rsid w:val="006C2787"/>
    <w:rsid w:val="006C48D3"/>
    <w:rsid w:val="006C5B50"/>
    <w:rsid w:val="006C74A3"/>
    <w:rsid w:val="006C76D0"/>
    <w:rsid w:val="006C7D54"/>
    <w:rsid w:val="006D1381"/>
    <w:rsid w:val="006D31BC"/>
    <w:rsid w:val="006D4979"/>
    <w:rsid w:val="006D508B"/>
    <w:rsid w:val="006D6625"/>
    <w:rsid w:val="006E0B0E"/>
    <w:rsid w:val="006E222D"/>
    <w:rsid w:val="006E7943"/>
    <w:rsid w:val="006E7AC3"/>
    <w:rsid w:val="006F24EA"/>
    <w:rsid w:val="006F5FEC"/>
    <w:rsid w:val="00700338"/>
    <w:rsid w:val="0070113C"/>
    <w:rsid w:val="00702D05"/>
    <w:rsid w:val="00703009"/>
    <w:rsid w:val="00704CA9"/>
    <w:rsid w:val="0071048D"/>
    <w:rsid w:val="00710F86"/>
    <w:rsid w:val="007111A8"/>
    <w:rsid w:val="007114BA"/>
    <w:rsid w:val="00714CD2"/>
    <w:rsid w:val="00723B5F"/>
    <w:rsid w:val="00725C33"/>
    <w:rsid w:val="00726C6A"/>
    <w:rsid w:val="00731BC3"/>
    <w:rsid w:val="00731FF7"/>
    <w:rsid w:val="00733216"/>
    <w:rsid w:val="00734159"/>
    <w:rsid w:val="007401FD"/>
    <w:rsid w:val="00741192"/>
    <w:rsid w:val="007430BF"/>
    <w:rsid w:val="007439DE"/>
    <w:rsid w:val="00743A33"/>
    <w:rsid w:val="00743DF3"/>
    <w:rsid w:val="00745AE2"/>
    <w:rsid w:val="00746080"/>
    <w:rsid w:val="0075144A"/>
    <w:rsid w:val="00760A97"/>
    <w:rsid w:val="0076543B"/>
    <w:rsid w:val="00771313"/>
    <w:rsid w:val="00774BA6"/>
    <w:rsid w:val="00775C3B"/>
    <w:rsid w:val="007804A4"/>
    <w:rsid w:val="00780C3D"/>
    <w:rsid w:val="00781AEF"/>
    <w:rsid w:val="00781C54"/>
    <w:rsid w:val="007828D7"/>
    <w:rsid w:val="007852D0"/>
    <w:rsid w:val="00786329"/>
    <w:rsid w:val="007918B3"/>
    <w:rsid w:val="00792C7D"/>
    <w:rsid w:val="00794293"/>
    <w:rsid w:val="00794A4D"/>
    <w:rsid w:val="00796FC4"/>
    <w:rsid w:val="007A0B73"/>
    <w:rsid w:val="007A159E"/>
    <w:rsid w:val="007A2D74"/>
    <w:rsid w:val="007A33B9"/>
    <w:rsid w:val="007A35A0"/>
    <w:rsid w:val="007A39B4"/>
    <w:rsid w:val="007A4B9B"/>
    <w:rsid w:val="007A5234"/>
    <w:rsid w:val="007A764D"/>
    <w:rsid w:val="007B119B"/>
    <w:rsid w:val="007B537E"/>
    <w:rsid w:val="007B7854"/>
    <w:rsid w:val="007C1CF5"/>
    <w:rsid w:val="007C457F"/>
    <w:rsid w:val="007C482B"/>
    <w:rsid w:val="007C505C"/>
    <w:rsid w:val="007C56A1"/>
    <w:rsid w:val="007C6454"/>
    <w:rsid w:val="007D5B5D"/>
    <w:rsid w:val="007D6F3B"/>
    <w:rsid w:val="007E01E0"/>
    <w:rsid w:val="007E5CA0"/>
    <w:rsid w:val="007E610C"/>
    <w:rsid w:val="007E6297"/>
    <w:rsid w:val="007E7486"/>
    <w:rsid w:val="007F0B93"/>
    <w:rsid w:val="007F21B9"/>
    <w:rsid w:val="007F2B27"/>
    <w:rsid w:val="007F2ECA"/>
    <w:rsid w:val="007F7B26"/>
    <w:rsid w:val="00800288"/>
    <w:rsid w:val="008017B6"/>
    <w:rsid w:val="008019B9"/>
    <w:rsid w:val="00802960"/>
    <w:rsid w:val="00802EBE"/>
    <w:rsid w:val="0080547B"/>
    <w:rsid w:val="00805663"/>
    <w:rsid w:val="00811708"/>
    <w:rsid w:val="00813007"/>
    <w:rsid w:val="0081404B"/>
    <w:rsid w:val="00814759"/>
    <w:rsid w:val="00816B90"/>
    <w:rsid w:val="00817799"/>
    <w:rsid w:val="00821796"/>
    <w:rsid w:val="00822F5F"/>
    <w:rsid w:val="00823A5D"/>
    <w:rsid w:val="00824FD3"/>
    <w:rsid w:val="008261E4"/>
    <w:rsid w:val="00826589"/>
    <w:rsid w:val="00830070"/>
    <w:rsid w:val="00830AEA"/>
    <w:rsid w:val="00830F91"/>
    <w:rsid w:val="00834BCC"/>
    <w:rsid w:val="008355D9"/>
    <w:rsid w:val="00836451"/>
    <w:rsid w:val="00845F68"/>
    <w:rsid w:val="00850D54"/>
    <w:rsid w:val="00852E2B"/>
    <w:rsid w:val="00854079"/>
    <w:rsid w:val="00856EC6"/>
    <w:rsid w:val="00856FF3"/>
    <w:rsid w:val="0086228F"/>
    <w:rsid w:val="00862C50"/>
    <w:rsid w:val="00863F8D"/>
    <w:rsid w:val="008673F6"/>
    <w:rsid w:val="00867976"/>
    <w:rsid w:val="008714B0"/>
    <w:rsid w:val="00872A7F"/>
    <w:rsid w:val="0087374B"/>
    <w:rsid w:val="00876331"/>
    <w:rsid w:val="00877B90"/>
    <w:rsid w:val="00880726"/>
    <w:rsid w:val="008863B2"/>
    <w:rsid w:val="0089025E"/>
    <w:rsid w:val="00895527"/>
    <w:rsid w:val="00897881"/>
    <w:rsid w:val="008A0736"/>
    <w:rsid w:val="008A3532"/>
    <w:rsid w:val="008A3544"/>
    <w:rsid w:val="008B48B8"/>
    <w:rsid w:val="008B5348"/>
    <w:rsid w:val="008B58F8"/>
    <w:rsid w:val="008B5BAA"/>
    <w:rsid w:val="008B6060"/>
    <w:rsid w:val="008B62FF"/>
    <w:rsid w:val="008C0712"/>
    <w:rsid w:val="008C4520"/>
    <w:rsid w:val="008C536D"/>
    <w:rsid w:val="008C5F09"/>
    <w:rsid w:val="008D470F"/>
    <w:rsid w:val="008D4716"/>
    <w:rsid w:val="008D47FC"/>
    <w:rsid w:val="008D4B44"/>
    <w:rsid w:val="008E1F8F"/>
    <w:rsid w:val="008E3020"/>
    <w:rsid w:val="008E3F81"/>
    <w:rsid w:val="008E4768"/>
    <w:rsid w:val="008E761E"/>
    <w:rsid w:val="008E7F61"/>
    <w:rsid w:val="008F105F"/>
    <w:rsid w:val="008F77B3"/>
    <w:rsid w:val="009008F5"/>
    <w:rsid w:val="00900B78"/>
    <w:rsid w:val="009011D1"/>
    <w:rsid w:val="00904CC1"/>
    <w:rsid w:val="009066AF"/>
    <w:rsid w:val="00906D66"/>
    <w:rsid w:val="00910578"/>
    <w:rsid w:val="00912050"/>
    <w:rsid w:val="00912A31"/>
    <w:rsid w:val="00912DD2"/>
    <w:rsid w:val="00912E48"/>
    <w:rsid w:val="00912E68"/>
    <w:rsid w:val="00913226"/>
    <w:rsid w:val="00913840"/>
    <w:rsid w:val="00920F4E"/>
    <w:rsid w:val="00923159"/>
    <w:rsid w:val="0092746F"/>
    <w:rsid w:val="00933DE2"/>
    <w:rsid w:val="00935DC9"/>
    <w:rsid w:val="00937F3C"/>
    <w:rsid w:val="009446C0"/>
    <w:rsid w:val="00947BAF"/>
    <w:rsid w:val="00947D0A"/>
    <w:rsid w:val="00951883"/>
    <w:rsid w:val="009527E3"/>
    <w:rsid w:val="009533E1"/>
    <w:rsid w:val="00955A0C"/>
    <w:rsid w:val="009572C6"/>
    <w:rsid w:val="0096082E"/>
    <w:rsid w:val="00961347"/>
    <w:rsid w:val="00962C2F"/>
    <w:rsid w:val="00964753"/>
    <w:rsid w:val="00965AD4"/>
    <w:rsid w:val="009666BE"/>
    <w:rsid w:val="00967410"/>
    <w:rsid w:val="00967D73"/>
    <w:rsid w:val="00970B9A"/>
    <w:rsid w:val="00971C4F"/>
    <w:rsid w:val="009745B6"/>
    <w:rsid w:val="0098119A"/>
    <w:rsid w:val="009823EE"/>
    <w:rsid w:val="0098426C"/>
    <w:rsid w:val="00984AAF"/>
    <w:rsid w:val="00985521"/>
    <w:rsid w:val="00987E68"/>
    <w:rsid w:val="00991B09"/>
    <w:rsid w:val="0099319C"/>
    <w:rsid w:val="00993CB2"/>
    <w:rsid w:val="0099796D"/>
    <w:rsid w:val="009A0251"/>
    <w:rsid w:val="009A218B"/>
    <w:rsid w:val="009A5166"/>
    <w:rsid w:val="009A76F8"/>
    <w:rsid w:val="009B2B11"/>
    <w:rsid w:val="009B2B83"/>
    <w:rsid w:val="009B720F"/>
    <w:rsid w:val="009B78A9"/>
    <w:rsid w:val="009C31B2"/>
    <w:rsid w:val="009C49F8"/>
    <w:rsid w:val="009D0F93"/>
    <w:rsid w:val="009D56E7"/>
    <w:rsid w:val="009D77CC"/>
    <w:rsid w:val="009D797A"/>
    <w:rsid w:val="009E0F9D"/>
    <w:rsid w:val="009E2423"/>
    <w:rsid w:val="009E491D"/>
    <w:rsid w:val="009E5490"/>
    <w:rsid w:val="009E55D7"/>
    <w:rsid w:val="009E60DB"/>
    <w:rsid w:val="009E703E"/>
    <w:rsid w:val="009F4150"/>
    <w:rsid w:val="009F5151"/>
    <w:rsid w:val="009F5665"/>
    <w:rsid w:val="009F5DAD"/>
    <w:rsid w:val="009F71CB"/>
    <w:rsid w:val="009F752C"/>
    <w:rsid w:val="00A01BCA"/>
    <w:rsid w:val="00A01FD5"/>
    <w:rsid w:val="00A06C73"/>
    <w:rsid w:val="00A07088"/>
    <w:rsid w:val="00A10458"/>
    <w:rsid w:val="00A104E5"/>
    <w:rsid w:val="00A14629"/>
    <w:rsid w:val="00A153B6"/>
    <w:rsid w:val="00A164D5"/>
    <w:rsid w:val="00A20C2D"/>
    <w:rsid w:val="00A20E4F"/>
    <w:rsid w:val="00A24E95"/>
    <w:rsid w:val="00A25601"/>
    <w:rsid w:val="00A2678D"/>
    <w:rsid w:val="00A273C3"/>
    <w:rsid w:val="00A30C37"/>
    <w:rsid w:val="00A31091"/>
    <w:rsid w:val="00A34275"/>
    <w:rsid w:val="00A3671B"/>
    <w:rsid w:val="00A36C65"/>
    <w:rsid w:val="00A37AE9"/>
    <w:rsid w:val="00A40894"/>
    <w:rsid w:val="00A41BBE"/>
    <w:rsid w:val="00A443E3"/>
    <w:rsid w:val="00A45BDD"/>
    <w:rsid w:val="00A46060"/>
    <w:rsid w:val="00A46A0A"/>
    <w:rsid w:val="00A51E0E"/>
    <w:rsid w:val="00A553F8"/>
    <w:rsid w:val="00A5606F"/>
    <w:rsid w:val="00A56852"/>
    <w:rsid w:val="00A56D0C"/>
    <w:rsid w:val="00A571EC"/>
    <w:rsid w:val="00A623E8"/>
    <w:rsid w:val="00A649E7"/>
    <w:rsid w:val="00A65082"/>
    <w:rsid w:val="00A65DFA"/>
    <w:rsid w:val="00A6708F"/>
    <w:rsid w:val="00A709F0"/>
    <w:rsid w:val="00A71BF6"/>
    <w:rsid w:val="00A72AF9"/>
    <w:rsid w:val="00A74050"/>
    <w:rsid w:val="00A8036A"/>
    <w:rsid w:val="00A86837"/>
    <w:rsid w:val="00A86F9A"/>
    <w:rsid w:val="00A95A81"/>
    <w:rsid w:val="00AA023A"/>
    <w:rsid w:val="00AA3329"/>
    <w:rsid w:val="00AA35E6"/>
    <w:rsid w:val="00AA50B6"/>
    <w:rsid w:val="00AA78FF"/>
    <w:rsid w:val="00AB1606"/>
    <w:rsid w:val="00AB3472"/>
    <w:rsid w:val="00AB3C13"/>
    <w:rsid w:val="00AB7613"/>
    <w:rsid w:val="00AC0F5D"/>
    <w:rsid w:val="00AC27EF"/>
    <w:rsid w:val="00AC4595"/>
    <w:rsid w:val="00AC46DC"/>
    <w:rsid w:val="00AC659C"/>
    <w:rsid w:val="00AC66D9"/>
    <w:rsid w:val="00AC7CD7"/>
    <w:rsid w:val="00AD0762"/>
    <w:rsid w:val="00AD3C9E"/>
    <w:rsid w:val="00AE0209"/>
    <w:rsid w:val="00AE3DCF"/>
    <w:rsid w:val="00AE4452"/>
    <w:rsid w:val="00AE6604"/>
    <w:rsid w:val="00AE7C38"/>
    <w:rsid w:val="00AF1538"/>
    <w:rsid w:val="00AF1FAC"/>
    <w:rsid w:val="00AF2679"/>
    <w:rsid w:val="00AF2814"/>
    <w:rsid w:val="00AF5008"/>
    <w:rsid w:val="00AF6920"/>
    <w:rsid w:val="00B01F99"/>
    <w:rsid w:val="00B02B37"/>
    <w:rsid w:val="00B05276"/>
    <w:rsid w:val="00B0666B"/>
    <w:rsid w:val="00B0791F"/>
    <w:rsid w:val="00B132DB"/>
    <w:rsid w:val="00B14264"/>
    <w:rsid w:val="00B15F5B"/>
    <w:rsid w:val="00B20A91"/>
    <w:rsid w:val="00B23214"/>
    <w:rsid w:val="00B24295"/>
    <w:rsid w:val="00B24C05"/>
    <w:rsid w:val="00B26F80"/>
    <w:rsid w:val="00B31427"/>
    <w:rsid w:val="00B3166B"/>
    <w:rsid w:val="00B32FF9"/>
    <w:rsid w:val="00B33861"/>
    <w:rsid w:val="00B33E0B"/>
    <w:rsid w:val="00B404EB"/>
    <w:rsid w:val="00B40DE2"/>
    <w:rsid w:val="00B4377A"/>
    <w:rsid w:val="00B45F1C"/>
    <w:rsid w:val="00B4641C"/>
    <w:rsid w:val="00B50210"/>
    <w:rsid w:val="00B5057E"/>
    <w:rsid w:val="00B50D8D"/>
    <w:rsid w:val="00B514A9"/>
    <w:rsid w:val="00B52457"/>
    <w:rsid w:val="00B53955"/>
    <w:rsid w:val="00B53BFC"/>
    <w:rsid w:val="00B63C79"/>
    <w:rsid w:val="00B6408A"/>
    <w:rsid w:val="00B6478A"/>
    <w:rsid w:val="00B6546F"/>
    <w:rsid w:val="00B7014D"/>
    <w:rsid w:val="00B714B8"/>
    <w:rsid w:val="00B716E8"/>
    <w:rsid w:val="00B73144"/>
    <w:rsid w:val="00B73263"/>
    <w:rsid w:val="00B814CF"/>
    <w:rsid w:val="00B82C2C"/>
    <w:rsid w:val="00B85B74"/>
    <w:rsid w:val="00B85F35"/>
    <w:rsid w:val="00B8720B"/>
    <w:rsid w:val="00B87589"/>
    <w:rsid w:val="00B876EF"/>
    <w:rsid w:val="00B87887"/>
    <w:rsid w:val="00B91551"/>
    <w:rsid w:val="00B91FB5"/>
    <w:rsid w:val="00B9572B"/>
    <w:rsid w:val="00B96233"/>
    <w:rsid w:val="00BA2598"/>
    <w:rsid w:val="00BA4697"/>
    <w:rsid w:val="00BA5893"/>
    <w:rsid w:val="00BB0C53"/>
    <w:rsid w:val="00BB3320"/>
    <w:rsid w:val="00BB5378"/>
    <w:rsid w:val="00BB589B"/>
    <w:rsid w:val="00BB6F53"/>
    <w:rsid w:val="00BC086C"/>
    <w:rsid w:val="00BC0BD3"/>
    <w:rsid w:val="00BC4B9A"/>
    <w:rsid w:val="00BC4EAA"/>
    <w:rsid w:val="00BC5BA6"/>
    <w:rsid w:val="00BD0107"/>
    <w:rsid w:val="00BD2220"/>
    <w:rsid w:val="00BD4DBE"/>
    <w:rsid w:val="00BE0C33"/>
    <w:rsid w:val="00BE0FE9"/>
    <w:rsid w:val="00BE262C"/>
    <w:rsid w:val="00BE4C25"/>
    <w:rsid w:val="00BE6C3D"/>
    <w:rsid w:val="00BE73E6"/>
    <w:rsid w:val="00BF1476"/>
    <w:rsid w:val="00BF42FE"/>
    <w:rsid w:val="00C02B29"/>
    <w:rsid w:val="00C06DA4"/>
    <w:rsid w:val="00C07606"/>
    <w:rsid w:val="00C12542"/>
    <w:rsid w:val="00C130EE"/>
    <w:rsid w:val="00C230DA"/>
    <w:rsid w:val="00C24725"/>
    <w:rsid w:val="00C30BA9"/>
    <w:rsid w:val="00C32396"/>
    <w:rsid w:val="00C32715"/>
    <w:rsid w:val="00C3541E"/>
    <w:rsid w:val="00C36A8F"/>
    <w:rsid w:val="00C401C8"/>
    <w:rsid w:val="00C42834"/>
    <w:rsid w:val="00C42FFA"/>
    <w:rsid w:val="00C43021"/>
    <w:rsid w:val="00C47780"/>
    <w:rsid w:val="00C47C8C"/>
    <w:rsid w:val="00C47CC2"/>
    <w:rsid w:val="00C507D8"/>
    <w:rsid w:val="00C51F5A"/>
    <w:rsid w:val="00C526D3"/>
    <w:rsid w:val="00C57018"/>
    <w:rsid w:val="00C62EAC"/>
    <w:rsid w:val="00C63F9F"/>
    <w:rsid w:val="00C6558E"/>
    <w:rsid w:val="00C66F97"/>
    <w:rsid w:val="00C67DA9"/>
    <w:rsid w:val="00C735E0"/>
    <w:rsid w:val="00C7723C"/>
    <w:rsid w:val="00C81439"/>
    <w:rsid w:val="00C82027"/>
    <w:rsid w:val="00C838F5"/>
    <w:rsid w:val="00C841C0"/>
    <w:rsid w:val="00C91F37"/>
    <w:rsid w:val="00C97898"/>
    <w:rsid w:val="00CA07E5"/>
    <w:rsid w:val="00CA1AF4"/>
    <w:rsid w:val="00CA4725"/>
    <w:rsid w:val="00CA6068"/>
    <w:rsid w:val="00CA757A"/>
    <w:rsid w:val="00CB15E1"/>
    <w:rsid w:val="00CB3460"/>
    <w:rsid w:val="00CB3D46"/>
    <w:rsid w:val="00CB3D75"/>
    <w:rsid w:val="00CC0771"/>
    <w:rsid w:val="00CC3648"/>
    <w:rsid w:val="00CC7AF8"/>
    <w:rsid w:val="00CD1A87"/>
    <w:rsid w:val="00CD35F3"/>
    <w:rsid w:val="00CD4362"/>
    <w:rsid w:val="00CD5C93"/>
    <w:rsid w:val="00CD69CD"/>
    <w:rsid w:val="00CE2CC7"/>
    <w:rsid w:val="00CE342B"/>
    <w:rsid w:val="00CE4961"/>
    <w:rsid w:val="00CE63A5"/>
    <w:rsid w:val="00CE6CCC"/>
    <w:rsid w:val="00CF131F"/>
    <w:rsid w:val="00CF320C"/>
    <w:rsid w:val="00CF3A4B"/>
    <w:rsid w:val="00CF4001"/>
    <w:rsid w:val="00CF75DF"/>
    <w:rsid w:val="00D05837"/>
    <w:rsid w:val="00D11736"/>
    <w:rsid w:val="00D12D8A"/>
    <w:rsid w:val="00D13E0C"/>
    <w:rsid w:val="00D20FB5"/>
    <w:rsid w:val="00D22CC8"/>
    <w:rsid w:val="00D25896"/>
    <w:rsid w:val="00D26EE6"/>
    <w:rsid w:val="00D32A59"/>
    <w:rsid w:val="00D33918"/>
    <w:rsid w:val="00D34AAF"/>
    <w:rsid w:val="00D36033"/>
    <w:rsid w:val="00D373A1"/>
    <w:rsid w:val="00D37C0F"/>
    <w:rsid w:val="00D4113F"/>
    <w:rsid w:val="00D43E8E"/>
    <w:rsid w:val="00D45661"/>
    <w:rsid w:val="00D45943"/>
    <w:rsid w:val="00D47D22"/>
    <w:rsid w:val="00D50346"/>
    <w:rsid w:val="00D50368"/>
    <w:rsid w:val="00D51865"/>
    <w:rsid w:val="00D51D0C"/>
    <w:rsid w:val="00D52ECE"/>
    <w:rsid w:val="00D54734"/>
    <w:rsid w:val="00D55D13"/>
    <w:rsid w:val="00D56C54"/>
    <w:rsid w:val="00D6364B"/>
    <w:rsid w:val="00D63E60"/>
    <w:rsid w:val="00D6407A"/>
    <w:rsid w:val="00D64A19"/>
    <w:rsid w:val="00D666A7"/>
    <w:rsid w:val="00D7189B"/>
    <w:rsid w:val="00D7327C"/>
    <w:rsid w:val="00D74140"/>
    <w:rsid w:val="00D74EC3"/>
    <w:rsid w:val="00D80045"/>
    <w:rsid w:val="00D8087F"/>
    <w:rsid w:val="00D842AC"/>
    <w:rsid w:val="00D84FBE"/>
    <w:rsid w:val="00D93AD4"/>
    <w:rsid w:val="00DA2E9E"/>
    <w:rsid w:val="00DA6E56"/>
    <w:rsid w:val="00DA78DD"/>
    <w:rsid w:val="00DB0DF2"/>
    <w:rsid w:val="00DB1C65"/>
    <w:rsid w:val="00DC0C4C"/>
    <w:rsid w:val="00DC24E5"/>
    <w:rsid w:val="00DC3B05"/>
    <w:rsid w:val="00DC6705"/>
    <w:rsid w:val="00DD1EF6"/>
    <w:rsid w:val="00DD2DE8"/>
    <w:rsid w:val="00DD6220"/>
    <w:rsid w:val="00DD717B"/>
    <w:rsid w:val="00DE04B8"/>
    <w:rsid w:val="00DE1C81"/>
    <w:rsid w:val="00DE2BFC"/>
    <w:rsid w:val="00DE38B4"/>
    <w:rsid w:val="00DE4482"/>
    <w:rsid w:val="00DE5D02"/>
    <w:rsid w:val="00DF1E91"/>
    <w:rsid w:val="00DF2102"/>
    <w:rsid w:val="00DF3918"/>
    <w:rsid w:val="00DF48CC"/>
    <w:rsid w:val="00DF4E62"/>
    <w:rsid w:val="00DF78F3"/>
    <w:rsid w:val="00E005A9"/>
    <w:rsid w:val="00E03579"/>
    <w:rsid w:val="00E040CF"/>
    <w:rsid w:val="00E04F46"/>
    <w:rsid w:val="00E065BA"/>
    <w:rsid w:val="00E10C2B"/>
    <w:rsid w:val="00E115A8"/>
    <w:rsid w:val="00E1166E"/>
    <w:rsid w:val="00E15CF6"/>
    <w:rsid w:val="00E2299C"/>
    <w:rsid w:val="00E24DC0"/>
    <w:rsid w:val="00E2519C"/>
    <w:rsid w:val="00E25229"/>
    <w:rsid w:val="00E25F2A"/>
    <w:rsid w:val="00E271F7"/>
    <w:rsid w:val="00E30C30"/>
    <w:rsid w:val="00E34468"/>
    <w:rsid w:val="00E35EB1"/>
    <w:rsid w:val="00E363D2"/>
    <w:rsid w:val="00E41455"/>
    <w:rsid w:val="00E42AD2"/>
    <w:rsid w:val="00E50856"/>
    <w:rsid w:val="00E538CC"/>
    <w:rsid w:val="00E54BBD"/>
    <w:rsid w:val="00E54DBA"/>
    <w:rsid w:val="00E57DB7"/>
    <w:rsid w:val="00E61A68"/>
    <w:rsid w:val="00E62A74"/>
    <w:rsid w:val="00E62A9E"/>
    <w:rsid w:val="00E63D7C"/>
    <w:rsid w:val="00E640D5"/>
    <w:rsid w:val="00E64C4F"/>
    <w:rsid w:val="00E66E2E"/>
    <w:rsid w:val="00E67691"/>
    <w:rsid w:val="00E6790C"/>
    <w:rsid w:val="00E714F6"/>
    <w:rsid w:val="00E80F90"/>
    <w:rsid w:val="00E8436D"/>
    <w:rsid w:val="00E87669"/>
    <w:rsid w:val="00E877F0"/>
    <w:rsid w:val="00E91ABD"/>
    <w:rsid w:val="00E92237"/>
    <w:rsid w:val="00E9313B"/>
    <w:rsid w:val="00E94D1B"/>
    <w:rsid w:val="00E951EF"/>
    <w:rsid w:val="00E969B0"/>
    <w:rsid w:val="00E96FA4"/>
    <w:rsid w:val="00E97D6E"/>
    <w:rsid w:val="00EA076F"/>
    <w:rsid w:val="00EA1A80"/>
    <w:rsid w:val="00EA387D"/>
    <w:rsid w:val="00EA3D54"/>
    <w:rsid w:val="00EA42F9"/>
    <w:rsid w:val="00EA487F"/>
    <w:rsid w:val="00EA5244"/>
    <w:rsid w:val="00EA56D9"/>
    <w:rsid w:val="00EA5CE3"/>
    <w:rsid w:val="00EA6586"/>
    <w:rsid w:val="00EA6AD8"/>
    <w:rsid w:val="00EA7AB8"/>
    <w:rsid w:val="00EB51C1"/>
    <w:rsid w:val="00EB5AE1"/>
    <w:rsid w:val="00EB5E0B"/>
    <w:rsid w:val="00EB7247"/>
    <w:rsid w:val="00EB7C2A"/>
    <w:rsid w:val="00EC05A3"/>
    <w:rsid w:val="00EC2171"/>
    <w:rsid w:val="00ED14CC"/>
    <w:rsid w:val="00ED3E32"/>
    <w:rsid w:val="00ED442D"/>
    <w:rsid w:val="00ED6855"/>
    <w:rsid w:val="00ED70C2"/>
    <w:rsid w:val="00EE18FF"/>
    <w:rsid w:val="00EE1D64"/>
    <w:rsid w:val="00EE3E29"/>
    <w:rsid w:val="00EE489F"/>
    <w:rsid w:val="00EE558A"/>
    <w:rsid w:val="00EF082D"/>
    <w:rsid w:val="00EF55AE"/>
    <w:rsid w:val="00F04552"/>
    <w:rsid w:val="00F051E5"/>
    <w:rsid w:val="00F0647F"/>
    <w:rsid w:val="00F07FA0"/>
    <w:rsid w:val="00F10CE3"/>
    <w:rsid w:val="00F12006"/>
    <w:rsid w:val="00F13443"/>
    <w:rsid w:val="00F14F3B"/>
    <w:rsid w:val="00F16362"/>
    <w:rsid w:val="00F165AE"/>
    <w:rsid w:val="00F207C7"/>
    <w:rsid w:val="00F216F0"/>
    <w:rsid w:val="00F24CCA"/>
    <w:rsid w:val="00F25C00"/>
    <w:rsid w:val="00F26301"/>
    <w:rsid w:val="00F27185"/>
    <w:rsid w:val="00F2721A"/>
    <w:rsid w:val="00F34C4E"/>
    <w:rsid w:val="00F35D78"/>
    <w:rsid w:val="00F36B6D"/>
    <w:rsid w:val="00F41618"/>
    <w:rsid w:val="00F4166D"/>
    <w:rsid w:val="00F43FA3"/>
    <w:rsid w:val="00F4712F"/>
    <w:rsid w:val="00F4772B"/>
    <w:rsid w:val="00F510E5"/>
    <w:rsid w:val="00F538A0"/>
    <w:rsid w:val="00F55648"/>
    <w:rsid w:val="00F568F7"/>
    <w:rsid w:val="00F5766B"/>
    <w:rsid w:val="00F57C42"/>
    <w:rsid w:val="00F6343B"/>
    <w:rsid w:val="00F64F80"/>
    <w:rsid w:val="00F664DD"/>
    <w:rsid w:val="00F67E07"/>
    <w:rsid w:val="00F70046"/>
    <w:rsid w:val="00F713D0"/>
    <w:rsid w:val="00F72B15"/>
    <w:rsid w:val="00F748C2"/>
    <w:rsid w:val="00F74958"/>
    <w:rsid w:val="00F76C5C"/>
    <w:rsid w:val="00F804EC"/>
    <w:rsid w:val="00F8130F"/>
    <w:rsid w:val="00F818C7"/>
    <w:rsid w:val="00F819BB"/>
    <w:rsid w:val="00F81EF3"/>
    <w:rsid w:val="00F82066"/>
    <w:rsid w:val="00F84496"/>
    <w:rsid w:val="00F85DCB"/>
    <w:rsid w:val="00F86F9C"/>
    <w:rsid w:val="00F90067"/>
    <w:rsid w:val="00F90D76"/>
    <w:rsid w:val="00F94055"/>
    <w:rsid w:val="00F95581"/>
    <w:rsid w:val="00FA4A4C"/>
    <w:rsid w:val="00FA4BF1"/>
    <w:rsid w:val="00FB17AB"/>
    <w:rsid w:val="00FB48CF"/>
    <w:rsid w:val="00FC002E"/>
    <w:rsid w:val="00FC4C23"/>
    <w:rsid w:val="00FC6204"/>
    <w:rsid w:val="00FC642E"/>
    <w:rsid w:val="00FD6229"/>
    <w:rsid w:val="00FD7675"/>
    <w:rsid w:val="00FD7AA0"/>
    <w:rsid w:val="00FE081C"/>
    <w:rsid w:val="00FE2847"/>
    <w:rsid w:val="00FE2AE4"/>
    <w:rsid w:val="00FE3ED6"/>
    <w:rsid w:val="00FE3F9E"/>
    <w:rsid w:val="00FE689F"/>
    <w:rsid w:val="00FE6B2F"/>
    <w:rsid w:val="00FE7809"/>
    <w:rsid w:val="00FF1223"/>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EC441E"/>
  <w15:docId w15:val="{B1DB7B33-71F0-4BCF-9EC1-985B9D898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6D90"/>
    <w:pPr>
      <w:spacing w:before="180" w:after="0"/>
    </w:pPr>
    <w:rPr>
      <w14:ligatures w14:val="standardContextual"/>
    </w:rPr>
  </w:style>
  <w:style w:type="paragraph" w:styleId="Heading1">
    <w:name w:val="heading 1"/>
    <w:basedOn w:val="Normal"/>
    <w:next w:val="Normal"/>
    <w:link w:val="Heading1Char"/>
    <w:uiPriority w:val="9"/>
    <w:qFormat/>
    <w:rsid w:val="00E94D1B"/>
    <w:pPr>
      <w:keepNext/>
      <w:keepLines/>
      <w:pageBreakBefore/>
      <w:pBdr>
        <w:bottom w:val="single" w:sz="12" w:space="4" w:color="53C9F1" w:themeColor="background2"/>
      </w:pBdr>
      <w:autoSpaceDE w:val="0"/>
      <w:autoSpaceDN w:val="0"/>
      <w:adjustRightInd w:val="0"/>
      <w:spacing w:before="480"/>
      <w:textAlignment w:val="center"/>
      <w:outlineLvl w:val="0"/>
    </w:pPr>
    <w:rPr>
      <w:rFonts w:asciiTheme="majorHAnsi" w:hAnsiTheme="majorHAnsi" w:cs="Manrope ExtraLight"/>
      <w:b/>
      <w:color w:val="1E4496" w:themeColor="text2"/>
      <w:sz w:val="48"/>
      <w:szCs w:val="32"/>
    </w:rPr>
  </w:style>
  <w:style w:type="paragraph" w:styleId="Heading2">
    <w:name w:val="heading 2"/>
    <w:basedOn w:val="Normal"/>
    <w:next w:val="Normal"/>
    <w:link w:val="Heading2Char"/>
    <w:uiPriority w:val="9"/>
    <w:unhideWhenUsed/>
    <w:qFormat/>
    <w:rsid w:val="00920F4E"/>
    <w:pPr>
      <w:keepNext/>
      <w:autoSpaceDE w:val="0"/>
      <w:autoSpaceDN w:val="0"/>
      <w:adjustRightInd w:val="0"/>
      <w:spacing w:before="360" w:line="240" w:lineRule="auto"/>
      <w:textAlignment w:val="center"/>
      <w:outlineLvl w:val="1"/>
    </w:pPr>
    <w:rPr>
      <w:rFonts w:asciiTheme="majorHAnsi" w:hAnsiTheme="majorHAnsi" w:cs="MyriadPro-Bold"/>
      <w:b/>
      <w:bCs/>
      <w:color w:val="1E4496" w:themeColor="text2"/>
      <w:sz w:val="38"/>
      <w:szCs w:val="28"/>
    </w:rPr>
  </w:style>
  <w:style w:type="paragraph" w:styleId="Heading3">
    <w:name w:val="heading 3"/>
    <w:basedOn w:val="Normal"/>
    <w:next w:val="Normal"/>
    <w:link w:val="Heading3Char"/>
    <w:uiPriority w:val="9"/>
    <w:unhideWhenUsed/>
    <w:qFormat/>
    <w:rsid w:val="00920F4E"/>
    <w:pPr>
      <w:keepNext/>
      <w:keepLines/>
      <w:autoSpaceDE w:val="0"/>
      <w:autoSpaceDN w:val="0"/>
      <w:adjustRightInd w:val="0"/>
      <w:spacing w:before="360" w:line="240" w:lineRule="auto"/>
      <w:textAlignment w:val="center"/>
      <w:outlineLvl w:val="2"/>
    </w:pPr>
    <w:rPr>
      <w:rFonts w:asciiTheme="majorHAnsi" w:hAnsiTheme="majorHAnsi" w:cs="MyriadPro-Regular"/>
      <w:bCs/>
      <w:color w:val="1E4496" w:themeColor="text2"/>
      <w:sz w:val="32"/>
      <w:szCs w:val="26"/>
    </w:rPr>
  </w:style>
  <w:style w:type="paragraph" w:styleId="Heading4">
    <w:name w:val="heading 4"/>
    <w:basedOn w:val="Normal"/>
    <w:next w:val="Normal"/>
    <w:link w:val="Heading4Char"/>
    <w:uiPriority w:val="9"/>
    <w:unhideWhenUsed/>
    <w:qFormat/>
    <w:rsid w:val="005138AF"/>
    <w:pPr>
      <w:keepNext/>
      <w:keepLines/>
      <w:spacing w:before="360" w:line="240" w:lineRule="auto"/>
      <w:outlineLvl w:val="3"/>
    </w:pPr>
    <w:rPr>
      <w:rFonts w:asciiTheme="majorHAnsi" w:eastAsiaTheme="majorEastAsia" w:hAnsiTheme="majorHAnsi" w:cstheme="majorBidi"/>
      <w:bCs/>
      <w:iCs/>
      <w:sz w:val="28"/>
    </w:rPr>
  </w:style>
  <w:style w:type="paragraph" w:styleId="Heading5">
    <w:name w:val="heading 5"/>
    <w:basedOn w:val="Normal"/>
    <w:next w:val="Normal"/>
    <w:link w:val="Heading5Char"/>
    <w:uiPriority w:val="9"/>
    <w:unhideWhenUsed/>
    <w:rsid w:val="005138AF"/>
    <w:pPr>
      <w:keepNext/>
      <w:spacing w:before="360" w:line="240" w:lineRule="auto"/>
      <w:outlineLvl w:val="4"/>
    </w:pPr>
    <w:rPr>
      <w:rFonts w:asciiTheme="majorHAnsi" w:eastAsiaTheme="majorEastAsia" w:hAnsiTheme="majorHAnsi" w:cstheme="majorBidi"/>
      <w:b/>
      <w:bCs/>
      <w:sz w:val="24"/>
    </w:rPr>
  </w:style>
  <w:style w:type="paragraph" w:styleId="Heading6">
    <w:name w:val="heading 6"/>
    <w:basedOn w:val="Normal"/>
    <w:next w:val="Normal"/>
    <w:link w:val="Heading6Char"/>
    <w:uiPriority w:val="9"/>
    <w:unhideWhenUsed/>
    <w:rsid w:val="005138AF"/>
    <w:pPr>
      <w:keepNext/>
      <w:keepLines/>
      <w:spacing w:before="240" w:line="240" w:lineRule="auto"/>
      <w:outlineLvl w:val="5"/>
    </w:pPr>
    <w:rPr>
      <w:rFonts w:asciiTheme="majorHAnsi" w:eastAsiaTheme="majorEastAsia" w:hAnsiTheme="majorHAnsi" w:cstheme="majorBidi"/>
      <w:b/>
      <w:bCs/>
      <w:i/>
      <w:iCs/>
      <w:sz w:val="24"/>
    </w:rPr>
  </w:style>
  <w:style w:type="paragraph" w:styleId="Heading7">
    <w:name w:val="heading 7"/>
    <w:basedOn w:val="Normal"/>
    <w:next w:val="Normal"/>
    <w:link w:val="Heading7Char"/>
    <w:uiPriority w:val="9"/>
    <w:semiHidden/>
    <w:unhideWhenUsed/>
    <w:qFormat/>
    <w:rsid w:val="00741192"/>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4D1B"/>
    <w:rPr>
      <w:rFonts w:asciiTheme="majorHAnsi" w:hAnsiTheme="majorHAnsi" w:cs="Manrope ExtraLight"/>
      <w:b/>
      <w:color w:val="1E4496" w:themeColor="text2"/>
      <w:sz w:val="48"/>
      <w:szCs w:val="32"/>
      <w14:ligatures w14:val="standardContextual"/>
    </w:rPr>
  </w:style>
  <w:style w:type="paragraph" w:customStyle="1" w:styleId="CDIFooter">
    <w:name w:val="CDI Footer"/>
    <w:basedOn w:val="Normal"/>
    <w:link w:val="CDIFooterChar"/>
    <w:rsid w:val="00E94D1B"/>
    <w:pPr>
      <w:spacing w:before="0" w:line="240" w:lineRule="auto"/>
    </w:pPr>
    <w:rPr>
      <w:sz w:val="18"/>
      <w:szCs w:val="18"/>
    </w:rPr>
  </w:style>
  <w:style w:type="character" w:customStyle="1" w:styleId="Heading2Char">
    <w:name w:val="Heading 2 Char"/>
    <w:basedOn w:val="DefaultParagraphFont"/>
    <w:link w:val="Heading2"/>
    <w:uiPriority w:val="9"/>
    <w:rsid w:val="00920F4E"/>
    <w:rPr>
      <w:rFonts w:asciiTheme="majorHAnsi" w:hAnsiTheme="majorHAnsi" w:cs="MyriadPro-Bold"/>
      <w:b/>
      <w:bCs/>
      <w:color w:val="1E4496" w:themeColor="text2"/>
      <w:sz w:val="38"/>
      <w:szCs w:val="28"/>
      <w14:ligatures w14:val="standardContextual"/>
    </w:rPr>
  </w:style>
  <w:style w:type="paragraph" w:customStyle="1" w:styleId="CDIBoxH1Heading">
    <w:name w:val="CDI Box H1 Heading"/>
    <w:basedOn w:val="CDIBoxHeading"/>
    <w:next w:val="Normal"/>
    <w:rsid w:val="006C5B50"/>
    <w:rPr>
      <w:b/>
      <w:bCs/>
      <w:sz w:val="48"/>
    </w:rPr>
  </w:style>
  <w:style w:type="paragraph" w:styleId="Title">
    <w:name w:val="Title"/>
    <w:basedOn w:val="Normal"/>
    <w:next w:val="Normal"/>
    <w:link w:val="TitleChar"/>
    <w:uiPriority w:val="10"/>
    <w:qFormat/>
    <w:rsid w:val="00ED6855"/>
    <w:pPr>
      <w:spacing w:before="280"/>
    </w:pPr>
    <w:rPr>
      <w:rFonts w:asciiTheme="majorHAnsi" w:hAnsiTheme="majorHAnsi" w:cs="Arial"/>
      <w:b/>
      <w:bCs/>
      <w:sz w:val="44"/>
      <w:szCs w:val="44"/>
    </w:rPr>
  </w:style>
  <w:style w:type="character" w:customStyle="1" w:styleId="TitleChar">
    <w:name w:val="Title Char"/>
    <w:basedOn w:val="DefaultParagraphFont"/>
    <w:link w:val="Title"/>
    <w:uiPriority w:val="10"/>
    <w:rsid w:val="00ED6855"/>
    <w:rPr>
      <w:rFonts w:asciiTheme="majorHAnsi" w:hAnsiTheme="majorHAnsi" w:cs="Arial"/>
      <w:b/>
      <w:bCs/>
      <w:sz w:val="44"/>
      <w:szCs w:val="44"/>
      <w14:ligatures w14:val="standardContextual"/>
    </w:rPr>
  </w:style>
  <w:style w:type="character" w:customStyle="1" w:styleId="Heading3Char">
    <w:name w:val="Heading 3 Char"/>
    <w:basedOn w:val="DefaultParagraphFont"/>
    <w:link w:val="Heading3"/>
    <w:uiPriority w:val="9"/>
    <w:rsid w:val="00920F4E"/>
    <w:rPr>
      <w:rFonts w:asciiTheme="majorHAnsi" w:hAnsiTheme="majorHAnsi" w:cs="MyriadPro-Regular"/>
      <w:bCs/>
      <w:color w:val="1E4496" w:themeColor="text2"/>
      <w:sz w:val="32"/>
      <w:szCs w:val="26"/>
      <w14:ligatures w14:val="standardContextual"/>
    </w:rPr>
  </w:style>
  <w:style w:type="character" w:customStyle="1" w:styleId="Heading4Char">
    <w:name w:val="Heading 4 Char"/>
    <w:basedOn w:val="DefaultParagraphFont"/>
    <w:link w:val="Heading4"/>
    <w:uiPriority w:val="9"/>
    <w:rsid w:val="005138AF"/>
    <w:rPr>
      <w:rFonts w:asciiTheme="majorHAnsi" w:eastAsiaTheme="majorEastAsia" w:hAnsiTheme="majorHAnsi" w:cstheme="majorBidi"/>
      <w:bCs/>
      <w:iCs/>
      <w:sz w:val="28"/>
      <w14:ligatures w14:val="standardContextual"/>
    </w:rPr>
  </w:style>
  <w:style w:type="character" w:customStyle="1" w:styleId="Heading5Char">
    <w:name w:val="Heading 5 Char"/>
    <w:basedOn w:val="DefaultParagraphFont"/>
    <w:link w:val="Heading5"/>
    <w:uiPriority w:val="9"/>
    <w:rsid w:val="005138AF"/>
    <w:rPr>
      <w:rFonts w:asciiTheme="majorHAnsi" w:eastAsiaTheme="majorEastAsia" w:hAnsiTheme="majorHAnsi" w:cstheme="majorBidi"/>
      <w:b/>
      <w:bCs/>
      <w:sz w:val="24"/>
      <w14:ligatures w14:val="standardContextual"/>
    </w:rPr>
  </w:style>
  <w:style w:type="character" w:customStyle="1" w:styleId="Heading6Char">
    <w:name w:val="Heading 6 Char"/>
    <w:basedOn w:val="DefaultParagraphFont"/>
    <w:link w:val="Heading6"/>
    <w:uiPriority w:val="9"/>
    <w:rsid w:val="005138AF"/>
    <w:rPr>
      <w:rFonts w:asciiTheme="majorHAnsi" w:eastAsiaTheme="majorEastAsia" w:hAnsiTheme="majorHAnsi" w:cstheme="majorBidi"/>
      <w:b/>
      <w:bCs/>
      <w:i/>
      <w:iCs/>
      <w:sz w:val="24"/>
      <w14:ligatures w14:val="standardContextual"/>
    </w:rPr>
  </w:style>
  <w:style w:type="paragraph" w:styleId="Subtitle">
    <w:name w:val="Subtitle"/>
    <w:basedOn w:val="Normal"/>
    <w:next w:val="Normal"/>
    <w:link w:val="SubtitleChar"/>
    <w:uiPriority w:val="11"/>
    <w:qFormat/>
    <w:rsid w:val="00ED6855"/>
    <w:pPr>
      <w:keepNext/>
      <w:spacing w:before="240"/>
    </w:pPr>
    <w:rPr>
      <w:rFonts w:asciiTheme="majorHAnsi" w:hAnsiTheme="majorHAnsi"/>
      <w:sz w:val="28"/>
    </w:rPr>
  </w:style>
  <w:style w:type="character" w:customStyle="1" w:styleId="SubtitleChar">
    <w:name w:val="Subtitle Char"/>
    <w:basedOn w:val="DefaultParagraphFont"/>
    <w:link w:val="Subtitle"/>
    <w:uiPriority w:val="11"/>
    <w:rsid w:val="00ED6855"/>
    <w:rPr>
      <w:rFonts w:asciiTheme="majorHAnsi" w:hAnsiTheme="majorHAnsi"/>
      <w:sz w:val="28"/>
      <w14:ligatures w14:val="standardContextual"/>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customStyle="1" w:styleId="CDIFigure-Title">
    <w:name w:val="CDI Figure - Title"/>
    <w:basedOn w:val="CDITable-Title"/>
    <w:rsid w:val="00425757"/>
  </w:style>
  <w:style w:type="paragraph" w:styleId="Header">
    <w:name w:val="header"/>
    <w:basedOn w:val="Normal"/>
    <w:link w:val="HeaderChar"/>
    <w:uiPriority w:val="99"/>
    <w:unhideWhenUsed/>
    <w:rsid w:val="00690957"/>
    <w:pPr>
      <w:spacing w:before="0" w:line="240" w:lineRule="auto"/>
    </w:pPr>
  </w:style>
  <w:style w:type="paragraph" w:styleId="FootnoteText">
    <w:name w:val="footnote text"/>
    <w:basedOn w:val="Normal"/>
    <w:link w:val="FootnoteTextChar"/>
    <w:unhideWhenUsed/>
    <w:rsid w:val="00800288"/>
    <w:pPr>
      <w:spacing w:before="60"/>
      <w:ind w:left="397" w:hanging="397"/>
    </w:pPr>
    <w:rPr>
      <w:sz w:val="18"/>
      <w:szCs w:val="20"/>
    </w:rPr>
  </w:style>
  <w:style w:type="character" w:customStyle="1" w:styleId="FootnoteTextChar">
    <w:name w:val="Footnote Text Char"/>
    <w:basedOn w:val="DefaultParagraphFont"/>
    <w:link w:val="FootnoteText"/>
    <w:rsid w:val="00800288"/>
    <w:rPr>
      <w:sz w:val="18"/>
      <w:szCs w:val="20"/>
      <w14:ligatures w14:val="standardContextual"/>
    </w:rPr>
  </w:style>
  <w:style w:type="character" w:styleId="FootnoteReference">
    <w:name w:val="footnote reference"/>
    <w:basedOn w:val="DefaultParagraphFont"/>
    <w:unhideWhenUsed/>
    <w:rsid w:val="00224EFF"/>
    <w:rPr>
      <w:vertAlign w:val="superscript"/>
    </w:rPr>
  </w:style>
  <w:style w:type="paragraph" w:customStyle="1" w:styleId="Heading2-nospacebefore">
    <w:name w:val="Heading 2 - no space before"/>
    <w:basedOn w:val="Heading2"/>
    <w:link w:val="Heading2-nospacebeforeChar"/>
    <w:rsid w:val="004C62AA"/>
    <w:pPr>
      <w:spacing w:before="0"/>
    </w:pPr>
    <w:rPr>
      <w:lang w:val="en-GB"/>
    </w:rPr>
  </w:style>
  <w:style w:type="paragraph" w:customStyle="1" w:styleId="CDITable-Title">
    <w:name w:val="CDI Table - Title"/>
    <w:basedOn w:val="Normal"/>
    <w:next w:val="Normal"/>
    <w:uiPriority w:val="99"/>
    <w:rsid w:val="002571C9"/>
    <w:pPr>
      <w:keepNext/>
      <w:suppressAutoHyphens/>
      <w:autoSpaceDE w:val="0"/>
      <w:autoSpaceDN w:val="0"/>
      <w:adjustRightInd w:val="0"/>
      <w:spacing w:before="360" w:after="180"/>
      <w:textAlignment w:val="center"/>
    </w:pPr>
    <w:rPr>
      <w:rFonts w:cs="Minion3-Bold"/>
      <w:b/>
      <w:bCs/>
      <w:szCs w:val="23"/>
    </w:rPr>
  </w:style>
  <w:style w:type="paragraph" w:customStyle="1" w:styleId="CDITable-Footnote">
    <w:name w:val="CDI Table - Footnote"/>
    <w:basedOn w:val="Normal"/>
    <w:link w:val="CDITable-FootnoteChar"/>
    <w:uiPriority w:val="99"/>
    <w:rsid w:val="0052708C"/>
    <w:pPr>
      <w:autoSpaceDE w:val="0"/>
      <w:autoSpaceDN w:val="0"/>
      <w:adjustRightInd w:val="0"/>
      <w:spacing w:before="60"/>
      <w:ind w:left="284" w:hanging="284"/>
      <w:textAlignment w:val="center"/>
    </w:pPr>
    <w:rPr>
      <w:rFonts w:cs="Minion3Caption-Regular"/>
      <w:sz w:val="17"/>
      <w:szCs w:val="16"/>
    </w:rPr>
  </w:style>
  <w:style w:type="paragraph" w:customStyle="1" w:styleId="CDIAbouttext">
    <w:name w:val="CDI About text"/>
    <w:basedOn w:val="CDIBoxText"/>
    <w:rsid w:val="00423436"/>
    <w:rPr>
      <w:sz w:val="18"/>
      <w:szCs w:val="20"/>
    </w:rPr>
  </w:style>
  <w:style w:type="paragraph" w:styleId="TOCHeading">
    <w:name w:val="TOC Heading"/>
    <w:basedOn w:val="Heading1"/>
    <w:next w:val="Normal"/>
    <w:uiPriority w:val="39"/>
    <w:unhideWhenUsed/>
    <w:rsid w:val="00913840"/>
    <w:pPr>
      <w:autoSpaceDE/>
      <w:autoSpaceDN/>
      <w:adjustRightInd/>
      <w:textAlignment w:val="auto"/>
      <w:outlineLvl w:val="9"/>
    </w:pPr>
    <w:rPr>
      <w:rFonts w:eastAsiaTheme="majorEastAsia" w:cstheme="majorBidi"/>
      <w:bCs/>
      <w:kern w:val="28"/>
      <w:szCs w:val="28"/>
      <w:lang w:val="en-US" w:eastAsia="en-US"/>
    </w:rPr>
  </w:style>
  <w:style w:type="paragraph" w:customStyle="1" w:styleId="Heading3-nospacebefore">
    <w:name w:val="Heading 3 - no space before"/>
    <w:basedOn w:val="Heading3"/>
    <w:next w:val="Normal"/>
    <w:link w:val="Heading3-nospacebeforeChar"/>
    <w:rsid w:val="00BA2598"/>
    <w:pPr>
      <w:spacing w:before="0"/>
    </w:pPr>
    <w:rPr>
      <w:lang w:val="en-GB"/>
    </w:rPr>
  </w:style>
  <w:style w:type="character" w:customStyle="1" w:styleId="CDITable-FootnoteChar">
    <w:name w:val="CDI Table - Footnote Char"/>
    <w:basedOn w:val="DefaultParagraphFont"/>
    <w:link w:val="CDITable-Footnote"/>
    <w:uiPriority w:val="99"/>
    <w:rsid w:val="0052708C"/>
    <w:rPr>
      <w:rFonts w:cs="Minion3Caption-Regular"/>
      <w:sz w:val="17"/>
      <w:szCs w:val="16"/>
      <w14:ligatures w14:val="standardContextual"/>
    </w:rPr>
  </w:style>
  <w:style w:type="paragraph" w:customStyle="1" w:styleId="CDIBullets">
    <w:name w:val="CDI Bullets"/>
    <w:basedOn w:val="Normal"/>
    <w:uiPriority w:val="99"/>
    <w:rsid w:val="00662078"/>
    <w:pPr>
      <w:numPr>
        <w:numId w:val="2"/>
      </w:numPr>
      <w:suppressAutoHyphens/>
      <w:autoSpaceDE w:val="0"/>
      <w:autoSpaceDN w:val="0"/>
      <w:adjustRightInd w:val="0"/>
      <w:textAlignment w:val="center"/>
    </w:pPr>
    <w:rPr>
      <w:rFonts w:cs="Minion3-Regular"/>
      <w:szCs w:val="23"/>
    </w:rPr>
  </w:style>
  <w:style w:type="paragraph" w:customStyle="1" w:styleId="CDINumberedList1L1">
    <w:name w:val="CDI Numbered List (1.) L1"/>
    <w:basedOn w:val="Normal"/>
    <w:uiPriority w:val="99"/>
    <w:rsid w:val="00C735E0"/>
    <w:pPr>
      <w:keepLines/>
      <w:numPr>
        <w:numId w:val="1"/>
      </w:numPr>
      <w:autoSpaceDE w:val="0"/>
      <w:autoSpaceDN w:val="0"/>
      <w:adjustRightInd w:val="0"/>
      <w:textAlignment w:val="center"/>
    </w:pPr>
    <w:rPr>
      <w:rFonts w:cs="Minion3-Regular"/>
      <w:szCs w:val="23"/>
    </w:rPr>
  </w:style>
  <w:style w:type="paragraph" w:customStyle="1" w:styleId="CDIBoxBullet">
    <w:name w:val="CDI Box Bullet"/>
    <w:basedOn w:val="Normal"/>
    <w:rsid w:val="00955A0C"/>
    <w:pPr>
      <w:numPr>
        <w:numId w:val="5"/>
      </w:numPr>
      <w:pBdr>
        <w:top w:val="single" w:sz="6" w:space="4" w:color="53C9F1" w:themeColor="background2"/>
        <w:left w:val="single" w:sz="6" w:space="4" w:color="53C9F1" w:themeColor="background2"/>
        <w:bottom w:val="single" w:sz="6" w:space="4" w:color="53C9F1" w:themeColor="background2"/>
        <w:right w:val="single" w:sz="6" w:space="4" w:color="53C9F1" w:themeColor="background2"/>
      </w:pBdr>
      <w:spacing w:before="120"/>
    </w:pPr>
    <w:rPr>
      <w:rFonts w:eastAsia="Arial"/>
      <w:szCs w:val="24"/>
      <w:lang w:eastAsia="en-US"/>
    </w:rPr>
  </w:style>
  <w:style w:type="paragraph" w:customStyle="1" w:styleId="CDIBoxHeading">
    <w:name w:val="CDI Box Heading"/>
    <w:basedOn w:val="Normal"/>
    <w:rsid w:val="006C5B50"/>
    <w:pPr>
      <w:keepNext/>
      <w:keepLines/>
      <w:pBdr>
        <w:top w:val="single" w:sz="6" w:space="4" w:color="53C9F1" w:themeColor="background2"/>
        <w:left w:val="single" w:sz="6" w:space="4" w:color="53C9F1" w:themeColor="background2"/>
        <w:bottom w:val="single" w:sz="6" w:space="4" w:color="53C9F1" w:themeColor="background2"/>
        <w:right w:val="single" w:sz="6" w:space="4" w:color="53C9F1" w:themeColor="background2"/>
      </w:pBdr>
      <w:outlineLvl w:val="1"/>
    </w:pPr>
    <w:rPr>
      <w:rFonts w:eastAsia="Times New Roman" w:cs="Times New Roman"/>
      <w:color w:val="1E4496" w:themeColor="text2"/>
      <w:sz w:val="28"/>
      <w:szCs w:val="24"/>
      <w:lang w:eastAsia="en-US"/>
    </w:rPr>
  </w:style>
  <w:style w:type="paragraph" w:customStyle="1" w:styleId="CDIBoxText">
    <w:name w:val="CDI Box Text"/>
    <w:basedOn w:val="Normal"/>
    <w:rsid w:val="003E4B09"/>
    <w:pPr>
      <w:pBdr>
        <w:top w:val="single" w:sz="6" w:space="4" w:color="53C9F1" w:themeColor="background2"/>
        <w:left w:val="single" w:sz="6" w:space="4" w:color="53C9F1" w:themeColor="background2"/>
        <w:bottom w:val="single" w:sz="6" w:space="4" w:color="53C9F1" w:themeColor="background2"/>
        <w:right w:val="single" w:sz="6" w:space="4" w:color="53C9F1" w:themeColor="background2"/>
      </w:pBdr>
    </w:pPr>
  </w:style>
  <w:style w:type="paragraph" w:customStyle="1" w:styleId="CDIPublicationstring">
    <w:name w:val="CDI Publication string"/>
    <w:basedOn w:val="Normal"/>
    <w:link w:val="CDIPublicationstringChar"/>
    <w:rsid w:val="006A6B07"/>
    <w:pPr>
      <w:spacing w:before="2520"/>
    </w:pPr>
    <w:rPr>
      <w:rFonts w:ascii="Arial" w:hAnsi="Arial"/>
      <w:sz w:val="20"/>
    </w:rPr>
  </w:style>
  <w:style w:type="paragraph" w:customStyle="1" w:styleId="CDIFigure-Placeholder">
    <w:name w:val="CDI Figure - Placeholder"/>
    <w:basedOn w:val="Normal"/>
    <w:rsid w:val="00BB589B"/>
    <w:pPr>
      <w:spacing w:before="240" w:after="240"/>
      <w:jc w:val="center"/>
    </w:pPr>
  </w:style>
  <w:style w:type="paragraph" w:customStyle="1" w:styleId="CDITable-FirstFootnote">
    <w:name w:val="CDI Table - First Footnote"/>
    <w:basedOn w:val="CDITable-Footnote"/>
    <w:rsid w:val="0052708C"/>
    <w:pPr>
      <w:spacing w:before="180"/>
    </w:pPr>
  </w:style>
  <w:style w:type="paragraph" w:customStyle="1" w:styleId="CDIAbout">
    <w:name w:val="CDI About"/>
    <w:basedOn w:val="CDIBoxHeading"/>
    <w:rsid w:val="00423436"/>
    <w:pPr>
      <w:spacing w:before="360"/>
      <w:outlineLvl w:val="9"/>
    </w:pPr>
    <w:rPr>
      <w:sz w:val="24"/>
    </w:rPr>
  </w:style>
  <w:style w:type="character" w:customStyle="1" w:styleId="CDICopyrighttextbullet">
    <w:name w:val="CDI Copyright text bullet"/>
    <w:basedOn w:val="DefaultParagraphFont"/>
    <w:uiPriority w:val="1"/>
    <w:rsid w:val="00734159"/>
    <w:rPr>
      <w:rFonts w:cs="Arial"/>
      <w:color w:val="1E4496" w:themeColor="text2"/>
    </w:rPr>
  </w:style>
  <w:style w:type="paragraph" w:customStyle="1" w:styleId="CDICopyrightHeading">
    <w:name w:val="CDI Copyright Heading"/>
    <w:basedOn w:val="CDICopyright"/>
    <w:rsid w:val="00CC3648"/>
    <w:pPr>
      <w:spacing w:before="180"/>
    </w:pPr>
    <w:rPr>
      <w:b/>
      <w:bCs/>
    </w:rPr>
  </w:style>
  <w:style w:type="character" w:styleId="Hyperlink">
    <w:name w:val="Hyperlink"/>
    <w:basedOn w:val="DefaultParagraphFont"/>
    <w:uiPriority w:val="99"/>
    <w:unhideWhenUsed/>
    <w:rsid w:val="00423436"/>
    <w:rPr>
      <w:color w:val="1E4496" w:themeColor="text2"/>
      <w:u w:val="single"/>
    </w:rPr>
  </w:style>
  <w:style w:type="character" w:customStyle="1" w:styleId="HeaderChar">
    <w:name w:val="Header Char"/>
    <w:basedOn w:val="DefaultParagraphFont"/>
    <w:link w:val="Header"/>
    <w:uiPriority w:val="99"/>
    <w:rsid w:val="00690957"/>
    <w:rPr>
      <w:rFonts w:ascii="Calibri" w:hAnsi="Calibri"/>
      <w14:ligatures w14:val="standardContextual"/>
    </w:rPr>
  </w:style>
  <w:style w:type="paragraph" w:customStyle="1" w:styleId="Normal-morespacebefore">
    <w:name w:val="Normal - more space before"/>
    <w:basedOn w:val="Normal"/>
    <w:rsid w:val="00662078"/>
    <w:pPr>
      <w:spacing w:before="360"/>
    </w:pPr>
  </w:style>
  <w:style w:type="paragraph" w:customStyle="1" w:styleId="CDITable-HeaderRowLeft">
    <w:name w:val="CDI Table - Header Row Left"/>
    <w:basedOn w:val="CDITable-Title"/>
    <w:rsid w:val="00987E68"/>
    <w:pPr>
      <w:spacing w:beforeAutospacing="1" w:afterAutospacing="1" w:line="240" w:lineRule="auto"/>
    </w:pPr>
    <w:rPr>
      <w:color w:val="FFFFFF" w:themeColor="background1"/>
      <w:sz w:val="18"/>
    </w:rPr>
  </w:style>
  <w:style w:type="paragraph" w:customStyle="1" w:styleId="CDITable-RowLeft">
    <w:name w:val="CDI Table - Row Left"/>
    <w:basedOn w:val="Normal"/>
    <w:rsid w:val="002571C9"/>
    <w:pPr>
      <w:spacing w:before="100" w:beforeAutospacing="1" w:after="100" w:afterAutospacing="1" w:line="240" w:lineRule="auto"/>
    </w:pPr>
    <w:rPr>
      <w:sz w:val="18"/>
    </w:rPr>
  </w:style>
  <w:style w:type="paragraph" w:customStyle="1" w:styleId="CDITable-TotalRowLeft">
    <w:name w:val="CDI Table - Total Row Left"/>
    <w:basedOn w:val="Normal"/>
    <w:rsid w:val="00AC46DC"/>
    <w:pPr>
      <w:spacing w:before="100" w:beforeAutospacing="1" w:after="100" w:afterAutospacing="1" w:line="240" w:lineRule="auto"/>
    </w:pPr>
    <w:rPr>
      <w:b/>
      <w:sz w:val="18"/>
    </w:rPr>
  </w:style>
  <w:style w:type="paragraph" w:customStyle="1" w:styleId="CDITable-TotalRowCentre">
    <w:name w:val="CDI Table - Total Row Centre"/>
    <w:basedOn w:val="CDITable-TotalRowLeft"/>
    <w:rsid w:val="00734159"/>
    <w:pPr>
      <w:jc w:val="center"/>
    </w:pPr>
  </w:style>
  <w:style w:type="paragraph" w:customStyle="1" w:styleId="CDITable-RowCentre">
    <w:name w:val="CDI Table - Row Centre"/>
    <w:basedOn w:val="CDITable-RowLeft"/>
    <w:rsid w:val="002571C9"/>
    <w:pPr>
      <w:jc w:val="center"/>
    </w:pPr>
  </w:style>
  <w:style w:type="paragraph" w:customStyle="1" w:styleId="CDITable-HeaderRowCentre">
    <w:name w:val="CDI Table - Header Row Centre"/>
    <w:basedOn w:val="Normal"/>
    <w:rsid w:val="00987E68"/>
    <w:pPr>
      <w:spacing w:beforeAutospacing="1" w:afterAutospacing="1" w:line="240" w:lineRule="auto"/>
      <w:jc w:val="center"/>
    </w:pPr>
    <w:rPr>
      <w:b/>
      <w:color w:val="FFFFFF" w:themeColor="background1"/>
      <w:sz w:val="18"/>
      <w:lang w:val="en-GB"/>
    </w:rPr>
  </w:style>
  <w:style w:type="paragraph" w:customStyle="1" w:styleId="Normal-lessspace">
    <w:name w:val="Normal - less space"/>
    <w:basedOn w:val="Normal"/>
    <w:rsid w:val="00F8130F"/>
    <w:pPr>
      <w:spacing w:before="120"/>
    </w:pPr>
    <w:rPr>
      <w:lang w:val="en-GB"/>
    </w:rPr>
  </w:style>
  <w:style w:type="paragraph" w:customStyle="1" w:styleId="Normal-nospace">
    <w:name w:val="Normal - no space"/>
    <w:basedOn w:val="Normal"/>
    <w:rsid w:val="00962C2F"/>
    <w:pPr>
      <w:spacing w:before="0"/>
    </w:pPr>
    <w:rPr>
      <w:noProof/>
    </w:rPr>
  </w:style>
  <w:style w:type="paragraph" w:customStyle="1" w:styleId="CDIShadedBoxText">
    <w:name w:val="CDI Shaded Box Text"/>
    <w:basedOn w:val="CDIBoxText"/>
    <w:rsid w:val="00CD4362"/>
    <w:pPr>
      <w:pBdr>
        <w:top w:val="single" w:sz="6" w:space="4" w:color="DCF4FC" w:themeColor="background2" w:themeTint="33"/>
        <w:left w:val="single" w:sz="6" w:space="4" w:color="DCF4FC" w:themeColor="background2" w:themeTint="33"/>
        <w:bottom w:val="single" w:sz="6" w:space="4" w:color="DCF4FC" w:themeColor="background2" w:themeTint="33"/>
        <w:right w:val="single" w:sz="6" w:space="4" w:color="DCF4FC" w:themeColor="background2" w:themeTint="33"/>
      </w:pBdr>
      <w:shd w:val="clear" w:color="auto" w:fill="DCF4FC" w:themeFill="background2" w:themeFillTint="33"/>
    </w:pPr>
  </w:style>
  <w:style w:type="paragraph" w:customStyle="1" w:styleId="CDIShadedBoxHeading">
    <w:name w:val="CDI Shaded Box Heading"/>
    <w:basedOn w:val="CDIBoxHeading"/>
    <w:rsid w:val="00CD4362"/>
    <w:pPr>
      <w:pBdr>
        <w:top w:val="single" w:sz="6" w:space="4" w:color="DCF4FC" w:themeColor="background2" w:themeTint="33"/>
        <w:left w:val="single" w:sz="6" w:space="4" w:color="DCF4FC" w:themeColor="background2" w:themeTint="33"/>
        <w:bottom w:val="single" w:sz="6" w:space="4" w:color="DCF4FC" w:themeColor="background2" w:themeTint="33"/>
        <w:right w:val="single" w:sz="6" w:space="4" w:color="DCF4FC" w:themeColor="background2" w:themeTint="33"/>
      </w:pBdr>
      <w:shd w:val="clear" w:color="auto" w:fill="DCF4FC" w:themeFill="background2" w:themeFillTint="33"/>
    </w:pPr>
  </w:style>
  <w:style w:type="paragraph" w:customStyle="1" w:styleId="CDINumberedList1-L1lessspace">
    <w:name w:val="CDI Numbered List (1.) - L1 less space"/>
    <w:basedOn w:val="CDINumberedList1L1"/>
    <w:rsid w:val="00343991"/>
    <w:pPr>
      <w:spacing w:before="120"/>
    </w:pPr>
  </w:style>
  <w:style w:type="paragraph" w:customStyle="1" w:styleId="CDITable-RowBullets">
    <w:name w:val="CDI Table - Row Bullets"/>
    <w:basedOn w:val="CDITable-RowLeft"/>
    <w:rsid w:val="0010033C"/>
    <w:pPr>
      <w:numPr>
        <w:numId w:val="3"/>
      </w:numPr>
      <w:spacing w:before="0" w:beforeAutospacing="0" w:after="0" w:afterAutospacing="0"/>
      <w:ind w:left="284" w:hanging="284"/>
    </w:pPr>
  </w:style>
  <w:style w:type="paragraph" w:customStyle="1" w:styleId="CDIShadedBoxBullets">
    <w:name w:val="CDI Shaded Box Bullets"/>
    <w:basedOn w:val="CDIBoxBullet"/>
    <w:rsid w:val="00CD4362"/>
    <w:pPr>
      <w:pBdr>
        <w:top w:val="single" w:sz="6" w:space="4" w:color="DCF4FC" w:themeColor="background2" w:themeTint="33"/>
        <w:left w:val="single" w:sz="6" w:space="4" w:color="DCF4FC" w:themeColor="background2" w:themeTint="33"/>
        <w:bottom w:val="single" w:sz="6" w:space="4" w:color="DCF4FC" w:themeColor="background2" w:themeTint="33"/>
        <w:right w:val="single" w:sz="6" w:space="4" w:color="DCF4FC" w:themeColor="background2" w:themeTint="33"/>
      </w:pBdr>
      <w:shd w:val="clear" w:color="auto" w:fill="DCF4FC" w:themeFill="background2" w:themeFillTint="33"/>
    </w:pPr>
  </w:style>
  <w:style w:type="paragraph" w:styleId="Revision">
    <w:name w:val="Revision"/>
    <w:hidden/>
    <w:uiPriority w:val="99"/>
    <w:semiHidden/>
    <w:rsid w:val="006221DD"/>
    <w:pPr>
      <w:spacing w:after="0" w:line="240" w:lineRule="auto"/>
    </w:pPr>
    <w:rPr>
      <w:rFonts w:ascii="Calibri" w:hAnsi="Calibri"/>
      <w14:ligatures w14:val="standardContextual"/>
    </w:rPr>
  </w:style>
  <w:style w:type="paragraph" w:customStyle="1" w:styleId="CDICopyright">
    <w:name w:val="CDI Copyright"/>
    <w:basedOn w:val="Normal"/>
    <w:rsid w:val="00CC3648"/>
    <w:pPr>
      <w:spacing w:before="120"/>
    </w:pPr>
    <w:rPr>
      <w:sz w:val="18"/>
    </w:rPr>
  </w:style>
  <w:style w:type="paragraph" w:customStyle="1" w:styleId="Heading1-nospacebefore">
    <w:name w:val="Heading 1 - no space before"/>
    <w:basedOn w:val="Heading1"/>
    <w:next w:val="Normal"/>
    <w:link w:val="Heading1-nospacebeforeChar"/>
    <w:rsid w:val="00122ADA"/>
    <w:pPr>
      <w:spacing w:before="0"/>
    </w:pPr>
  </w:style>
  <w:style w:type="paragraph" w:customStyle="1" w:styleId="Heading1-lessspacebefore">
    <w:name w:val="Heading 1 - less space before"/>
    <w:basedOn w:val="Heading1"/>
    <w:link w:val="Heading1-lessspacebeforeChar"/>
    <w:rsid w:val="00B87887"/>
    <w:pPr>
      <w:spacing w:before="180"/>
    </w:pPr>
    <w:rPr>
      <w:lang w:val="en-GB"/>
    </w:rPr>
  </w:style>
  <w:style w:type="character" w:customStyle="1" w:styleId="Heading1-lessspacebeforeChar">
    <w:name w:val="Heading 1 - less space before Char"/>
    <w:basedOn w:val="Heading1Char"/>
    <w:link w:val="Heading1-lessspacebefore"/>
    <w:rsid w:val="00B87887"/>
    <w:rPr>
      <w:rFonts w:asciiTheme="majorHAnsi" w:hAnsiTheme="majorHAnsi" w:cs="Manrope ExtraLight"/>
      <w:b/>
      <w:color w:val="1E4496" w:themeColor="text2"/>
      <w:sz w:val="48"/>
      <w:szCs w:val="32"/>
      <w:lang w:val="en-GB"/>
      <w14:ligatures w14:val="standardContextual"/>
    </w:rPr>
  </w:style>
  <w:style w:type="character" w:customStyle="1" w:styleId="Heading1-nospacebeforeChar">
    <w:name w:val="Heading 1 - no space before Char"/>
    <w:basedOn w:val="Heading1Char"/>
    <w:link w:val="Heading1-nospacebefore"/>
    <w:rsid w:val="00BA2598"/>
    <w:rPr>
      <w:rFonts w:ascii="Arial" w:hAnsi="Arial" w:cs="Manrope ExtraLight"/>
      <w:b/>
      <w:color w:val="1E4496" w:themeColor="text2"/>
      <w:kern w:val="2"/>
      <w:sz w:val="48"/>
      <w:szCs w:val="32"/>
      <w14:ligatures w14:val="standardContextual"/>
    </w:rPr>
  </w:style>
  <w:style w:type="character" w:customStyle="1" w:styleId="Heading2-nospacebeforeChar">
    <w:name w:val="Heading 2 - no space before Char"/>
    <w:basedOn w:val="Heading2Char"/>
    <w:link w:val="Heading2-nospacebefore"/>
    <w:rsid w:val="00BA2598"/>
    <w:rPr>
      <w:rFonts w:ascii="Arial" w:hAnsi="Arial" w:cs="MyriadPro-Bold"/>
      <w:b/>
      <w:bCs/>
      <w:color w:val="1E4496" w:themeColor="text2"/>
      <w:sz w:val="38"/>
      <w:szCs w:val="28"/>
      <w:lang w:val="en-GB"/>
      <w14:ligatures w14:val="standardContextual"/>
    </w:rPr>
  </w:style>
  <w:style w:type="paragraph" w:customStyle="1" w:styleId="Heading2-lessspacebefore">
    <w:name w:val="Heading 2 - less space before"/>
    <w:basedOn w:val="Heading2"/>
    <w:next w:val="Normal"/>
    <w:link w:val="Heading2-lessspacebeforeChar"/>
    <w:rsid w:val="00B87887"/>
    <w:pPr>
      <w:spacing w:before="180"/>
    </w:pPr>
  </w:style>
  <w:style w:type="character" w:customStyle="1" w:styleId="Heading2-lessspacebeforeChar">
    <w:name w:val="Heading 2 - less space before Char"/>
    <w:basedOn w:val="Heading2Char"/>
    <w:link w:val="Heading2-lessspacebefore"/>
    <w:rsid w:val="00B87887"/>
    <w:rPr>
      <w:rFonts w:asciiTheme="majorHAnsi" w:hAnsiTheme="majorHAnsi" w:cs="MyriadPro-Bold"/>
      <w:b/>
      <w:bCs/>
      <w:color w:val="1E4496" w:themeColor="text2"/>
      <w:sz w:val="38"/>
      <w:szCs w:val="28"/>
      <w14:ligatures w14:val="standardContextual"/>
    </w:rPr>
  </w:style>
  <w:style w:type="character" w:customStyle="1" w:styleId="Heading3-nospacebeforeChar">
    <w:name w:val="Heading 3 - no space before Char"/>
    <w:basedOn w:val="Heading3Char"/>
    <w:link w:val="Heading3-nospacebefore"/>
    <w:rsid w:val="00BA2598"/>
    <w:rPr>
      <w:rFonts w:ascii="Arial" w:hAnsi="Arial" w:cs="MyriadPro-Regular"/>
      <w:bCs/>
      <w:color w:val="1E4496" w:themeColor="text2"/>
      <w:sz w:val="32"/>
      <w:szCs w:val="26"/>
      <w:lang w:val="en-GB"/>
      <w14:ligatures w14:val="standardContextual"/>
    </w:rPr>
  </w:style>
  <w:style w:type="paragraph" w:customStyle="1" w:styleId="Heading3-lessspacebefore">
    <w:name w:val="Heading 3 - less space before"/>
    <w:basedOn w:val="Heading3"/>
    <w:next w:val="Normal"/>
    <w:link w:val="Heading3-lessspacebeforeChar"/>
    <w:rsid w:val="00B87887"/>
    <w:pPr>
      <w:spacing w:before="180"/>
    </w:pPr>
  </w:style>
  <w:style w:type="character" w:customStyle="1" w:styleId="Heading3-lessspacebeforeChar">
    <w:name w:val="Heading 3 - less space before Char"/>
    <w:basedOn w:val="Heading3Char"/>
    <w:link w:val="Heading3-lessspacebefore"/>
    <w:rsid w:val="00B87887"/>
    <w:rPr>
      <w:rFonts w:asciiTheme="majorHAnsi" w:hAnsiTheme="majorHAnsi" w:cs="MyriadPro-Regular"/>
      <w:bCs/>
      <w:color w:val="1E4496" w:themeColor="text2"/>
      <w:sz w:val="32"/>
      <w:szCs w:val="26"/>
      <w14:ligatures w14:val="standardContextual"/>
    </w:rPr>
  </w:style>
  <w:style w:type="paragraph" w:customStyle="1" w:styleId="CDICorrespondingauthor">
    <w:name w:val="CDI Corresponding author"/>
    <w:basedOn w:val="Heading4"/>
    <w:next w:val="Normal"/>
    <w:link w:val="CDICorrespondingauthorChar"/>
    <w:rsid w:val="003E4B09"/>
    <w:pPr>
      <w:outlineLvl w:val="1"/>
    </w:pPr>
  </w:style>
  <w:style w:type="character" w:customStyle="1" w:styleId="CDICorrespondingauthorChar">
    <w:name w:val="CDI Corresponding author Char"/>
    <w:basedOn w:val="Heading4Char"/>
    <w:link w:val="CDICorrespondingauthor"/>
    <w:rsid w:val="003E4B09"/>
    <w:rPr>
      <w:rFonts w:asciiTheme="majorHAnsi" w:eastAsiaTheme="majorEastAsia" w:hAnsiTheme="majorHAnsi" w:cstheme="majorBidi"/>
      <w:bCs/>
      <w:iCs/>
      <w:color w:val="1E4496" w:themeColor="text2"/>
      <w:sz w:val="28"/>
      <w:lang w:val="en-GB"/>
      <w14:ligatures w14:val="standardContextual"/>
    </w:rPr>
  </w:style>
  <w:style w:type="character" w:customStyle="1" w:styleId="CDIFooterChar">
    <w:name w:val="CDI Footer Char"/>
    <w:basedOn w:val="DefaultParagraphFont"/>
    <w:link w:val="CDIFooter"/>
    <w:rsid w:val="00E94D1B"/>
    <w:rPr>
      <w:sz w:val="18"/>
      <w:szCs w:val="18"/>
      <w14:ligatures w14:val="standardContextual"/>
    </w:rPr>
  </w:style>
  <w:style w:type="paragraph" w:customStyle="1" w:styleId="CDIDOIInformation-nospace">
    <w:name w:val="CDI DOI Information - no space"/>
    <w:basedOn w:val="CDIPublicationstring"/>
    <w:rsid w:val="003C02BF"/>
    <w:pPr>
      <w:spacing w:before="0"/>
    </w:pPr>
  </w:style>
  <w:style w:type="character" w:customStyle="1" w:styleId="CDIPublicationstringChar">
    <w:name w:val="CDI Publication string Char"/>
    <w:basedOn w:val="DefaultParagraphFont"/>
    <w:link w:val="CDIPublicationstring"/>
    <w:rsid w:val="006A6B07"/>
    <w:rPr>
      <w:rFonts w:ascii="Arial" w:hAnsi="Arial"/>
      <w:sz w:val="20"/>
      <w14:ligatures w14:val="standardContextual"/>
    </w:rPr>
  </w:style>
  <w:style w:type="paragraph" w:customStyle="1" w:styleId="CDIName">
    <w:name w:val="CDI Name"/>
    <w:basedOn w:val="CDIPublicationstring"/>
    <w:link w:val="CDINameChar"/>
    <w:rsid w:val="00867976"/>
    <w:rPr>
      <w:rFonts w:cs="Arial"/>
      <w:bCs/>
      <w:spacing w:val="-5"/>
      <w:szCs w:val="21"/>
    </w:rPr>
  </w:style>
  <w:style w:type="character" w:customStyle="1" w:styleId="CDINameChar">
    <w:name w:val="CDI Name Char"/>
    <w:basedOn w:val="CDIPublicationstringChar"/>
    <w:link w:val="CDIName"/>
    <w:rsid w:val="00867976"/>
    <w:rPr>
      <w:rFonts w:ascii="Arial" w:hAnsi="Arial" w:cs="Arial"/>
      <w:bCs/>
      <w:spacing w:val="-5"/>
      <w:sz w:val="21"/>
      <w:szCs w:val="21"/>
      <w14:ligatures w14:val="standardContextual"/>
    </w:rPr>
  </w:style>
  <w:style w:type="paragraph" w:customStyle="1" w:styleId="CDIAbouttextLess">
    <w:name w:val="CDI About text Less"/>
    <w:basedOn w:val="CDIAbouttext"/>
    <w:rsid w:val="00B87589"/>
    <w:pPr>
      <w:spacing w:before="60"/>
    </w:pPr>
  </w:style>
  <w:style w:type="paragraph" w:customStyle="1" w:styleId="CDICopyright-lessspace">
    <w:name w:val="CDI Copyright - less space"/>
    <w:basedOn w:val="CDICopyright"/>
    <w:rsid w:val="00D8087F"/>
    <w:pPr>
      <w:numPr>
        <w:numId w:val="6"/>
      </w:numPr>
      <w:spacing w:before="60"/>
    </w:pPr>
  </w:style>
  <w:style w:type="paragraph" w:styleId="TOC1">
    <w:name w:val="toc 1"/>
    <w:basedOn w:val="Normal"/>
    <w:next w:val="Normal"/>
    <w:autoRedefine/>
    <w:uiPriority w:val="39"/>
    <w:unhideWhenUsed/>
    <w:rsid w:val="003E4B09"/>
    <w:pPr>
      <w:tabs>
        <w:tab w:val="right" w:leader="dot" w:pos="9629"/>
      </w:tabs>
    </w:pPr>
    <w:rPr>
      <w:rFonts w:eastAsiaTheme="minorHAnsi" w:cstheme="minorHAnsi"/>
      <w:b/>
      <w:bCs/>
      <w:iCs/>
      <w:szCs w:val="24"/>
      <w:lang w:eastAsia="en-US"/>
    </w:rPr>
  </w:style>
  <w:style w:type="paragraph" w:styleId="TOC2">
    <w:name w:val="toc 2"/>
    <w:basedOn w:val="Normal"/>
    <w:next w:val="Normal"/>
    <w:autoRedefine/>
    <w:uiPriority w:val="39"/>
    <w:unhideWhenUsed/>
    <w:rsid w:val="00897881"/>
    <w:pPr>
      <w:spacing w:before="120"/>
      <w:ind w:left="284"/>
    </w:pPr>
    <w:rPr>
      <w:rFonts w:eastAsiaTheme="minorHAnsi" w:cstheme="minorHAnsi"/>
      <w:bCs/>
      <w:lang w:eastAsia="en-US"/>
    </w:rPr>
  </w:style>
  <w:style w:type="character" w:styleId="UnresolvedMention">
    <w:name w:val="Unresolved Mention"/>
    <w:basedOn w:val="DefaultParagraphFont"/>
    <w:uiPriority w:val="99"/>
    <w:semiHidden/>
    <w:unhideWhenUsed/>
    <w:rsid w:val="00B87887"/>
    <w:rPr>
      <w:color w:val="605E5C"/>
      <w:shd w:val="clear" w:color="auto" w:fill="E1DFDD"/>
    </w:rPr>
  </w:style>
  <w:style w:type="paragraph" w:customStyle="1" w:styleId="Heading1-noline">
    <w:name w:val="Heading 1 - no line"/>
    <w:basedOn w:val="Heading1"/>
    <w:next w:val="Normal"/>
    <w:rsid w:val="0098426C"/>
    <w:pPr>
      <w:pageBreakBefore w:val="0"/>
      <w:pBdr>
        <w:bottom w:val="none" w:sz="0" w:space="0" w:color="auto"/>
      </w:pBdr>
    </w:pPr>
    <w:rPr>
      <w:lang w:val="en-GB"/>
    </w:rPr>
  </w:style>
  <w:style w:type="paragraph" w:customStyle="1" w:styleId="CDICopyrightBullets">
    <w:name w:val="CDI Copyright Bullets"/>
    <w:basedOn w:val="CDICopyright"/>
    <w:rsid w:val="00BB3320"/>
    <w:pPr>
      <w:numPr>
        <w:numId w:val="8"/>
      </w:numPr>
    </w:pPr>
  </w:style>
  <w:style w:type="paragraph" w:customStyle="1" w:styleId="Heading2-newpage">
    <w:name w:val="Heading 2 - new page"/>
    <w:basedOn w:val="Heading2"/>
    <w:next w:val="Normal"/>
    <w:rsid w:val="003A25A3"/>
    <w:pPr>
      <w:pageBreakBefore/>
    </w:pPr>
  </w:style>
  <w:style w:type="numbering" w:customStyle="1" w:styleId="CDInavybullet">
    <w:name w:val="CDI navy bullet"/>
    <w:basedOn w:val="NoList"/>
    <w:rsid w:val="00E62A74"/>
    <w:pPr>
      <w:numPr>
        <w:numId w:val="7"/>
      </w:numPr>
    </w:pPr>
  </w:style>
  <w:style w:type="paragraph" w:styleId="TableofFigures">
    <w:name w:val="table of figures"/>
    <w:basedOn w:val="Normal"/>
    <w:next w:val="Normal"/>
    <w:uiPriority w:val="99"/>
    <w:unhideWhenUsed/>
    <w:rsid w:val="00FD7AA0"/>
  </w:style>
  <w:style w:type="paragraph" w:styleId="BodyText">
    <w:name w:val="Body Text"/>
    <w:basedOn w:val="Normal"/>
    <w:link w:val="BodyTextChar"/>
    <w:uiPriority w:val="99"/>
    <w:semiHidden/>
    <w:unhideWhenUsed/>
    <w:rsid w:val="000F44BA"/>
    <w:pPr>
      <w:spacing w:after="120"/>
    </w:pPr>
  </w:style>
  <w:style w:type="character" w:customStyle="1" w:styleId="BodyTextChar">
    <w:name w:val="Body Text Char"/>
    <w:basedOn w:val="DefaultParagraphFont"/>
    <w:link w:val="BodyText"/>
    <w:uiPriority w:val="99"/>
    <w:semiHidden/>
    <w:rsid w:val="000F44BA"/>
    <w:rPr>
      <w14:ligatures w14:val="standardContextual"/>
    </w:rPr>
  </w:style>
  <w:style w:type="character" w:styleId="CommentReference">
    <w:name w:val="annotation reference"/>
    <w:basedOn w:val="DefaultParagraphFont"/>
    <w:uiPriority w:val="99"/>
    <w:semiHidden/>
    <w:unhideWhenUsed/>
    <w:rsid w:val="007B537E"/>
    <w:rPr>
      <w:sz w:val="16"/>
      <w:szCs w:val="16"/>
    </w:rPr>
  </w:style>
  <w:style w:type="paragraph" w:styleId="CommentSubject">
    <w:name w:val="annotation subject"/>
    <w:basedOn w:val="Normal"/>
    <w:next w:val="Normal"/>
    <w:link w:val="CommentSubjectChar"/>
    <w:uiPriority w:val="99"/>
    <w:semiHidden/>
    <w:unhideWhenUsed/>
    <w:rsid w:val="00E04F46"/>
    <w:pPr>
      <w:spacing w:line="240" w:lineRule="auto"/>
    </w:pPr>
    <w:rPr>
      <w:b/>
      <w:bCs/>
      <w:sz w:val="20"/>
      <w:szCs w:val="20"/>
    </w:rPr>
  </w:style>
  <w:style w:type="character" w:customStyle="1" w:styleId="CommentSubjectChar">
    <w:name w:val="Comment Subject Char"/>
    <w:basedOn w:val="DefaultParagraphFont"/>
    <w:link w:val="CommentSubject"/>
    <w:uiPriority w:val="99"/>
    <w:semiHidden/>
    <w:rsid w:val="00E04F46"/>
    <w:rPr>
      <w:b/>
      <w:bCs/>
      <w:sz w:val="20"/>
      <w:szCs w:val="20"/>
      <w14:ligatures w14:val="standardContextual"/>
    </w:rPr>
  </w:style>
  <w:style w:type="paragraph" w:customStyle="1" w:styleId="CDIFooteritalic">
    <w:name w:val="CDI Footer italic"/>
    <w:basedOn w:val="CDIFooter"/>
    <w:next w:val="CDIFooter"/>
    <w:link w:val="CDIFooteritalicChar"/>
    <w:rsid w:val="00385655"/>
    <w:rPr>
      <w:i/>
    </w:rPr>
  </w:style>
  <w:style w:type="table" w:styleId="TableGrid">
    <w:name w:val="Table Grid"/>
    <w:basedOn w:val="TableNormal"/>
    <w:uiPriority w:val="59"/>
    <w:rsid w:val="00BB33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DIFooteritalicChar">
    <w:name w:val="CDI Footer italic Char"/>
    <w:basedOn w:val="CDIFooterChar"/>
    <w:link w:val="CDIFooteritalic"/>
    <w:rsid w:val="00385655"/>
    <w:rPr>
      <w:i/>
      <w:sz w:val="18"/>
      <w:szCs w:val="18"/>
      <w14:ligatures w14:val="standardContextual"/>
    </w:rPr>
  </w:style>
  <w:style w:type="paragraph" w:customStyle="1" w:styleId="CDIBulletsL2">
    <w:name w:val="CDI Bullets L2"/>
    <w:basedOn w:val="CDIBullets"/>
    <w:rsid w:val="00662078"/>
    <w:pPr>
      <w:numPr>
        <w:numId w:val="9"/>
      </w:numPr>
    </w:pPr>
  </w:style>
  <w:style w:type="paragraph" w:customStyle="1" w:styleId="CDINumberedListL2">
    <w:name w:val="CDI Numbered List L2"/>
    <w:basedOn w:val="Normal"/>
    <w:rsid w:val="005A4E9D"/>
    <w:pPr>
      <w:ind w:left="794" w:hanging="397"/>
    </w:pPr>
  </w:style>
  <w:style w:type="paragraph" w:customStyle="1" w:styleId="CDINumberedListL3">
    <w:name w:val="CDI Numbered List L3"/>
    <w:basedOn w:val="CDINumberedListL2"/>
    <w:rsid w:val="000522C6"/>
    <w:pPr>
      <w:ind w:left="1191"/>
    </w:pPr>
  </w:style>
  <w:style w:type="paragraph" w:customStyle="1" w:styleId="Normal-Opening">
    <w:name w:val="Normal - Opening"/>
    <w:basedOn w:val="Normal"/>
    <w:rsid w:val="003858B4"/>
    <w:pPr>
      <w:spacing w:before="360"/>
    </w:pPr>
  </w:style>
  <w:style w:type="paragraph" w:customStyle="1" w:styleId="Normal-morespaceafter">
    <w:name w:val="Normal - more space after"/>
    <w:basedOn w:val="Normal"/>
    <w:rsid w:val="00662078"/>
    <w:pPr>
      <w:spacing w:after="360"/>
    </w:pPr>
  </w:style>
  <w:style w:type="paragraph" w:customStyle="1" w:styleId="NumberedList1L1">
    <w:name w:val="Numbered List (1.) L1"/>
    <w:basedOn w:val="BodyText"/>
    <w:uiPriority w:val="99"/>
    <w:rsid w:val="007C505C"/>
    <w:pPr>
      <w:keepLines/>
      <w:suppressAutoHyphens/>
      <w:autoSpaceDE w:val="0"/>
      <w:autoSpaceDN w:val="0"/>
      <w:adjustRightInd w:val="0"/>
      <w:spacing w:before="142" w:after="0" w:line="250" w:lineRule="atLeast"/>
      <w:ind w:left="397" w:hanging="397"/>
      <w:textAlignment w:val="center"/>
    </w:pPr>
    <w:rPr>
      <w:rFonts w:ascii="HelveticaNeueLTPro-Roman" w:hAnsi="HelveticaNeueLTPro-Roman" w:cs="HelveticaNeueLTPro-Roman"/>
      <w:color w:val="000000"/>
      <w:sz w:val="20"/>
      <w:szCs w:val="20"/>
      <w:lang w:val="en-GB"/>
      <w14:ligatures w14:val="none"/>
    </w:rPr>
  </w:style>
  <w:style w:type="paragraph" w:customStyle="1" w:styleId="NumberedList1L1-First">
    <w:name w:val="Numbered List (1.) L1 - First"/>
    <w:basedOn w:val="NumberedList1L1"/>
    <w:uiPriority w:val="99"/>
    <w:rsid w:val="007C505C"/>
    <w:pPr>
      <w:spacing w:before="340"/>
    </w:pPr>
  </w:style>
  <w:style w:type="character" w:customStyle="1" w:styleId="Subscript">
    <w:name w:val="Subscript"/>
    <w:basedOn w:val="DefaultParagraphFont"/>
    <w:rsid w:val="00116D90"/>
    <w:rPr>
      <w:position w:val="-3"/>
      <w:vertAlign w:val="sub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dc.gov.au/topics/communicable-diseases/cdi/eab" TargetMode="External"/><Relationship Id="rId18" Type="http://schemas.openxmlformats.org/officeDocument/2006/relationships/header" Target="header1.xml"/><Relationship Id="rId26" Type="http://schemas.openxmlformats.org/officeDocument/2006/relationships/hyperlink" Target="https://doi.org/10.1007/s12519-018-0195-x" TargetMode="External"/><Relationship Id="rId39" Type="http://schemas.openxmlformats.org/officeDocument/2006/relationships/hyperlink" Target="https://doi.org/10.1016/S1473-3099(18)30685-6" TargetMode="External"/><Relationship Id="rId21" Type="http://schemas.openxmlformats.org/officeDocument/2006/relationships/footer" Target="footer2.xml"/><Relationship Id="rId34" Type="http://schemas.openxmlformats.org/officeDocument/2006/relationships/hyperlink" Target="https://www.eucast.org/fileadmin/src/media/PDFs/EUCAST_files/Breakpoint_tables/v_14.0_Breakpoint_Tables.pdf" TargetMode="External"/><Relationship Id="rId42" Type="http://schemas.openxmlformats.org/officeDocument/2006/relationships/hyperlink" Target="https://doi.org/10.1128/AAC.02012-17" TargetMode="External"/><Relationship Id="rId47" Type="http://schemas.openxmlformats.org/officeDocument/2006/relationships/hyperlink" Target="https://doi.org/10.33321/cdi.2025.49.003" TargetMode="External"/><Relationship Id="rId50" Type="http://schemas.openxmlformats.org/officeDocument/2006/relationships/hyperlink" Target="https://doi.org/10.33321/cdi.2024.48.57" TargetMode="External"/><Relationship Id="rId55"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www.cdc.gov.au/topics/communicable-diseases/cdi" TargetMode="External"/><Relationship Id="rId29" Type="http://schemas.openxmlformats.org/officeDocument/2006/relationships/hyperlink" Target="https://agargroup.org.au/wp-content/uploads/2025/05/AGAR-Kids-2nd-Biennial_FINAL.pdf" TargetMode="External"/><Relationship Id="rId11" Type="http://schemas.openxmlformats.org/officeDocument/2006/relationships/hyperlink" Target="https://creativecommons.org/licenses/by-nc-nd/4.0/legalcode" TargetMode="External"/><Relationship Id="rId24" Type="http://schemas.openxmlformats.org/officeDocument/2006/relationships/hyperlink" Target="mailto:anita.williams@thekids.org.au" TargetMode="External"/><Relationship Id="rId32" Type="http://schemas.openxmlformats.org/officeDocument/2006/relationships/hyperlink" Target="https://agargroup.org.au/wp-content/uploads/2024/03/AGAR-Kids_nine-year-report-2013-2021_20240315.pdf" TargetMode="External"/><Relationship Id="rId37" Type="http://schemas.openxmlformats.org/officeDocument/2006/relationships/hyperlink" Target="https://doi.org/10.1093/jtm/taab150" TargetMode="External"/><Relationship Id="rId40" Type="http://schemas.openxmlformats.org/officeDocument/2006/relationships/hyperlink" Target="https://immunisationhandbook.health.gov.au/" TargetMode="External"/><Relationship Id="rId45" Type="http://schemas.openxmlformats.org/officeDocument/2006/relationships/hyperlink" Target="https://doi.org/10.1099/mgen.0.000195" TargetMode="External"/><Relationship Id="rId53" Type="http://schemas.openxmlformats.org/officeDocument/2006/relationships/hyperlink" Target="https://www.ecdc.europa.eu/en/publications-data/antimicrobial-resistance-eueea-ears-net-annual-epidemiological-report-2023" TargetMode="External"/><Relationship Id="rId5" Type="http://schemas.openxmlformats.org/officeDocument/2006/relationships/settings" Target="settings.xml"/><Relationship Id="rId10" Type="http://schemas.openxmlformats.org/officeDocument/2006/relationships/hyperlink" Target="https://www.cdc.gov.au/topics/communicable-diseases/cdi" TargetMode="External"/><Relationship Id="rId19" Type="http://schemas.openxmlformats.org/officeDocument/2006/relationships/header" Target="header2.xml"/><Relationship Id="rId31" Type="http://schemas.openxmlformats.org/officeDocument/2006/relationships/hyperlink" Target="https://doi.org/10.1093/jpids/piae110" TargetMode="External"/><Relationship Id="rId44" Type="http://schemas.openxmlformats.org/officeDocument/2006/relationships/hyperlink" Target="https://doi.org/10.1128/spectrum.03014-22" TargetMode="External"/><Relationship Id="rId52" Type="http://schemas.openxmlformats.org/officeDocument/2006/relationships/hyperlink" Target="https://www.gov.uk/government/publications/english-surveillance-programme-antimicrobial-utilisation-and-resistance-espaur-report"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cdc.gov.au/topics/communicable-diseases/cdi/authors" TargetMode="External"/><Relationship Id="rId22" Type="http://schemas.openxmlformats.org/officeDocument/2006/relationships/header" Target="header3.xml"/><Relationship Id="rId27" Type="http://schemas.openxmlformats.org/officeDocument/2006/relationships/hyperlink" Target="https://wspid.org/declaration-on-combating-antimicrobial-resistance-in-children/" TargetMode="External"/><Relationship Id="rId30" Type="http://schemas.openxmlformats.org/officeDocument/2006/relationships/hyperlink" Target="https://doi.org/10.1093/jpids/piae111" TargetMode="External"/><Relationship Id="rId35" Type="http://schemas.openxmlformats.org/officeDocument/2006/relationships/hyperlink" Target="https://iris.who.int/bitstream/handle/10665/376776/9789240093461-eng.pdf" TargetMode="External"/><Relationship Id="rId43" Type="http://schemas.openxmlformats.org/officeDocument/2006/relationships/hyperlink" Target="https://doi.org/10.1099/mgen.0.000725" TargetMode="External"/><Relationship Id="rId48" Type="http://schemas.openxmlformats.org/officeDocument/2006/relationships/hyperlink" Target="https://doi.org/10.33321/cdi.2023.47.69" TargetMode="External"/><Relationship Id="rId8" Type="http://schemas.openxmlformats.org/officeDocument/2006/relationships/endnotes" Target="endnotes.xml"/><Relationship Id="rId51" Type="http://schemas.openxmlformats.org/officeDocument/2006/relationships/hyperlink" Target="https://doi.org/10.1101/2024.11.06.24316846" TargetMode="External"/><Relationship Id="rId3" Type="http://schemas.openxmlformats.org/officeDocument/2006/relationships/numbering" Target="numbering.xml"/><Relationship Id="rId12" Type="http://schemas.openxmlformats.org/officeDocument/2006/relationships/hyperlink" Target="mailto:cdi.editor@health.gov.au" TargetMode="External"/><Relationship Id="rId17" Type="http://schemas.openxmlformats.org/officeDocument/2006/relationships/hyperlink" Target="mailto:cdi.editor@health.gov.au" TargetMode="External"/><Relationship Id="rId25" Type="http://schemas.openxmlformats.org/officeDocument/2006/relationships/hyperlink" Target="https://www.amr.gov.au/sites/default/files/2022-11/australia-s-national-antimicrobial-resistance-strategy-2020-and-beyond_0.pdf" TargetMode="External"/><Relationship Id="rId33" Type="http://schemas.openxmlformats.org/officeDocument/2006/relationships/hyperlink" Target="https://www.safetyandquality.gov.au/sites/default/files/2024-12/agar_surveillance_outcome_programs_report_2023.pdf" TargetMode="External"/><Relationship Id="rId38" Type="http://schemas.openxmlformats.org/officeDocument/2006/relationships/hyperlink" Target="https://doi.org/10.33321/cdi.2022.46.2" TargetMode="External"/><Relationship Id="rId46" Type="http://schemas.openxmlformats.org/officeDocument/2006/relationships/hyperlink" Target="https://doi.org/10.1093/cid/ciae341" TargetMode="External"/><Relationship Id="rId20" Type="http://schemas.openxmlformats.org/officeDocument/2006/relationships/footer" Target="footer1.xml"/><Relationship Id="rId41" Type="http://schemas.openxmlformats.org/officeDocument/2006/relationships/hyperlink" Target="https://www.safetyandquality.gov.au/publications-and-resources/resource-library/aura-2023-fifth-australian-report-antimicrobial-use-and-resistance-human-health-report"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mailto:cdi.editor@health.gov.au" TargetMode="External"/><Relationship Id="rId23" Type="http://schemas.openxmlformats.org/officeDocument/2006/relationships/footer" Target="footer3.xml"/><Relationship Id="rId28" Type="http://schemas.openxmlformats.org/officeDocument/2006/relationships/hyperlink" Target="https://doi.org/10.33321/cdi.2024.48.32" TargetMode="External"/><Relationship Id="rId36" Type="http://schemas.openxmlformats.org/officeDocument/2006/relationships/hyperlink" Target="https://www.safetyandquality.gov.au/publications-and-resources/resource-library/agar-surveillance-outcome-programs-2022-report-0" TargetMode="External"/><Relationship Id="rId49" Type="http://schemas.openxmlformats.org/officeDocument/2006/relationships/hyperlink" Target="https://doi.org/10.1111/jpc.16745"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dc.gov.au/topics/communicable-diseases/cd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LISA\OneDrive%20-%20Department%20of%20Health\Documents\Custom%20Office%20Templates\CDI-long-report-template-2025.dotx" TargetMode="External"/></Relationships>
</file>

<file path=word/theme/theme1.xml><?xml version="1.0" encoding="utf-8"?>
<a:theme xmlns:a="http://schemas.openxmlformats.org/drawingml/2006/main" name="Office Theme">
  <a:themeElements>
    <a:clrScheme name="CDI 2025">
      <a:dk1>
        <a:srgbClr val="000000"/>
      </a:dk1>
      <a:lt1>
        <a:srgbClr val="FFFFFF"/>
      </a:lt1>
      <a:dk2>
        <a:srgbClr val="1E4496"/>
      </a:dk2>
      <a:lt2>
        <a:srgbClr val="53C9F1"/>
      </a:lt2>
      <a:accent1>
        <a:srgbClr val="003936"/>
      </a:accent1>
      <a:accent2>
        <a:srgbClr val="52BE96"/>
      </a:accent2>
      <a:accent3>
        <a:srgbClr val="C45727"/>
      </a:accent3>
      <a:accent4>
        <a:srgbClr val="FFD133"/>
      </a:accent4>
      <a:accent5>
        <a:srgbClr val="9F1D20"/>
      </a:accent5>
      <a:accent6>
        <a:srgbClr val="9B91C6"/>
      </a:accent6>
      <a:hlink>
        <a:srgbClr val="1E4496"/>
      </a:hlink>
      <a:folHlink>
        <a:srgbClr val="522C7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E3CEDF-0107-42E3-93CC-370A8D395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CDI-long-report-template-2025.dotx</Template>
  <TotalTime>43</TotalTime>
  <Pages>33</Pages>
  <Words>9899</Words>
  <Characters>60451</Characters>
  <Application>Microsoft Office Word</Application>
  <DocSecurity>0</DocSecurity>
  <Lines>2238</Lines>
  <Paragraphs>1901</Paragraphs>
  <ScaleCrop>false</ScaleCrop>
  <HeadingPairs>
    <vt:vector size="2" baseType="variant">
      <vt:variant>
        <vt:lpstr>Title</vt:lpstr>
      </vt:variant>
      <vt:variant>
        <vt:i4>1</vt:i4>
      </vt:variant>
    </vt:vector>
  </HeadingPairs>
  <TitlesOfParts>
    <vt:vector size="1" baseType="lpstr">
      <vt:lpstr>Communicable Diseases Intelligence - Australian Group on Antimicrobial Resistance (AGAR) surveillance outcome programs – bloodstream infections and antimicrobial resistance patterns in Australian children and adolescents, January 2022 – December 2023</vt:lpstr>
    </vt:vector>
  </TitlesOfParts>
  <Company>interim Australian Centre for Disease Control within the Department of Health, Disability and Ageing</Company>
  <LinksUpToDate>false</LinksUpToDate>
  <CharactersWithSpaces>68449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 Australian Group on Antimicrobial Resistance (AGAR) surveillance outcome programs – bloodstream infections and antimicrobial resistance patterns in Australian children and adolescents, January 2022 – December 2023</dc:title>
  <dc:subject>This article presents a summary of the 2nd AGAR Kids Biennial report which examines the epidemiology and antimicrobial resistance patterns for bacteraemic isolates reported in patients &lt;18 years to the Australian Group on Antimicrobial Resistance surveillance outcome programs from January 2022 to December 2023.</dc:subject>
  <dc:creator>Anita Williams; Geoffrey W Coombs; Jan M Bell; Denise A Daley; Shakeel Mowlaboccus; Penelope A Bryant; Anita J Campbell; Louise Cooley; Annaleise R Howard-Jones; Jon Iredell; Adam D Irwin; Brendan McMullan; Morgyn S Warner; Phoebe CM Williams; Christopher C Blyth</dc:creator>
  <cp:keywords>antimicrobial resistance surveillance; paediatrics; bacteraemia; Enterobacterales; Staphylococcus aureus; Enterococcus</cp:keywords>
  <dc:description>© 2025 Commonwealth of Australia as represented by the Department of Health, Disability and Ageing. This publication is licenced under a CC BY-NC-ND licence.</dc:description>
  <cp:revision>4</cp:revision>
  <cp:lastPrinted>2024-03-07T01:06:00Z</cp:lastPrinted>
  <dcterms:created xsi:type="dcterms:W3CDTF">2025-11-04T04:39:00Z</dcterms:created>
  <dcterms:modified xsi:type="dcterms:W3CDTF">2025-11-04T23:39:00Z</dcterms:modified>
  <cp:category>Annual report</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2025</vt:lpwstr>
  </property>
  <property fmtid="{D5CDD505-2E9C-101B-9397-08002B2CF9AE}" pid="3" name="Vol">
    <vt:i4>49</vt:i4>
  </property>
  <property fmtid="{D5CDD505-2E9C-101B-9397-08002B2CF9AE}" pid="4" name="ePubDate">
    <vt:lpwstr>18.11.2025</vt:lpwstr>
  </property>
  <property fmtid="{D5CDD505-2E9C-101B-9397-08002B2CF9AE}" pid="5" name="DOI">
    <vt:lpwstr>doi.org/10.33321/cdi.2025.49.052</vt:lpwstr>
  </property>
  <property fmtid="{D5CDD505-2E9C-101B-9397-08002B2CF9AE}" pid="6" name="ClassificationContentMarkingHeaderShapeIds">
    <vt:lpwstr>644542cc,2c0f9685,2068767b</vt:lpwstr>
  </property>
  <property fmtid="{D5CDD505-2E9C-101B-9397-08002B2CF9AE}" pid="7" name="ClassificationContentMarkingHeaderFontProps">
    <vt:lpwstr>#ff0000,12,Calibri</vt:lpwstr>
  </property>
  <property fmtid="{D5CDD505-2E9C-101B-9397-08002B2CF9AE}" pid="8" name="ClassificationContentMarkingHeaderText">
    <vt:lpwstr>OFFICIAL</vt:lpwstr>
  </property>
  <property fmtid="{D5CDD505-2E9C-101B-9397-08002B2CF9AE}" pid="9" name="ClassificationContentMarkingFooterShapeIds">
    <vt:lpwstr>54dbff6a,d9ec7c5,1b473874</vt:lpwstr>
  </property>
  <property fmtid="{D5CDD505-2E9C-101B-9397-08002B2CF9AE}" pid="10" name="ClassificationContentMarkingFooterFontProps">
    <vt:lpwstr>#ff0000,12,Calibri</vt:lpwstr>
  </property>
  <property fmtid="{D5CDD505-2E9C-101B-9397-08002B2CF9AE}" pid="11" name="ClassificationContentMarkingFooterText">
    <vt:lpwstr>OFFICIAL</vt:lpwstr>
  </property>
  <property fmtid="{D5CDD505-2E9C-101B-9397-08002B2CF9AE}" pid="12" name="MSIP_Label_7cd3e8b9-ffed-43a8-b7f4-cc2fa0382d36_Enabled">
    <vt:lpwstr>true</vt:lpwstr>
  </property>
  <property fmtid="{D5CDD505-2E9C-101B-9397-08002B2CF9AE}" pid="13" name="MSIP_Label_7cd3e8b9-ffed-43a8-b7f4-cc2fa0382d36_SetDate">
    <vt:lpwstr>2025-08-24T23:10:09Z</vt:lpwstr>
  </property>
  <property fmtid="{D5CDD505-2E9C-101B-9397-08002B2CF9AE}" pid="14" name="MSIP_Label_7cd3e8b9-ffed-43a8-b7f4-cc2fa0382d36_Method">
    <vt:lpwstr>Privileged</vt:lpwstr>
  </property>
  <property fmtid="{D5CDD505-2E9C-101B-9397-08002B2CF9AE}" pid="15" name="MSIP_Label_7cd3e8b9-ffed-43a8-b7f4-cc2fa0382d36_Name">
    <vt:lpwstr>O</vt:lpwstr>
  </property>
  <property fmtid="{D5CDD505-2E9C-101B-9397-08002B2CF9AE}" pid="16" name="MSIP_Label_7cd3e8b9-ffed-43a8-b7f4-cc2fa0382d36_SiteId">
    <vt:lpwstr>34a3929c-73cf-4954-abfe-147dc3517892</vt:lpwstr>
  </property>
  <property fmtid="{D5CDD505-2E9C-101B-9397-08002B2CF9AE}" pid="17" name="MSIP_Label_7cd3e8b9-ffed-43a8-b7f4-cc2fa0382d36_ActionId">
    <vt:lpwstr>63deb136-61c8-46ac-96d2-abcdfae7a143</vt:lpwstr>
  </property>
  <property fmtid="{D5CDD505-2E9C-101B-9397-08002B2CF9AE}" pid="18" name="MSIP_Label_7cd3e8b9-ffed-43a8-b7f4-cc2fa0382d36_ContentBits">
    <vt:lpwstr>3</vt:lpwstr>
  </property>
  <property fmtid="{D5CDD505-2E9C-101B-9397-08002B2CF9AE}" pid="19" name="MSIP_Label_7cd3e8b9-ffed-43a8-b7f4-cc2fa0382d36_Tag">
    <vt:lpwstr>10, 0, 1, 1</vt:lpwstr>
  </property>
</Properties>
</file>