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9AB66" w14:textId="6D7A6AE1"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66113011" wp14:editId="3C6DED9E">
            <wp:simplePos x="0" y="0"/>
            <wp:positionH relativeFrom="page">
              <wp:align>left</wp:align>
            </wp:positionH>
            <wp:positionV relativeFrom="page">
              <wp:align>top</wp:align>
            </wp:positionV>
            <wp:extent cx="7560000" cy="10692000"/>
            <wp:effectExtent l="0" t="0" r="3175" b="0"/>
            <wp:wrapNone/>
            <wp:docPr id="632511823" name="Picture 1" descr="Dark blue shape displaying the logo of Communicable Diseases Intelligence. White and light blue shapes feature a lockup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hite and light blue shapes feature a lockup displaying the logos of the interim Australian Centre for Disease Control and the Department of Health, Disability and Ageing."/>
                    <pic:cNvPicPr/>
                  </pic:nvPicPr>
                  <pic:blipFill>
                    <a:blip r:embed="rId9"/>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6C5594">
          <w:t>2025</w:t>
        </w:r>
      </w:fldSimple>
      <w:r w:rsidR="00D22CC8" w:rsidRPr="00B85B74">
        <w:t xml:space="preserve"> • Volume </w:t>
      </w:r>
      <w:fldSimple w:instr=" DOCPROPERTY  Vol  \* MERGEFORMAT ">
        <w:r w:rsidR="006C5594">
          <w:t>49</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1A5C03">
          <w:t>10.09.2025</w:t>
        </w:r>
      </w:fldSimple>
      <w:r w:rsidR="00700338">
        <w:t xml:space="preserve"> </w:t>
      </w:r>
      <w:r w:rsidR="00700338" w:rsidRPr="00B85B74">
        <w:t xml:space="preserve">• </w:t>
      </w:r>
      <w:fldSimple w:instr=" DOCPROPERTY  DOI  \* MERGEFORMAT ">
        <w:r w:rsidR="00744318">
          <w:t>doi.org/10.33321/cdi.2025.49.049</w:t>
        </w:r>
      </w:fldSimple>
    </w:p>
    <w:p w14:paraId="42013382" w14:textId="758C5A9B" w:rsidR="006B16A5" w:rsidRPr="00142578" w:rsidRDefault="00744318" w:rsidP="00744318">
      <w:pPr>
        <w:pStyle w:val="Title"/>
      </w:pPr>
      <w:r w:rsidRPr="00744318">
        <w:t>Implications of high prevalence of recreational drug use among cases of infectious syphilis: insights from state-wide surveillance data, South Australia, July 2022 – September 2023</w:t>
      </w:r>
    </w:p>
    <w:p w14:paraId="4321D8B2" w14:textId="0F14B544" w:rsidR="00013B65" w:rsidRDefault="00744318" w:rsidP="00BB3320">
      <w:pPr>
        <w:pStyle w:val="Subtitle"/>
      </w:pPr>
      <w:r w:rsidRPr="00744318">
        <w:t xml:space="preserve">Jana </w:t>
      </w:r>
      <w:proofErr w:type="spellStart"/>
      <w:r w:rsidRPr="00744318">
        <w:t>Sisnowski</w:t>
      </w:r>
      <w:proofErr w:type="spellEnd"/>
      <w:r w:rsidRPr="00744318">
        <w:t>, Trisha J Rogers, Jaime Pearson, Sarah N Del Fante, Jamie</w:t>
      </w:r>
      <w:r w:rsidR="00C12070">
        <w:t> </w:t>
      </w:r>
      <w:r w:rsidRPr="00744318">
        <w:t>Hermanson, Tom Rees, Charlotte Bell</w:t>
      </w:r>
      <w:r w:rsidR="00013B65">
        <w:br w:type="page"/>
      </w:r>
    </w:p>
    <w:p w14:paraId="0482EFAC"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6C5594">
          <w:t>2025</w:t>
        </w:r>
      </w:fldSimple>
      <w:r w:rsidRPr="0089025E">
        <w:t xml:space="preserve"> Commonwealth of Australia as represented by the </w:t>
      </w:r>
      <w:r w:rsidR="007B537E">
        <w:t>Department of Health</w:t>
      </w:r>
      <w:r w:rsidR="0022524E">
        <w:t>, Disability</w:t>
      </w:r>
      <w:r w:rsidR="007B537E">
        <w:t xml:space="preserve"> and </w:t>
      </w:r>
      <w:r w:rsidR="0022524E">
        <w:t>Ageing</w:t>
      </w:r>
    </w:p>
    <w:p w14:paraId="2E314625" w14:textId="77777777" w:rsidR="00B52457" w:rsidRPr="0089025E" w:rsidRDefault="00B52457" w:rsidP="00087CC4">
      <w:pPr>
        <w:pStyle w:val="CDICopyright"/>
      </w:pPr>
      <w:r w:rsidRPr="0089025E">
        <w:t>ISSN: 2209-6051 Online</w:t>
      </w:r>
    </w:p>
    <w:p w14:paraId="335CB6CF" w14:textId="77777777" w:rsidR="00B52457" w:rsidRDefault="00B52457" w:rsidP="00087CC4">
      <w:pPr>
        <w:pStyle w:val="CDICopyright"/>
      </w:pPr>
      <w:r w:rsidRPr="0089025E">
        <w:t>This journal is indexed by Index Medicus and Medline.</w:t>
      </w:r>
    </w:p>
    <w:p w14:paraId="06DDF3FA" w14:textId="77777777" w:rsidR="00B52457" w:rsidRPr="007F2B27" w:rsidRDefault="00B52457" w:rsidP="00CC3648">
      <w:pPr>
        <w:pStyle w:val="CDICopyrightHeading"/>
      </w:pPr>
      <w:r w:rsidRPr="007F2B27">
        <w:t>Creative Commons Licence</w:t>
      </w:r>
    </w:p>
    <w:p w14:paraId="0BE569F5"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7B1E8EF4" w14:textId="77777777" w:rsidR="00B52457" w:rsidRPr="007F2B27" w:rsidRDefault="00B52457" w:rsidP="00CC3648">
      <w:pPr>
        <w:pStyle w:val="CDICopyrightHeading"/>
      </w:pPr>
      <w:r w:rsidRPr="007F2B27">
        <w:t>Restrictions</w:t>
      </w:r>
    </w:p>
    <w:p w14:paraId="5E5F1442"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00991E4B" w14:textId="77777777" w:rsidR="00B52457" w:rsidRPr="00E9313B" w:rsidRDefault="00B52457" w:rsidP="00E9313B">
      <w:pPr>
        <w:pStyle w:val="CDICopyrightBullets"/>
      </w:pPr>
      <w:r w:rsidRPr="006C7D54">
        <w:t xml:space="preserve">the </w:t>
      </w:r>
      <w:r w:rsidRPr="00E9313B">
        <w:t xml:space="preserve">Commonwealth Coat of Arms (by way of information, the terms under which the Coat of Arms may be used can be found on the Department of Prime Minister and Cabinet </w:t>
      </w:r>
      <w:proofErr w:type="gramStart"/>
      <w:r w:rsidRPr="00E9313B">
        <w:t>website;</w:t>
      </w:r>
      <w:proofErr w:type="gramEnd"/>
    </w:p>
    <w:p w14:paraId="0D2BCF75" w14:textId="77777777" w:rsidR="00B52457" w:rsidRPr="003C23C9" w:rsidRDefault="0022524E" w:rsidP="00E9313B">
      <w:pPr>
        <w:pStyle w:val="CDICopyrightBullets"/>
      </w:pPr>
      <w:r w:rsidRPr="0022524E">
        <w:t xml:space="preserve">any logos (including the interim Australian Centre for Disease Control and the Department of Health, Disability and Ageing’s logos) and </w:t>
      </w:r>
      <w:proofErr w:type="gramStart"/>
      <w:r w:rsidRPr="0022524E">
        <w:t>trademarks</w:t>
      </w:r>
      <w:r w:rsidR="00B52457" w:rsidRPr="003C23C9">
        <w:t>;</w:t>
      </w:r>
      <w:proofErr w:type="gramEnd"/>
    </w:p>
    <w:p w14:paraId="64C2756C" w14:textId="77777777" w:rsidR="00B52457" w:rsidRPr="00E9313B" w:rsidRDefault="00B52457" w:rsidP="00E9313B">
      <w:pPr>
        <w:pStyle w:val="CDICopyrightBullets"/>
      </w:pPr>
      <w:r w:rsidRPr="00E9313B">
        <w:t xml:space="preserve">any photographs and </w:t>
      </w:r>
      <w:proofErr w:type="gramStart"/>
      <w:r w:rsidRPr="00E9313B">
        <w:t>images;</w:t>
      </w:r>
      <w:proofErr w:type="gramEnd"/>
      <w:r w:rsidRPr="00E9313B">
        <w:t xml:space="preserve"> </w:t>
      </w:r>
    </w:p>
    <w:p w14:paraId="131FA53D" w14:textId="77777777" w:rsidR="00B52457" w:rsidRPr="00E9313B" w:rsidRDefault="00B52457" w:rsidP="00E9313B">
      <w:pPr>
        <w:pStyle w:val="CDICopyrightBullets"/>
      </w:pPr>
      <w:r w:rsidRPr="00E9313B">
        <w:t>any signatures; and</w:t>
      </w:r>
    </w:p>
    <w:p w14:paraId="4012CDA8" w14:textId="77777777" w:rsidR="00B52457" w:rsidRPr="003C23C9" w:rsidRDefault="00B52457" w:rsidP="00E9313B">
      <w:pPr>
        <w:pStyle w:val="CDICopyrightBullets"/>
      </w:pPr>
      <w:r w:rsidRPr="00E9313B">
        <w:t>any</w:t>
      </w:r>
      <w:r w:rsidRPr="003C23C9">
        <w:t xml:space="preserve"> material belonging to third parties.</w:t>
      </w:r>
    </w:p>
    <w:p w14:paraId="2C687E39" w14:textId="77777777" w:rsidR="00B52457" w:rsidRPr="00CC3648" w:rsidRDefault="00B52457" w:rsidP="00CC3648">
      <w:pPr>
        <w:pStyle w:val="CDICopyrightHeading"/>
      </w:pPr>
      <w:r w:rsidRPr="00CC3648">
        <w:t>Disclaimer</w:t>
      </w:r>
    </w:p>
    <w:p w14:paraId="3FBF2287"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 the interim Australian Centre for Disease Control or the Department of Health, Disability and Ageing</w:t>
      </w:r>
      <w:r w:rsidRPr="0089025E">
        <w:t>. Data may be subject to revision.</w:t>
      </w:r>
    </w:p>
    <w:p w14:paraId="229C7C5F" w14:textId="77777777" w:rsidR="00B52457" w:rsidRPr="007F2B27" w:rsidRDefault="00B52457" w:rsidP="00CC3648">
      <w:pPr>
        <w:pStyle w:val="CDICopyrightHeading"/>
      </w:pPr>
      <w:r w:rsidRPr="007F2B27">
        <w:t>Enquiries</w:t>
      </w:r>
    </w:p>
    <w:p w14:paraId="685C0E7E"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2EA4EAA4" w14:textId="77777777" w:rsidR="00B52457" w:rsidRPr="00A65DFA" w:rsidRDefault="00B52457" w:rsidP="00B52457">
      <w:pPr>
        <w:pStyle w:val="CDIAbout"/>
      </w:pPr>
      <w:bookmarkStart w:id="1" w:name="_Toc190257376"/>
      <w:r>
        <w:t xml:space="preserve">About </w:t>
      </w:r>
      <w:bookmarkEnd w:id="1"/>
      <w:r w:rsidR="0022524E">
        <w:t>CDI</w:t>
      </w:r>
    </w:p>
    <w:p w14:paraId="07CA5A84"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78FF319F" w14:textId="77777777" w:rsidR="009572C6" w:rsidRDefault="009572C6" w:rsidP="009572C6">
      <w:pPr>
        <w:pStyle w:val="CDIAbouttextLess"/>
      </w:pPr>
      <w:r w:rsidRPr="009572C6">
        <w:t>The journal aims to disseminate information on the epidemiology, surveillance, prevention and control of communicable diseases of relevance to Australia and the near region.</w:t>
      </w:r>
    </w:p>
    <w:p w14:paraId="711F9F63" w14:textId="77777777" w:rsidR="00B52457" w:rsidRPr="00D8087F" w:rsidRDefault="00B52457" w:rsidP="00D8087F">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65329844"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610859EB"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186E77D2"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60F778E5" w14:textId="77777777" w:rsidR="00B52457" w:rsidRPr="00B87589" w:rsidRDefault="00B52457" w:rsidP="00B87589">
      <w:pPr>
        <w:pStyle w:val="CDIAbouttext"/>
        <w:rPr>
          <w:b/>
          <w:bCs/>
        </w:rPr>
      </w:pPr>
      <w:r w:rsidRPr="00B87589">
        <w:rPr>
          <w:b/>
          <w:bCs/>
        </w:rPr>
        <w:t>Contact us</w:t>
      </w:r>
    </w:p>
    <w:p w14:paraId="10E5DF95" w14:textId="77777777" w:rsidR="00B52457" w:rsidRPr="00087CC4" w:rsidRDefault="00B52457" w:rsidP="00360B3A">
      <w:pPr>
        <w:pStyle w:val="CDIAbouttextLess"/>
      </w:pPr>
      <w:r w:rsidRPr="009572C6">
        <w:t>Communicable Diseases Intelligence</w:t>
      </w:r>
      <w:r w:rsidRPr="00087CC4">
        <w:t xml:space="preserve"> (CDI)</w:t>
      </w:r>
    </w:p>
    <w:p w14:paraId="5DBF0A4E" w14:textId="77777777" w:rsidR="00B52457" w:rsidRPr="00087CC4" w:rsidRDefault="009572C6" w:rsidP="00360B3A">
      <w:pPr>
        <w:pStyle w:val="CDIAbouttextLess"/>
      </w:pPr>
      <w:r>
        <w:t>interim Australian Centre for Disease Control, Department of Health, Disability and Ageing</w:t>
      </w:r>
    </w:p>
    <w:p w14:paraId="04FB2E80" w14:textId="77777777" w:rsidR="00B52457" w:rsidRPr="0089025E" w:rsidRDefault="00B52457" w:rsidP="00360B3A">
      <w:pPr>
        <w:pStyle w:val="CDIAbouttextLess"/>
      </w:pPr>
      <w:r w:rsidRPr="00087CC4">
        <w:t>GPO Box 9848, CANBERRA</w:t>
      </w:r>
      <w:r w:rsidRPr="0089025E">
        <w:t xml:space="preserve"> ACT 2601</w:t>
      </w:r>
    </w:p>
    <w:p w14:paraId="3333A803"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5FC147D1" w14:textId="77777777" w:rsidR="00B52457" w:rsidRPr="0089025E" w:rsidRDefault="00B52457" w:rsidP="00360B3A">
      <w:pPr>
        <w:pStyle w:val="CDIAbouttextLess"/>
      </w:pPr>
      <w:r w:rsidRPr="0089025E">
        <w:t xml:space="preserve">Email: </w:t>
      </w:r>
      <w:hyperlink r:id="rId17" w:history="1">
        <w:r w:rsidRPr="000C6EB5">
          <w:rPr>
            <w:rStyle w:val="Hyperlink"/>
          </w:rPr>
          <w:t>cdi.editor@health.gov.au</w:t>
        </w:r>
      </w:hyperlink>
    </w:p>
    <w:p w14:paraId="14ECF6C5"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07013305"/>
      <w:bookmarkStart w:id="7" w:name="_Toc195530496"/>
      <w:r>
        <w:lastRenderedPageBreak/>
        <w:t>Contents</w:t>
      </w:r>
      <w:bookmarkEnd w:id="2"/>
      <w:bookmarkEnd w:id="3"/>
      <w:bookmarkEnd w:id="4"/>
      <w:bookmarkEnd w:id="5"/>
      <w:bookmarkEnd w:id="6"/>
    </w:p>
    <w:p w14:paraId="266AC908" w14:textId="27312C1C" w:rsidR="006E47CB" w:rsidRDefault="005A4E9D">
      <w:pPr>
        <w:pStyle w:val="TOC1"/>
        <w:rPr>
          <w:rFonts w:eastAsiaTheme="minorEastAsia" w:cstheme="minorBidi"/>
          <w:b w:val="0"/>
          <w:bCs w:val="0"/>
          <w:iCs w:val="0"/>
          <w:noProof/>
          <w:kern w:val="2"/>
          <w:sz w:val="24"/>
          <w:lang w:eastAsia="en-AU"/>
        </w:rPr>
      </w:pPr>
      <w:r>
        <w:fldChar w:fldCharType="begin"/>
      </w:r>
      <w:r>
        <w:instrText xml:space="preserve"> TOC \o "1-1" \h \z \t "Heading 2,2,Heading 2 - no space before,2,Heading 2 - less space before,2,Heading 2 - new page,2" </w:instrText>
      </w:r>
      <w:r>
        <w:fldChar w:fldCharType="separate"/>
      </w:r>
      <w:hyperlink w:anchor="_Toc207013306" w:history="1">
        <w:r w:rsidR="006E47CB" w:rsidRPr="00C204E6">
          <w:rPr>
            <w:rStyle w:val="Hyperlink"/>
            <w:noProof/>
          </w:rPr>
          <w:t>Abstract</w:t>
        </w:r>
        <w:r w:rsidR="006E47CB">
          <w:rPr>
            <w:noProof/>
            <w:webHidden/>
          </w:rPr>
          <w:tab/>
        </w:r>
        <w:r w:rsidR="006E47CB">
          <w:rPr>
            <w:noProof/>
            <w:webHidden/>
          </w:rPr>
          <w:fldChar w:fldCharType="begin"/>
        </w:r>
        <w:r w:rsidR="006E47CB">
          <w:rPr>
            <w:noProof/>
            <w:webHidden/>
          </w:rPr>
          <w:instrText xml:space="preserve"> PAGEREF _Toc207013306 \h </w:instrText>
        </w:r>
        <w:r w:rsidR="006E47CB">
          <w:rPr>
            <w:noProof/>
            <w:webHidden/>
          </w:rPr>
        </w:r>
        <w:r w:rsidR="006E47CB">
          <w:rPr>
            <w:noProof/>
            <w:webHidden/>
          </w:rPr>
          <w:fldChar w:fldCharType="separate"/>
        </w:r>
        <w:r w:rsidR="006E47CB">
          <w:rPr>
            <w:noProof/>
            <w:webHidden/>
          </w:rPr>
          <w:t>4</w:t>
        </w:r>
        <w:r w:rsidR="006E47CB">
          <w:rPr>
            <w:noProof/>
            <w:webHidden/>
          </w:rPr>
          <w:fldChar w:fldCharType="end"/>
        </w:r>
      </w:hyperlink>
    </w:p>
    <w:p w14:paraId="69AF11D1" w14:textId="5B94B57F" w:rsidR="006E47CB" w:rsidRDefault="006E47CB">
      <w:pPr>
        <w:pStyle w:val="TOC2"/>
        <w:tabs>
          <w:tab w:val="right" w:leader="dot" w:pos="9629"/>
        </w:tabs>
        <w:rPr>
          <w:rFonts w:eastAsiaTheme="minorEastAsia" w:cstheme="minorBidi"/>
          <w:bCs w:val="0"/>
          <w:noProof/>
          <w:kern w:val="2"/>
          <w:sz w:val="24"/>
          <w:szCs w:val="24"/>
          <w:lang w:eastAsia="en-AU"/>
        </w:rPr>
      </w:pPr>
      <w:hyperlink w:anchor="_Toc207013307" w:history="1">
        <w:r w:rsidRPr="00C204E6">
          <w:rPr>
            <w:rStyle w:val="Hyperlink"/>
            <w:noProof/>
            <w:lang w:val="en-GB"/>
          </w:rPr>
          <w:t>Background</w:t>
        </w:r>
        <w:r>
          <w:rPr>
            <w:noProof/>
            <w:webHidden/>
          </w:rPr>
          <w:tab/>
        </w:r>
        <w:r>
          <w:rPr>
            <w:noProof/>
            <w:webHidden/>
          </w:rPr>
          <w:fldChar w:fldCharType="begin"/>
        </w:r>
        <w:r>
          <w:rPr>
            <w:noProof/>
            <w:webHidden/>
          </w:rPr>
          <w:instrText xml:space="preserve"> PAGEREF _Toc207013307 \h </w:instrText>
        </w:r>
        <w:r>
          <w:rPr>
            <w:noProof/>
            <w:webHidden/>
          </w:rPr>
        </w:r>
        <w:r>
          <w:rPr>
            <w:noProof/>
            <w:webHidden/>
          </w:rPr>
          <w:fldChar w:fldCharType="separate"/>
        </w:r>
        <w:r>
          <w:rPr>
            <w:noProof/>
            <w:webHidden/>
          </w:rPr>
          <w:t>4</w:t>
        </w:r>
        <w:r>
          <w:rPr>
            <w:noProof/>
            <w:webHidden/>
          </w:rPr>
          <w:fldChar w:fldCharType="end"/>
        </w:r>
      </w:hyperlink>
    </w:p>
    <w:p w14:paraId="7C4B7DED" w14:textId="72500BC9" w:rsidR="006E47CB" w:rsidRDefault="006E47CB">
      <w:pPr>
        <w:pStyle w:val="TOC2"/>
        <w:tabs>
          <w:tab w:val="right" w:leader="dot" w:pos="9629"/>
        </w:tabs>
        <w:rPr>
          <w:rFonts w:eastAsiaTheme="minorEastAsia" w:cstheme="minorBidi"/>
          <w:bCs w:val="0"/>
          <w:noProof/>
          <w:kern w:val="2"/>
          <w:sz w:val="24"/>
          <w:szCs w:val="24"/>
          <w:lang w:eastAsia="en-AU"/>
        </w:rPr>
      </w:pPr>
      <w:hyperlink w:anchor="_Toc207013308" w:history="1">
        <w:r w:rsidRPr="00C204E6">
          <w:rPr>
            <w:rStyle w:val="Hyperlink"/>
            <w:noProof/>
            <w:lang w:val="en-GB"/>
          </w:rPr>
          <w:t>Methods</w:t>
        </w:r>
        <w:r>
          <w:rPr>
            <w:noProof/>
            <w:webHidden/>
          </w:rPr>
          <w:tab/>
        </w:r>
        <w:r>
          <w:rPr>
            <w:noProof/>
            <w:webHidden/>
          </w:rPr>
          <w:fldChar w:fldCharType="begin"/>
        </w:r>
        <w:r>
          <w:rPr>
            <w:noProof/>
            <w:webHidden/>
          </w:rPr>
          <w:instrText xml:space="preserve"> PAGEREF _Toc207013308 \h </w:instrText>
        </w:r>
        <w:r>
          <w:rPr>
            <w:noProof/>
            <w:webHidden/>
          </w:rPr>
        </w:r>
        <w:r>
          <w:rPr>
            <w:noProof/>
            <w:webHidden/>
          </w:rPr>
          <w:fldChar w:fldCharType="separate"/>
        </w:r>
        <w:r>
          <w:rPr>
            <w:noProof/>
            <w:webHidden/>
          </w:rPr>
          <w:t>4</w:t>
        </w:r>
        <w:r>
          <w:rPr>
            <w:noProof/>
            <w:webHidden/>
          </w:rPr>
          <w:fldChar w:fldCharType="end"/>
        </w:r>
      </w:hyperlink>
    </w:p>
    <w:p w14:paraId="772AE8BA" w14:textId="6BBC2032" w:rsidR="006E47CB" w:rsidRDefault="006E47CB">
      <w:pPr>
        <w:pStyle w:val="TOC2"/>
        <w:tabs>
          <w:tab w:val="right" w:leader="dot" w:pos="9629"/>
        </w:tabs>
        <w:rPr>
          <w:rFonts w:eastAsiaTheme="minorEastAsia" w:cstheme="minorBidi"/>
          <w:bCs w:val="0"/>
          <w:noProof/>
          <w:kern w:val="2"/>
          <w:sz w:val="24"/>
          <w:szCs w:val="24"/>
          <w:lang w:eastAsia="en-AU"/>
        </w:rPr>
      </w:pPr>
      <w:hyperlink w:anchor="_Toc207013309" w:history="1">
        <w:r w:rsidRPr="00C204E6">
          <w:rPr>
            <w:rStyle w:val="Hyperlink"/>
            <w:noProof/>
            <w:lang w:val="en-GB"/>
          </w:rPr>
          <w:t>Results</w:t>
        </w:r>
        <w:r>
          <w:rPr>
            <w:noProof/>
            <w:webHidden/>
          </w:rPr>
          <w:tab/>
        </w:r>
        <w:r>
          <w:rPr>
            <w:noProof/>
            <w:webHidden/>
          </w:rPr>
          <w:fldChar w:fldCharType="begin"/>
        </w:r>
        <w:r>
          <w:rPr>
            <w:noProof/>
            <w:webHidden/>
          </w:rPr>
          <w:instrText xml:space="preserve"> PAGEREF _Toc207013309 \h </w:instrText>
        </w:r>
        <w:r>
          <w:rPr>
            <w:noProof/>
            <w:webHidden/>
          </w:rPr>
        </w:r>
        <w:r>
          <w:rPr>
            <w:noProof/>
            <w:webHidden/>
          </w:rPr>
          <w:fldChar w:fldCharType="separate"/>
        </w:r>
        <w:r>
          <w:rPr>
            <w:noProof/>
            <w:webHidden/>
          </w:rPr>
          <w:t>4</w:t>
        </w:r>
        <w:r>
          <w:rPr>
            <w:noProof/>
            <w:webHidden/>
          </w:rPr>
          <w:fldChar w:fldCharType="end"/>
        </w:r>
      </w:hyperlink>
    </w:p>
    <w:p w14:paraId="442F1CAF" w14:textId="55E0B5F7" w:rsidR="006E47CB" w:rsidRDefault="006E47CB">
      <w:pPr>
        <w:pStyle w:val="TOC2"/>
        <w:tabs>
          <w:tab w:val="right" w:leader="dot" w:pos="9629"/>
        </w:tabs>
        <w:rPr>
          <w:rFonts w:eastAsiaTheme="minorEastAsia" w:cstheme="minorBidi"/>
          <w:bCs w:val="0"/>
          <w:noProof/>
          <w:kern w:val="2"/>
          <w:sz w:val="24"/>
          <w:szCs w:val="24"/>
          <w:lang w:eastAsia="en-AU"/>
        </w:rPr>
      </w:pPr>
      <w:hyperlink w:anchor="_Toc207013310" w:history="1">
        <w:r w:rsidRPr="00C204E6">
          <w:rPr>
            <w:rStyle w:val="Hyperlink"/>
            <w:noProof/>
            <w:lang w:val="en-GB"/>
          </w:rPr>
          <w:t>Conclusion</w:t>
        </w:r>
        <w:r>
          <w:rPr>
            <w:noProof/>
            <w:webHidden/>
          </w:rPr>
          <w:tab/>
        </w:r>
        <w:r>
          <w:rPr>
            <w:noProof/>
            <w:webHidden/>
          </w:rPr>
          <w:fldChar w:fldCharType="begin"/>
        </w:r>
        <w:r>
          <w:rPr>
            <w:noProof/>
            <w:webHidden/>
          </w:rPr>
          <w:instrText xml:space="preserve"> PAGEREF _Toc207013310 \h </w:instrText>
        </w:r>
        <w:r>
          <w:rPr>
            <w:noProof/>
            <w:webHidden/>
          </w:rPr>
        </w:r>
        <w:r>
          <w:rPr>
            <w:noProof/>
            <w:webHidden/>
          </w:rPr>
          <w:fldChar w:fldCharType="separate"/>
        </w:r>
        <w:r>
          <w:rPr>
            <w:noProof/>
            <w:webHidden/>
          </w:rPr>
          <w:t>4</w:t>
        </w:r>
        <w:r>
          <w:rPr>
            <w:noProof/>
            <w:webHidden/>
          </w:rPr>
          <w:fldChar w:fldCharType="end"/>
        </w:r>
      </w:hyperlink>
    </w:p>
    <w:p w14:paraId="5E6C3BD1" w14:textId="457586A9" w:rsidR="006E47CB" w:rsidRDefault="006E47CB">
      <w:pPr>
        <w:pStyle w:val="TOC1"/>
        <w:rPr>
          <w:rFonts w:eastAsiaTheme="minorEastAsia" w:cstheme="minorBidi"/>
          <w:b w:val="0"/>
          <w:bCs w:val="0"/>
          <w:iCs w:val="0"/>
          <w:noProof/>
          <w:kern w:val="2"/>
          <w:sz w:val="24"/>
          <w:lang w:eastAsia="en-AU"/>
        </w:rPr>
      </w:pPr>
      <w:hyperlink w:anchor="_Toc207013311" w:history="1">
        <w:r w:rsidRPr="00C204E6">
          <w:rPr>
            <w:rStyle w:val="Hyperlink"/>
            <w:noProof/>
          </w:rPr>
          <w:t>Background</w:t>
        </w:r>
        <w:r>
          <w:rPr>
            <w:noProof/>
            <w:webHidden/>
          </w:rPr>
          <w:tab/>
        </w:r>
        <w:r>
          <w:rPr>
            <w:noProof/>
            <w:webHidden/>
          </w:rPr>
          <w:fldChar w:fldCharType="begin"/>
        </w:r>
        <w:r>
          <w:rPr>
            <w:noProof/>
            <w:webHidden/>
          </w:rPr>
          <w:instrText xml:space="preserve"> PAGEREF _Toc207013311 \h </w:instrText>
        </w:r>
        <w:r>
          <w:rPr>
            <w:noProof/>
            <w:webHidden/>
          </w:rPr>
        </w:r>
        <w:r>
          <w:rPr>
            <w:noProof/>
            <w:webHidden/>
          </w:rPr>
          <w:fldChar w:fldCharType="separate"/>
        </w:r>
        <w:r>
          <w:rPr>
            <w:noProof/>
            <w:webHidden/>
          </w:rPr>
          <w:t>5</w:t>
        </w:r>
        <w:r>
          <w:rPr>
            <w:noProof/>
            <w:webHidden/>
          </w:rPr>
          <w:fldChar w:fldCharType="end"/>
        </w:r>
      </w:hyperlink>
    </w:p>
    <w:p w14:paraId="793F9D62" w14:textId="6C3AA2EC" w:rsidR="006E47CB" w:rsidRDefault="006E47CB">
      <w:pPr>
        <w:pStyle w:val="TOC1"/>
        <w:rPr>
          <w:rFonts w:eastAsiaTheme="minorEastAsia" w:cstheme="minorBidi"/>
          <w:b w:val="0"/>
          <w:bCs w:val="0"/>
          <w:iCs w:val="0"/>
          <w:noProof/>
          <w:kern w:val="2"/>
          <w:sz w:val="24"/>
          <w:lang w:eastAsia="en-AU"/>
        </w:rPr>
      </w:pPr>
      <w:hyperlink w:anchor="_Toc207013312" w:history="1">
        <w:r w:rsidRPr="00C204E6">
          <w:rPr>
            <w:rStyle w:val="Hyperlink"/>
            <w:noProof/>
            <w:lang w:val="en-GB"/>
          </w:rPr>
          <w:t>Material and methods</w:t>
        </w:r>
        <w:r>
          <w:rPr>
            <w:noProof/>
            <w:webHidden/>
          </w:rPr>
          <w:tab/>
        </w:r>
        <w:r>
          <w:rPr>
            <w:noProof/>
            <w:webHidden/>
          </w:rPr>
          <w:fldChar w:fldCharType="begin"/>
        </w:r>
        <w:r>
          <w:rPr>
            <w:noProof/>
            <w:webHidden/>
          </w:rPr>
          <w:instrText xml:space="preserve"> PAGEREF _Toc207013312 \h </w:instrText>
        </w:r>
        <w:r>
          <w:rPr>
            <w:noProof/>
            <w:webHidden/>
          </w:rPr>
        </w:r>
        <w:r>
          <w:rPr>
            <w:noProof/>
            <w:webHidden/>
          </w:rPr>
          <w:fldChar w:fldCharType="separate"/>
        </w:r>
        <w:r>
          <w:rPr>
            <w:noProof/>
            <w:webHidden/>
          </w:rPr>
          <w:t>7</w:t>
        </w:r>
        <w:r>
          <w:rPr>
            <w:noProof/>
            <w:webHidden/>
          </w:rPr>
          <w:fldChar w:fldCharType="end"/>
        </w:r>
      </w:hyperlink>
    </w:p>
    <w:p w14:paraId="1885BE5A" w14:textId="46121F1C" w:rsidR="006E47CB" w:rsidRDefault="006E47CB">
      <w:pPr>
        <w:pStyle w:val="TOC1"/>
        <w:rPr>
          <w:rFonts w:eastAsiaTheme="minorEastAsia" w:cstheme="minorBidi"/>
          <w:b w:val="0"/>
          <w:bCs w:val="0"/>
          <w:iCs w:val="0"/>
          <w:noProof/>
          <w:kern w:val="2"/>
          <w:sz w:val="24"/>
          <w:lang w:eastAsia="en-AU"/>
        </w:rPr>
      </w:pPr>
      <w:hyperlink w:anchor="_Toc207013313" w:history="1">
        <w:r w:rsidRPr="00C204E6">
          <w:rPr>
            <w:rStyle w:val="Hyperlink"/>
            <w:noProof/>
          </w:rPr>
          <w:t>Results</w:t>
        </w:r>
        <w:r>
          <w:rPr>
            <w:noProof/>
            <w:webHidden/>
          </w:rPr>
          <w:tab/>
        </w:r>
        <w:r>
          <w:rPr>
            <w:noProof/>
            <w:webHidden/>
          </w:rPr>
          <w:fldChar w:fldCharType="begin"/>
        </w:r>
        <w:r>
          <w:rPr>
            <w:noProof/>
            <w:webHidden/>
          </w:rPr>
          <w:instrText xml:space="preserve"> PAGEREF _Toc207013313 \h </w:instrText>
        </w:r>
        <w:r>
          <w:rPr>
            <w:noProof/>
            <w:webHidden/>
          </w:rPr>
        </w:r>
        <w:r>
          <w:rPr>
            <w:noProof/>
            <w:webHidden/>
          </w:rPr>
          <w:fldChar w:fldCharType="separate"/>
        </w:r>
        <w:r>
          <w:rPr>
            <w:noProof/>
            <w:webHidden/>
          </w:rPr>
          <w:t>8</w:t>
        </w:r>
        <w:r>
          <w:rPr>
            <w:noProof/>
            <w:webHidden/>
          </w:rPr>
          <w:fldChar w:fldCharType="end"/>
        </w:r>
      </w:hyperlink>
    </w:p>
    <w:p w14:paraId="5DE43F03" w14:textId="00B07A69" w:rsidR="006E47CB" w:rsidRDefault="006E47CB">
      <w:pPr>
        <w:pStyle w:val="TOC1"/>
        <w:rPr>
          <w:rFonts w:eastAsiaTheme="minorEastAsia" w:cstheme="minorBidi"/>
          <w:b w:val="0"/>
          <w:bCs w:val="0"/>
          <w:iCs w:val="0"/>
          <w:noProof/>
          <w:kern w:val="2"/>
          <w:sz w:val="24"/>
          <w:lang w:eastAsia="en-AU"/>
        </w:rPr>
      </w:pPr>
      <w:hyperlink w:anchor="_Toc207013314" w:history="1">
        <w:r w:rsidRPr="00C204E6">
          <w:rPr>
            <w:rStyle w:val="Hyperlink"/>
            <w:noProof/>
          </w:rPr>
          <w:t>Discussion and conclusion</w:t>
        </w:r>
        <w:r>
          <w:rPr>
            <w:noProof/>
            <w:webHidden/>
          </w:rPr>
          <w:tab/>
        </w:r>
        <w:r>
          <w:rPr>
            <w:noProof/>
            <w:webHidden/>
          </w:rPr>
          <w:fldChar w:fldCharType="begin"/>
        </w:r>
        <w:r>
          <w:rPr>
            <w:noProof/>
            <w:webHidden/>
          </w:rPr>
          <w:instrText xml:space="preserve"> PAGEREF _Toc207013314 \h </w:instrText>
        </w:r>
        <w:r>
          <w:rPr>
            <w:noProof/>
            <w:webHidden/>
          </w:rPr>
        </w:r>
        <w:r>
          <w:rPr>
            <w:noProof/>
            <w:webHidden/>
          </w:rPr>
          <w:fldChar w:fldCharType="separate"/>
        </w:r>
        <w:r>
          <w:rPr>
            <w:noProof/>
            <w:webHidden/>
          </w:rPr>
          <w:t>12</w:t>
        </w:r>
        <w:r>
          <w:rPr>
            <w:noProof/>
            <w:webHidden/>
          </w:rPr>
          <w:fldChar w:fldCharType="end"/>
        </w:r>
      </w:hyperlink>
    </w:p>
    <w:p w14:paraId="18523866" w14:textId="054D3CB1" w:rsidR="006E47CB" w:rsidRDefault="006E47CB">
      <w:pPr>
        <w:pStyle w:val="TOC1"/>
        <w:rPr>
          <w:rFonts w:eastAsiaTheme="minorEastAsia" w:cstheme="minorBidi"/>
          <w:b w:val="0"/>
          <w:bCs w:val="0"/>
          <w:iCs w:val="0"/>
          <w:noProof/>
          <w:kern w:val="2"/>
          <w:sz w:val="24"/>
          <w:lang w:eastAsia="en-AU"/>
        </w:rPr>
      </w:pPr>
      <w:hyperlink w:anchor="_Toc207013315" w:history="1">
        <w:r w:rsidRPr="00C204E6">
          <w:rPr>
            <w:rStyle w:val="Hyperlink"/>
            <w:noProof/>
          </w:rPr>
          <w:t>Acknowledgments</w:t>
        </w:r>
        <w:r>
          <w:rPr>
            <w:noProof/>
            <w:webHidden/>
          </w:rPr>
          <w:tab/>
        </w:r>
        <w:r>
          <w:rPr>
            <w:noProof/>
            <w:webHidden/>
          </w:rPr>
          <w:fldChar w:fldCharType="begin"/>
        </w:r>
        <w:r>
          <w:rPr>
            <w:noProof/>
            <w:webHidden/>
          </w:rPr>
          <w:instrText xml:space="preserve"> PAGEREF _Toc207013315 \h </w:instrText>
        </w:r>
        <w:r>
          <w:rPr>
            <w:noProof/>
            <w:webHidden/>
          </w:rPr>
        </w:r>
        <w:r>
          <w:rPr>
            <w:noProof/>
            <w:webHidden/>
          </w:rPr>
          <w:fldChar w:fldCharType="separate"/>
        </w:r>
        <w:r>
          <w:rPr>
            <w:noProof/>
            <w:webHidden/>
          </w:rPr>
          <w:t>14</w:t>
        </w:r>
        <w:r>
          <w:rPr>
            <w:noProof/>
            <w:webHidden/>
          </w:rPr>
          <w:fldChar w:fldCharType="end"/>
        </w:r>
      </w:hyperlink>
    </w:p>
    <w:p w14:paraId="254A6085" w14:textId="3E5BDEB1" w:rsidR="006E47CB" w:rsidRDefault="006E47CB">
      <w:pPr>
        <w:pStyle w:val="TOC1"/>
        <w:rPr>
          <w:rFonts w:eastAsiaTheme="minorEastAsia" w:cstheme="minorBidi"/>
          <w:b w:val="0"/>
          <w:bCs w:val="0"/>
          <w:iCs w:val="0"/>
          <w:noProof/>
          <w:kern w:val="2"/>
          <w:sz w:val="24"/>
          <w:lang w:eastAsia="en-AU"/>
        </w:rPr>
      </w:pPr>
      <w:hyperlink w:anchor="_Toc207013316" w:history="1">
        <w:r w:rsidRPr="00C204E6">
          <w:rPr>
            <w:rStyle w:val="Hyperlink"/>
            <w:noProof/>
          </w:rPr>
          <w:t>Data availability</w:t>
        </w:r>
        <w:r>
          <w:rPr>
            <w:noProof/>
            <w:webHidden/>
          </w:rPr>
          <w:tab/>
        </w:r>
        <w:r>
          <w:rPr>
            <w:noProof/>
            <w:webHidden/>
          </w:rPr>
          <w:fldChar w:fldCharType="begin"/>
        </w:r>
        <w:r>
          <w:rPr>
            <w:noProof/>
            <w:webHidden/>
          </w:rPr>
          <w:instrText xml:space="preserve"> PAGEREF _Toc207013316 \h </w:instrText>
        </w:r>
        <w:r>
          <w:rPr>
            <w:noProof/>
            <w:webHidden/>
          </w:rPr>
        </w:r>
        <w:r>
          <w:rPr>
            <w:noProof/>
            <w:webHidden/>
          </w:rPr>
          <w:fldChar w:fldCharType="separate"/>
        </w:r>
        <w:r>
          <w:rPr>
            <w:noProof/>
            <w:webHidden/>
          </w:rPr>
          <w:t>14</w:t>
        </w:r>
        <w:r>
          <w:rPr>
            <w:noProof/>
            <w:webHidden/>
          </w:rPr>
          <w:fldChar w:fldCharType="end"/>
        </w:r>
      </w:hyperlink>
    </w:p>
    <w:p w14:paraId="3165A263" w14:textId="3D455221" w:rsidR="006E47CB" w:rsidRDefault="006E47CB">
      <w:pPr>
        <w:pStyle w:val="TOC1"/>
        <w:rPr>
          <w:rFonts w:eastAsiaTheme="minorEastAsia" w:cstheme="minorBidi"/>
          <w:b w:val="0"/>
          <w:bCs w:val="0"/>
          <w:iCs w:val="0"/>
          <w:noProof/>
          <w:kern w:val="2"/>
          <w:sz w:val="24"/>
          <w:lang w:eastAsia="en-AU"/>
        </w:rPr>
      </w:pPr>
      <w:hyperlink w:anchor="_Toc207013317" w:history="1">
        <w:r w:rsidRPr="00C204E6">
          <w:rPr>
            <w:rStyle w:val="Hyperlink"/>
            <w:noProof/>
          </w:rPr>
          <w:t>Author details</w:t>
        </w:r>
        <w:r>
          <w:rPr>
            <w:noProof/>
            <w:webHidden/>
          </w:rPr>
          <w:tab/>
        </w:r>
        <w:r>
          <w:rPr>
            <w:noProof/>
            <w:webHidden/>
          </w:rPr>
          <w:fldChar w:fldCharType="begin"/>
        </w:r>
        <w:r>
          <w:rPr>
            <w:noProof/>
            <w:webHidden/>
          </w:rPr>
          <w:instrText xml:space="preserve"> PAGEREF _Toc207013317 \h </w:instrText>
        </w:r>
        <w:r>
          <w:rPr>
            <w:noProof/>
            <w:webHidden/>
          </w:rPr>
        </w:r>
        <w:r>
          <w:rPr>
            <w:noProof/>
            <w:webHidden/>
          </w:rPr>
          <w:fldChar w:fldCharType="separate"/>
        </w:r>
        <w:r>
          <w:rPr>
            <w:noProof/>
            <w:webHidden/>
          </w:rPr>
          <w:t>15</w:t>
        </w:r>
        <w:r>
          <w:rPr>
            <w:noProof/>
            <w:webHidden/>
          </w:rPr>
          <w:fldChar w:fldCharType="end"/>
        </w:r>
      </w:hyperlink>
    </w:p>
    <w:p w14:paraId="2313822A" w14:textId="08F99781" w:rsidR="006E47CB" w:rsidRDefault="006E47CB">
      <w:pPr>
        <w:pStyle w:val="TOC1"/>
        <w:rPr>
          <w:rFonts w:eastAsiaTheme="minorEastAsia" w:cstheme="minorBidi"/>
          <w:b w:val="0"/>
          <w:bCs w:val="0"/>
          <w:iCs w:val="0"/>
          <w:noProof/>
          <w:kern w:val="2"/>
          <w:sz w:val="24"/>
          <w:lang w:eastAsia="en-AU"/>
        </w:rPr>
      </w:pPr>
      <w:hyperlink w:anchor="_Toc207013318" w:history="1">
        <w:r w:rsidRPr="00C204E6">
          <w:rPr>
            <w:rStyle w:val="Hyperlink"/>
            <w:noProof/>
          </w:rPr>
          <w:t>References</w:t>
        </w:r>
        <w:r>
          <w:rPr>
            <w:noProof/>
            <w:webHidden/>
          </w:rPr>
          <w:tab/>
        </w:r>
        <w:r>
          <w:rPr>
            <w:noProof/>
            <w:webHidden/>
          </w:rPr>
          <w:fldChar w:fldCharType="begin"/>
        </w:r>
        <w:r>
          <w:rPr>
            <w:noProof/>
            <w:webHidden/>
          </w:rPr>
          <w:instrText xml:space="preserve"> PAGEREF _Toc207013318 \h </w:instrText>
        </w:r>
        <w:r>
          <w:rPr>
            <w:noProof/>
            <w:webHidden/>
          </w:rPr>
        </w:r>
        <w:r>
          <w:rPr>
            <w:noProof/>
            <w:webHidden/>
          </w:rPr>
          <w:fldChar w:fldCharType="separate"/>
        </w:r>
        <w:r>
          <w:rPr>
            <w:noProof/>
            <w:webHidden/>
          </w:rPr>
          <w:t>16</w:t>
        </w:r>
        <w:r>
          <w:rPr>
            <w:noProof/>
            <w:webHidden/>
          </w:rPr>
          <w:fldChar w:fldCharType="end"/>
        </w:r>
      </w:hyperlink>
    </w:p>
    <w:p w14:paraId="4F4706C9" w14:textId="3E7542B3" w:rsidR="00F216F0" w:rsidRPr="00F216F0" w:rsidRDefault="005A4E9D" w:rsidP="00F216F0">
      <w:r>
        <w:rPr>
          <w:rFonts w:eastAsiaTheme="minorHAnsi" w:cstheme="minorHAnsi"/>
          <w:szCs w:val="24"/>
          <w:lang w:eastAsia="en-US"/>
        </w:rPr>
        <w:fldChar w:fldCharType="end"/>
      </w:r>
    </w:p>
    <w:p w14:paraId="1D2C6E58" w14:textId="77777777" w:rsidR="00F25C00" w:rsidRDefault="0098426C" w:rsidP="00A24E95">
      <w:pPr>
        <w:pStyle w:val="Heading1"/>
      </w:pPr>
      <w:bookmarkStart w:id="8" w:name="_Toc195530498"/>
      <w:bookmarkStart w:id="9" w:name="_Toc207013306"/>
      <w:bookmarkEnd w:id="7"/>
      <w:r>
        <w:lastRenderedPageBreak/>
        <w:t>Abstract</w:t>
      </w:r>
      <w:bookmarkEnd w:id="8"/>
      <w:bookmarkEnd w:id="9"/>
    </w:p>
    <w:p w14:paraId="5F19548F" w14:textId="77777777" w:rsidR="00744318" w:rsidRPr="00744318" w:rsidRDefault="00744318" w:rsidP="00744318">
      <w:pPr>
        <w:pStyle w:val="Heading2-lessspacebefore"/>
        <w:rPr>
          <w:lang w:val="en-GB"/>
        </w:rPr>
      </w:pPr>
      <w:bookmarkStart w:id="10" w:name="_Toc207013307"/>
      <w:r w:rsidRPr="00744318">
        <w:rPr>
          <w:lang w:val="en-GB"/>
        </w:rPr>
        <w:t>Background</w:t>
      </w:r>
      <w:bookmarkEnd w:id="10"/>
    </w:p>
    <w:p w14:paraId="69CDE27E" w14:textId="77777777" w:rsidR="00744318" w:rsidRPr="00744318" w:rsidRDefault="00744318" w:rsidP="00744318">
      <w:pPr>
        <w:rPr>
          <w:lang w:val="en-GB"/>
        </w:rPr>
      </w:pPr>
      <w:r w:rsidRPr="00744318">
        <w:rPr>
          <w:lang w:val="en-GB"/>
        </w:rPr>
        <w:t>Both injecting drug use (IDU) and drug use by non-injecting routes only (non-IDU) are recognised internationally as behavioural risk factors for syphilis. In Australia, this association has predominantly been assessed in sexual health services. To generate evidence supporting regular screening and timely symptomatic testing of all at-risk populations, South Australia in 2022 commenced routine collection of drug use information for statutory syphilis surveillance.</w:t>
      </w:r>
    </w:p>
    <w:p w14:paraId="1A76DA56" w14:textId="77777777" w:rsidR="00744318" w:rsidRPr="00744318" w:rsidRDefault="00744318" w:rsidP="00744318">
      <w:pPr>
        <w:pStyle w:val="Heading2"/>
        <w:rPr>
          <w:lang w:val="en-GB"/>
        </w:rPr>
      </w:pPr>
      <w:bookmarkStart w:id="11" w:name="_Toc207013308"/>
      <w:r w:rsidRPr="00744318">
        <w:rPr>
          <w:lang w:val="en-GB"/>
        </w:rPr>
        <w:t>Methods</w:t>
      </w:r>
      <w:bookmarkEnd w:id="11"/>
    </w:p>
    <w:p w14:paraId="5CA2D18F" w14:textId="77777777" w:rsidR="00744318" w:rsidRPr="00744318" w:rsidRDefault="00744318" w:rsidP="00744318">
      <w:pPr>
        <w:rPr>
          <w:lang w:val="en-GB"/>
        </w:rPr>
      </w:pPr>
      <w:r w:rsidRPr="00744318">
        <w:rPr>
          <w:lang w:val="en-GB"/>
        </w:rPr>
        <w:t>We analysed reported IDU and non-IDU for all cases of infectious syphilis notified during the period 1 July 2022 – 30 September 2023 by demographic, clinical, and diagnosing provider characteristics. We used descriptive analyses and univariable logistic regression to compare IDU cases and non-IDU cases separately to cases reporting no drug use.</w:t>
      </w:r>
    </w:p>
    <w:p w14:paraId="6D4E3D41" w14:textId="77777777" w:rsidR="00744318" w:rsidRPr="00744318" w:rsidRDefault="00744318" w:rsidP="00744318">
      <w:pPr>
        <w:pStyle w:val="Heading2"/>
        <w:rPr>
          <w:lang w:val="en-GB"/>
        </w:rPr>
      </w:pPr>
      <w:bookmarkStart w:id="12" w:name="_Toc207013309"/>
      <w:r w:rsidRPr="00744318">
        <w:rPr>
          <w:lang w:val="en-GB"/>
        </w:rPr>
        <w:t>Results</w:t>
      </w:r>
      <w:bookmarkEnd w:id="12"/>
    </w:p>
    <w:p w14:paraId="6D90CC70" w14:textId="2AA2439A" w:rsidR="00744318" w:rsidRPr="00744318" w:rsidRDefault="00744318" w:rsidP="00744318">
      <w:pPr>
        <w:rPr>
          <w:lang w:val="en-GB"/>
        </w:rPr>
      </w:pPr>
      <w:r w:rsidRPr="00744318">
        <w:rPr>
          <w:lang w:val="en-GB"/>
        </w:rPr>
        <w:t>There were 450 notifications during the 15-month period. Among the 92% of notifications with available information, IDU was reported for 10% of cases and non-IDU for 17%. Drug use of any kind was more common among females, cases diagnosed outside specialist services, and heterosexual and bisexual cases. Differences by city versus regional or remote location and symptom status were less notable. Only the increased odds of IDU among females (odds ratio (OR): 2.8; 95% confidence interval (95% CI): 1.2–6.3) and the increased odds of either type of drug use among cases reporting sexual partners of a different sex (IDU: OR: 2.5; 95% CI: 1.2–5.3; non-IDU: OR: 3.0; 95% CI: 1.7–5.4) and of partners of both sexes for non-IDU (OR: 3.0; 95% CI:</w:t>
      </w:r>
      <w:r w:rsidR="003233AE">
        <w:rPr>
          <w:lang w:val="en-GB"/>
        </w:rPr>
        <w:t> </w:t>
      </w:r>
      <w:r w:rsidRPr="00744318">
        <w:rPr>
          <w:lang w:val="en-GB"/>
        </w:rPr>
        <w:t>1.4–6.6) reached statistical significance.</w:t>
      </w:r>
    </w:p>
    <w:p w14:paraId="66FFDF31" w14:textId="77777777" w:rsidR="00744318" w:rsidRPr="00744318" w:rsidRDefault="00744318" w:rsidP="00744318">
      <w:pPr>
        <w:pStyle w:val="Heading2"/>
        <w:rPr>
          <w:lang w:val="en-GB"/>
        </w:rPr>
      </w:pPr>
      <w:bookmarkStart w:id="13" w:name="_Toc207013310"/>
      <w:r w:rsidRPr="00744318">
        <w:rPr>
          <w:lang w:val="en-GB"/>
        </w:rPr>
        <w:t>Conclusion</w:t>
      </w:r>
      <w:bookmarkEnd w:id="13"/>
    </w:p>
    <w:p w14:paraId="01225A68" w14:textId="77777777" w:rsidR="00744318" w:rsidRPr="00744318" w:rsidRDefault="00744318" w:rsidP="00744318">
      <w:pPr>
        <w:rPr>
          <w:lang w:val="en-GB"/>
        </w:rPr>
      </w:pPr>
      <w:r w:rsidRPr="00744318">
        <w:rPr>
          <w:lang w:val="en-GB"/>
        </w:rPr>
        <w:t xml:space="preserve">These data demonstrate a high prevalence of IDU and non-IDU amongst syphilis cases diagnosed outside sexual health services. Females and heterosexuals report drug use more frequently than men who have sex with men (MSM). In response, the correctional and drug and alcohol sectors have been engaged to increase routine screening and primary care providers alerted to recreational drug use as a risk factor for syphilis. </w:t>
      </w:r>
    </w:p>
    <w:p w14:paraId="46EB1317" w14:textId="7067106E" w:rsidR="00B73144" w:rsidRDefault="00744318" w:rsidP="00744318">
      <w:pPr>
        <w:pStyle w:val="CDIBoxText"/>
        <w:spacing w:before="360"/>
        <w:rPr>
          <w:lang w:val="en-GB"/>
        </w:rPr>
      </w:pPr>
      <w:r w:rsidRPr="00744318">
        <w:t>Keywords: syphilis; surveillance; re-emerging disease; sexually transmitted disease; infectious disease; drug use; methamphetamine; Australia</w:t>
      </w:r>
    </w:p>
    <w:p w14:paraId="4348390A" w14:textId="5B70AF37" w:rsidR="0037146D" w:rsidRDefault="003233AE" w:rsidP="00B73144">
      <w:pPr>
        <w:pStyle w:val="Heading1"/>
      </w:pPr>
      <w:bookmarkStart w:id="14" w:name="_Toc207013311"/>
      <w:r>
        <w:lastRenderedPageBreak/>
        <w:t>Background</w:t>
      </w:r>
      <w:bookmarkEnd w:id="14"/>
    </w:p>
    <w:p w14:paraId="307C2CA9" w14:textId="77777777" w:rsidR="003233AE" w:rsidRPr="003233AE" w:rsidRDefault="003233AE" w:rsidP="003233AE">
      <w:pPr>
        <w:rPr>
          <w:lang w:val="en-GB"/>
        </w:rPr>
      </w:pPr>
      <w:r w:rsidRPr="003233AE">
        <w:rPr>
          <w:lang w:val="en-GB"/>
        </w:rPr>
        <w:t xml:space="preserve">Syphilis is a primarily sexually transmitted infection (STI) caused by </w:t>
      </w:r>
      <w:r w:rsidRPr="003233AE">
        <w:rPr>
          <w:i/>
          <w:iCs/>
          <w:lang w:val="en-GB"/>
        </w:rPr>
        <w:t>Treponema pallidum</w:t>
      </w:r>
      <w:r w:rsidRPr="003233AE">
        <w:rPr>
          <w:lang w:val="en-GB"/>
        </w:rPr>
        <w:t>, which has re-emerged as a considerable public health concern in Australia and internationally. Over the past ten years, the number of infectious syphilis notifications in Australia has risen more than threefold.</w:t>
      </w:r>
      <w:r w:rsidRPr="003233AE">
        <w:rPr>
          <w:vertAlign w:val="superscript"/>
          <w:lang w:val="en-GB"/>
        </w:rPr>
        <w:t>1</w:t>
      </w:r>
      <w:r w:rsidRPr="003233AE">
        <w:rPr>
          <w:lang w:val="en-GB"/>
        </w:rPr>
        <w:t xml:space="preserve"> In the state of South Australia, this trend has been still more pronounced: case numbers have risen almost sixfold since the state adopted the national surveillance case definition for infectious syphilis, increasing from 56 cases in 2015 to 323 cases in 2023.</w:t>
      </w:r>
      <w:r w:rsidRPr="003233AE">
        <w:rPr>
          <w:vertAlign w:val="superscript"/>
          <w:lang w:val="en-GB"/>
        </w:rPr>
        <w:footnoteReference w:id="2"/>
      </w:r>
      <w:r w:rsidRPr="003233AE">
        <w:rPr>
          <w:lang w:val="en-GB"/>
        </w:rPr>
        <w:t xml:space="preserve"> While notifications have increased among populations of all sexual orientations, the greatest relative increase in the past five years has been observed among women and among men reporting female or bisexual contact.</w:t>
      </w:r>
      <w:r w:rsidRPr="003233AE">
        <w:rPr>
          <w:vertAlign w:val="superscript"/>
          <w:lang w:val="en-GB"/>
        </w:rPr>
        <w:footnoteReference w:id="3"/>
      </w:r>
      <w:r w:rsidRPr="003233AE">
        <w:rPr>
          <w:lang w:val="en-GB"/>
        </w:rPr>
        <w:t xml:space="preserve"> In Australia, infectious syphilis disproportionately affects men who have sex with men (MSM) and Aboriginal and Torres Strait Islander peoples.</w:t>
      </w:r>
      <w:r w:rsidRPr="003233AE">
        <w:rPr>
          <w:vertAlign w:val="superscript"/>
          <w:lang w:val="en-GB"/>
        </w:rPr>
        <w:t>2</w:t>
      </w:r>
      <w:r w:rsidRPr="003233AE">
        <w:rPr>
          <w:lang w:val="en-GB"/>
        </w:rPr>
        <w:t xml:space="preserve"> Males continue to experience higher notification rates than do females, due to ongoing high rates of syphilis among MSM. Nevertheless, the male-to-female notification rate ratio has narrowed considerably over the past ten years, dropping to 3.8 male cases for each female case in 2023 from 10.8 male cases for each female case in 2014.</w:t>
      </w:r>
      <w:r w:rsidRPr="003233AE">
        <w:rPr>
          <w:vertAlign w:val="superscript"/>
          <w:lang w:val="en-GB"/>
        </w:rPr>
        <w:t>3</w:t>
      </w:r>
      <w:r w:rsidRPr="003233AE">
        <w:rPr>
          <w:lang w:val="en-GB"/>
        </w:rPr>
        <w:t xml:space="preserve"> As a result of the changing epidemiology towards more frequent heterosexual transmission, the state recorded three cases of congenital syphilis between 2017 and 2023, the first such cases since the 1990s.</w:t>
      </w:r>
      <w:r w:rsidRPr="003233AE">
        <w:rPr>
          <w:vertAlign w:val="superscript"/>
          <w:lang w:val="en-GB"/>
        </w:rPr>
        <w:t>4</w:t>
      </w:r>
      <w:r w:rsidRPr="003233AE">
        <w:rPr>
          <w:lang w:val="en-GB"/>
        </w:rPr>
        <w:t xml:space="preserve"> </w:t>
      </w:r>
    </w:p>
    <w:p w14:paraId="26CA148E" w14:textId="77777777" w:rsidR="003233AE" w:rsidRPr="003233AE" w:rsidRDefault="003233AE" w:rsidP="003233AE">
      <w:pPr>
        <w:rPr>
          <w:lang w:val="en-GB"/>
        </w:rPr>
      </w:pPr>
      <w:r w:rsidRPr="003233AE">
        <w:rPr>
          <w:lang w:val="en-GB"/>
        </w:rPr>
        <w:t xml:space="preserve">Recreational drug use is recognised internationally as a behavioural risk factor for syphilis infection. This includes </w:t>
      </w:r>
      <w:proofErr w:type="spellStart"/>
      <w:r w:rsidRPr="003233AE">
        <w:rPr>
          <w:lang w:val="en-GB"/>
        </w:rPr>
        <w:t>chemsex</w:t>
      </w:r>
      <w:proofErr w:type="spellEnd"/>
      <w:r w:rsidRPr="003233AE">
        <w:rPr>
          <w:lang w:val="en-GB"/>
        </w:rPr>
        <w:t>, defined as the sexualised use of drugs with the specific purpose of enhancing sexual pleasure or performance predominantly among MSM.</w:t>
      </w:r>
      <w:r w:rsidRPr="003233AE">
        <w:rPr>
          <w:vertAlign w:val="superscript"/>
          <w:lang w:val="en-GB"/>
        </w:rPr>
        <w:t>5</w:t>
      </w:r>
      <w:r w:rsidRPr="003233AE">
        <w:rPr>
          <w:lang w:val="en-GB"/>
        </w:rPr>
        <w:t xml:space="preserve"> The intersection between non-sexualised recreational drug use and syphilis among the general population has been documented since the 1980s and 1990s, with highlighting of links between cocaine use and transactional sex with multiple anonymous partners.</w:t>
      </w:r>
      <w:r w:rsidRPr="003233AE">
        <w:rPr>
          <w:vertAlign w:val="superscript"/>
          <w:lang w:val="en-GB"/>
        </w:rPr>
        <w:t>6–8</w:t>
      </w:r>
      <w:r w:rsidRPr="003233AE">
        <w:rPr>
          <w:lang w:val="en-GB"/>
        </w:rPr>
        <w:t xml:space="preserve"> More recently, increases in early syphilis among heterosexual populations in the United States of America (USA) have been attributed to increasing prevalence of drug use, particularly injecting drug use (IDU) and any route of methamphetamine consumption.</w:t>
      </w:r>
      <w:r w:rsidRPr="003233AE">
        <w:rPr>
          <w:vertAlign w:val="superscript"/>
          <w:lang w:val="en-GB"/>
        </w:rPr>
        <w:t>9,10</w:t>
      </w:r>
      <w:r w:rsidRPr="003233AE">
        <w:rPr>
          <w:lang w:val="en-GB"/>
        </w:rPr>
        <w:t xml:space="preserve"> </w:t>
      </w:r>
    </w:p>
    <w:p w14:paraId="3183582A" w14:textId="77777777" w:rsidR="003233AE" w:rsidRPr="003233AE" w:rsidRDefault="003233AE" w:rsidP="003233AE">
      <w:pPr>
        <w:rPr>
          <w:lang w:val="en-GB"/>
        </w:rPr>
      </w:pPr>
      <w:r w:rsidRPr="003233AE">
        <w:rPr>
          <w:lang w:val="en-GB"/>
        </w:rPr>
        <w:t>Non-injecting, non-methamphetamine drug use such as cannabis consumption has also been linked to an increased frequency of sexual risk taking, such as a greater number of partners and a higher likelihood of previous STI diagnoses.</w:t>
      </w:r>
      <w:r w:rsidRPr="003233AE">
        <w:rPr>
          <w:vertAlign w:val="superscript"/>
          <w:lang w:val="en-GB"/>
        </w:rPr>
        <w:t>11</w:t>
      </w:r>
    </w:p>
    <w:p w14:paraId="16DA0F2A" w14:textId="77777777" w:rsidR="003233AE" w:rsidRPr="003233AE" w:rsidRDefault="003233AE" w:rsidP="003233AE">
      <w:pPr>
        <w:rPr>
          <w:lang w:val="en-GB"/>
        </w:rPr>
      </w:pPr>
      <w:r w:rsidRPr="003233AE">
        <w:rPr>
          <w:lang w:val="en-GB"/>
        </w:rPr>
        <w:t>In Australia, the role of non-sexualised recreational drug use in syphilis transmission has predominantly been assessed among clients of specialist sexual health services. A retrospective cohort study of MSM attending Melbourne Sexual Health Centre identified IDU as an independent risk factor for incident syphilis.</w:t>
      </w:r>
      <w:r w:rsidRPr="003233AE">
        <w:rPr>
          <w:vertAlign w:val="superscript"/>
          <w:lang w:val="en-GB"/>
        </w:rPr>
        <w:t>12</w:t>
      </w:r>
      <w:r w:rsidRPr="003233AE">
        <w:rPr>
          <w:lang w:val="en-GB"/>
        </w:rPr>
        <w:t xml:space="preserve"> The association was stronger for use in the previous 12 months than for use that ceased more than 12 months ago.</w:t>
      </w:r>
      <w:r w:rsidRPr="003233AE">
        <w:rPr>
          <w:vertAlign w:val="superscript"/>
          <w:lang w:val="en-GB"/>
        </w:rPr>
        <w:t>12</w:t>
      </w:r>
      <w:r w:rsidRPr="003233AE">
        <w:rPr>
          <w:lang w:val="en-GB"/>
        </w:rPr>
        <w:t xml:space="preserve"> An analysis of data from sexual health clinics participating in the Australian Collaboration for Coordinated Enhanced Sentinel Surveillance of Sexually Transmissible Infections and Blood Borne Viruses (ACCESS) found a significantly higher rate of infectious syphilis among women who reported IDU in the previous twelve months than among other women, with a similar but less pronounced association among heterosexual males.</w:t>
      </w:r>
      <w:r w:rsidRPr="003233AE">
        <w:rPr>
          <w:vertAlign w:val="superscript"/>
          <w:lang w:val="en-GB"/>
        </w:rPr>
        <w:t>13</w:t>
      </w:r>
    </w:p>
    <w:p w14:paraId="44C10CC0" w14:textId="0F5717EE" w:rsidR="00AC46DC" w:rsidRPr="00AC46DC" w:rsidRDefault="003233AE" w:rsidP="00AC46DC">
      <w:r w:rsidRPr="003233AE">
        <w:rPr>
          <w:lang w:val="en-GB"/>
        </w:rPr>
        <w:t xml:space="preserve">Against the backdrop of increasing heterosexual transmission of syphilis and mounting international evidence of recreational drug use as one of the drivers of this epidemiological shift, the State Government of South Australia Department of Health (SA Health) commenced routine collection of information on drug use as part of statewide syphilis surveillance in 2022. </w:t>
      </w:r>
      <w:r w:rsidRPr="003233AE">
        <w:rPr>
          <w:lang w:val="en-GB"/>
        </w:rPr>
        <w:lastRenderedPageBreak/>
        <w:t>The</w:t>
      </w:r>
      <w:r>
        <w:rPr>
          <w:lang w:val="en-GB"/>
        </w:rPr>
        <w:t> </w:t>
      </w:r>
      <w:r w:rsidRPr="003233AE">
        <w:rPr>
          <w:lang w:val="en-GB"/>
        </w:rPr>
        <w:t xml:space="preserve">intention of the change in surveillance practice was to generate local data to strengthen the case for system and service-specific changes in support of regular screening and timely symptomatic testing of all at-risk populations. To our knowledge, this is the first Australian report of state-wide patterns of drug use among syphilis cases regardless of the diagnosing service. </w:t>
      </w:r>
    </w:p>
    <w:p w14:paraId="3D12EC9B" w14:textId="49B22A86" w:rsidR="00A24E95" w:rsidRDefault="003233AE" w:rsidP="00B73144">
      <w:pPr>
        <w:pStyle w:val="Heading1"/>
        <w:rPr>
          <w:lang w:val="en-GB"/>
        </w:rPr>
      </w:pPr>
      <w:bookmarkStart w:id="15" w:name="_Toc195530502"/>
      <w:bookmarkStart w:id="16" w:name="_Toc207013312"/>
      <w:r>
        <w:rPr>
          <w:lang w:val="en-GB"/>
        </w:rPr>
        <w:lastRenderedPageBreak/>
        <w:t>Material and m</w:t>
      </w:r>
      <w:r w:rsidR="00B73144">
        <w:rPr>
          <w:lang w:val="en-GB"/>
        </w:rPr>
        <w:t>ethods</w:t>
      </w:r>
      <w:bookmarkEnd w:id="15"/>
      <w:bookmarkEnd w:id="16"/>
    </w:p>
    <w:p w14:paraId="562B42C9" w14:textId="77777777" w:rsidR="003233AE" w:rsidRPr="003233AE" w:rsidRDefault="003233AE" w:rsidP="003233AE">
      <w:pPr>
        <w:rPr>
          <w:lang w:val="en-GB"/>
        </w:rPr>
      </w:pPr>
      <w:r w:rsidRPr="003233AE">
        <w:rPr>
          <w:lang w:val="en-GB"/>
        </w:rPr>
        <w:t xml:space="preserve">Syphilis is a notifiable condition under the South Australian </w:t>
      </w:r>
      <w:r w:rsidRPr="003233AE">
        <w:rPr>
          <w:i/>
          <w:iCs/>
          <w:lang w:val="en-GB"/>
        </w:rPr>
        <w:t>Public Health Act 2011</w:t>
      </w:r>
      <w:r w:rsidRPr="003233AE">
        <w:rPr>
          <w:lang w:val="en-GB"/>
        </w:rPr>
        <w:t>.</w:t>
      </w:r>
      <w:r w:rsidRPr="003233AE">
        <w:rPr>
          <w:vertAlign w:val="superscript"/>
          <w:lang w:val="en-GB"/>
        </w:rPr>
        <w:t>14</w:t>
      </w:r>
      <w:r w:rsidRPr="003233AE">
        <w:rPr>
          <w:lang w:val="en-GB"/>
        </w:rPr>
        <w:t xml:space="preserve"> The state has a dual notification system, which requires notification by the testing laboratory and the diagnosing medical practitioner. The </w:t>
      </w:r>
      <w:r w:rsidRPr="003233AE">
        <w:rPr>
          <w:i/>
          <w:iCs/>
          <w:lang w:val="en-GB"/>
        </w:rPr>
        <w:t>Public Health Act</w:t>
      </w:r>
      <w:r w:rsidRPr="003233AE">
        <w:rPr>
          <w:lang w:val="en-GB"/>
        </w:rPr>
        <w:t xml:space="preserve"> does not prescribe which information can be sought from medical notifiers, instead delegating this determination to the Chief Public Health Officer.</w:t>
      </w:r>
      <w:r w:rsidRPr="003233AE">
        <w:rPr>
          <w:vertAlign w:val="superscript"/>
          <w:lang w:val="en-GB"/>
        </w:rPr>
        <w:t>14</w:t>
      </w:r>
      <w:r w:rsidRPr="003233AE">
        <w:rPr>
          <w:lang w:val="en-GB"/>
        </w:rPr>
        <w:t xml:space="preserve"> Within this statutory framework, at the end of April 2022, South Australia introduced a new syphilis notification form for medical practitioners. The new form for the first time collected data on drug use in the past 12 months. Specifically, the form prompts notifiers to indicate whether reported drug use consisted of IDU and/or non-injecting drug use (non-IDU) and asks them to specify the drugs consumed, if known.</w:t>
      </w:r>
      <w:r w:rsidRPr="003233AE">
        <w:rPr>
          <w:vertAlign w:val="superscript"/>
          <w:lang w:val="en-GB"/>
        </w:rPr>
        <w:t>15</w:t>
      </w:r>
      <w:r w:rsidRPr="003233AE">
        <w:rPr>
          <w:lang w:val="en-GB"/>
        </w:rPr>
        <w:t xml:space="preserve"> Where any of these data were missing, information regarding drug use ascertained from the case </w:t>
      </w:r>
      <w:proofErr w:type="gramStart"/>
      <w:r w:rsidRPr="003233AE">
        <w:rPr>
          <w:lang w:val="en-GB"/>
        </w:rPr>
        <w:t>as a result of</w:t>
      </w:r>
      <w:proofErr w:type="gramEnd"/>
      <w:r w:rsidRPr="003233AE">
        <w:rPr>
          <w:lang w:val="en-GB"/>
        </w:rPr>
        <w:t xml:space="preserve"> partner notification was substituted. This occurred as part of a regular case conference between the Communicable Disease Control Branch at SA Health and the statewide Partner Notification Service located at the Adelaide Sexual Health Centre that is standard practice in South Australia. During the case conference, any missing surveillance data from the medical notification that was obtained by the partner notification officers during the case interview is added to the surveillance database and subsequently becomes undistinguishable from data obtained from the original medical notifier. </w:t>
      </w:r>
    </w:p>
    <w:p w14:paraId="54AE0D62" w14:textId="77777777" w:rsidR="003233AE" w:rsidRPr="003233AE" w:rsidRDefault="003233AE" w:rsidP="003233AE">
      <w:pPr>
        <w:rPr>
          <w:lang w:val="en-GB"/>
        </w:rPr>
      </w:pPr>
      <w:r w:rsidRPr="003233AE">
        <w:rPr>
          <w:lang w:val="en-GB"/>
        </w:rPr>
        <w:t>We extracted standardised surveillance data from the SA Health Notifiable Infectious Disease Surveillance database (NIDS) for all probable and confirmed cases of infectious syphilis notified between 1 July 2022 and 30 September 2023. The study period commenced on 1 July 2022 to allow two months for notifiers to adopt the new notification form and ensure greater completeness of newly introduced data items. Drug use was categorised by route of administration into IDU and drug use by any other route (non-IDU). We analysed reported drug use by demographic, clinical, and diagnosing provider characteristics using descriptive analysis and assessed the overall difference in frequency distribution using χ</w:t>
      </w:r>
      <w:r w:rsidRPr="003233AE">
        <w:rPr>
          <w:vertAlign w:val="superscript"/>
          <w:lang w:val="en-GB"/>
        </w:rPr>
        <w:t>2</w:t>
      </w:r>
      <w:r w:rsidRPr="003233AE">
        <w:rPr>
          <w:lang w:val="en-GB"/>
        </w:rPr>
        <w:t xml:space="preserve"> and Fisher’s exact tests. We then conducted separate univariable logistic regression analyses for IDU and non-IDU. For both the difference in proportions and the logistic regression models, we analysed drug use outcomes separately by route of administration, i.e. we compared cases reporting IDU (regardless of whether they also consumed non-injected drugs) to cases reporting no drug use, and cases reporting non-IDU only to cases reporting no drug use. For the descriptive and univariable regression analyses by drug use status, we excluded cases with missing data in the relevant categories. The diagnosing service was classified as a specialist sexual health service where there is stand-alone centralised expertise in sexual health: in South Australia this includes Adelaide Sexual Health Service, SHINE SA, and O'Brien Street Practice. All analyses were undertaken in Stata 17. </w:t>
      </w:r>
    </w:p>
    <w:p w14:paraId="1A0BBB65" w14:textId="2D783028" w:rsidR="00BE73E6" w:rsidRPr="00BE73E6" w:rsidRDefault="003233AE" w:rsidP="00BE73E6">
      <w:pPr>
        <w:rPr>
          <w:lang w:val="en-GB"/>
        </w:rPr>
      </w:pPr>
      <w:r w:rsidRPr="003233AE">
        <w:rPr>
          <w:lang w:val="en-GB"/>
        </w:rPr>
        <w:t>Data were collected and analysed as part of routine statutory disease surveillance and quality assurance. Ethical review was therefore not required. We obtained data custodian approval for the use of de-identified routine surveillance data for the purpose of this report.</w:t>
      </w:r>
    </w:p>
    <w:p w14:paraId="4F20D74D" w14:textId="77777777" w:rsidR="008A0736" w:rsidRDefault="000073ED" w:rsidP="005A4E9D">
      <w:pPr>
        <w:pStyle w:val="Heading1"/>
      </w:pPr>
      <w:bookmarkStart w:id="17" w:name="_Toc195530503"/>
      <w:bookmarkStart w:id="18" w:name="_Toc207013313"/>
      <w:r>
        <w:lastRenderedPageBreak/>
        <w:t>Results</w:t>
      </w:r>
      <w:bookmarkEnd w:id="17"/>
      <w:bookmarkEnd w:id="18"/>
    </w:p>
    <w:p w14:paraId="02F76834" w14:textId="77777777" w:rsidR="003233AE" w:rsidRPr="003233AE" w:rsidRDefault="003233AE" w:rsidP="003233AE">
      <w:pPr>
        <w:rPr>
          <w:lang w:val="en-GB"/>
        </w:rPr>
      </w:pPr>
      <w:r w:rsidRPr="003233AE">
        <w:rPr>
          <w:lang w:val="en-GB"/>
        </w:rPr>
        <w:t xml:space="preserve">There were 450 probable and confirmed cases of infectious syphilis notified during the 15-month study period. Females accounted for 14% of cases (n = 62/450) during this </w:t>
      </w:r>
      <w:proofErr w:type="gramStart"/>
      <w:r w:rsidRPr="003233AE">
        <w:rPr>
          <w:lang w:val="en-GB"/>
        </w:rPr>
        <w:t>time period</w:t>
      </w:r>
      <w:proofErr w:type="gramEnd"/>
      <w:r w:rsidRPr="003233AE">
        <w:rPr>
          <w:lang w:val="en-GB"/>
        </w:rPr>
        <w:t xml:space="preserve">, and 57% of cases (n = 257/450) were diagnosed outside specialist sexual health services. Information on drug use was available for 92% of notifications (n = 412/450). Data completeness varied significantly by provider type, ranging from no missing data for notifications received from prison health services to 67% of notifications from Aboriginal health services missing drug use data (Table 1). </w:t>
      </w:r>
    </w:p>
    <w:p w14:paraId="58C5342D" w14:textId="23BF2EF8" w:rsidR="00AC46DC" w:rsidRDefault="003233AE" w:rsidP="003233AE">
      <w:pPr>
        <w:pStyle w:val="CDITable-Title"/>
      </w:pPr>
      <w:r w:rsidRPr="003233AE">
        <w:t xml:space="preserve">Table 1: </w:t>
      </w:r>
      <w:r w:rsidR="00FD337F" w:rsidRPr="00FD337F">
        <w:t>Notifications of probable and confirmed cases of infectious syphilis by reported drug use and</w:t>
      </w:r>
      <w:r w:rsidR="00FD337F">
        <w:t xml:space="preserve"> </w:t>
      </w:r>
      <w:r w:rsidRPr="003233AE">
        <w:t>diagnosing service, South</w:t>
      </w:r>
      <w:r>
        <w:t> </w:t>
      </w:r>
      <w:r w:rsidRPr="003233AE">
        <w:t>Australia, 1 July 2022 – 30 September 2023</w:t>
      </w:r>
    </w:p>
    <w:tbl>
      <w:tblPr>
        <w:tblW w:w="0" w:type="auto"/>
        <w:tblLayout w:type="fixed"/>
        <w:tblCellMar>
          <w:left w:w="0" w:type="dxa"/>
          <w:right w:w="0" w:type="dxa"/>
        </w:tblCellMar>
        <w:tblLook w:val="0000" w:firstRow="0" w:lastRow="0" w:firstColumn="0" w:lastColumn="0" w:noHBand="0" w:noVBand="0"/>
        <w:tblCaption w:val="Table 1: Notifications of probable and confirmed cases of infectious syphilis by reported drug use and diagnosing service, South Australia, 1 July 2022 – 30 September 2023"/>
        <w:tblDescription w:val="Table 1 shows the number and percentage of notifications originating from several categories of diagnosing clinical services by the type of drug use reported, including where information on drug use is missing."/>
      </w:tblPr>
      <w:tblGrid>
        <w:gridCol w:w="2438"/>
        <w:gridCol w:w="1440"/>
        <w:gridCol w:w="1440"/>
        <w:gridCol w:w="1440"/>
        <w:gridCol w:w="1440"/>
        <w:gridCol w:w="1440"/>
      </w:tblGrid>
      <w:tr w:rsidR="003233AE" w:rsidRPr="003233AE" w14:paraId="7AE4E804" w14:textId="77777777" w:rsidTr="00F7417F">
        <w:trPr>
          <w:trHeight w:val="20"/>
          <w:tblHeader/>
        </w:trPr>
        <w:tc>
          <w:tcPr>
            <w:tcW w:w="2438" w:type="dxa"/>
            <w:vMerge w:val="restart"/>
            <w:shd w:val="clear" w:color="auto" w:fill="1E4496" w:themeFill="text2"/>
            <w:tcMar>
              <w:top w:w="113" w:type="dxa"/>
              <w:left w:w="113" w:type="dxa"/>
              <w:bottom w:w="113" w:type="dxa"/>
              <w:right w:w="113" w:type="dxa"/>
            </w:tcMar>
            <w:vAlign w:val="bottom"/>
          </w:tcPr>
          <w:p w14:paraId="42D83CD4" w14:textId="77777777" w:rsidR="003233AE" w:rsidRPr="003233AE" w:rsidRDefault="003233AE" w:rsidP="00F7417F">
            <w:pPr>
              <w:pStyle w:val="CDITable-HeaderRowLeft"/>
            </w:pPr>
            <w:r w:rsidRPr="003233AE">
              <w:t>Diagnosing service</w:t>
            </w:r>
          </w:p>
        </w:tc>
        <w:tc>
          <w:tcPr>
            <w:tcW w:w="7200" w:type="dxa"/>
            <w:gridSpan w:val="5"/>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7CA256B2" w14:textId="77777777" w:rsidR="003233AE" w:rsidRPr="003233AE" w:rsidRDefault="003233AE" w:rsidP="00F7417F">
            <w:pPr>
              <w:pStyle w:val="CDITable-HeaderRowCentre"/>
            </w:pPr>
            <w:r w:rsidRPr="003233AE">
              <w:t>Drug use, n (</w:t>
            </w:r>
            <w:proofErr w:type="gramStart"/>
            <w:r w:rsidRPr="003233AE">
              <w:t>%)</w:t>
            </w:r>
            <w:r w:rsidRPr="00F7417F">
              <w:rPr>
                <w:vertAlign w:val="superscript"/>
              </w:rPr>
              <w:t>a</w:t>
            </w:r>
            <w:proofErr w:type="gramEnd"/>
          </w:p>
        </w:tc>
      </w:tr>
      <w:tr w:rsidR="003233AE" w:rsidRPr="003233AE" w14:paraId="32CBC3E6" w14:textId="77777777" w:rsidTr="00F7417F">
        <w:trPr>
          <w:trHeight w:val="20"/>
          <w:tblHeader/>
        </w:trPr>
        <w:tc>
          <w:tcPr>
            <w:tcW w:w="2438" w:type="dxa"/>
            <w:vMerge/>
            <w:shd w:val="clear" w:color="auto" w:fill="1E4496" w:themeFill="text2"/>
          </w:tcPr>
          <w:p w14:paraId="3AA5DD4F" w14:textId="77777777" w:rsidR="003233AE" w:rsidRPr="003233AE" w:rsidRDefault="003233AE" w:rsidP="003233AE">
            <w:pPr>
              <w:pStyle w:val="CDITable-RowCentre"/>
            </w:pPr>
          </w:p>
        </w:tc>
        <w:tc>
          <w:tcPr>
            <w:tcW w:w="1440"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08280348" w14:textId="77777777" w:rsidR="003233AE" w:rsidRPr="003233AE" w:rsidRDefault="003233AE" w:rsidP="00F7417F">
            <w:pPr>
              <w:pStyle w:val="CDITable-HeaderRowCentre"/>
            </w:pPr>
            <w:r w:rsidRPr="003233AE">
              <w:t>None reported</w:t>
            </w:r>
          </w:p>
        </w:tc>
        <w:tc>
          <w:tcPr>
            <w:tcW w:w="1440"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0212A3FF" w14:textId="77777777" w:rsidR="003233AE" w:rsidRPr="003233AE" w:rsidRDefault="003233AE" w:rsidP="00F7417F">
            <w:pPr>
              <w:pStyle w:val="CDITable-HeaderRowCentre"/>
            </w:pPr>
            <w:r w:rsidRPr="003233AE">
              <w:t>IDU only</w:t>
            </w:r>
          </w:p>
        </w:tc>
        <w:tc>
          <w:tcPr>
            <w:tcW w:w="1440"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202A2204" w14:textId="5FCB9CA3" w:rsidR="003233AE" w:rsidRPr="003233AE" w:rsidRDefault="003233AE" w:rsidP="00F7417F">
            <w:pPr>
              <w:pStyle w:val="CDITable-HeaderRowCentre"/>
            </w:pPr>
            <w:r w:rsidRPr="003233AE">
              <w:t>Non-IDU</w:t>
            </w:r>
            <w:r w:rsidR="00F7417F">
              <w:t xml:space="preserve"> </w:t>
            </w:r>
            <w:r w:rsidRPr="003233AE">
              <w:t>only</w:t>
            </w:r>
          </w:p>
        </w:tc>
        <w:tc>
          <w:tcPr>
            <w:tcW w:w="1440"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0B67A5A9" w14:textId="70354ED6" w:rsidR="003233AE" w:rsidRPr="003233AE" w:rsidRDefault="003233AE" w:rsidP="00F7417F">
            <w:pPr>
              <w:pStyle w:val="CDITable-HeaderRowCentre"/>
            </w:pPr>
            <w:r w:rsidRPr="003233AE">
              <w:t>IDU and non</w:t>
            </w:r>
            <w:r w:rsidR="00F7417F">
              <w:t> </w:t>
            </w:r>
            <w:r w:rsidRPr="003233AE">
              <w:t>IDU</w:t>
            </w:r>
          </w:p>
        </w:tc>
        <w:tc>
          <w:tcPr>
            <w:tcW w:w="1440"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224B0356" w14:textId="77777777" w:rsidR="003233AE" w:rsidRPr="003233AE" w:rsidRDefault="003233AE" w:rsidP="00F7417F">
            <w:pPr>
              <w:pStyle w:val="CDITable-HeaderRowCentre"/>
            </w:pPr>
            <w:r w:rsidRPr="003233AE">
              <w:t>Not stated</w:t>
            </w:r>
          </w:p>
        </w:tc>
      </w:tr>
      <w:tr w:rsidR="003233AE" w:rsidRPr="003233AE" w14:paraId="7D6126CF" w14:textId="77777777" w:rsidTr="00F7417F">
        <w:trPr>
          <w:trHeight w:val="20"/>
        </w:trPr>
        <w:tc>
          <w:tcPr>
            <w:tcW w:w="2438" w:type="dxa"/>
            <w:tcBorders>
              <w:bottom w:val="single" w:sz="6" w:space="0" w:color="1E4496" w:themeColor="text2"/>
            </w:tcBorders>
            <w:tcMar>
              <w:top w:w="113" w:type="dxa"/>
              <w:left w:w="113" w:type="dxa"/>
              <w:bottom w:w="113" w:type="dxa"/>
              <w:right w:w="113" w:type="dxa"/>
            </w:tcMar>
            <w:vAlign w:val="center"/>
          </w:tcPr>
          <w:p w14:paraId="4E27173C" w14:textId="77777777" w:rsidR="003233AE" w:rsidRPr="003233AE" w:rsidRDefault="003233AE" w:rsidP="00F7417F">
            <w:pPr>
              <w:pStyle w:val="CDITable-RowLeft"/>
            </w:pPr>
            <w:r w:rsidRPr="003233AE">
              <w:t xml:space="preserve">Specialist </w:t>
            </w:r>
            <w:proofErr w:type="spellStart"/>
            <w:r w:rsidRPr="003233AE">
              <w:t>service</w:t>
            </w:r>
            <w:r w:rsidRPr="00F7417F">
              <w:rPr>
                <w:vertAlign w:val="superscript"/>
              </w:rPr>
              <w:t>b</w:t>
            </w:r>
            <w:proofErr w:type="spellEnd"/>
          </w:p>
        </w:tc>
        <w:tc>
          <w:tcPr>
            <w:tcW w:w="1440" w:type="dxa"/>
            <w:tcBorders>
              <w:bottom w:val="single" w:sz="6" w:space="0" w:color="1E4496" w:themeColor="text2"/>
            </w:tcBorders>
            <w:tcMar>
              <w:top w:w="113" w:type="dxa"/>
              <w:left w:w="113" w:type="dxa"/>
              <w:bottom w:w="113" w:type="dxa"/>
              <w:right w:w="113" w:type="dxa"/>
            </w:tcMar>
            <w:vAlign w:val="center"/>
          </w:tcPr>
          <w:p w14:paraId="4CB339FA" w14:textId="77777777" w:rsidR="003233AE" w:rsidRPr="003233AE" w:rsidRDefault="003233AE" w:rsidP="003233AE">
            <w:pPr>
              <w:pStyle w:val="CDITable-RowCentre"/>
            </w:pPr>
            <w:r w:rsidRPr="003233AE">
              <w:t>150 (78%)</w:t>
            </w:r>
          </w:p>
        </w:tc>
        <w:tc>
          <w:tcPr>
            <w:tcW w:w="1440" w:type="dxa"/>
            <w:tcBorders>
              <w:bottom w:val="single" w:sz="6" w:space="0" w:color="1E4496" w:themeColor="text2"/>
            </w:tcBorders>
            <w:tcMar>
              <w:top w:w="113" w:type="dxa"/>
              <w:left w:w="113" w:type="dxa"/>
              <w:bottom w:w="113" w:type="dxa"/>
              <w:right w:w="113" w:type="dxa"/>
            </w:tcMar>
            <w:vAlign w:val="center"/>
          </w:tcPr>
          <w:p w14:paraId="12C41C37" w14:textId="77777777" w:rsidR="003233AE" w:rsidRPr="003233AE" w:rsidRDefault="003233AE" w:rsidP="003233AE">
            <w:pPr>
              <w:pStyle w:val="CDITable-RowCentre"/>
            </w:pPr>
            <w:r w:rsidRPr="003233AE">
              <w:t>10 (5%)</w:t>
            </w:r>
          </w:p>
        </w:tc>
        <w:tc>
          <w:tcPr>
            <w:tcW w:w="1440" w:type="dxa"/>
            <w:tcBorders>
              <w:bottom w:val="single" w:sz="6" w:space="0" w:color="1E4496" w:themeColor="text2"/>
            </w:tcBorders>
            <w:tcMar>
              <w:top w:w="113" w:type="dxa"/>
              <w:left w:w="113" w:type="dxa"/>
              <w:bottom w:w="113" w:type="dxa"/>
              <w:right w:w="113" w:type="dxa"/>
            </w:tcMar>
            <w:vAlign w:val="center"/>
          </w:tcPr>
          <w:p w14:paraId="087B2F25" w14:textId="77777777" w:rsidR="003233AE" w:rsidRPr="003233AE" w:rsidRDefault="003233AE" w:rsidP="003233AE">
            <w:pPr>
              <w:pStyle w:val="CDITable-RowCentre"/>
            </w:pPr>
            <w:r w:rsidRPr="003233AE">
              <w:t>25 (13%)</w:t>
            </w:r>
          </w:p>
        </w:tc>
        <w:tc>
          <w:tcPr>
            <w:tcW w:w="1440" w:type="dxa"/>
            <w:tcBorders>
              <w:bottom w:val="single" w:sz="6" w:space="0" w:color="1E4496" w:themeColor="text2"/>
            </w:tcBorders>
            <w:tcMar>
              <w:top w:w="113" w:type="dxa"/>
              <w:left w:w="113" w:type="dxa"/>
              <w:bottom w:w="113" w:type="dxa"/>
              <w:right w:w="113" w:type="dxa"/>
            </w:tcMar>
            <w:vAlign w:val="center"/>
          </w:tcPr>
          <w:p w14:paraId="78CC44A7" w14:textId="77777777" w:rsidR="003233AE" w:rsidRPr="003233AE" w:rsidRDefault="003233AE" w:rsidP="003233AE">
            <w:pPr>
              <w:pStyle w:val="CDITable-RowCentre"/>
            </w:pPr>
            <w:r w:rsidRPr="003233AE">
              <w:t>6 (3%)</w:t>
            </w:r>
          </w:p>
        </w:tc>
        <w:tc>
          <w:tcPr>
            <w:tcW w:w="1440" w:type="dxa"/>
            <w:tcBorders>
              <w:bottom w:val="single" w:sz="6" w:space="0" w:color="1E4496" w:themeColor="text2"/>
            </w:tcBorders>
            <w:tcMar>
              <w:top w:w="113" w:type="dxa"/>
              <w:left w:w="113" w:type="dxa"/>
              <w:bottom w:w="113" w:type="dxa"/>
              <w:right w:w="113" w:type="dxa"/>
            </w:tcMar>
            <w:vAlign w:val="center"/>
          </w:tcPr>
          <w:p w14:paraId="4F72ACEF" w14:textId="77777777" w:rsidR="003233AE" w:rsidRPr="003233AE" w:rsidRDefault="003233AE" w:rsidP="003233AE">
            <w:pPr>
              <w:pStyle w:val="CDITable-RowCentre"/>
            </w:pPr>
            <w:r w:rsidRPr="003233AE">
              <w:t>2 (1%)</w:t>
            </w:r>
          </w:p>
        </w:tc>
      </w:tr>
      <w:tr w:rsidR="003233AE" w:rsidRPr="003233AE" w14:paraId="42F62933" w14:textId="77777777" w:rsidTr="00F7417F">
        <w:trPr>
          <w:trHeight w:val="20"/>
        </w:trPr>
        <w:tc>
          <w:tcPr>
            <w:tcW w:w="243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1AD92D" w14:textId="77777777" w:rsidR="003233AE" w:rsidRPr="003233AE" w:rsidRDefault="003233AE" w:rsidP="00F7417F">
            <w:pPr>
              <w:pStyle w:val="CDITable-RowLeft"/>
            </w:pPr>
            <w:r w:rsidRPr="003233AE">
              <w:t xml:space="preserve">Aboriginal health </w:t>
            </w:r>
            <w:proofErr w:type="spellStart"/>
            <w:r w:rsidRPr="003233AE">
              <w:t>service</w:t>
            </w:r>
            <w:r w:rsidRPr="00F7417F">
              <w:rPr>
                <w:vertAlign w:val="superscript"/>
              </w:rPr>
              <w:t>c</w:t>
            </w:r>
            <w:proofErr w:type="spellEnd"/>
          </w:p>
        </w:tc>
        <w:tc>
          <w:tcPr>
            <w:tcW w:w="144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0A3E23" w14:textId="77777777" w:rsidR="003233AE" w:rsidRPr="003233AE" w:rsidRDefault="003233AE" w:rsidP="003233AE">
            <w:pPr>
              <w:pStyle w:val="CDITable-RowCentre"/>
            </w:pPr>
            <w:r w:rsidRPr="003233AE">
              <w:t>4 (17%)</w:t>
            </w:r>
          </w:p>
        </w:tc>
        <w:tc>
          <w:tcPr>
            <w:tcW w:w="144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FE6D54" w14:textId="77777777" w:rsidR="003233AE" w:rsidRPr="003233AE" w:rsidRDefault="003233AE" w:rsidP="003233AE">
            <w:pPr>
              <w:pStyle w:val="CDITable-RowCentre"/>
            </w:pPr>
            <w:r w:rsidRPr="003233AE">
              <w:t>4 (17%)</w:t>
            </w:r>
          </w:p>
        </w:tc>
        <w:tc>
          <w:tcPr>
            <w:tcW w:w="144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B4F43A" w14:textId="77777777" w:rsidR="003233AE" w:rsidRPr="003233AE" w:rsidRDefault="003233AE" w:rsidP="003233AE">
            <w:pPr>
              <w:pStyle w:val="CDITable-RowCentre"/>
            </w:pPr>
            <w:r w:rsidRPr="003233AE">
              <w:t>0</w:t>
            </w:r>
          </w:p>
        </w:tc>
        <w:tc>
          <w:tcPr>
            <w:tcW w:w="144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0A1E33" w14:textId="77777777" w:rsidR="003233AE" w:rsidRPr="003233AE" w:rsidRDefault="003233AE" w:rsidP="003233AE">
            <w:pPr>
              <w:pStyle w:val="CDITable-RowCentre"/>
            </w:pPr>
            <w:r w:rsidRPr="003233AE">
              <w:t>0</w:t>
            </w:r>
          </w:p>
        </w:tc>
        <w:tc>
          <w:tcPr>
            <w:tcW w:w="144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356F28" w14:textId="77777777" w:rsidR="003233AE" w:rsidRPr="003233AE" w:rsidRDefault="003233AE" w:rsidP="003233AE">
            <w:pPr>
              <w:pStyle w:val="CDITable-RowCentre"/>
            </w:pPr>
            <w:r w:rsidRPr="003233AE">
              <w:t>16 (67%)</w:t>
            </w:r>
          </w:p>
        </w:tc>
      </w:tr>
      <w:tr w:rsidR="003233AE" w:rsidRPr="003233AE" w14:paraId="353D766E" w14:textId="77777777" w:rsidTr="00F7417F">
        <w:trPr>
          <w:trHeight w:val="20"/>
        </w:trPr>
        <w:tc>
          <w:tcPr>
            <w:tcW w:w="243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9750EE" w14:textId="77777777" w:rsidR="003233AE" w:rsidRPr="003233AE" w:rsidRDefault="003233AE" w:rsidP="00F7417F">
            <w:pPr>
              <w:pStyle w:val="CDITable-RowLeft"/>
            </w:pPr>
            <w:r w:rsidRPr="003233AE">
              <w:t>General practice</w:t>
            </w:r>
          </w:p>
        </w:tc>
        <w:tc>
          <w:tcPr>
            <w:tcW w:w="144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08BEA2" w14:textId="77777777" w:rsidR="003233AE" w:rsidRPr="003233AE" w:rsidRDefault="003233AE" w:rsidP="003233AE">
            <w:pPr>
              <w:pStyle w:val="CDITable-RowCentre"/>
            </w:pPr>
            <w:r w:rsidRPr="003233AE">
              <w:t>114 (70%)</w:t>
            </w:r>
          </w:p>
        </w:tc>
        <w:tc>
          <w:tcPr>
            <w:tcW w:w="144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863693" w14:textId="77777777" w:rsidR="003233AE" w:rsidRPr="003233AE" w:rsidRDefault="003233AE" w:rsidP="003233AE">
            <w:pPr>
              <w:pStyle w:val="CDITable-RowCentre"/>
            </w:pPr>
            <w:r w:rsidRPr="003233AE">
              <w:t>4 (3%)</w:t>
            </w:r>
          </w:p>
        </w:tc>
        <w:tc>
          <w:tcPr>
            <w:tcW w:w="144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E88A8F" w14:textId="77777777" w:rsidR="003233AE" w:rsidRPr="003233AE" w:rsidRDefault="003233AE" w:rsidP="003233AE">
            <w:pPr>
              <w:pStyle w:val="CDITable-RowCentre"/>
            </w:pPr>
            <w:r w:rsidRPr="003233AE">
              <w:t>29 (18%)</w:t>
            </w:r>
          </w:p>
        </w:tc>
        <w:tc>
          <w:tcPr>
            <w:tcW w:w="144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184BAC" w14:textId="77777777" w:rsidR="003233AE" w:rsidRPr="003233AE" w:rsidRDefault="003233AE" w:rsidP="003233AE">
            <w:pPr>
              <w:pStyle w:val="CDITable-RowCentre"/>
            </w:pPr>
            <w:r w:rsidRPr="003233AE">
              <w:t>3 (2%)</w:t>
            </w:r>
          </w:p>
        </w:tc>
        <w:tc>
          <w:tcPr>
            <w:tcW w:w="144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1BB00C" w14:textId="77777777" w:rsidR="003233AE" w:rsidRPr="003233AE" w:rsidRDefault="003233AE" w:rsidP="003233AE">
            <w:pPr>
              <w:pStyle w:val="CDITable-RowCentre"/>
            </w:pPr>
            <w:r w:rsidRPr="003233AE">
              <w:t>12 (7%)</w:t>
            </w:r>
          </w:p>
        </w:tc>
      </w:tr>
      <w:tr w:rsidR="003233AE" w:rsidRPr="003233AE" w14:paraId="2BE0D533" w14:textId="77777777" w:rsidTr="00F7417F">
        <w:trPr>
          <w:trHeight w:val="20"/>
        </w:trPr>
        <w:tc>
          <w:tcPr>
            <w:tcW w:w="243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F52B09" w14:textId="77777777" w:rsidR="003233AE" w:rsidRPr="003233AE" w:rsidRDefault="003233AE" w:rsidP="00F7417F">
            <w:pPr>
              <w:pStyle w:val="CDITable-RowLeft"/>
            </w:pPr>
            <w:r w:rsidRPr="003233AE">
              <w:t>Prison health service</w:t>
            </w:r>
          </w:p>
        </w:tc>
        <w:tc>
          <w:tcPr>
            <w:tcW w:w="144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80C048" w14:textId="77777777" w:rsidR="003233AE" w:rsidRPr="003233AE" w:rsidRDefault="003233AE" w:rsidP="003233AE">
            <w:pPr>
              <w:pStyle w:val="CDITable-RowCentre"/>
            </w:pPr>
            <w:r w:rsidRPr="003233AE">
              <w:t>5 (31%)</w:t>
            </w:r>
          </w:p>
        </w:tc>
        <w:tc>
          <w:tcPr>
            <w:tcW w:w="144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5D2CA0" w14:textId="77777777" w:rsidR="003233AE" w:rsidRPr="003233AE" w:rsidRDefault="003233AE" w:rsidP="003233AE">
            <w:pPr>
              <w:pStyle w:val="CDITable-RowCentre"/>
            </w:pPr>
            <w:r w:rsidRPr="003233AE">
              <w:t>4 (25%)</w:t>
            </w:r>
          </w:p>
        </w:tc>
        <w:tc>
          <w:tcPr>
            <w:tcW w:w="144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85BEE2" w14:textId="77777777" w:rsidR="003233AE" w:rsidRPr="003233AE" w:rsidRDefault="003233AE" w:rsidP="003233AE">
            <w:pPr>
              <w:pStyle w:val="CDITable-RowCentre"/>
            </w:pPr>
            <w:r w:rsidRPr="003233AE">
              <w:t>4 (25%)</w:t>
            </w:r>
          </w:p>
        </w:tc>
        <w:tc>
          <w:tcPr>
            <w:tcW w:w="144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F8A5E5" w14:textId="77777777" w:rsidR="003233AE" w:rsidRPr="003233AE" w:rsidRDefault="003233AE" w:rsidP="003233AE">
            <w:pPr>
              <w:pStyle w:val="CDITable-RowCentre"/>
            </w:pPr>
            <w:r w:rsidRPr="003233AE">
              <w:t>3 (19%)</w:t>
            </w:r>
          </w:p>
        </w:tc>
        <w:tc>
          <w:tcPr>
            <w:tcW w:w="144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00E1BD" w14:textId="77777777" w:rsidR="003233AE" w:rsidRPr="003233AE" w:rsidRDefault="003233AE" w:rsidP="003233AE">
            <w:pPr>
              <w:pStyle w:val="CDITable-RowCentre"/>
            </w:pPr>
            <w:r w:rsidRPr="003233AE">
              <w:t>0</w:t>
            </w:r>
          </w:p>
        </w:tc>
      </w:tr>
      <w:tr w:rsidR="003233AE" w:rsidRPr="003233AE" w14:paraId="465D0D88" w14:textId="77777777" w:rsidTr="00F7417F">
        <w:trPr>
          <w:trHeight w:val="20"/>
        </w:trPr>
        <w:tc>
          <w:tcPr>
            <w:tcW w:w="243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5FBF38" w14:textId="77777777" w:rsidR="003233AE" w:rsidRPr="003233AE" w:rsidRDefault="003233AE" w:rsidP="00F7417F">
            <w:pPr>
              <w:pStyle w:val="CDITable-RowLeft"/>
            </w:pPr>
            <w:r w:rsidRPr="003233AE">
              <w:t xml:space="preserve">Other </w:t>
            </w:r>
            <w:proofErr w:type="spellStart"/>
            <w:r w:rsidRPr="003233AE">
              <w:t>services</w:t>
            </w:r>
            <w:r w:rsidRPr="00F7417F">
              <w:rPr>
                <w:vertAlign w:val="superscript"/>
              </w:rPr>
              <w:t>d</w:t>
            </w:r>
            <w:proofErr w:type="spellEnd"/>
          </w:p>
        </w:tc>
        <w:tc>
          <w:tcPr>
            <w:tcW w:w="144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37C24D" w14:textId="77777777" w:rsidR="003233AE" w:rsidRPr="003233AE" w:rsidRDefault="003233AE" w:rsidP="003233AE">
            <w:pPr>
              <w:pStyle w:val="CDITable-RowCentre"/>
            </w:pPr>
            <w:r w:rsidRPr="003233AE">
              <w:t>31 (56%)</w:t>
            </w:r>
          </w:p>
        </w:tc>
        <w:tc>
          <w:tcPr>
            <w:tcW w:w="144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25E0A9" w14:textId="77777777" w:rsidR="003233AE" w:rsidRPr="003233AE" w:rsidRDefault="003233AE" w:rsidP="003233AE">
            <w:pPr>
              <w:pStyle w:val="CDITable-RowCentre"/>
            </w:pPr>
            <w:r w:rsidRPr="003233AE">
              <w:t>3 (5%)</w:t>
            </w:r>
          </w:p>
        </w:tc>
        <w:tc>
          <w:tcPr>
            <w:tcW w:w="144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288152" w14:textId="77777777" w:rsidR="003233AE" w:rsidRPr="003233AE" w:rsidRDefault="003233AE" w:rsidP="003233AE">
            <w:pPr>
              <w:pStyle w:val="CDITable-RowCentre"/>
            </w:pPr>
            <w:r w:rsidRPr="003233AE">
              <w:t>10 (18%)</w:t>
            </w:r>
          </w:p>
        </w:tc>
        <w:tc>
          <w:tcPr>
            <w:tcW w:w="144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F5FD09" w14:textId="77777777" w:rsidR="003233AE" w:rsidRPr="003233AE" w:rsidRDefault="003233AE" w:rsidP="003233AE">
            <w:pPr>
              <w:pStyle w:val="CDITable-RowCentre"/>
            </w:pPr>
            <w:r w:rsidRPr="003233AE">
              <w:t>3 (5%)</w:t>
            </w:r>
          </w:p>
        </w:tc>
        <w:tc>
          <w:tcPr>
            <w:tcW w:w="144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F8F85F" w14:textId="77777777" w:rsidR="003233AE" w:rsidRPr="003233AE" w:rsidRDefault="003233AE" w:rsidP="003233AE">
            <w:pPr>
              <w:pStyle w:val="CDITable-RowCentre"/>
            </w:pPr>
            <w:r w:rsidRPr="003233AE">
              <w:t>8 (15%)</w:t>
            </w:r>
          </w:p>
        </w:tc>
      </w:tr>
    </w:tbl>
    <w:p w14:paraId="6F175527" w14:textId="77777777" w:rsidR="003233AE" w:rsidRDefault="003233AE" w:rsidP="003233AE">
      <w:pPr>
        <w:pStyle w:val="CDITable-FirstFootnote"/>
      </w:pPr>
      <w:proofErr w:type="gramStart"/>
      <w:r>
        <w:t>a</w:t>
      </w:r>
      <w:proofErr w:type="gramEnd"/>
      <w:r>
        <w:tab/>
        <w:t>IDU: injecting drug use; non-IDU: non-injecting drug use. Percentages are calculated by diagnosing service type.</w:t>
      </w:r>
    </w:p>
    <w:p w14:paraId="6D2A9D0C" w14:textId="77777777" w:rsidR="003233AE" w:rsidRDefault="003233AE" w:rsidP="003233AE">
      <w:pPr>
        <w:pStyle w:val="CDITable-Footnote"/>
      </w:pPr>
      <w:r>
        <w:t>b</w:t>
      </w:r>
      <w:r>
        <w:tab/>
      </w:r>
      <w:proofErr w:type="gramStart"/>
      <w:r>
        <w:t>The</w:t>
      </w:r>
      <w:proofErr w:type="gramEnd"/>
      <w:r>
        <w:t xml:space="preserve"> following services are considered to specialise in sexual health and STI management: Adelaide Sexual Health Centre (ASHC), SHINE SA and O’Brien Street Practice. </w:t>
      </w:r>
    </w:p>
    <w:p w14:paraId="16D7B426" w14:textId="77777777" w:rsidR="003233AE" w:rsidRDefault="003233AE" w:rsidP="003233AE">
      <w:pPr>
        <w:pStyle w:val="CDITable-Footnote"/>
      </w:pPr>
      <w:r>
        <w:t>c</w:t>
      </w:r>
      <w:r>
        <w:tab/>
        <w:t>Includes both community-controlled services and other services.</w:t>
      </w:r>
    </w:p>
    <w:p w14:paraId="5EC3EF6A" w14:textId="6C26C0BC" w:rsidR="003233AE" w:rsidRDefault="003233AE" w:rsidP="003233AE">
      <w:pPr>
        <w:pStyle w:val="CDITable-Footnote"/>
      </w:pPr>
      <w:r>
        <w:t>d</w:t>
      </w:r>
      <w:r>
        <w:tab/>
        <w:t>Includes hospital outpatient departments.</w:t>
      </w:r>
    </w:p>
    <w:p w14:paraId="388ECF71" w14:textId="77777777" w:rsidR="003233AE" w:rsidRPr="003233AE" w:rsidRDefault="003233AE" w:rsidP="00F7417F">
      <w:pPr>
        <w:pStyle w:val="Normal-morespacebefore"/>
        <w:rPr>
          <w:lang w:val="en-GB"/>
        </w:rPr>
      </w:pPr>
      <w:r w:rsidRPr="003233AE">
        <w:rPr>
          <w:lang w:val="en-GB"/>
        </w:rPr>
        <w:t>Among the cases with available information, IDU only was reported for 6% of cases (n = 25/412) and non-IDU only for 17% of cases (n = 68/412). A combination of both IDU and non-IDU was reported for 3% of cases (n = 15/412). In the following analyses, the categories of IDU-only and both IDU and non-IDU are reported together in the IDU category, accounting for a combined 10% of syphilis cases (n = 40/412).</w:t>
      </w:r>
    </w:p>
    <w:p w14:paraId="023E516B" w14:textId="77777777" w:rsidR="00F7417F" w:rsidRDefault="003233AE" w:rsidP="003233AE">
      <w:pPr>
        <w:rPr>
          <w:lang w:val="en-GB"/>
        </w:rPr>
        <w:sectPr w:rsidR="00F7417F" w:rsidSect="001E3ECB">
          <w:headerReference w:type="even" r:id="rId18"/>
          <w:headerReference w:type="default" r:id="rId19"/>
          <w:footerReference w:type="even" r:id="rId20"/>
          <w:footerReference w:type="default" r:id="rId21"/>
          <w:headerReference w:type="first" r:id="rId22"/>
          <w:footerReference w:type="first" r:id="rId23"/>
          <w:footnotePr>
            <w:numFmt w:val="lowerRoman"/>
          </w:footnotePr>
          <w:pgSz w:w="11907" w:h="16840" w:code="9"/>
          <w:pgMar w:top="1134" w:right="1134" w:bottom="1134" w:left="1134" w:header="709" w:footer="567" w:gutter="0"/>
          <w:cols w:space="708"/>
          <w:docGrid w:linePitch="360"/>
        </w:sectPr>
      </w:pPr>
      <w:r w:rsidRPr="003233AE">
        <w:rPr>
          <w:lang w:val="en-GB"/>
        </w:rPr>
        <w:t>The frequency of case and provider characteristics by drug use status is summarised in Table 2. Drug use was more common among female syphilis cases (18% vs. 9% for IDU; 22% vs. 16% for non-IDU); among cases diagnosed outside specialist services (11% vs. 8% for IDU; 19% vs. 13% for non-IDU); and among heterosexual and bisexual cases compared to cases among MSM (14%</w:t>
      </w:r>
      <w:r>
        <w:rPr>
          <w:lang w:val="en-GB"/>
        </w:rPr>
        <w:t> </w:t>
      </w:r>
      <w:r w:rsidRPr="003233AE">
        <w:rPr>
          <w:lang w:val="en-GB"/>
        </w:rPr>
        <w:t>vs. 7% and 13% vs. 7% for IDU, respectively; both 25% vs. 11% for non-IDU). Higher prevalence of reported drug use was also observed for cases residing outside metropolitan Adelaide (13% vs. 9% for IDU; 23% vs. 16% for non-IDU). The presence of symptoms compatible with infectious syphilis at the time of diagnosis was the only characteristic with diverging trends for injecting and non-injecting drug use, with symptomatic cases slightly more likely than asymptomatic cases to report non-IDU (18% vs. 15%), but less likely to report IDU (8% vs. 12%). The difference in the overall frequency distribution was statistically significant only for the category sex at birth for IDU compared to no drug use (</w:t>
      </w:r>
      <w:r w:rsidRPr="003233AE">
        <w:rPr>
          <w:i/>
          <w:iCs/>
          <w:lang w:val="en-GB"/>
        </w:rPr>
        <w:t>p</w:t>
      </w:r>
      <w:r w:rsidRPr="003233AE">
        <w:rPr>
          <w:lang w:val="en-GB"/>
        </w:rPr>
        <w:t xml:space="preserve"> = 0.014) and for sexual exposure for both routes of drug administration compared to no drug use (</w:t>
      </w:r>
      <w:r w:rsidRPr="003233AE">
        <w:rPr>
          <w:i/>
          <w:iCs/>
          <w:lang w:val="en-GB"/>
        </w:rPr>
        <w:t>p</w:t>
      </w:r>
      <w:r w:rsidRPr="003233AE">
        <w:rPr>
          <w:lang w:val="en-GB"/>
        </w:rPr>
        <w:t xml:space="preserve"> = 0.033 for IDU, </w:t>
      </w:r>
      <w:r w:rsidRPr="003233AE">
        <w:rPr>
          <w:i/>
          <w:iCs/>
          <w:lang w:val="en-GB"/>
        </w:rPr>
        <w:t>p</w:t>
      </w:r>
      <w:r w:rsidRPr="003233AE">
        <w:rPr>
          <w:lang w:val="en-GB"/>
        </w:rPr>
        <w:t xml:space="preserve"> = 0.001 for non-IDU). </w:t>
      </w:r>
    </w:p>
    <w:p w14:paraId="59B8E1F7" w14:textId="2063060C" w:rsidR="003233AE" w:rsidRDefault="00F7417F" w:rsidP="00F7417F">
      <w:pPr>
        <w:pStyle w:val="CDITable-Title"/>
        <w:spacing w:before="0"/>
        <w:rPr>
          <w:lang w:val="en-GB"/>
        </w:rPr>
      </w:pPr>
      <w:r w:rsidRPr="00F7417F">
        <w:rPr>
          <w:lang w:val="en-GB"/>
        </w:rPr>
        <w:lastRenderedPageBreak/>
        <w:t>Table 2: Drug use among cases of infectious syphilis by key characteristics, South Australia, 1 July 2022 – 30 September 2023</w:t>
      </w:r>
    </w:p>
    <w:tbl>
      <w:tblPr>
        <w:tblW w:w="0" w:type="auto"/>
        <w:tblLayout w:type="fixed"/>
        <w:tblCellMar>
          <w:left w:w="0" w:type="dxa"/>
          <w:right w:w="0" w:type="dxa"/>
        </w:tblCellMar>
        <w:tblLook w:val="0000" w:firstRow="0" w:lastRow="0" w:firstColumn="0" w:lastColumn="0" w:noHBand="0" w:noVBand="0"/>
        <w:tblCaption w:val="Table 2: Drug use among cases of infectious syphilis by key characteristics, South Australia, 1 July 2022 – 30 September 2023"/>
        <w:tblDescription w:val="Table 2 shows the number and percentage of notifications for which no drug use, injecting drug use, or non-injecting drug use only was reported by demographic, clinical, and diagnosing provider characteristics."/>
      </w:tblPr>
      <w:tblGrid>
        <w:gridCol w:w="3402"/>
        <w:gridCol w:w="2834"/>
        <w:gridCol w:w="1622"/>
        <w:gridCol w:w="1621"/>
        <w:gridCol w:w="1621"/>
        <w:gridCol w:w="1622"/>
        <w:gridCol w:w="1621"/>
      </w:tblGrid>
      <w:tr w:rsidR="00DE7B61" w:rsidRPr="00DE7B61" w14:paraId="365436D3" w14:textId="77777777" w:rsidTr="00E64BFD">
        <w:trPr>
          <w:trHeight w:val="20"/>
          <w:tblHeader/>
        </w:trPr>
        <w:tc>
          <w:tcPr>
            <w:tcW w:w="3402" w:type="dxa"/>
            <w:shd w:val="clear" w:color="auto" w:fill="1E4496" w:themeFill="text2"/>
            <w:tcMar>
              <w:top w:w="113" w:type="dxa"/>
              <w:left w:w="113" w:type="dxa"/>
              <w:bottom w:w="113" w:type="dxa"/>
              <w:right w:w="113" w:type="dxa"/>
            </w:tcMar>
            <w:vAlign w:val="bottom"/>
          </w:tcPr>
          <w:p w14:paraId="3A720167" w14:textId="77777777" w:rsidR="00DE7B61" w:rsidRPr="00DE7B61" w:rsidRDefault="00DE7B61" w:rsidP="00E64BFD">
            <w:pPr>
              <w:pStyle w:val="CDITable-HeaderRowLeft"/>
            </w:pPr>
            <w:r w:rsidRPr="00DE7B61">
              <w:t>Category</w:t>
            </w:r>
          </w:p>
        </w:tc>
        <w:tc>
          <w:tcPr>
            <w:tcW w:w="2834" w:type="dxa"/>
            <w:shd w:val="clear" w:color="auto" w:fill="1E4496" w:themeFill="text2"/>
            <w:tcMar>
              <w:top w:w="113" w:type="dxa"/>
              <w:left w:w="113" w:type="dxa"/>
              <w:bottom w:w="113" w:type="dxa"/>
              <w:right w:w="113" w:type="dxa"/>
            </w:tcMar>
            <w:vAlign w:val="bottom"/>
          </w:tcPr>
          <w:p w14:paraId="42ACA728" w14:textId="77777777" w:rsidR="00DE7B61" w:rsidRPr="00DE7B61" w:rsidRDefault="00DE7B61" w:rsidP="00E64BFD">
            <w:pPr>
              <w:pStyle w:val="CDITable-HeaderRowLeft"/>
            </w:pPr>
            <w:r w:rsidRPr="00DE7B61">
              <w:t>Characteristic</w:t>
            </w:r>
          </w:p>
        </w:tc>
        <w:tc>
          <w:tcPr>
            <w:tcW w:w="1622" w:type="dxa"/>
            <w:shd w:val="clear" w:color="auto" w:fill="1E4496" w:themeFill="text2"/>
            <w:tcMar>
              <w:top w:w="113" w:type="dxa"/>
              <w:left w:w="113" w:type="dxa"/>
              <w:bottom w:w="113" w:type="dxa"/>
              <w:right w:w="113" w:type="dxa"/>
            </w:tcMar>
            <w:vAlign w:val="bottom"/>
          </w:tcPr>
          <w:p w14:paraId="74958218" w14:textId="77777777" w:rsidR="00DE7B61" w:rsidRPr="00DE7B61" w:rsidRDefault="00DE7B61" w:rsidP="00E64BFD">
            <w:pPr>
              <w:pStyle w:val="CDITable-HeaderRowCentre"/>
            </w:pPr>
            <w:r w:rsidRPr="00DE7B61">
              <w:t>No drug use reported</w:t>
            </w:r>
          </w:p>
        </w:tc>
        <w:tc>
          <w:tcPr>
            <w:tcW w:w="1621" w:type="dxa"/>
            <w:shd w:val="clear" w:color="auto" w:fill="1E4496" w:themeFill="text2"/>
            <w:tcMar>
              <w:top w:w="113" w:type="dxa"/>
              <w:left w:w="113" w:type="dxa"/>
              <w:bottom w:w="113" w:type="dxa"/>
              <w:right w:w="113" w:type="dxa"/>
            </w:tcMar>
            <w:vAlign w:val="bottom"/>
          </w:tcPr>
          <w:p w14:paraId="26ACC762" w14:textId="77777777" w:rsidR="00DE7B61" w:rsidRPr="00DE7B61" w:rsidRDefault="00DE7B61" w:rsidP="00E64BFD">
            <w:pPr>
              <w:pStyle w:val="CDITable-HeaderRowCentre"/>
            </w:pPr>
            <w:proofErr w:type="spellStart"/>
            <w:r w:rsidRPr="00DE7B61">
              <w:t>IDU</w:t>
            </w:r>
            <w:r w:rsidRPr="00E64BFD">
              <w:rPr>
                <w:vertAlign w:val="superscript"/>
              </w:rPr>
              <w:t>a</w:t>
            </w:r>
            <w:proofErr w:type="spellEnd"/>
          </w:p>
        </w:tc>
        <w:tc>
          <w:tcPr>
            <w:tcW w:w="1621" w:type="dxa"/>
            <w:shd w:val="clear" w:color="auto" w:fill="1E4496" w:themeFill="text2"/>
            <w:tcMar>
              <w:top w:w="113" w:type="dxa"/>
              <w:left w:w="113" w:type="dxa"/>
              <w:bottom w:w="113" w:type="dxa"/>
              <w:right w:w="113" w:type="dxa"/>
            </w:tcMar>
            <w:vAlign w:val="bottom"/>
          </w:tcPr>
          <w:p w14:paraId="4D69CD66" w14:textId="77777777" w:rsidR="00DE7B61" w:rsidRPr="00DE7B61" w:rsidRDefault="00DE7B61" w:rsidP="00E64BFD">
            <w:pPr>
              <w:pStyle w:val="CDITable-HeaderRowCentre"/>
            </w:pPr>
            <w:r w:rsidRPr="00E64BFD">
              <w:rPr>
                <w:bCs/>
                <w:i/>
                <w:iCs/>
              </w:rPr>
              <w:t>p</w:t>
            </w:r>
            <w:r w:rsidRPr="00DE7B61">
              <w:t xml:space="preserve"> value (χ</w:t>
            </w:r>
            <w:proofErr w:type="gramStart"/>
            <w:r w:rsidRPr="00E64BFD">
              <w:rPr>
                <w:vertAlign w:val="superscript"/>
              </w:rPr>
              <w:t>2</w:t>
            </w:r>
            <w:r w:rsidRPr="00DE7B61">
              <w:t>)</w:t>
            </w:r>
            <w:r w:rsidRPr="00E64BFD">
              <w:rPr>
                <w:vertAlign w:val="superscript"/>
              </w:rPr>
              <w:t>b</w:t>
            </w:r>
            <w:proofErr w:type="gramEnd"/>
          </w:p>
        </w:tc>
        <w:tc>
          <w:tcPr>
            <w:tcW w:w="1622" w:type="dxa"/>
            <w:shd w:val="clear" w:color="auto" w:fill="1E4496" w:themeFill="text2"/>
            <w:tcMar>
              <w:top w:w="113" w:type="dxa"/>
              <w:left w:w="113" w:type="dxa"/>
              <w:bottom w:w="113" w:type="dxa"/>
              <w:right w:w="113" w:type="dxa"/>
            </w:tcMar>
            <w:vAlign w:val="bottom"/>
          </w:tcPr>
          <w:p w14:paraId="6EF990E0" w14:textId="0C4BD8FE" w:rsidR="00DE7B61" w:rsidRPr="00DE7B61" w:rsidRDefault="00DE7B61" w:rsidP="00E64BFD">
            <w:pPr>
              <w:pStyle w:val="CDITable-HeaderRowCentre"/>
            </w:pPr>
            <w:r w:rsidRPr="00DE7B61">
              <w:t>non-</w:t>
            </w:r>
            <w:proofErr w:type="spellStart"/>
            <w:r w:rsidRPr="00DE7B61">
              <w:t>IDU</w:t>
            </w:r>
            <w:r w:rsidRPr="00E64BFD">
              <w:rPr>
                <w:vertAlign w:val="superscript"/>
              </w:rPr>
              <w:t>a</w:t>
            </w:r>
            <w:proofErr w:type="spellEnd"/>
            <w:r w:rsidR="00E64BFD" w:rsidRPr="00E64BFD">
              <w:t xml:space="preserve"> </w:t>
            </w:r>
            <w:r w:rsidRPr="00DE7B61">
              <w:t>only</w:t>
            </w:r>
          </w:p>
        </w:tc>
        <w:tc>
          <w:tcPr>
            <w:tcW w:w="1621" w:type="dxa"/>
            <w:shd w:val="clear" w:color="auto" w:fill="1E4496" w:themeFill="text2"/>
            <w:tcMar>
              <w:top w:w="113" w:type="dxa"/>
              <w:left w:w="113" w:type="dxa"/>
              <w:bottom w:w="113" w:type="dxa"/>
              <w:right w:w="113" w:type="dxa"/>
            </w:tcMar>
            <w:vAlign w:val="bottom"/>
          </w:tcPr>
          <w:p w14:paraId="7737E4DF" w14:textId="77777777" w:rsidR="00DE7B61" w:rsidRPr="00DE7B61" w:rsidRDefault="00DE7B61" w:rsidP="00E64BFD">
            <w:pPr>
              <w:pStyle w:val="CDITable-HeaderRowCentre"/>
            </w:pPr>
            <w:r w:rsidRPr="00E64BFD">
              <w:rPr>
                <w:i/>
                <w:iCs/>
              </w:rPr>
              <w:t>p</w:t>
            </w:r>
            <w:r w:rsidRPr="00DE7B61">
              <w:t xml:space="preserve"> value (χ</w:t>
            </w:r>
            <w:proofErr w:type="gramStart"/>
            <w:r w:rsidRPr="00E64BFD">
              <w:rPr>
                <w:vertAlign w:val="superscript"/>
              </w:rPr>
              <w:t>2</w:t>
            </w:r>
            <w:r w:rsidRPr="00DE7B61">
              <w:t>)</w:t>
            </w:r>
            <w:r w:rsidRPr="00E64BFD">
              <w:rPr>
                <w:vertAlign w:val="superscript"/>
              </w:rPr>
              <w:t>b</w:t>
            </w:r>
            <w:proofErr w:type="gramEnd"/>
          </w:p>
        </w:tc>
      </w:tr>
      <w:tr w:rsidR="004E19FE" w:rsidRPr="00DE7B61" w14:paraId="73E71194" w14:textId="77777777" w:rsidTr="007B4BDE">
        <w:trPr>
          <w:trHeight w:val="20"/>
        </w:trPr>
        <w:tc>
          <w:tcPr>
            <w:tcW w:w="3402" w:type="dxa"/>
            <w:vMerge w:val="restart"/>
            <w:tcBorders>
              <w:bottom w:val="single" w:sz="6" w:space="0" w:color="1E4496" w:themeColor="text2"/>
            </w:tcBorders>
            <w:tcMar>
              <w:top w:w="113" w:type="dxa"/>
              <w:left w:w="113" w:type="dxa"/>
              <w:bottom w:w="113" w:type="dxa"/>
              <w:right w:w="113" w:type="dxa"/>
            </w:tcMar>
            <w:vAlign w:val="center"/>
          </w:tcPr>
          <w:p w14:paraId="57C80136" w14:textId="77777777" w:rsidR="004E19FE" w:rsidRPr="00DE7B61" w:rsidRDefault="004E19FE" w:rsidP="00E64BFD">
            <w:pPr>
              <w:pStyle w:val="CDITable-RowLeft"/>
            </w:pPr>
            <w:r w:rsidRPr="00DE7B61">
              <w:t>Sex at birth</w:t>
            </w:r>
          </w:p>
        </w:tc>
        <w:tc>
          <w:tcPr>
            <w:tcW w:w="2834" w:type="dxa"/>
            <w:tcBorders>
              <w:bottom w:val="single" w:sz="6" w:space="0" w:color="1E4496" w:themeColor="text2"/>
            </w:tcBorders>
            <w:tcMar>
              <w:top w:w="113" w:type="dxa"/>
              <w:left w:w="113" w:type="dxa"/>
              <w:bottom w:w="113" w:type="dxa"/>
              <w:right w:w="113" w:type="dxa"/>
            </w:tcMar>
            <w:vAlign w:val="center"/>
          </w:tcPr>
          <w:p w14:paraId="2EE3562D" w14:textId="77777777" w:rsidR="004E19FE" w:rsidRPr="00DE7B61" w:rsidRDefault="004E19FE" w:rsidP="00E64BFD">
            <w:pPr>
              <w:pStyle w:val="CDITable-RowLeft"/>
            </w:pPr>
            <w:r w:rsidRPr="00DE7B61">
              <w:t>Male</w:t>
            </w:r>
          </w:p>
        </w:tc>
        <w:tc>
          <w:tcPr>
            <w:tcW w:w="1622" w:type="dxa"/>
            <w:tcBorders>
              <w:bottom w:val="single" w:sz="6" w:space="0" w:color="1E4496" w:themeColor="text2"/>
            </w:tcBorders>
            <w:tcMar>
              <w:top w:w="113" w:type="dxa"/>
              <w:left w:w="113" w:type="dxa"/>
              <w:bottom w:w="113" w:type="dxa"/>
              <w:right w:w="113" w:type="dxa"/>
            </w:tcMar>
            <w:vAlign w:val="center"/>
          </w:tcPr>
          <w:p w14:paraId="626DC2DA" w14:textId="77777777" w:rsidR="004E19FE" w:rsidRPr="00DE7B61" w:rsidRDefault="004E19FE" w:rsidP="00E64BFD">
            <w:pPr>
              <w:pStyle w:val="CDITable-RowCentre"/>
            </w:pPr>
            <w:r w:rsidRPr="00DE7B61">
              <w:t>275 (76%)</w:t>
            </w:r>
          </w:p>
        </w:tc>
        <w:tc>
          <w:tcPr>
            <w:tcW w:w="1621" w:type="dxa"/>
            <w:tcBorders>
              <w:bottom w:val="single" w:sz="6" w:space="0" w:color="1E4496" w:themeColor="text2"/>
            </w:tcBorders>
            <w:tcMar>
              <w:top w:w="113" w:type="dxa"/>
              <w:left w:w="113" w:type="dxa"/>
              <w:bottom w:w="113" w:type="dxa"/>
              <w:right w:w="113" w:type="dxa"/>
            </w:tcMar>
            <w:vAlign w:val="center"/>
          </w:tcPr>
          <w:p w14:paraId="27D9227A" w14:textId="77777777" w:rsidR="004E19FE" w:rsidRPr="00DE7B61" w:rsidRDefault="004E19FE" w:rsidP="00E64BFD">
            <w:pPr>
              <w:pStyle w:val="CDITable-RowCentre"/>
            </w:pPr>
            <w:r w:rsidRPr="00DE7B61">
              <w:t>31 (9%)</w:t>
            </w:r>
          </w:p>
        </w:tc>
        <w:tc>
          <w:tcPr>
            <w:tcW w:w="1621" w:type="dxa"/>
            <w:vMerge w:val="restart"/>
            <w:tcMar>
              <w:top w:w="113" w:type="dxa"/>
              <w:left w:w="113" w:type="dxa"/>
              <w:bottom w:w="113" w:type="dxa"/>
              <w:right w:w="113" w:type="dxa"/>
            </w:tcMar>
            <w:vAlign w:val="center"/>
          </w:tcPr>
          <w:p w14:paraId="500C70C5" w14:textId="77777777" w:rsidR="004E19FE" w:rsidRPr="00DE7B61" w:rsidRDefault="004E19FE" w:rsidP="00E64BFD">
            <w:pPr>
              <w:pStyle w:val="CDITable-RowCentre"/>
            </w:pPr>
            <w:r w:rsidRPr="00DE7B61">
              <w:t>0.014</w:t>
            </w:r>
          </w:p>
        </w:tc>
        <w:tc>
          <w:tcPr>
            <w:tcW w:w="1622" w:type="dxa"/>
            <w:tcBorders>
              <w:bottom w:val="single" w:sz="6" w:space="0" w:color="1E4496" w:themeColor="text2"/>
            </w:tcBorders>
            <w:tcMar>
              <w:top w:w="113" w:type="dxa"/>
              <w:left w:w="113" w:type="dxa"/>
              <w:bottom w:w="113" w:type="dxa"/>
              <w:right w:w="113" w:type="dxa"/>
            </w:tcMar>
            <w:vAlign w:val="center"/>
          </w:tcPr>
          <w:p w14:paraId="084F163A" w14:textId="77777777" w:rsidR="004E19FE" w:rsidRPr="00DE7B61" w:rsidRDefault="004E19FE" w:rsidP="00E64BFD">
            <w:pPr>
              <w:pStyle w:val="CDITable-RowCentre"/>
            </w:pPr>
            <w:r w:rsidRPr="00DE7B61">
              <w:t>57 (16%)</w:t>
            </w:r>
          </w:p>
        </w:tc>
        <w:tc>
          <w:tcPr>
            <w:tcW w:w="1621" w:type="dxa"/>
            <w:vMerge w:val="restart"/>
            <w:tcMar>
              <w:top w:w="113" w:type="dxa"/>
              <w:left w:w="113" w:type="dxa"/>
              <w:bottom w:w="113" w:type="dxa"/>
              <w:right w:w="113" w:type="dxa"/>
            </w:tcMar>
            <w:vAlign w:val="center"/>
          </w:tcPr>
          <w:p w14:paraId="5D146EAF" w14:textId="77777777" w:rsidR="004E19FE" w:rsidRPr="00DE7B61" w:rsidRDefault="004E19FE" w:rsidP="00E64BFD">
            <w:pPr>
              <w:pStyle w:val="CDITable-RowCentre"/>
            </w:pPr>
            <w:r w:rsidRPr="00DE7B61">
              <w:t>0.110</w:t>
            </w:r>
          </w:p>
        </w:tc>
      </w:tr>
      <w:tr w:rsidR="004E19FE" w:rsidRPr="00DE7B61" w14:paraId="324BB5BB" w14:textId="77777777" w:rsidTr="007B4BDE">
        <w:trPr>
          <w:trHeight w:val="20"/>
        </w:trPr>
        <w:tc>
          <w:tcPr>
            <w:tcW w:w="3402" w:type="dxa"/>
            <w:vMerge/>
            <w:tcBorders>
              <w:bottom w:val="single" w:sz="6" w:space="0" w:color="1E4496" w:themeColor="text2"/>
            </w:tcBorders>
            <w:tcMar>
              <w:top w:w="113" w:type="dxa"/>
              <w:left w:w="113" w:type="dxa"/>
              <w:bottom w:w="113" w:type="dxa"/>
              <w:right w:w="113" w:type="dxa"/>
            </w:tcMar>
            <w:vAlign w:val="center"/>
          </w:tcPr>
          <w:p w14:paraId="029A4B16" w14:textId="77777777" w:rsidR="004E19FE" w:rsidRPr="00DE7B61" w:rsidRDefault="004E19FE" w:rsidP="00E64BFD">
            <w:pPr>
              <w:pStyle w:val="CDITable-RowLeft"/>
            </w:pPr>
          </w:p>
        </w:tc>
        <w:tc>
          <w:tcPr>
            <w:tcW w:w="28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3F4941" w14:textId="77777777" w:rsidR="004E19FE" w:rsidRPr="00DE7B61" w:rsidRDefault="004E19FE" w:rsidP="00E64BFD">
            <w:pPr>
              <w:pStyle w:val="CDITable-RowLeft"/>
            </w:pPr>
            <w:r w:rsidRPr="00DE7B61">
              <w:t>Female</w:t>
            </w:r>
          </w:p>
        </w:tc>
        <w:tc>
          <w:tcPr>
            <w:tcW w:w="162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EA40A5" w14:textId="77777777" w:rsidR="004E19FE" w:rsidRPr="00DE7B61" w:rsidRDefault="004E19FE" w:rsidP="00E64BFD">
            <w:pPr>
              <w:pStyle w:val="CDITable-RowCentre"/>
            </w:pPr>
            <w:r w:rsidRPr="00DE7B61">
              <w:t>29 (59%)</w:t>
            </w:r>
          </w:p>
        </w:tc>
        <w:tc>
          <w:tcPr>
            <w:tcW w:w="16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BED86D" w14:textId="77777777" w:rsidR="004E19FE" w:rsidRPr="00DE7B61" w:rsidRDefault="004E19FE" w:rsidP="00E64BFD">
            <w:pPr>
              <w:pStyle w:val="CDITable-RowCentre"/>
            </w:pPr>
            <w:r w:rsidRPr="00DE7B61">
              <w:t>9 (18%)</w:t>
            </w:r>
          </w:p>
        </w:tc>
        <w:tc>
          <w:tcPr>
            <w:tcW w:w="1621" w:type="dxa"/>
            <w:vMerge/>
            <w:tcBorders>
              <w:bottom w:val="single" w:sz="6" w:space="0" w:color="1E4496" w:themeColor="text2"/>
            </w:tcBorders>
            <w:tcMar>
              <w:top w:w="113" w:type="dxa"/>
              <w:left w:w="113" w:type="dxa"/>
              <w:bottom w:w="113" w:type="dxa"/>
              <w:right w:w="113" w:type="dxa"/>
            </w:tcMar>
            <w:vAlign w:val="center"/>
          </w:tcPr>
          <w:p w14:paraId="7F81A94E" w14:textId="77777777" w:rsidR="004E19FE" w:rsidRPr="00DE7B61" w:rsidRDefault="004E19FE" w:rsidP="00E64BFD">
            <w:pPr>
              <w:pStyle w:val="CDITable-RowCentre"/>
            </w:pPr>
          </w:p>
        </w:tc>
        <w:tc>
          <w:tcPr>
            <w:tcW w:w="162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492221" w14:textId="77777777" w:rsidR="004E19FE" w:rsidRPr="00DE7B61" w:rsidRDefault="004E19FE" w:rsidP="00E64BFD">
            <w:pPr>
              <w:pStyle w:val="CDITable-RowCentre"/>
            </w:pPr>
            <w:r w:rsidRPr="00DE7B61">
              <w:t>11 (22%)</w:t>
            </w:r>
          </w:p>
        </w:tc>
        <w:tc>
          <w:tcPr>
            <w:tcW w:w="1621" w:type="dxa"/>
            <w:vMerge/>
            <w:tcBorders>
              <w:bottom w:val="single" w:sz="6" w:space="0" w:color="1E4496" w:themeColor="text2"/>
            </w:tcBorders>
            <w:tcMar>
              <w:top w:w="113" w:type="dxa"/>
              <w:left w:w="113" w:type="dxa"/>
              <w:bottom w:w="113" w:type="dxa"/>
              <w:right w:w="113" w:type="dxa"/>
            </w:tcMar>
            <w:vAlign w:val="center"/>
          </w:tcPr>
          <w:p w14:paraId="0CAF0B28" w14:textId="77777777" w:rsidR="004E19FE" w:rsidRPr="00DE7B61" w:rsidRDefault="004E19FE" w:rsidP="00E64BFD">
            <w:pPr>
              <w:pStyle w:val="CDITable-RowCentre"/>
            </w:pPr>
          </w:p>
        </w:tc>
      </w:tr>
      <w:tr w:rsidR="004E19FE" w:rsidRPr="00DE7B61" w14:paraId="3A2E2B51" w14:textId="77777777" w:rsidTr="006A0795">
        <w:trPr>
          <w:trHeight w:val="20"/>
        </w:trPr>
        <w:tc>
          <w:tcPr>
            <w:tcW w:w="3402"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878341" w14:textId="77777777" w:rsidR="004E19FE" w:rsidRPr="00DE7B61" w:rsidRDefault="004E19FE" w:rsidP="00E64BFD">
            <w:pPr>
              <w:pStyle w:val="CDITable-RowLeft"/>
            </w:pPr>
            <w:r w:rsidRPr="00DE7B61">
              <w:t>Location at time of diagnosis</w:t>
            </w:r>
          </w:p>
        </w:tc>
        <w:tc>
          <w:tcPr>
            <w:tcW w:w="28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C3108E" w14:textId="77777777" w:rsidR="004E19FE" w:rsidRPr="00DE7B61" w:rsidRDefault="004E19FE" w:rsidP="00E64BFD">
            <w:pPr>
              <w:pStyle w:val="CDITable-RowLeft"/>
            </w:pPr>
            <w:r w:rsidRPr="00DE7B61">
              <w:t>Metropolitan Adelaide</w:t>
            </w:r>
          </w:p>
        </w:tc>
        <w:tc>
          <w:tcPr>
            <w:tcW w:w="162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5EFD6A" w14:textId="77777777" w:rsidR="004E19FE" w:rsidRPr="00DE7B61" w:rsidRDefault="004E19FE" w:rsidP="00E64BFD">
            <w:pPr>
              <w:pStyle w:val="CDITable-RowCentre"/>
            </w:pPr>
            <w:r w:rsidRPr="00DE7B61">
              <w:t>283 (74%)</w:t>
            </w:r>
          </w:p>
        </w:tc>
        <w:tc>
          <w:tcPr>
            <w:tcW w:w="16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2C9FA8" w14:textId="77777777" w:rsidR="004E19FE" w:rsidRPr="00DE7B61" w:rsidRDefault="004E19FE" w:rsidP="00E64BFD">
            <w:pPr>
              <w:pStyle w:val="CDITable-RowCentre"/>
            </w:pPr>
            <w:r w:rsidRPr="00DE7B61">
              <w:t>36 (9%)</w:t>
            </w:r>
          </w:p>
        </w:tc>
        <w:tc>
          <w:tcPr>
            <w:tcW w:w="1621" w:type="dxa"/>
            <w:vMerge w:val="restart"/>
            <w:tcBorders>
              <w:top w:val="single" w:sz="6" w:space="0" w:color="1E4496" w:themeColor="text2"/>
            </w:tcBorders>
            <w:tcMar>
              <w:top w:w="113" w:type="dxa"/>
              <w:left w:w="113" w:type="dxa"/>
              <w:bottom w:w="113" w:type="dxa"/>
              <w:right w:w="113" w:type="dxa"/>
            </w:tcMar>
            <w:vAlign w:val="center"/>
          </w:tcPr>
          <w:p w14:paraId="25F5A2D6" w14:textId="77777777" w:rsidR="004E19FE" w:rsidRPr="00DE7B61" w:rsidRDefault="004E19FE" w:rsidP="00E64BFD">
            <w:pPr>
              <w:pStyle w:val="CDITable-RowCentre"/>
            </w:pPr>
            <w:r w:rsidRPr="00DE7B61">
              <w:t>0.513</w:t>
            </w:r>
            <w:r w:rsidRPr="004E19FE">
              <w:rPr>
                <w:vertAlign w:val="superscript"/>
              </w:rPr>
              <w:t>c</w:t>
            </w:r>
          </w:p>
        </w:tc>
        <w:tc>
          <w:tcPr>
            <w:tcW w:w="162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74A510" w14:textId="77777777" w:rsidR="004E19FE" w:rsidRPr="00DE7B61" w:rsidRDefault="004E19FE" w:rsidP="00E64BFD">
            <w:pPr>
              <w:pStyle w:val="CDITable-RowCentre"/>
            </w:pPr>
            <w:r w:rsidRPr="00DE7B61">
              <w:t>61 (16%)</w:t>
            </w:r>
          </w:p>
        </w:tc>
        <w:tc>
          <w:tcPr>
            <w:tcW w:w="1621" w:type="dxa"/>
            <w:vMerge w:val="restart"/>
            <w:tcBorders>
              <w:top w:val="single" w:sz="6" w:space="0" w:color="1E4496" w:themeColor="text2"/>
            </w:tcBorders>
            <w:tcMar>
              <w:top w:w="113" w:type="dxa"/>
              <w:left w:w="113" w:type="dxa"/>
              <w:bottom w:w="113" w:type="dxa"/>
              <w:right w:w="113" w:type="dxa"/>
            </w:tcMar>
            <w:vAlign w:val="center"/>
          </w:tcPr>
          <w:p w14:paraId="24ED2EEE" w14:textId="77777777" w:rsidR="004E19FE" w:rsidRPr="00DE7B61" w:rsidRDefault="004E19FE" w:rsidP="00E64BFD">
            <w:pPr>
              <w:pStyle w:val="CDITable-RowCentre"/>
            </w:pPr>
            <w:r w:rsidRPr="00DE7B61">
              <w:t>0.339</w:t>
            </w:r>
          </w:p>
        </w:tc>
      </w:tr>
      <w:tr w:rsidR="004E19FE" w:rsidRPr="00DE7B61" w14:paraId="157FDF4A" w14:textId="77777777" w:rsidTr="006A0795">
        <w:trPr>
          <w:trHeight w:val="20"/>
        </w:trPr>
        <w:tc>
          <w:tcPr>
            <w:tcW w:w="3402" w:type="dxa"/>
            <w:vMerge/>
            <w:tcBorders>
              <w:bottom w:val="single" w:sz="6" w:space="0" w:color="1E4496" w:themeColor="text2"/>
            </w:tcBorders>
            <w:tcMar>
              <w:top w:w="113" w:type="dxa"/>
              <w:left w:w="113" w:type="dxa"/>
              <w:bottom w:w="113" w:type="dxa"/>
              <w:right w:w="113" w:type="dxa"/>
            </w:tcMar>
            <w:vAlign w:val="center"/>
          </w:tcPr>
          <w:p w14:paraId="18408783" w14:textId="77777777" w:rsidR="004E19FE" w:rsidRPr="00DE7B61" w:rsidRDefault="004E19FE" w:rsidP="00E64BFD">
            <w:pPr>
              <w:pStyle w:val="CDITable-RowLeft"/>
            </w:pPr>
          </w:p>
        </w:tc>
        <w:tc>
          <w:tcPr>
            <w:tcW w:w="28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9B7232" w14:textId="77777777" w:rsidR="004E19FE" w:rsidRPr="00DE7B61" w:rsidRDefault="004E19FE" w:rsidP="00E64BFD">
            <w:pPr>
              <w:pStyle w:val="CDITable-RowLeft"/>
            </w:pPr>
            <w:r w:rsidRPr="00DE7B61">
              <w:t>Rest of South Australia</w:t>
            </w:r>
          </w:p>
        </w:tc>
        <w:tc>
          <w:tcPr>
            <w:tcW w:w="162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78DE8D" w14:textId="77777777" w:rsidR="004E19FE" w:rsidRPr="00DE7B61" w:rsidRDefault="004E19FE" w:rsidP="00E64BFD">
            <w:pPr>
              <w:pStyle w:val="CDITable-RowCentre"/>
            </w:pPr>
            <w:r w:rsidRPr="00DE7B61">
              <w:t>21 (66%)</w:t>
            </w:r>
          </w:p>
        </w:tc>
        <w:tc>
          <w:tcPr>
            <w:tcW w:w="16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FEA0C3" w14:textId="77777777" w:rsidR="004E19FE" w:rsidRPr="00DE7B61" w:rsidRDefault="004E19FE" w:rsidP="00E64BFD">
            <w:pPr>
              <w:pStyle w:val="CDITable-RowCentre"/>
            </w:pPr>
            <w:r w:rsidRPr="00DE7B61">
              <w:t>4 (13%)</w:t>
            </w:r>
          </w:p>
        </w:tc>
        <w:tc>
          <w:tcPr>
            <w:tcW w:w="1621" w:type="dxa"/>
            <w:vMerge/>
            <w:tcBorders>
              <w:bottom w:val="single" w:sz="6" w:space="0" w:color="1E4496" w:themeColor="text2"/>
            </w:tcBorders>
            <w:tcMar>
              <w:top w:w="113" w:type="dxa"/>
              <w:left w:w="113" w:type="dxa"/>
              <w:bottom w:w="113" w:type="dxa"/>
              <w:right w:w="113" w:type="dxa"/>
            </w:tcMar>
            <w:vAlign w:val="center"/>
          </w:tcPr>
          <w:p w14:paraId="4A6A3500" w14:textId="77777777" w:rsidR="004E19FE" w:rsidRPr="00DE7B61" w:rsidRDefault="004E19FE" w:rsidP="00E64BFD">
            <w:pPr>
              <w:pStyle w:val="CDITable-RowCentre"/>
            </w:pPr>
          </w:p>
        </w:tc>
        <w:tc>
          <w:tcPr>
            <w:tcW w:w="162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802ADF" w14:textId="77777777" w:rsidR="004E19FE" w:rsidRPr="00DE7B61" w:rsidRDefault="004E19FE" w:rsidP="00E64BFD">
            <w:pPr>
              <w:pStyle w:val="CDITable-RowCentre"/>
            </w:pPr>
            <w:r w:rsidRPr="00DE7B61">
              <w:t>7 (23%)</w:t>
            </w:r>
          </w:p>
        </w:tc>
        <w:tc>
          <w:tcPr>
            <w:tcW w:w="1621" w:type="dxa"/>
            <w:vMerge/>
            <w:tcBorders>
              <w:bottom w:val="single" w:sz="6" w:space="0" w:color="1E4496" w:themeColor="text2"/>
            </w:tcBorders>
            <w:tcMar>
              <w:top w:w="113" w:type="dxa"/>
              <w:left w:w="113" w:type="dxa"/>
              <w:bottom w:w="113" w:type="dxa"/>
              <w:right w:w="113" w:type="dxa"/>
            </w:tcMar>
            <w:vAlign w:val="center"/>
          </w:tcPr>
          <w:p w14:paraId="3AF9A01A" w14:textId="77777777" w:rsidR="004E19FE" w:rsidRPr="00DE7B61" w:rsidRDefault="004E19FE" w:rsidP="00E64BFD">
            <w:pPr>
              <w:pStyle w:val="CDITable-RowCentre"/>
            </w:pPr>
          </w:p>
        </w:tc>
      </w:tr>
      <w:tr w:rsidR="004E19FE" w:rsidRPr="00DE7B61" w14:paraId="4F3FA934" w14:textId="77777777" w:rsidTr="00282D46">
        <w:trPr>
          <w:trHeight w:val="20"/>
        </w:trPr>
        <w:tc>
          <w:tcPr>
            <w:tcW w:w="3402"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A5C530" w14:textId="77777777" w:rsidR="004E19FE" w:rsidRPr="00DE7B61" w:rsidRDefault="004E19FE" w:rsidP="00E64BFD">
            <w:pPr>
              <w:pStyle w:val="CDITable-RowLeft"/>
            </w:pPr>
            <w:r w:rsidRPr="00DE7B61">
              <w:t>Diagnosing service</w:t>
            </w:r>
          </w:p>
        </w:tc>
        <w:tc>
          <w:tcPr>
            <w:tcW w:w="28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8AC231" w14:textId="77777777" w:rsidR="004E19FE" w:rsidRPr="00DE7B61" w:rsidRDefault="004E19FE" w:rsidP="00E64BFD">
            <w:pPr>
              <w:pStyle w:val="CDITable-RowLeft"/>
            </w:pPr>
            <w:r w:rsidRPr="00DE7B61">
              <w:t>Specialist service</w:t>
            </w:r>
            <w:r w:rsidRPr="004E19FE">
              <w:rPr>
                <w:vertAlign w:val="superscript"/>
              </w:rPr>
              <w:t>d</w:t>
            </w:r>
          </w:p>
        </w:tc>
        <w:tc>
          <w:tcPr>
            <w:tcW w:w="162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48A007" w14:textId="77777777" w:rsidR="004E19FE" w:rsidRPr="00DE7B61" w:rsidRDefault="004E19FE" w:rsidP="00E64BFD">
            <w:pPr>
              <w:pStyle w:val="CDITable-RowCentre"/>
            </w:pPr>
            <w:r w:rsidRPr="00DE7B61">
              <w:t>150 (79%)</w:t>
            </w:r>
          </w:p>
        </w:tc>
        <w:tc>
          <w:tcPr>
            <w:tcW w:w="16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2FF84D" w14:textId="77777777" w:rsidR="004E19FE" w:rsidRPr="00DE7B61" w:rsidRDefault="004E19FE" w:rsidP="00E64BFD">
            <w:pPr>
              <w:pStyle w:val="CDITable-RowCentre"/>
            </w:pPr>
            <w:r w:rsidRPr="00DE7B61">
              <w:t>16 (8%)</w:t>
            </w:r>
          </w:p>
        </w:tc>
        <w:tc>
          <w:tcPr>
            <w:tcW w:w="1621" w:type="dxa"/>
            <w:vMerge w:val="restart"/>
            <w:tcBorders>
              <w:top w:val="single" w:sz="6" w:space="0" w:color="1E4496" w:themeColor="text2"/>
            </w:tcBorders>
            <w:tcMar>
              <w:top w:w="113" w:type="dxa"/>
              <w:left w:w="113" w:type="dxa"/>
              <w:bottom w:w="113" w:type="dxa"/>
              <w:right w:w="113" w:type="dxa"/>
            </w:tcMar>
            <w:vAlign w:val="center"/>
          </w:tcPr>
          <w:p w14:paraId="79554795" w14:textId="77777777" w:rsidR="004E19FE" w:rsidRPr="00DE7B61" w:rsidRDefault="004E19FE" w:rsidP="00E64BFD">
            <w:pPr>
              <w:pStyle w:val="CDITable-RowCentre"/>
            </w:pPr>
            <w:r w:rsidRPr="00DE7B61">
              <w:t>0.266</w:t>
            </w:r>
          </w:p>
        </w:tc>
        <w:tc>
          <w:tcPr>
            <w:tcW w:w="162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A82660" w14:textId="77777777" w:rsidR="004E19FE" w:rsidRPr="00DE7B61" w:rsidRDefault="004E19FE" w:rsidP="00E64BFD">
            <w:pPr>
              <w:pStyle w:val="CDITable-RowCentre"/>
            </w:pPr>
            <w:r w:rsidRPr="00DE7B61">
              <w:t>25 (13%)</w:t>
            </w:r>
          </w:p>
        </w:tc>
        <w:tc>
          <w:tcPr>
            <w:tcW w:w="1621" w:type="dxa"/>
            <w:vMerge w:val="restart"/>
            <w:tcBorders>
              <w:top w:val="single" w:sz="6" w:space="0" w:color="1E4496" w:themeColor="text2"/>
            </w:tcBorders>
            <w:tcMar>
              <w:top w:w="113" w:type="dxa"/>
              <w:left w:w="113" w:type="dxa"/>
              <w:bottom w:w="113" w:type="dxa"/>
              <w:right w:w="113" w:type="dxa"/>
            </w:tcMar>
            <w:vAlign w:val="center"/>
          </w:tcPr>
          <w:p w14:paraId="68D50578" w14:textId="77777777" w:rsidR="004E19FE" w:rsidRPr="00DE7B61" w:rsidRDefault="004E19FE" w:rsidP="00E64BFD">
            <w:pPr>
              <w:pStyle w:val="CDITable-RowCentre"/>
            </w:pPr>
            <w:r w:rsidRPr="00DE7B61">
              <w:t>0.060</w:t>
            </w:r>
          </w:p>
        </w:tc>
      </w:tr>
      <w:tr w:rsidR="004E19FE" w:rsidRPr="00DE7B61" w14:paraId="4C844EC1" w14:textId="77777777" w:rsidTr="00282D46">
        <w:trPr>
          <w:trHeight w:val="20"/>
        </w:trPr>
        <w:tc>
          <w:tcPr>
            <w:tcW w:w="3402" w:type="dxa"/>
            <w:vMerge/>
            <w:tcBorders>
              <w:bottom w:val="single" w:sz="6" w:space="0" w:color="1E4496" w:themeColor="text2"/>
            </w:tcBorders>
            <w:tcMar>
              <w:top w:w="113" w:type="dxa"/>
              <w:left w:w="113" w:type="dxa"/>
              <w:bottom w:w="113" w:type="dxa"/>
              <w:right w:w="113" w:type="dxa"/>
            </w:tcMar>
            <w:vAlign w:val="center"/>
          </w:tcPr>
          <w:p w14:paraId="584B1D36" w14:textId="77777777" w:rsidR="004E19FE" w:rsidRPr="00DE7B61" w:rsidRDefault="004E19FE" w:rsidP="00E64BFD">
            <w:pPr>
              <w:pStyle w:val="CDITable-RowLeft"/>
            </w:pPr>
          </w:p>
        </w:tc>
        <w:tc>
          <w:tcPr>
            <w:tcW w:w="28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AC7AFB" w14:textId="77777777" w:rsidR="004E19FE" w:rsidRPr="00DE7B61" w:rsidRDefault="004E19FE" w:rsidP="00E64BFD">
            <w:pPr>
              <w:pStyle w:val="CDITable-RowLeft"/>
            </w:pPr>
            <w:r w:rsidRPr="00DE7B61">
              <w:t>Non-specialist service</w:t>
            </w:r>
          </w:p>
        </w:tc>
        <w:tc>
          <w:tcPr>
            <w:tcW w:w="162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F6CB44" w14:textId="77777777" w:rsidR="004E19FE" w:rsidRPr="00DE7B61" w:rsidRDefault="004E19FE" w:rsidP="00E64BFD">
            <w:pPr>
              <w:pStyle w:val="CDITable-RowCentre"/>
            </w:pPr>
            <w:r w:rsidRPr="00DE7B61">
              <w:t>154 (70%)</w:t>
            </w:r>
          </w:p>
        </w:tc>
        <w:tc>
          <w:tcPr>
            <w:tcW w:w="16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E0F8F9" w14:textId="77777777" w:rsidR="004E19FE" w:rsidRPr="00DE7B61" w:rsidRDefault="004E19FE" w:rsidP="00E64BFD">
            <w:pPr>
              <w:pStyle w:val="CDITable-RowCentre"/>
            </w:pPr>
            <w:r w:rsidRPr="00DE7B61">
              <w:t>24 (11%)</w:t>
            </w:r>
          </w:p>
        </w:tc>
        <w:tc>
          <w:tcPr>
            <w:tcW w:w="1621" w:type="dxa"/>
            <w:vMerge/>
            <w:tcBorders>
              <w:bottom w:val="single" w:sz="6" w:space="0" w:color="1E4496" w:themeColor="text2"/>
            </w:tcBorders>
            <w:tcMar>
              <w:top w:w="113" w:type="dxa"/>
              <w:left w:w="113" w:type="dxa"/>
              <w:bottom w:w="113" w:type="dxa"/>
              <w:right w:w="113" w:type="dxa"/>
            </w:tcMar>
            <w:vAlign w:val="center"/>
          </w:tcPr>
          <w:p w14:paraId="3EBC394E" w14:textId="77777777" w:rsidR="004E19FE" w:rsidRPr="00DE7B61" w:rsidRDefault="004E19FE" w:rsidP="00E64BFD">
            <w:pPr>
              <w:pStyle w:val="CDITable-RowCentre"/>
            </w:pPr>
          </w:p>
        </w:tc>
        <w:tc>
          <w:tcPr>
            <w:tcW w:w="162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EF3ECD" w14:textId="77777777" w:rsidR="004E19FE" w:rsidRPr="00DE7B61" w:rsidRDefault="004E19FE" w:rsidP="00E64BFD">
            <w:pPr>
              <w:pStyle w:val="CDITable-RowCentre"/>
            </w:pPr>
            <w:r w:rsidRPr="00DE7B61">
              <w:t>43 (19%)</w:t>
            </w:r>
          </w:p>
        </w:tc>
        <w:tc>
          <w:tcPr>
            <w:tcW w:w="1621" w:type="dxa"/>
            <w:vMerge/>
            <w:tcBorders>
              <w:bottom w:val="single" w:sz="6" w:space="0" w:color="1E4496" w:themeColor="text2"/>
            </w:tcBorders>
            <w:tcMar>
              <w:top w:w="113" w:type="dxa"/>
              <w:left w:w="113" w:type="dxa"/>
              <w:bottom w:w="113" w:type="dxa"/>
              <w:right w:w="113" w:type="dxa"/>
            </w:tcMar>
            <w:vAlign w:val="center"/>
          </w:tcPr>
          <w:p w14:paraId="564913AA" w14:textId="77777777" w:rsidR="004E19FE" w:rsidRPr="00DE7B61" w:rsidRDefault="004E19FE" w:rsidP="00E64BFD">
            <w:pPr>
              <w:pStyle w:val="CDITable-RowCentre"/>
            </w:pPr>
          </w:p>
        </w:tc>
      </w:tr>
      <w:tr w:rsidR="004E19FE" w:rsidRPr="00DE7B61" w14:paraId="1E732E44" w14:textId="77777777" w:rsidTr="00CE47F8">
        <w:trPr>
          <w:trHeight w:val="20"/>
        </w:trPr>
        <w:tc>
          <w:tcPr>
            <w:tcW w:w="3402"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CE0E78" w14:textId="77777777" w:rsidR="004E19FE" w:rsidRPr="00DE7B61" w:rsidRDefault="004E19FE" w:rsidP="00E64BFD">
            <w:pPr>
              <w:pStyle w:val="CDITable-RowLeft"/>
            </w:pPr>
            <w:r w:rsidRPr="00DE7B61">
              <w:t>Sexual exposure (by sex at birth)</w:t>
            </w:r>
          </w:p>
        </w:tc>
        <w:tc>
          <w:tcPr>
            <w:tcW w:w="28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0DC898" w14:textId="77777777" w:rsidR="004E19FE" w:rsidRPr="00DE7B61" w:rsidRDefault="004E19FE" w:rsidP="00E64BFD">
            <w:pPr>
              <w:pStyle w:val="CDITable-RowLeft"/>
            </w:pPr>
            <w:r w:rsidRPr="00DE7B61">
              <w:t>Same sex</w:t>
            </w:r>
          </w:p>
        </w:tc>
        <w:tc>
          <w:tcPr>
            <w:tcW w:w="162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D52F23" w14:textId="77777777" w:rsidR="004E19FE" w:rsidRPr="00DE7B61" w:rsidRDefault="004E19FE" w:rsidP="00E64BFD">
            <w:pPr>
              <w:pStyle w:val="CDITable-RowCentre"/>
            </w:pPr>
            <w:r w:rsidRPr="00DE7B61">
              <w:t>197 (82%)</w:t>
            </w:r>
          </w:p>
        </w:tc>
        <w:tc>
          <w:tcPr>
            <w:tcW w:w="16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7E02DE" w14:textId="77777777" w:rsidR="004E19FE" w:rsidRPr="00DE7B61" w:rsidRDefault="004E19FE" w:rsidP="00E64BFD">
            <w:pPr>
              <w:pStyle w:val="CDITable-RowCentre"/>
            </w:pPr>
            <w:r w:rsidRPr="00DE7B61">
              <w:t>17 (7%)</w:t>
            </w:r>
          </w:p>
        </w:tc>
        <w:tc>
          <w:tcPr>
            <w:tcW w:w="1621" w:type="dxa"/>
            <w:vMerge w:val="restart"/>
            <w:tcBorders>
              <w:top w:val="single" w:sz="6" w:space="0" w:color="1E4496" w:themeColor="text2"/>
            </w:tcBorders>
            <w:tcMar>
              <w:top w:w="113" w:type="dxa"/>
              <w:left w:w="113" w:type="dxa"/>
              <w:bottom w:w="113" w:type="dxa"/>
              <w:right w:w="113" w:type="dxa"/>
            </w:tcMar>
            <w:vAlign w:val="center"/>
          </w:tcPr>
          <w:p w14:paraId="0F40DE7C" w14:textId="77777777" w:rsidR="004E19FE" w:rsidRPr="00DE7B61" w:rsidRDefault="004E19FE" w:rsidP="00E64BFD">
            <w:pPr>
              <w:pStyle w:val="CDITable-RowCentre"/>
            </w:pPr>
            <w:r w:rsidRPr="00DE7B61">
              <w:t>0.033</w:t>
            </w:r>
            <w:r w:rsidRPr="004E19FE">
              <w:rPr>
                <w:vertAlign w:val="superscript"/>
              </w:rPr>
              <w:t>c</w:t>
            </w:r>
          </w:p>
        </w:tc>
        <w:tc>
          <w:tcPr>
            <w:tcW w:w="162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A3FABC" w14:textId="77777777" w:rsidR="004E19FE" w:rsidRPr="00DE7B61" w:rsidRDefault="004E19FE" w:rsidP="00E64BFD">
            <w:pPr>
              <w:pStyle w:val="CDITable-RowCentre"/>
            </w:pPr>
            <w:r w:rsidRPr="00DE7B61">
              <w:t>26 (11%)</w:t>
            </w:r>
          </w:p>
        </w:tc>
        <w:tc>
          <w:tcPr>
            <w:tcW w:w="1621" w:type="dxa"/>
            <w:vMerge w:val="restart"/>
            <w:tcBorders>
              <w:top w:val="single" w:sz="6" w:space="0" w:color="1E4496" w:themeColor="text2"/>
            </w:tcBorders>
            <w:tcMar>
              <w:top w:w="113" w:type="dxa"/>
              <w:left w:w="113" w:type="dxa"/>
              <w:bottom w:w="113" w:type="dxa"/>
              <w:right w:w="113" w:type="dxa"/>
            </w:tcMar>
            <w:vAlign w:val="center"/>
          </w:tcPr>
          <w:p w14:paraId="1BD6E746" w14:textId="77777777" w:rsidR="004E19FE" w:rsidRPr="00DE7B61" w:rsidRDefault="004E19FE" w:rsidP="00E64BFD">
            <w:pPr>
              <w:pStyle w:val="CDITable-RowCentre"/>
            </w:pPr>
            <w:r w:rsidRPr="00DE7B61">
              <w:t>0.001</w:t>
            </w:r>
            <w:r w:rsidRPr="004E19FE">
              <w:rPr>
                <w:vertAlign w:val="superscript"/>
              </w:rPr>
              <w:t>c</w:t>
            </w:r>
          </w:p>
        </w:tc>
      </w:tr>
      <w:tr w:rsidR="004E19FE" w:rsidRPr="00DE7B61" w14:paraId="508AFDCC" w14:textId="77777777" w:rsidTr="00CE47F8">
        <w:trPr>
          <w:trHeight w:val="20"/>
        </w:trPr>
        <w:tc>
          <w:tcPr>
            <w:tcW w:w="3402" w:type="dxa"/>
            <w:vMerge/>
            <w:tcBorders>
              <w:bottom w:val="single" w:sz="6" w:space="0" w:color="1E4496" w:themeColor="text2"/>
            </w:tcBorders>
            <w:tcMar>
              <w:top w:w="113" w:type="dxa"/>
              <w:left w:w="113" w:type="dxa"/>
              <w:bottom w:w="113" w:type="dxa"/>
              <w:right w:w="113" w:type="dxa"/>
            </w:tcMar>
            <w:vAlign w:val="center"/>
          </w:tcPr>
          <w:p w14:paraId="43C2A545" w14:textId="77777777" w:rsidR="004E19FE" w:rsidRPr="00DE7B61" w:rsidRDefault="004E19FE" w:rsidP="00E64BFD">
            <w:pPr>
              <w:pStyle w:val="CDITable-RowLeft"/>
            </w:pPr>
          </w:p>
        </w:tc>
        <w:tc>
          <w:tcPr>
            <w:tcW w:w="28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4B153F" w14:textId="77777777" w:rsidR="004E19FE" w:rsidRPr="00DE7B61" w:rsidRDefault="004E19FE" w:rsidP="00E64BFD">
            <w:pPr>
              <w:pStyle w:val="CDITable-RowLeft"/>
            </w:pPr>
            <w:r w:rsidRPr="00DE7B61">
              <w:t>Other sex</w:t>
            </w:r>
          </w:p>
        </w:tc>
        <w:tc>
          <w:tcPr>
            <w:tcW w:w="162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7AC8CF" w14:textId="77777777" w:rsidR="004E19FE" w:rsidRPr="00DE7B61" w:rsidRDefault="004E19FE" w:rsidP="00E64BFD">
            <w:pPr>
              <w:pStyle w:val="CDITable-RowCentre"/>
            </w:pPr>
            <w:r w:rsidRPr="00DE7B61">
              <w:t>73 (62%)</w:t>
            </w:r>
          </w:p>
        </w:tc>
        <w:tc>
          <w:tcPr>
            <w:tcW w:w="16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768C82" w14:textId="77777777" w:rsidR="004E19FE" w:rsidRPr="00DE7B61" w:rsidRDefault="004E19FE" w:rsidP="00E64BFD">
            <w:pPr>
              <w:pStyle w:val="CDITable-RowCentre"/>
            </w:pPr>
            <w:r w:rsidRPr="00DE7B61">
              <w:t>16 (14%)</w:t>
            </w:r>
          </w:p>
        </w:tc>
        <w:tc>
          <w:tcPr>
            <w:tcW w:w="1621" w:type="dxa"/>
            <w:vMerge/>
            <w:tcMar>
              <w:top w:w="113" w:type="dxa"/>
              <w:left w:w="113" w:type="dxa"/>
              <w:bottom w:w="113" w:type="dxa"/>
              <w:right w:w="113" w:type="dxa"/>
            </w:tcMar>
            <w:vAlign w:val="center"/>
          </w:tcPr>
          <w:p w14:paraId="3FF932DD" w14:textId="77777777" w:rsidR="004E19FE" w:rsidRPr="00DE7B61" w:rsidRDefault="004E19FE" w:rsidP="00E64BFD">
            <w:pPr>
              <w:pStyle w:val="CDITable-RowCentre"/>
            </w:pPr>
          </w:p>
        </w:tc>
        <w:tc>
          <w:tcPr>
            <w:tcW w:w="162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2127BE" w14:textId="77777777" w:rsidR="004E19FE" w:rsidRPr="00DE7B61" w:rsidRDefault="004E19FE" w:rsidP="00E64BFD">
            <w:pPr>
              <w:pStyle w:val="CDITable-RowCentre"/>
            </w:pPr>
            <w:r w:rsidRPr="00DE7B61">
              <w:t>29 (25%)</w:t>
            </w:r>
          </w:p>
        </w:tc>
        <w:tc>
          <w:tcPr>
            <w:tcW w:w="1621" w:type="dxa"/>
            <w:vMerge/>
            <w:tcMar>
              <w:top w:w="113" w:type="dxa"/>
              <w:left w:w="113" w:type="dxa"/>
              <w:bottom w:w="113" w:type="dxa"/>
              <w:right w:w="113" w:type="dxa"/>
            </w:tcMar>
            <w:vAlign w:val="center"/>
          </w:tcPr>
          <w:p w14:paraId="50FE8D99" w14:textId="77777777" w:rsidR="004E19FE" w:rsidRPr="00DE7B61" w:rsidRDefault="004E19FE" w:rsidP="00E64BFD">
            <w:pPr>
              <w:pStyle w:val="CDITable-RowCentre"/>
            </w:pPr>
          </w:p>
        </w:tc>
      </w:tr>
      <w:tr w:rsidR="004E19FE" w:rsidRPr="00DE7B61" w14:paraId="5A0EE3B7" w14:textId="77777777" w:rsidTr="00CE47F8">
        <w:trPr>
          <w:trHeight w:val="20"/>
        </w:trPr>
        <w:tc>
          <w:tcPr>
            <w:tcW w:w="3402" w:type="dxa"/>
            <w:vMerge/>
            <w:tcBorders>
              <w:bottom w:val="single" w:sz="6" w:space="0" w:color="1E4496" w:themeColor="text2"/>
            </w:tcBorders>
            <w:tcMar>
              <w:top w:w="113" w:type="dxa"/>
              <w:left w:w="113" w:type="dxa"/>
              <w:bottom w:w="113" w:type="dxa"/>
              <w:right w:w="113" w:type="dxa"/>
            </w:tcMar>
            <w:vAlign w:val="center"/>
          </w:tcPr>
          <w:p w14:paraId="7F37656E" w14:textId="77777777" w:rsidR="004E19FE" w:rsidRPr="00DE7B61" w:rsidRDefault="004E19FE" w:rsidP="00E64BFD">
            <w:pPr>
              <w:pStyle w:val="CDITable-RowLeft"/>
            </w:pPr>
          </w:p>
        </w:tc>
        <w:tc>
          <w:tcPr>
            <w:tcW w:w="28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3B2380" w14:textId="77777777" w:rsidR="004E19FE" w:rsidRPr="00DE7B61" w:rsidRDefault="004E19FE" w:rsidP="00E64BFD">
            <w:pPr>
              <w:pStyle w:val="CDITable-RowLeft"/>
            </w:pPr>
            <w:r w:rsidRPr="00DE7B61">
              <w:t>Partners of more than one sex</w:t>
            </w:r>
          </w:p>
        </w:tc>
        <w:tc>
          <w:tcPr>
            <w:tcW w:w="162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CDA6C2" w14:textId="77777777" w:rsidR="004E19FE" w:rsidRPr="00DE7B61" w:rsidRDefault="004E19FE" w:rsidP="00E64BFD">
            <w:pPr>
              <w:pStyle w:val="CDITable-RowCentre"/>
            </w:pPr>
            <w:r w:rsidRPr="00DE7B61">
              <w:t>30 (63%)</w:t>
            </w:r>
          </w:p>
        </w:tc>
        <w:tc>
          <w:tcPr>
            <w:tcW w:w="16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8368B2" w14:textId="77777777" w:rsidR="004E19FE" w:rsidRPr="00DE7B61" w:rsidRDefault="004E19FE" w:rsidP="00E64BFD">
            <w:pPr>
              <w:pStyle w:val="CDITable-RowCentre"/>
            </w:pPr>
            <w:r w:rsidRPr="00DE7B61">
              <w:t>6 (13%)</w:t>
            </w:r>
          </w:p>
        </w:tc>
        <w:tc>
          <w:tcPr>
            <w:tcW w:w="1621" w:type="dxa"/>
            <w:vMerge/>
            <w:tcMar>
              <w:top w:w="113" w:type="dxa"/>
              <w:left w:w="113" w:type="dxa"/>
              <w:bottom w:w="113" w:type="dxa"/>
              <w:right w:w="113" w:type="dxa"/>
            </w:tcMar>
            <w:vAlign w:val="center"/>
          </w:tcPr>
          <w:p w14:paraId="2E545732" w14:textId="77777777" w:rsidR="004E19FE" w:rsidRPr="00DE7B61" w:rsidRDefault="004E19FE" w:rsidP="00E64BFD">
            <w:pPr>
              <w:pStyle w:val="CDITable-RowCentre"/>
            </w:pPr>
          </w:p>
        </w:tc>
        <w:tc>
          <w:tcPr>
            <w:tcW w:w="162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A1ED88" w14:textId="77777777" w:rsidR="004E19FE" w:rsidRPr="00DE7B61" w:rsidRDefault="004E19FE" w:rsidP="00E64BFD">
            <w:pPr>
              <w:pStyle w:val="CDITable-RowCentre"/>
            </w:pPr>
            <w:r w:rsidRPr="00DE7B61">
              <w:t>12 (25%)</w:t>
            </w:r>
          </w:p>
        </w:tc>
        <w:tc>
          <w:tcPr>
            <w:tcW w:w="1621" w:type="dxa"/>
            <w:vMerge/>
            <w:tcMar>
              <w:top w:w="113" w:type="dxa"/>
              <w:left w:w="113" w:type="dxa"/>
              <w:bottom w:w="113" w:type="dxa"/>
              <w:right w:w="113" w:type="dxa"/>
            </w:tcMar>
            <w:vAlign w:val="center"/>
          </w:tcPr>
          <w:p w14:paraId="0322687B" w14:textId="77777777" w:rsidR="004E19FE" w:rsidRPr="00DE7B61" w:rsidRDefault="004E19FE" w:rsidP="00E64BFD">
            <w:pPr>
              <w:pStyle w:val="CDITable-RowCentre"/>
            </w:pPr>
          </w:p>
        </w:tc>
      </w:tr>
      <w:tr w:rsidR="004E19FE" w:rsidRPr="00DE7B61" w14:paraId="70ECDD04" w14:textId="77777777" w:rsidTr="00CE47F8">
        <w:trPr>
          <w:trHeight w:val="20"/>
        </w:trPr>
        <w:tc>
          <w:tcPr>
            <w:tcW w:w="3402" w:type="dxa"/>
            <w:vMerge/>
            <w:tcBorders>
              <w:bottom w:val="single" w:sz="6" w:space="0" w:color="1E4496" w:themeColor="text2"/>
            </w:tcBorders>
            <w:tcMar>
              <w:top w:w="113" w:type="dxa"/>
              <w:left w:w="113" w:type="dxa"/>
              <w:bottom w:w="113" w:type="dxa"/>
              <w:right w:w="113" w:type="dxa"/>
            </w:tcMar>
            <w:vAlign w:val="center"/>
          </w:tcPr>
          <w:p w14:paraId="0842C3B2" w14:textId="77777777" w:rsidR="004E19FE" w:rsidRPr="00DE7B61" w:rsidRDefault="004E19FE" w:rsidP="00E64BFD">
            <w:pPr>
              <w:pStyle w:val="CDITable-RowLeft"/>
            </w:pPr>
          </w:p>
        </w:tc>
        <w:tc>
          <w:tcPr>
            <w:tcW w:w="28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5A307A" w14:textId="77777777" w:rsidR="004E19FE" w:rsidRPr="00DE7B61" w:rsidRDefault="004E19FE" w:rsidP="00E64BFD">
            <w:pPr>
              <w:pStyle w:val="CDITable-RowLeft"/>
            </w:pPr>
            <w:r w:rsidRPr="00DE7B61">
              <w:t>Other or not stated</w:t>
            </w:r>
          </w:p>
        </w:tc>
        <w:tc>
          <w:tcPr>
            <w:tcW w:w="162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025D43" w14:textId="77777777" w:rsidR="004E19FE" w:rsidRPr="00DE7B61" w:rsidRDefault="004E19FE" w:rsidP="00E64BFD">
            <w:pPr>
              <w:pStyle w:val="CDITable-RowCentre"/>
            </w:pPr>
            <w:r w:rsidRPr="00DE7B61">
              <w:t>4 (67%)</w:t>
            </w:r>
          </w:p>
        </w:tc>
        <w:tc>
          <w:tcPr>
            <w:tcW w:w="16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C09BDE" w14:textId="77777777" w:rsidR="004E19FE" w:rsidRPr="00DE7B61" w:rsidRDefault="004E19FE" w:rsidP="00E64BFD">
            <w:pPr>
              <w:pStyle w:val="CDITable-RowCentre"/>
            </w:pPr>
            <w:r w:rsidRPr="00DE7B61">
              <w:t>1 (17%)</w:t>
            </w:r>
          </w:p>
        </w:tc>
        <w:tc>
          <w:tcPr>
            <w:tcW w:w="1621" w:type="dxa"/>
            <w:vMerge/>
            <w:tcBorders>
              <w:bottom w:val="single" w:sz="6" w:space="0" w:color="1E4496" w:themeColor="text2"/>
            </w:tcBorders>
            <w:tcMar>
              <w:top w:w="113" w:type="dxa"/>
              <w:left w:w="113" w:type="dxa"/>
              <w:bottom w:w="113" w:type="dxa"/>
              <w:right w:w="113" w:type="dxa"/>
            </w:tcMar>
            <w:vAlign w:val="center"/>
          </w:tcPr>
          <w:p w14:paraId="64288D41" w14:textId="77777777" w:rsidR="004E19FE" w:rsidRPr="00DE7B61" w:rsidRDefault="004E19FE" w:rsidP="00E64BFD">
            <w:pPr>
              <w:pStyle w:val="CDITable-RowCentre"/>
            </w:pPr>
          </w:p>
        </w:tc>
        <w:tc>
          <w:tcPr>
            <w:tcW w:w="162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BFEF40" w14:textId="77777777" w:rsidR="004E19FE" w:rsidRPr="00DE7B61" w:rsidRDefault="004E19FE" w:rsidP="00E64BFD">
            <w:pPr>
              <w:pStyle w:val="CDITable-RowCentre"/>
            </w:pPr>
            <w:r w:rsidRPr="00DE7B61">
              <w:t>1 (17%)</w:t>
            </w:r>
          </w:p>
        </w:tc>
        <w:tc>
          <w:tcPr>
            <w:tcW w:w="1621" w:type="dxa"/>
            <w:vMerge/>
            <w:tcBorders>
              <w:bottom w:val="single" w:sz="6" w:space="0" w:color="1E4496" w:themeColor="text2"/>
            </w:tcBorders>
            <w:tcMar>
              <w:top w:w="113" w:type="dxa"/>
              <w:left w:w="113" w:type="dxa"/>
              <w:bottom w:w="113" w:type="dxa"/>
              <w:right w:w="113" w:type="dxa"/>
            </w:tcMar>
            <w:vAlign w:val="center"/>
          </w:tcPr>
          <w:p w14:paraId="184A2EAA" w14:textId="77777777" w:rsidR="004E19FE" w:rsidRPr="00DE7B61" w:rsidRDefault="004E19FE" w:rsidP="00E64BFD">
            <w:pPr>
              <w:pStyle w:val="CDITable-RowCentre"/>
            </w:pPr>
          </w:p>
        </w:tc>
      </w:tr>
      <w:tr w:rsidR="004E19FE" w:rsidRPr="00DE7B61" w14:paraId="2A73ABA5" w14:textId="77777777" w:rsidTr="00554B83">
        <w:trPr>
          <w:trHeight w:val="20"/>
        </w:trPr>
        <w:tc>
          <w:tcPr>
            <w:tcW w:w="3402"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E7C835" w14:textId="77777777" w:rsidR="004E19FE" w:rsidRPr="00DE7B61" w:rsidRDefault="004E19FE" w:rsidP="00E64BFD">
            <w:pPr>
              <w:pStyle w:val="CDITable-RowLeft"/>
            </w:pPr>
            <w:r w:rsidRPr="00DE7B61">
              <w:t>Symptom status at time of diagnosis</w:t>
            </w:r>
          </w:p>
        </w:tc>
        <w:tc>
          <w:tcPr>
            <w:tcW w:w="28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F86681" w14:textId="77777777" w:rsidR="004E19FE" w:rsidRPr="00DE7B61" w:rsidRDefault="004E19FE" w:rsidP="00E64BFD">
            <w:pPr>
              <w:pStyle w:val="CDITable-RowLeft"/>
            </w:pPr>
            <w:r w:rsidRPr="00DE7B61">
              <w:t>Asymptomatic</w:t>
            </w:r>
          </w:p>
        </w:tc>
        <w:tc>
          <w:tcPr>
            <w:tcW w:w="162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81471E" w14:textId="77777777" w:rsidR="004E19FE" w:rsidRPr="00DE7B61" w:rsidRDefault="004E19FE" w:rsidP="00E64BFD">
            <w:pPr>
              <w:pStyle w:val="CDITable-RowCentre"/>
            </w:pPr>
            <w:r w:rsidRPr="00DE7B61">
              <w:t>134 (73%)</w:t>
            </w:r>
          </w:p>
        </w:tc>
        <w:tc>
          <w:tcPr>
            <w:tcW w:w="16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922515" w14:textId="77777777" w:rsidR="004E19FE" w:rsidRPr="00DE7B61" w:rsidRDefault="004E19FE" w:rsidP="00E64BFD">
            <w:pPr>
              <w:pStyle w:val="CDITable-RowCentre"/>
            </w:pPr>
            <w:r w:rsidRPr="00DE7B61">
              <w:t>22 (12%)</w:t>
            </w:r>
          </w:p>
        </w:tc>
        <w:tc>
          <w:tcPr>
            <w:tcW w:w="1621" w:type="dxa"/>
            <w:vMerge w:val="restart"/>
            <w:tcBorders>
              <w:top w:val="single" w:sz="6" w:space="0" w:color="1E4496" w:themeColor="text2"/>
            </w:tcBorders>
            <w:tcMar>
              <w:top w:w="113" w:type="dxa"/>
              <w:left w:w="113" w:type="dxa"/>
              <w:bottom w:w="113" w:type="dxa"/>
              <w:right w:w="113" w:type="dxa"/>
            </w:tcMar>
            <w:vAlign w:val="center"/>
          </w:tcPr>
          <w:p w14:paraId="0EA59902" w14:textId="77777777" w:rsidR="004E19FE" w:rsidRPr="00DE7B61" w:rsidRDefault="004E19FE" w:rsidP="00E64BFD">
            <w:pPr>
              <w:pStyle w:val="CDITable-RowCentre"/>
            </w:pPr>
            <w:r w:rsidRPr="00DE7B61">
              <w:t>0.192</w:t>
            </w:r>
          </w:p>
        </w:tc>
        <w:tc>
          <w:tcPr>
            <w:tcW w:w="162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EB974E" w14:textId="77777777" w:rsidR="004E19FE" w:rsidRPr="00DE7B61" w:rsidRDefault="004E19FE" w:rsidP="00E64BFD">
            <w:pPr>
              <w:pStyle w:val="CDITable-RowCentre"/>
            </w:pPr>
            <w:r w:rsidRPr="00DE7B61">
              <w:t>28 (15%)</w:t>
            </w:r>
          </w:p>
        </w:tc>
        <w:tc>
          <w:tcPr>
            <w:tcW w:w="1621" w:type="dxa"/>
            <w:vMerge w:val="restart"/>
            <w:tcBorders>
              <w:top w:val="single" w:sz="6" w:space="0" w:color="1E4496" w:themeColor="text2"/>
            </w:tcBorders>
            <w:tcMar>
              <w:top w:w="113" w:type="dxa"/>
              <w:left w:w="113" w:type="dxa"/>
              <w:bottom w:w="113" w:type="dxa"/>
              <w:right w:w="113" w:type="dxa"/>
            </w:tcMar>
            <w:vAlign w:val="center"/>
          </w:tcPr>
          <w:p w14:paraId="461839F1" w14:textId="77777777" w:rsidR="004E19FE" w:rsidRPr="00DE7B61" w:rsidRDefault="004E19FE" w:rsidP="00E64BFD">
            <w:pPr>
              <w:pStyle w:val="CDITable-RowCentre"/>
            </w:pPr>
            <w:r w:rsidRPr="00DE7B61">
              <w:t>0.663</w:t>
            </w:r>
          </w:p>
        </w:tc>
      </w:tr>
      <w:tr w:rsidR="004E19FE" w:rsidRPr="00DE7B61" w14:paraId="552DF4BA" w14:textId="77777777" w:rsidTr="00554B83">
        <w:trPr>
          <w:trHeight w:val="20"/>
        </w:trPr>
        <w:tc>
          <w:tcPr>
            <w:tcW w:w="3402" w:type="dxa"/>
            <w:vMerge/>
            <w:tcBorders>
              <w:bottom w:val="single" w:sz="6" w:space="0" w:color="1E4496" w:themeColor="text2"/>
            </w:tcBorders>
            <w:tcMar>
              <w:top w:w="113" w:type="dxa"/>
              <w:left w:w="113" w:type="dxa"/>
              <w:bottom w:w="113" w:type="dxa"/>
              <w:right w:w="113" w:type="dxa"/>
            </w:tcMar>
            <w:vAlign w:val="center"/>
          </w:tcPr>
          <w:p w14:paraId="328CA24C" w14:textId="77777777" w:rsidR="004E19FE" w:rsidRPr="00DE7B61" w:rsidRDefault="004E19FE" w:rsidP="00E64BFD">
            <w:pPr>
              <w:pStyle w:val="CDITable-RowLeft"/>
            </w:pPr>
          </w:p>
        </w:tc>
        <w:tc>
          <w:tcPr>
            <w:tcW w:w="28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3B10C7" w14:textId="77777777" w:rsidR="004E19FE" w:rsidRPr="00DE7B61" w:rsidRDefault="004E19FE" w:rsidP="00E64BFD">
            <w:pPr>
              <w:pStyle w:val="CDITable-RowLeft"/>
            </w:pPr>
            <w:r w:rsidRPr="00DE7B61">
              <w:t>Symptoms of syphilis</w:t>
            </w:r>
          </w:p>
        </w:tc>
        <w:tc>
          <w:tcPr>
            <w:tcW w:w="162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CFF93F5" w14:textId="77777777" w:rsidR="004E19FE" w:rsidRPr="00DE7B61" w:rsidRDefault="004E19FE" w:rsidP="00E64BFD">
            <w:pPr>
              <w:pStyle w:val="CDITable-RowCentre"/>
            </w:pPr>
            <w:r w:rsidRPr="00DE7B61">
              <w:t>170 (75%)</w:t>
            </w:r>
          </w:p>
        </w:tc>
        <w:tc>
          <w:tcPr>
            <w:tcW w:w="16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DC0CE6" w14:textId="77777777" w:rsidR="004E19FE" w:rsidRPr="00DE7B61" w:rsidRDefault="004E19FE" w:rsidP="00E64BFD">
            <w:pPr>
              <w:pStyle w:val="CDITable-RowCentre"/>
            </w:pPr>
            <w:r w:rsidRPr="00DE7B61">
              <w:t>18 (8%)</w:t>
            </w:r>
          </w:p>
        </w:tc>
        <w:tc>
          <w:tcPr>
            <w:tcW w:w="1621" w:type="dxa"/>
            <w:vMerge/>
            <w:tcBorders>
              <w:bottom w:val="single" w:sz="6" w:space="0" w:color="1E4496" w:themeColor="text2"/>
            </w:tcBorders>
            <w:tcMar>
              <w:top w:w="113" w:type="dxa"/>
              <w:left w:w="113" w:type="dxa"/>
              <w:bottom w:w="113" w:type="dxa"/>
              <w:right w:w="113" w:type="dxa"/>
            </w:tcMar>
            <w:vAlign w:val="center"/>
          </w:tcPr>
          <w:p w14:paraId="4BE7A6CD" w14:textId="77777777" w:rsidR="004E19FE" w:rsidRPr="00DE7B61" w:rsidRDefault="004E19FE" w:rsidP="00E64BFD">
            <w:pPr>
              <w:pStyle w:val="CDITable-RowCentre"/>
            </w:pPr>
          </w:p>
        </w:tc>
        <w:tc>
          <w:tcPr>
            <w:tcW w:w="162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F6D8BF" w14:textId="77777777" w:rsidR="004E19FE" w:rsidRPr="00DE7B61" w:rsidRDefault="004E19FE" w:rsidP="00E64BFD">
            <w:pPr>
              <w:pStyle w:val="CDITable-RowCentre"/>
            </w:pPr>
            <w:r w:rsidRPr="00DE7B61">
              <w:t>40 (18%)</w:t>
            </w:r>
          </w:p>
        </w:tc>
        <w:tc>
          <w:tcPr>
            <w:tcW w:w="1621" w:type="dxa"/>
            <w:vMerge/>
            <w:tcBorders>
              <w:bottom w:val="single" w:sz="6" w:space="0" w:color="1E4496" w:themeColor="text2"/>
            </w:tcBorders>
            <w:tcMar>
              <w:top w:w="113" w:type="dxa"/>
              <w:left w:w="113" w:type="dxa"/>
              <w:bottom w:w="113" w:type="dxa"/>
              <w:right w:w="113" w:type="dxa"/>
            </w:tcMar>
            <w:vAlign w:val="center"/>
          </w:tcPr>
          <w:p w14:paraId="68E5DBCB" w14:textId="77777777" w:rsidR="004E19FE" w:rsidRPr="00DE7B61" w:rsidRDefault="004E19FE" w:rsidP="00E64BFD">
            <w:pPr>
              <w:pStyle w:val="CDITable-RowCentre"/>
            </w:pPr>
          </w:p>
        </w:tc>
      </w:tr>
      <w:tr w:rsidR="00DE7B61" w:rsidRPr="00DE7B61" w14:paraId="110F1E1B" w14:textId="77777777" w:rsidTr="00E64BFD">
        <w:trPr>
          <w:trHeight w:val="20"/>
        </w:trPr>
        <w:tc>
          <w:tcPr>
            <w:tcW w:w="340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1278AF" w14:textId="77777777" w:rsidR="00DE7B61" w:rsidRPr="00DE7B61" w:rsidRDefault="00DE7B61" w:rsidP="00E64BFD">
            <w:pPr>
              <w:pStyle w:val="CDITable-RowLeft"/>
            </w:pPr>
            <w:r w:rsidRPr="00DE7B61">
              <w:t>Total</w:t>
            </w:r>
          </w:p>
        </w:tc>
        <w:tc>
          <w:tcPr>
            <w:tcW w:w="28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ACA7BD" w14:textId="77777777" w:rsidR="00DE7B61" w:rsidRPr="00DE7B61" w:rsidRDefault="00DE7B61" w:rsidP="00E64BFD">
            <w:pPr>
              <w:pStyle w:val="CDITable-RowLeft"/>
            </w:pPr>
            <w:r w:rsidRPr="00DE7B61">
              <w:t>—</w:t>
            </w:r>
          </w:p>
        </w:tc>
        <w:tc>
          <w:tcPr>
            <w:tcW w:w="162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ABF985" w14:textId="77777777" w:rsidR="00DE7B61" w:rsidRPr="00DE7B61" w:rsidRDefault="00DE7B61" w:rsidP="00E64BFD">
            <w:pPr>
              <w:pStyle w:val="CDITable-RowCentre"/>
            </w:pPr>
            <w:r w:rsidRPr="00DE7B61">
              <w:t>304 (74%)</w:t>
            </w:r>
          </w:p>
        </w:tc>
        <w:tc>
          <w:tcPr>
            <w:tcW w:w="16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902076" w14:textId="77777777" w:rsidR="00DE7B61" w:rsidRPr="00DE7B61" w:rsidRDefault="00DE7B61" w:rsidP="00E64BFD">
            <w:pPr>
              <w:pStyle w:val="CDITable-RowCentre"/>
            </w:pPr>
            <w:r w:rsidRPr="00DE7B61">
              <w:t>40 (10%)</w:t>
            </w:r>
          </w:p>
        </w:tc>
        <w:tc>
          <w:tcPr>
            <w:tcW w:w="16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3A0ABC" w14:textId="77777777" w:rsidR="00DE7B61" w:rsidRPr="00DE7B61" w:rsidRDefault="00DE7B61" w:rsidP="00E64BFD">
            <w:pPr>
              <w:pStyle w:val="CDITable-RowCentre"/>
            </w:pPr>
            <w:r w:rsidRPr="00DE7B61">
              <w:t>—</w:t>
            </w:r>
          </w:p>
        </w:tc>
        <w:tc>
          <w:tcPr>
            <w:tcW w:w="162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BAAD27" w14:textId="77777777" w:rsidR="00DE7B61" w:rsidRPr="00DE7B61" w:rsidRDefault="00DE7B61" w:rsidP="00E64BFD">
            <w:pPr>
              <w:pStyle w:val="CDITable-RowCentre"/>
            </w:pPr>
            <w:r w:rsidRPr="00DE7B61">
              <w:t>68 (17%)</w:t>
            </w:r>
          </w:p>
        </w:tc>
        <w:tc>
          <w:tcPr>
            <w:tcW w:w="162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91AFBA" w14:textId="77777777" w:rsidR="00DE7B61" w:rsidRPr="00DE7B61" w:rsidRDefault="00DE7B61" w:rsidP="00E64BFD">
            <w:pPr>
              <w:pStyle w:val="CDITable-RowCentre"/>
            </w:pPr>
            <w:r w:rsidRPr="00DE7B61">
              <w:t>—</w:t>
            </w:r>
          </w:p>
        </w:tc>
      </w:tr>
    </w:tbl>
    <w:p w14:paraId="77FBB1E0" w14:textId="1AA95D3B" w:rsidR="00F7417F" w:rsidRPr="00F7417F" w:rsidRDefault="00F7417F" w:rsidP="00DE7B61">
      <w:pPr>
        <w:pStyle w:val="CDITable-FirstFootnote"/>
        <w:rPr>
          <w:lang w:val="en-GB"/>
        </w:rPr>
      </w:pPr>
      <w:proofErr w:type="gramStart"/>
      <w:r w:rsidRPr="00F7417F">
        <w:rPr>
          <w:lang w:val="en-GB"/>
        </w:rPr>
        <w:t>a</w:t>
      </w:r>
      <w:proofErr w:type="gramEnd"/>
      <w:r w:rsidRPr="00F7417F">
        <w:rPr>
          <w:lang w:val="en-GB"/>
        </w:rPr>
        <w:tab/>
        <w:t xml:space="preserve">IDU: injecting drug use; non-IDU: non-injecting drug use. For purposes of calculation, ‘IDU’ includes also those cases reporting both IDU and </w:t>
      </w:r>
      <w:r w:rsidR="00FD337F" w:rsidRPr="00FD337F">
        <w:rPr>
          <w:lang w:val="en-GB"/>
        </w:rPr>
        <w:t>non-IDU. Row percentages are shown for reported case numbers.</w:t>
      </w:r>
    </w:p>
    <w:p w14:paraId="0DE3E5C6" w14:textId="77777777" w:rsidR="00F7417F" w:rsidRPr="00F7417F" w:rsidRDefault="00F7417F" w:rsidP="00F7417F">
      <w:pPr>
        <w:pStyle w:val="CDITable-Footnote"/>
        <w:rPr>
          <w:lang w:val="en-GB"/>
        </w:rPr>
      </w:pPr>
      <w:r w:rsidRPr="00F7417F">
        <w:rPr>
          <w:lang w:val="en-GB"/>
        </w:rPr>
        <w:t>b</w:t>
      </w:r>
      <w:r w:rsidRPr="00F7417F">
        <w:rPr>
          <w:lang w:val="en-GB"/>
        </w:rPr>
        <w:tab/>
        <w:t xml:space="preserve">Overall difference in frequency distribution in comparison to cases with no reported no drug use. </w:t>
      </w:r>
    </w:p>
    <w:p w14:paraId="7AF29918" w14:textId="77777777" w:rsidR="00F7417F" w:rsidRPr="00F7417F" w:rsidRDefault="00F7417F" w:rsidP="00F7417F">
      <w:pPr>
        <w:pStyle w:val="CDITable-Footnote"/>
        <w:rPr>
          <w:lang w:val="en-GB"/>
        </w:rPr>
      </w:pPr>
      <w:r w:rsidRPr="00F7417F">
        <w:rPr>
          <w:lang w:val="en-GB"/>
        </w:rPr>
        <w:t>c</w:t>
      </w:r>
      <w:r w:rsidRPr="00F7417F">
        <w:rPr>
          <w:lang w:val="en-GB"/>
        </w:rPr>
        <w:tab/>
      </w:r>
      <w:proofErr w:type="gramStart"/>
      <w:r w:rsidRPr="00F7417F">
        <w:rPr>
          <w:lang w:val="en-GB"/>
        </w:rPr>
        <w:t>For</w:t>
      </w:r>
      <w:proofErr w:type="gramEnd"/>
      <w:r w:rsidRPr="00F7417F">
        <w:rPr>
          <w:lang w:val="en-GB"/>
        </w:rPr>
        <w:t xml:space="preserve"> variables containing a value of less than five cases in any cross-tabulation, Fisher’s exact test was substituted.</w:t>
      </w:r>
    </w:p>
    <w:p w14:paraId="5A7743AE" w14:textId="75B7C074" w:rsidR="00DE7B61" w:rsidRDefault="00F7417F" w:rsidP="00DE7B61">
      <w:pPr>
        <w:pStyle w:val="CDITable-Footnote"/>
        <w:rPr>
          <w:lang w:val="en-GB"/>
        </w:rPr>
      </w:pPr>
      <w:r w:rsidRPr="00F7417F">
        <w:rPr>
          <w:lang w:val="en-GB"/>
        </w:rPr>
        <w:t>d</w:t>
      </w:r>
      <w:r w:rsidRPr="00F7417F">
        <w:rPr>
          <w:lang w:val="en-GB"/>
        </w:rPr>
        <w:tab/>
      </w:r>
      <w:proofErr w:type="gramStart"/>
      <w:r w:rsidRPr="00F7417F">
        <w:rPr>
          <w:lang w:val="en-GB"/>
        </w:rPr>
        <w:t>The</w:t>
      </w:r>
      <w:proofErr w:type="gramEnd"/>
      <w:r w:rsidRPr="00F7417F">
        <w:rPr>
          <w:lang w:val="en-GB"/>
        </w:rPr>
        <w:t xml:space="preserve"> following services are considered to specialise in sexual health and STI management: Adelaide Sexual Health Centre (ASHC), SHINE SA and O’Brien Street Practice.</w:t>
      </w:r>
      <w:r w:rsidR="00DE7B61">
        <w:rPr>
          <w:lang w:val="en-GB"/>
        </w:rPr>
        <w:br w:type="page"/>
      </w:r>
    </w:p>
    <w:p w14:paraId="47E7C59A" w14:textId="56BA6EE1" w:rsidR="00F7417F" w:rsidRDefault="00DE7B61" w:rsidP="00DE7B61">
      <w:pPr>
        <w:pStyle w:val="CDITable-Title"/>
        <w:rPr>
          <w:lang w:val="en-GB"/>
        </w:rPr>
      </w:pPr>
      <w:r w:rsidRPr="00DE7B61">
        <w:rPr>
          <w:lang w:val="en-GB"/>
        </w:rPr>
        <w:lastRenderedPageBreak/>
        <w:t xml:space="preserve">Table 3: </w:t>
      </w:r>
      <w:r w:rsidR="00FD337F" w:rsidRPr="00FD337F">
        <w:rPr>
          <w:lang w:val="en-GB"/>
        </w:rPr>
        <w:t>Drug use among cases of infectious syphilis by key characteristics, under a univariable logistic regression analysis,</w:t>
      </w:r>
      <w:r w:rsidRPr="00DE7B61">
        <w:rPr>
          <w:lang w:val="en-GB"/>
        </w:rPr>
        <w:t xml:space="preserve"> South</w:t>
      </w:r>
      <w:r w:rsidR="00FD337F">
        <w:rPr>
          <w:lang w:val="en-GB"/>
        </w:rPr>
        <w:t> </w:t>
      </w:r>
      <w:r w:rsidRPr="00DE7B61">
        <w:rPr>
          <w:lang w:val="en-GB"/>
        </w:rPr>
        <w:t>Australia, 1 July 2022 – 30 September 2023</w:t>
      </w:r>
    </w:p>
    <w:tbl>
      <w:tblPr>
        <w:tblW w:w="0" w:type="auto"/>
        <w:tblLayout w:type="fixed"/>
        <w:tblCellMar>
          <w:left w:w="0" w:type="dxa"/>
          <w:right w:w="0" w:type="dxa"/>
        </w:tblCellMar>
        <w:tblLook w:val="0000" w:firstRow="0" w:lastRow="0" w:firstColumn="0" w:lastColumn="0" w:noHBand="0" w:noVBand="0"/>
        <w:tblCaption w:val="Table 3: Drug use among cases of infectious syphilis by key characteristics, under a univariable logistic regression analysis, South Australia, 1 July 2022 – 30 September 2023"/>
        <w:tblDescription w:val="Table 3 shows the odds ratios, confidence intervals, and p-values for demographic, clinical, and diagnosing provider characteristics associated with drug use. Injecting drug use and non-injecting drug use are presented in separate columns. "/>
      </w:tblPr>
      <w:tblGrid>
        <w:gridCol w:w="3345"/>
        <w:gridCol w:w="2835"/>
        <w:gridCol w:w="1360"/>
        <w:gridCol w:w="1361"/>
        <w:gridCol w:w="1360"/>
        <w:gridCol w:w="1361"/>
        <w:gridCol w:w="1361"/>
        <w:gridCol w:w="1360"/>
      </w:tblGrid>
      <w:tr w:rsidR="004E19FE" w:rsidRPr="00DE7B61" w14:paraId="3FD57ACF" w14:textId="77777777" w:rsidTr="004E19FE">
        <w:trPr>
          <w:trHeight w:val="20"/>
          <w:tblHeader/>
        </w:trPr>
        <w:tc>
          <w:tcPr>
            <w:tcW w:w="3345" w:type="dxa"/>
            <w:vMerge w:val="restart"/>
            <w:shd w:val="solid" w:color="1E4496" w:fill="auto"/>
            <w:tcMar>
              <w:top w:w="113" w:type="dxa"/>
              <w:left w:w="113" w:type="dxa"/>
              <w:bottom w:w="113" w:type="dxa"/>
              <w:right w:w="113" w:type="dxa"/>
            </w:tcMar>
            <w:vAlign w:val="bottom"/>
          </w:tcPr>
          <w:p w14:paraId="3EFA32D2" w14:textId="79369136" w:rsidR="004E19FE" w:rsidRPr="00DE7B61" w:rsidRDefault="004E19FE" w:rsidP="004E19FE">
            <w:pPr>
              <w:pStyle w:val="CDITable-HeaderRowLeft"/>
            </w:pPr>
            <w:r w:rsidRPr="00DE7B61">
              <w:t>Category</w:t>
            </w:r>
          </w:p>
        </w:tc>
        <w:tc>
          <w:tcPr>
            <w:tcW w:w="2835" w:type="dxa"/>
            <w:vMerge w:val="restart"/>
            <w:shd w:val="solid" w:color="1E4496" w:fill="auto"/>
            <w:tcMar>
              <w:top w:w="113" w:type="dxa"/>
              <w:left w:w="113" w:type="dxa"/>
              <w:bottom w:w="113" w:type="dxa"/>
              <w:right w:w="113" w:type="dxa"/>
            </w:tcMar>
            <w:vAlign w:val="bottom"/>
          </w:tcPr>
          <w:p w14:paraId="1F7C85F2" w14:textId="21CC7672" w:rsidR="004E19FE" w:rsidRPr="00DE7B61" w:rsidRDefault="004E19FE" w:rsidP="004E19FE">
            <w:pPr>
              <w:pStyle w:val="CDITable-HeaderRowLeft"/>
            </w:pPr>
            <w:r w:rsidRPr="00DE7B61">
              <w:t>Characteristic</w:t>
            </w:r>
          </w:p>
        </w:tc>
        <w:tc>
          <w:tcPr>
            <w:tcW w:w="4081" w:type="dxa"/>
            <w:gridSpan w:val="3"/>
            <w:tcBorders>
              <w:bottom w:val="single" w:sz="6" w:space="0" w:color="FFFFFF" w:themeColor="background1"/>
            </w:tcBorders>
            <w:shd w:val="solid" w:color="1E4496" w:fill="auto"/>
            <w:tcMar>
              <w:top w:w="113" w:type="dxa"/>
              <w:left w:w="113" w:type="dxa"/>
              <w:bottom w:w="113" w:type="dxa"/>
              <w:right w:w="113" w:type="dxa"/>
            </w:tcMar>
            <w:vAlign w:val="bottom"/>
          </w:tcPr>
          <w:p w14:paraId="072B5EB9" w14:textId="2232206B" w:rsidR="004E19FE" w:rsidRPr="00DE7B61" w:rsidRDefault="004E19FE" w:rsidP="004E19FE">
            <w:pPr>
              <w:pStyle w:val="CDITable-HeaderRowCentre"/>
            </w:pPr>
            <w:r w:rsidRPr="00DE7B61">
              <w:t xml:space="preserve">Model 1: </w:t>
            </w:r>
            <w:proofErr w:type="spellStart"/>
            <w:r w:rsidRPr="00DE7B61">
              <w:t>IDU</w:t>
            </w:r>
            <w:r w:rsidRPr="004E19FE">
              <w:rPr>
                <w:vertAlign w:val="superscript"/>
              </w:rPr>
              <w:t>a</w:t>
            </w:r>
            <w:proofErr w:type="spellEnd"/>
            <w:r w:rsidRPr="00DE7B61">
              <w:t xml:space="preserve"> compared</w:t>
            </w:r>
            <w:r>
              <w:br/>
            </w:r>
            <w:r w:rsidRPr="00DE7B61">
              <w:t>to no drug use</w:t>
            </w:r>
          </w:p>
        </w:tc>
        <w:tc>
          <w:tcPr>
            <w:tcW w:w="4082" w:type="dxa"/>
            <w:gridSpan w:val="3"/>
            <w:tcBorders>
              <w:bottom w:val="single" w:sz="6" w:space="0" w:color="FFFFFF" w:themeColor="background1"/>
            </w:tcBorders>
            <w:shd w:val="solid" w:color="1E4496" w:fill="auto"/>
            <w:tcMar>
              <w:top w:w="113" w:type="dxa"/>
              <w:left w:w="113" w:type="dxa"/>
              <w:bottom w:w="113" w:type="dxa"/>
              <w:right w:w="113" w:type="dxa"/>
            </w:tcMar>
            <w:vAlign w:val="bottom"/>
          </w:tcPr>
          <w:p w14:paraId="25DD8F76" w14:textId="07461467" w:rsidR="004E19FE" w:rsidRPr="00DE7B61" w:rsidRDefault="004E19FE" w:rsidP="004E19FE">
            <w:pPr>
              <w:pStyle w:val="CDITable-HeaderRowCentre"/>
            </w:pPr>
            <w:r w:rsidRPr="00DE7B61">
              <w:t>Model 2: non-</w:t>
            </w:r>
            <w:proofErr w:type="spellStart"/>
            <w:r w:rsidRPr="00DE7B61">
              <w:t>IDU</w:t>
            </w:r>
            <w:r w:rsidRPr="004E19FE">
              <w:rPr>
                <w:vertAlign w:val="superscript"/>
              </w:rPr>
              <w:t>a</w:t>
            </w:r>
            <w:proofErr w:type="spellEnd"/>
            <w:r w:rsidRPr="00DE7B61">
              <w:t xml:space="preserve"> only compared</w:t>
            </w:r>
            <w:r>
              <w:t> </w:t>
            </w:r>
            <w:r w:rsidRPr="00DE7B61">
              <w:t>to</w:t>
            </w:r>
            <w:r>
              <w:t> </w:t>
            </w:r>
            <w:r w:rsidRPr="00DE7B61">
              <w:t>no</w:t>
            </w:r>
            <w:r>
              <w:t> </w:t>
            </w:r>
            <w:r w:rsidRPr="00DE7B61">
              <w:t>drug</w:t>
            </w:r>
            <w:r>
              <w:t> </w:t>
            </w:r>
            <w:r w:rsidRPr="00DE7B61">
              <w:t>use</w:t>
            </w:r>
          </w:p>
        </w:tc>
      </w:tr>
      <w:tr w:rsidR="004E19FE" w:rsidRPr="00DE7B61" w14:paraId="4D1D5E81" w14:textId="77777777" w:rsidTr="004E19FE">
        <w:trPr>
          <w:trHeight w:val="20"/>
          <w:tblHeader/>
        </w:trPr>
        <w:tc>
          <w:tcPr>
            <w:tcW w:w="3345" w:type="dxa"/>
            <w:vMerge/>
            <w:tcBorders>
              <w:bottom w:val="single" w:sz="6" w:space="0" w:color="1E4496" w:themeColor="text2"/>
            </w:tcBorders>
            <w:shd w:val="solid" w:color="1E4496" w:fill="auto"/>
            <w:tcMar>
              <w:top w:w="113" w:type="dxa"/>
              <w:left w:w="113" w:type="dxa"/>
              <w:bottom w:w="113" w:type="dxa"/>
              <w:right w:w="113" w:type="dxa"/>
            </w:tcMar>
            <w:vAlign w:val="bottom"/>
          </w:tcPr>
          <w:p w14:paraId="7BD521F9" w14:textId="26467D03" w:rsidR="004E19FE" w:rsidRPr="00DE7B61" w:rsidRDefault="004E19FE" w:rsidP="004E19FE">
            <w:pPr>
              <w:pStyle w:val="CDITable-HeaderRowLeft"/>
            </w:pPr>
          </w:p>
        </w:tc>
        <w:tc>
          <w:tcPr>
            <w:tcW w:w="2835" w:type="dxa"/>
            <w:vMerge/>
            <w:tcBorders>
              <w:bottom w:val="single" w:sz="6" w:space="0" w:color="1E4496" w:themeColor="text2"/>
            </w:tcBorders>
            <w:shd w:val="solid" w:color="1E4496" w:fill="auto"/>
            <w:tcMar>
              <w:top w:w="113" w:type="dxa"/>
              <w:left w:w="113" w:type="dxa"/>
              <w:bottom w:w="113" w:type="dxa"/>
              <w:right w:w="113" w:type="dxa"/>
            </w:tcMar>
            <w:vAlign w:val="bottom"/>
          </w:tcPr>
          <w:p w14:paraId="3A85584D" w14:textId="78DF18EF" w:rsidR="004E19FE" w:rsidRPr="00DE7B61" w:rsidRDefault="004E19FE" w:rsidP="004E19FE">
            <w:pPr>
              <w:pStyle w:val="CDITable-HeaderRowLeft"/>
            </w:pPr>
          </w:p>
        </w:tc>
        <w:tc>
          <w:tcPr>
            <w:tcW w:w="1360" w:type="dxa"/>
            <w:tcBorders>
              <w:top w:val="single" w:sz="6" w:space="0" w:color="FFFFFF" w:themeColor="background1"/>
              <w:bottom w:val="single" w:sz="6" w:space="0" w:color="1E4496" w:themeColor="text2"/>
            </w:tcBorders>
            <w:shd w:val="solid" w:color="1E4496" w:fill="auto"/>
            <w:tcMar>
              <w:top w:w="113" w:type="dxa"/>
              <w:left w:w="113" w:type="dxa"/>
              <w:bottom w:w="113" w:type="dxa"/>
              <w:right w:w="113" w:type="dxa"/>
            </w:tcMar>
            <w:vAlign w:val="bottom"/>
          </w:tcPr>
          <w:p w14:paraId="28994BC7" w14:textId="77777777" w:rsidR="004E19FE" w:rsidRPr="00DE7B61" w:rsidRDefault="004E19FE" w:rsidP="004E19FE">
            <w:pPr>
              <w:pStyle w:val="CDITable-HeaderRowCentre"/>
            </w:pPr>
            <w:proofErr w:type="spellStart"/>
            <w:r w:rsidRPr="00DE7B61">
              <w:t>OR</w:t>
            </w:r>
            <w:r w:rsidRPr="004E19FE">
              <w:rPr>
                <w:vertAlign w:val="superscript"/>
              </w:rPr>
              <w:t>b</w:t>
            </w:r>
            <w:proofErr w:type="spellEnd"/>
          </w:p>
        </w:tc>
        <w:tc>
          <w:tcPr>
            <w:tcW w:w="1361" w:type="dxa"/>
            <w:tcBorders>
              <w:top w:val="single" w:sz="6" w:space="0" w:color="FFFFFF" w:themeColor="background1"/>
              <w:bottom w:val="single" w:sz="6" w:space="0" w:color="1E4496" w:themeColor="text2"/>
            </w:tcBorders>
            <w:shd w:val="solid" w:color="1E4496" w:fill="auto"/>
            <w:tcMar>
              <w:top w:w="113" w:type="dxa"/>
              <w:left w:w="113" w:type="dxa"/>
              <w:bottom w:w="113" w:type="dxa"/>
              <w:right w:w="113" w:type="dxa"/>
            </w:tcMar>
            <w:vAlign w:val="bottom"/>
          </w:tcPr>
          <w:p w14:paraId="1BFCE7EA" w14:textId="77777777" w:rsidR="004E19FE" w:rsidRPr="00DE7B61" w:rsidRDefault="004E19FE" w:rsidP="004E19FE">
            <w:pPr>
              <w:pStyle w:val="CDITable-HeaderRowCentre"/>
            </w:pPr>
            <w:r w:rsidRPr="00DE7B61">
              <w:t xml:space="preserve">95% </w:t>
            </w:r>
            <w:proofErr w:type="spellStart"/>
            <w:r w:rsidRPr="00DE7B61">
              <w:t>CI</w:t>
            </w:r>
            <w:r w:rsidRPr="004E19FE">
              <w:rPr>
                <w:bCs/>
                <w:vertAlign w:val="superscript"/>
              </w:rPr>
              <w:t>c</w:t>
            </w:r>
            <w:proofErr w:type="spellEnd"/>
          </w:p>
        </w:tc>
        <w:tc>
          <w:tcPr>
            <w:tcW w:w="1360" w:type="dxa"/>
            <w:tcBorders>
              <w:top w:val="single" w:sz="6" w:space="0" w:color="FFFFFF" w:themeColor="background1"/>
              <w:bottom w:val="single" w:sz="6" w:space="0" w:color="1E4496" w:themeColor="text2"/>
              <w:right w:val="single" w:sz="6" w:space="0" w:color="FFFFFF" w:themeColor="background1"/>
            </w:tcBorders>
            <w:shd w:val="solid" w:color="1E4496" w:fill="auto"/>
            <w:tcMar>
              <w:top w:w="113" w:type="dxa"/>
              <w:left w:w="113" w:type="dxa"/>
              <w:bottom w:w="113" w:type="dxa"/>
              <w:right w:w="113" w:type="dxa"/>
            </w:tcMar>
            <w:vAlign w:val="bottom"/>
          </w:tcPr>
          <w:p w14:paraId="5059AE95" w14:textId="77777777" w:rsidR="004E19FE" w:rsidRPr="00DE7B61" w:rsidRDefault="004E19FE" w:rsidP="004E19FE">
            <w:pPr>
              <w:pStyle w:val="CDITable-HeaderRowCentre"/>
            </w:pPr>
            <w:r w:rsidRPr="004E19FE">
              <w:rPr>
                <w:bCs/>
                <w:i/>
                <w:iCs/>
              </w:rPr>
              <w:t>p</w:t>
            </w:r>
            <w:r w:rsidRPr="00DE7B61">
              <w:t xml:space="preserve"> value</w:t>
            </w:r>
          </w:p>
        </w:tc>
        <w:tc>
          <w:tcPr>
            <w:tcW w:w="1361" w:type="dxa"/>
            <w:tcBorders>
              <w:top w:val="single" w:sz="6" w:space="0" w:color="FFFFFF" w:themeColor="background1"/>
              <w:left w:val="single" w:sz="6" w:space="0" w:color="FFFFFF" w:themeColor="background1"/>
              <w:bottom w:val="single" w:sz="6" w:space="0" w:color="1E4496" w:themeColor="text2"/>
            </w:tcBorders>
            <w:shd w:val="solid" w:color="1E4496" w:fill="auto"/>
            <w:tcMar>
              <w:top w:w="113" w:type="dxa"/>
              <w:left w:w="113" w:type="dxa"/>
              <w:bottom w:w="113" w:type="dxa"/>
              <w:right w:w="113" w:type="dxa"/>
            </w:tcMar>
            <w:vAlign w:val="bottom"/>
          </w:tcPr>
          <w:p w14:paraId="1B8B7B46" w14:textId="77777777" w:rsidR="004E19FE" w:rsidRPr="00DE7B61" w:rsidRDefault="004E19FE" w:rsidP="004E19FE">
            <w:pPr>
              <w:pStyle w:val="CDITable-HeaderRowCentre"/>
            </w:pPr>
            <w:proofErr w:type="spellStart"/>
            <w:r w:rsidRPr="00DE7B61">
              <w:t>OR</w:t>
            </w:r>
            <w:r w:rsidRPr="004E19FE">
              <w:rPr>
                <w:bCs/>
                <w:vertAlign w:val="superscript"/>
              </w:rPr>
              <w:t>b</w:t>
            </w:r>
            <w:proofErr w:type="spellEnd"/>
          </w:p>
        </w:tc>
        <w:tc>
          <w:tcPr>
            <w:tcW w:w="1361" w:type="dxa"/>
            <w:tcBorders>
              <w:top w:val="single" w:sz="6" w:space="0" w:color="FFFFFF" w:themeColor="background1"/>
              <w:bottom w:val="single" w:sz="6" w:space="0" w:color="1E4496" w:themeColor="text2"/>
            </w:tcBorders>
            <w:shd w:val="solid" w:color="1E4496" w:fill="auto"/>
            <w:tcMar>
              <w:top w:w="113" w:type="dxa"/>
              <w:left w:w="113" w:type="dxa"/>
              <w:bottom w:w="113" w:type="dxa"/>
              <w:right w:w="113" w:type="dxa"/>
            </w:tcMar>
            <w:vAlign w:val="bottom"/>
          </w:tcPr>
          <w:p w14:paraId="5104EA8B" w14:textId="77777777" w:rsidR="004E19FE" w:rsidRPr="00DE7B61" w:rsidRDefault="004E19FE" w:rsidP="004E19FE">
            <w:pPr>
              <w:pStyle w:val="CDITable-HeaderRowCentre"/>
            </w:pPr>
            <w:r w:rsidRPr="00DE7B61">
              <w:t xml:space="preserve">95% </w:t>
            </w:r>
            <w:proofErr w:type="spellStart"/>
            <w:r w:rsidRPr="00DE7B61">
              <w:t>CI</w:t>
            </w:r>
            <w:r w:rsidRPr="004E19FE">
              <w:rPr>
                <w:bCs/>
                <w:vertAlign w:val="superscript"/>
              </w:rPr>
              <w:t>c</w:t>
            </w:r>
            <w:proofErr w:type="spellEnd"/>
          </w:p>
        </w:tc>
        <w:tc>
          <w:tcPr>
            <w:tcW w:w="1360" w:type="dxa"/>
            <w:tcBorders>
              <w:top w:val="single" w:sz="6" w:space="0" w:color="FFFFFF" w:themeColor="background1"/>
              <w:bottom w:val="single" w:sz="6" w:space="0" w:color="1E4496" w:themeColor="text2"/>
            </w:tcBorders>
            <w:shd w:val="solid" w:color="1E4496" w:fill="auto"/>
            <w:tcMar>
              <w:top w:w="113" w:type="dxa"/>
              <w:left w:w="113" w:type="dxa"/>
              <w:bottom w:w="113" w:type="dxa"/>
              <w:right w:w="113" w:type="dxa"/>
            </w:tcMar>
            <w:vAlign w:val="bottom"/>
          </w:tcPr>
          <w:p w14:paraId="44A6C697" w14:textId="77777777" w:rsidR="004E19FE" w:rsidRPr="00DE7B61" w:rsidRDefault="004E19FE" w:rsidP="004E19FE">
            <w:pPr>
              <w:pStyle w:val="CDITable-HeaderRowCentre"/>
            </w:pPr>
            <w:r w:rsidRPr="004E19FE">
              <w:rPr>
                <w:bCs/>
                <w:i/>
                <w:iCs/>
              </w:rPr>
              <w:t>p</w:t>
            </w:r>
            <w:r w:rsidRPr="00DE7B61">
              <w:t xml:space="preserve"> value</w:t>
            </w:r>
          </w:p>
        </w:tc>
      </w:tr>
      <w:tr w:rsidR="00DE7B61" w:rsidRPr="00DE7B61" w14:paraId="611D22F5" w14:textId="77777777" w:rsidTr="004E19FE">
        <w:trPr>
          <w:trHeight w:val="20"/>
        </w:trPr>
        <w:tc>
          <w:tcPr>
            <w:tcW w:w="3345" w:type="dxa"/>
            <w:vMerge w:val="restart"/>
            <w:tcBorders>
              <w:top w:val="single" w:sz="6" w:space="0" w:color="1E4496" w:themeColor="text2"/>
            </w:tcBorders>
            <w:tcMar>
              <w:top w:w="113" w:type="dxa"/>
              <w:left w:w="113" w:type="dxa"/>
              <w:bottom w:w="113" w:type="dxa"/>
              <w:right w:w="113" w:type="dxa"/>
            </w:tcMar>
            <w:vAlign w:val="center"/>
          </w:tcPr>
          <w:p w14:paraId="7ABF57EC" w14:textId="77777777" w:rsidR="00DE7B61" w:rsidRPr="00DE7B61" w:rsidRDefault="00DE7B61" w:rsidP="004E19FE">
            <w:pPr>
              <w:pStyle w:val="CDITable-RowLeft"/>
            </w:pPr>
            <w:r w:rsidRPr="00DE7B61">
              <w:t>Sex at birth</w:t>
            </w:r>
          </w:p>
        </w:tc>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9CE981" w14:textId="77777777" w:rsidR="00DE7B61" w:rsidRPr="00DE7B61" w:rsidRDefault="00DE7B61" w:rsidP="004E19FE">
            <w:pPr>
              <w:pStyle w:val="CDITable-RowLeft"/>
            </w:pPr>
            <w:r w:rsidRPr="00DE7B61">
              <w:t>Male</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B6BB94" w14:textId="77777777" w:rsidR="00DE7B61" w:rsidRPr="00DE7B61" w:rsidRDefault="00DE7B61" w:rsidP="004E19FE">
            <w:pPr>
              <w:pStyle w:val="CDITable-RowCentre"/>
            </w:pPr>
            <w:r w:rsidRPr="00DE7B61">
              <w:t>Ref.</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46DBB6" w14:textId="77777777" w:rsidR="00DE7B61" w:rsidRPr="00DE7B61" w:rsidRDefault="00DE7B61" w:rsidP="004E19FE">
            <w:pPr>
              <w:pStyle w:val="CDITable-RowCentre"/>
            </w:pPr>
            <w:r w:rsidRPr="00DE7B61">
              <w:t>—</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677869" w14:textId="77777777" w:rsidR="00DE7B61" w:rsidRPr="00DE7B61" w:rsidRDefault="00DE7B61" w:rsidP="004E19FE">
            <w:pPr>
              <w:pStyle w:val="CDITable-RowCentre"/>
            </w:pPr>
            <w:r w:rsidRPr="00DE7B61">
              <w:t>—</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831CD2" w14:textId="77777777" w:rsidR="00DE7B61" w:rsidRPr="00DE7B61" w:rsidRDefault="00DE7B61" w:rsidP="004E19FE">
            <w:pPr>
              <w:pStyle w:val="CDITable-RowCentre"/>
            </w:pPr>
            <w:r w:rsidRPr="00DE7B61">
              <w:t>Ref.</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F5ABD6" w14:textId="77777777" w:rsidR="00DE7B61" w:rsidRPr="00DE7B61" w:rsidRDefault="00DE7B61" w:rsidP="004E19FE">
            <w:pPr>
              <w:pStyle w:val="CDITable-RowCentre"/>
            </w:pPr>
            <w:r w:rsidRPr="00DE7B61">
              <w:t>—</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CDFADA" w14:textId="77777777" w:rsidR="00DE7B61" w:rsidRPr="00DE7B61" w:rsidRDefault="00DE7B61" w:rsidP="004E19FE">
            <w:pPr>
              <w:pStyle w:val="CDITable-RowCentre"/>
            </w:pPr>
            <w:r w:rsidRPr="00DE7B61">
              <w:t>—</w:t>
            </w:r>
          </w:p>
        </w:tc>
      </w:tr>
      <w:tr w:rsidR="00DE7B61" w:rsidRPr="00DE7B61" w14:paraId="78F05090" w14:textId="77777777" w:rsidTr="004E19FE">
        <w:trPr>
          <w:trHeight w:val="20"/>
        </w:trPr>
        <w:tc>
          <w:tcPr>
            <w:tcW w:w="3345" w:type="dxa"/>
            <w:vMerge/>
            <w:tcBorders>
              <w:bottom w:val="single" w:sz="6" w:space="0" w:color="1E4496" w:themeColor="text2"/>
            </w:tcBorders>
          </w:tcPr>
          <w:p w14:paraId="35D2FFD3" w14:textId="77777777" w:rsidR="00DE7B61" w:rsidRPr="00DE7B61" w:rsidRDefault="00DE7B61" w:rsidP="004E19FE">
            <w:pPr>
              <w:pStyle w:val="CDITable-RowLeft"/>
            </w:pPr>
          </w:p>
        </w:tc>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AD0DED" w14:textId="77777777" w:rsidR="00DE7B61" w:rsidRPr="00DE7B61" w:rsidRDefault="00DE7B61" w:rsidP="004E19FE">
            <w:pPr>
              <w:pStyle w:val="CDITable-RowLeft"/>
            </w:pPr>
            <w:r w:rsidRPr="00DE7B61">
              <w:t>Female</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FC39DA" w14:textId="77777777" w:rsidR="00DE7B61" w:rsidRPr="00DE7B61" w:rsidRDefault="00DE7B61" w:rsidP="004E19FE">
            <w:pPr>
              <w:pStyle w:val="CDITable-RowCentre"/>
            </w:pPr>
            <w:r w:rsidRPr="00DE7B61">
              <w:t>2.8</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444AAA" w14:textId="77777777" w:rsidR="00DE7B61" w:rsidRPr="00DE7B61" w:rsidRDefault="00DE7B61" w:rsidP="004E19FE">
            <w:pPr>
              <w:pStyle w:val="CDITable-RowCentre"/>
            </w:pPr>
            <w:r w:rsidRPr="00DE7B61">
              <w:t>1.2–6.3</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F1603B" w14:textId="77777777" w:rsidR="00DE7B61" w:rsidRPr="00DE7B61" w:rsidRDefault="00DE7B61" w:rsidP="004E19FE">
            <w:pPr>
              <w:pStyle w:val="CDITable-RowCentre"/>
            </w:pPr>
            <w:r w:rsidRPr="00DE7B61">
              <w:t>0.017</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0596AB" w14:textId="77777777" w:rsidR="00DE7B61" w:rsidRPr="00DE7B61" w:rsidRDefault="00DE7B61" w:rsidP="004E19FE">
            <w:pPr>
              <w:pStyle w:val="CDITable-RowCentre"/>
            </w:pPr>
            <w:r w:rsidRPr="00DE7B61">
              <w:t>1.8</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71F2CB" w14:textId="77777777" w:rsidR="00DE7B61" w:rsidRPr="00DE7B61" w:rsidRDefault="00DE7B61" w:rsidP="004E19FE">
            <w:pPr>
              <w:pStyle w:val="CDITable-RowCentre"/>
            </w:pPr>
            <w:r w:rsidRPr="00DE7B61">
              <w:t>0.9–3.9</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7C12F6" w14:textId="77777777" w:rsidR="00DE7B61" w:rsidRPr="00DE7B61" w:rsidRDefault="00DE7B61" w:rsidP="004E19FE">
            <w:pPr>
              <w:pStyle w:val="CDITable-RowCentre"/>
            </w:pPr>
            <w:r w:rsidRPr="00DE7B61">
              <w:t>0.114</w:t>
            </w:r>
          </w:p>
        </w:tc>
      </w:tr>
      <w:tr w:rsidR="00DE7B61" w:rsidRPr="00DE7B61" w14:paraId="663F0DEF" w14:textId="77777777" w:rsidTr="004E19FE">
        <w:trPr>
          <w:trHeight w:val="20"/>
        </w:trPr>
        <w:tc>
          <w:tcPr>
            <w:tcW w:w="3345"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4FA56A" w14:textId="77777777" w:rsidR="00DE7B61" w:rsidRPr="00DE7B61" w:rsidRDefault="00DE7B61" w:rsidP="004E19FE">
            <w:pPr>
              <w:pStyle w:val="CDITable-RowLeft"/>
            </w:pPr>
            <w:r w:rsidRPr="00DE7B61">
              <w:t>Location at time of diagnosis</w:t>
            </w:r>
          </w:p>
        </w:tc>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89AC26" w14:textId="77777777" w:rsidR="00DE7B61" w:rsidRPr="00DE7B61" w:rsidRDefault="00DE7B61" w:rsidP="004E19FE">
            <w:pPr>
              <w:pStyle w:val="CDITable-RowLeft"/>
            </w:pPr>
            <w:r w:rsidRPr="00DE7B61">
              <w:t>Metropolitan Adelaide</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9E0313" w14:textId="77777777" w:rsidR="00DE7B61" w:rsidRPr="00DE7B61" w:rsidRDefault="00DE7B61" w:rsidP="004E19FE">
            <w:pPr>
              <w:pStyle w:val="CDITable-RowCentre"/>
            </w:pPr>
            <w:r w:rsidRPr="00DE7B61">
              <w:t>Ref.</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E8BE80" w14:textId="77777777" w:rsidR="00DE7B61" w:rsidRPr="00DE7B61" w:rsidRDefault="00DE7B61" w:rsidP="004E19FE">
            <w:pPr>
              <w:pStyle w:val="CDITable-RowCentre"/>
            </w:pPr>
            <w:r w:rsidRPr="00DE7B61">
              <w:t>—</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E12319" w14:textId="77777777" w:rsidR="00DE7B61" w:rsidRPr="00DE7B61" w:rsidRDefault="00DE7B61" w:rsidP="004E19FE">
            <w:pPr>
              <w:pStyle w:val="CDITable-RowCentre"/>
            </w:pPr>
            <w:r w:rsidRPr="00DE7B61">
              <w:t>—</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0C2D74" w14:textId="77777777" w:rsidR="00DE7B61" w:rsidRPr="00DE7B61" w:rsidRDefault="00DE7B61" w:rsidP="004E19FE">
            <w:pPr>
              <w:pStyle w:val="CDITable-RowCentre"/>
            </w:pPr>
            <w:r w:rsidRPr="00DE7B61">
              <w:t>Ref.</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389DE5" w14:textId="77777777" w:rsidR="00DE7B61" w:rsidRPr="00DE7B61" w:rsidRDefault="00DE7B61" w:rsidP="004E19FE">
            <w:pPr>
              <w:pStyle w:val="CDITable-RowCentre"/>
            </w:pPr>
            <w:r w:rsidRPr="00DE7B61">
              <w:t>—</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0E4377" w14:textId="77777777" w:rsidR="00DE7B61" w:rsidRPr="00DE7B61" w:rsidRDefault="00DE7B61" w:rsidP="004E19FE">
            <w:pPr>
              <w:pStyle w:val="CDITable-RowCentre"/>
            </w:pPr>
            <w:r w:rsidRPr="00DE7B61">
              <w:t>—</w:t>
            </w:r>
          </w:p>
        </w:tc>
      </w:tr>
      <w:tr w:rsidR="00DE7B61" w:rsidRPr="00DE7B61" w14:paraId="0DEBD963" w14:textId="77777777" w:rsidTr="004E19FE">
        <w:trPr>
          <w:trHeight w:val="20"/>
        </w:trPr>
        <w:tc>
          <w:tcPr>
            <w:tcW w:w="3345" w:type="dxa"/>
            <w:vMerge/>
            <w:tcBorders>
              <w:top w:val="single" w:sz="6" w:space="0" w:color="1E4496" w:themeColor="text2"/>
              <w:bottom w:val="single" w:sz="6" w:space="0" w:color="1E4496" w:themeColor="text2"/>
            </w:tcBorders>
          </w:tcPr>
          <w:p w14:paraId="1C0684A2" w14:textId="77777777" w:rsidR="00DE7B61" w:rsidRPr="00DE7B61" w:rsidRDefault="00DE7B61" w:rsidP="004E19FE">
            <w:pPr>
              <w:pStyle w:val="CDITable-RowLeft"/>
            </w:pPr>
          </w:p>
        </w:tc>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1B0987" w14:textId="77777777" w:rsidR="00DE7B61" w:rsidRPr="00DE7B61" w:rsidRDefault="00DE7B61" w:rsidP="004E19FE">
            <w:pPr>
              <w:pStyle w:val="CDITable-RowLeft"/>
            </w:pPr>
            <w:r w:rsidRPr="00DE7B61">
              <w:t>Rest of South Australia</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494F3E" w14:textId="77777777" w:rsidR="00DE7B61" w:rsidRPr="00DE7B61" w:rsidRDefault="00DE7B61" w:rsidP="004E19FE">
            <w:pPr>
              <w:pStyle w:val="CDITable-RowCentre"/>
            </w:pPr>
            <w:r w:rsidRPr="00DE7B61">
              <w:t>1.5</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71D724" w14:textId="77777777" w:rsidR="00DE7B61" w:rsidRPr="00DE7B61" w:rsidRDefault="00DE7B61" w:rsidP="004E19FE">
            <w:pPr>
              <w:pStyle w:val="CDITable-RowCentre"/>
            </w:pPr>
            <w:r w:rsidRPr="00DE7B61">
              <w:t>0.5–4.6</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573CD9" w14:textId="77777777" w:rsidR="00DE7B61" w:rsidRPr="00DE7B61" w:rsidRDefault="00DE7B61" w:rsidP="004E19FE">
            <w:pPr>
              <w:pStyle w:val="CDITable-RowCentre"/>
            </w:pPr>
            <w:r w:rsidRPr="00DE7B61">
              <w:t>0.481</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C61038" w14:textId="77777777" w:rsidR="00DE7B61" w:rsidRPr="00DE7B61" w:rsidRDefault="00DE7B61" w:rsidP="004E19FE">
            <w:pPr>
              <w:pStyle w:val="CDITable-RowCentre"/>
            </w:pPr>
            <w:r w:rsidRPr="00DE7B61">
              <w:t>1.5</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6927CE" w14:textId="77777777" w:rsidR="00DE7B61" w:rsidRPr="00DE7B61" w:rsidRDefault="00DE7B61" w:rsidP="004E19FE">
            <w:pPr>
              <w:pStyle w:val="CDITable-RowCentre"/>
            </w:pPr>
            <w:r w:rsidRPr="00DE7B61">
              <w:t>0.6–3.8</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290685" w14:textId="77777777" w:rsidR="00DE7B61" w:rsidRPr="00DE7B61" w:rsidRDefault="00DE7B61" w:rsidP="004E19FE">
            <w:pPr>
              <w:pStyle w:val="CDITable-RowCentre"/>
            </w:pPr>
            <w:r w:rsidRPr="00DE7B61">
              <w:t>0.342</w:t>
            </w:r>
          </w:p>
        </w:tc>
      </w:tr>
      <w:tr w:rsidR="00DE7B61" w:rsidRPr="00DE7B61" w14:paraId="64828FA6" w14:textId="77777777" w:rsidTr="004E19FE">
        <w:trPr>
          <w:trHeight w:val="20"/>
        </w:trPr>
        <w:tc>
          <w:tcPr>
            <w:tcW w:w="3345" w:type="dxa"/>
            <w:vMerge w:val="restart"/>
            <w:tcBorders>
              <w:bottom w:val="single" w:sz="6" w:space="0" w:color="1E4496" w:themeColor="text2"/>
            </w:tcBorders>
            <w:tcMar>
              <w:top w:w="113" w:type="dxa"/>
              <w:left w:w="113" w:type="dxa"/>
              <w:bottom w:w="113" w:type="dxa"/>
              <w:right w:w="113" w:type="dxa"/>
            </w:tcMar>
            <w:vAlign w:val="center"/>
          </w:tcPr>
          <w:p w14:paraId="2BFF5FDE" w14:textId="77777777" w:rsidR="00DE7B61" w:rsidRPr="00DE7B61" w:rsidRDefault="00DE7B61" w:rsidP="004E19FE">
            <w:pPr>
              <w:pStyle w:val="CDITable-RowLeft"/>
            </w:pPr>
            <w:r w:rsidRPr="00DE7B61">
              <w:t>Diagnosing service</w:t>
            </w:r>
          </w:p>
        </w:tc>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F0D8443" w14:textId="77777777" w:rsidR="00DE7B61" w:rsidRPr="00DE7B61" w:rsidRDefault="00DE7B61" w:rsidP="004E19FE">
            <w:pPr>
              <w:pStyle w:val="CDITable-RowLeft"/>
            </w:pPr>
            <w:r w:rsidRPr="00DE7B61">
              <w:t>Specialist service</w:t>
            </w:r>
            <w:r w:rsidRPr="004E19FE">
              <w:rPr>
                <w:vertAlign w:val="superscript"/>
              </w:rPr>
              <w:t>d</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97FC85" w14:textId="77777777" w:rsidR="00DE7B61" w:rsidRPr="00DE7B61" w:rsidRDefault="00DE7B61" w:rsidP="004E19FE">
            <w:pPr>
              <w:pStyle w:val="CDITable-RowCentre"/>
            </w:pPr>
            <w:r w:rsidRPr="00DE7B61">
              <w:t>Ref.</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BF4FAA" w14:textId="77777777" w:rsidR="00DE7B61" w:rsidRPr="00DE7B61" w:rsidRDefault="00DE7B61" w:rsidP="004E19FE">
            <w:pPr>
              <w:pStyle w:val="CDITable-RowCentre"/>
            </w:pPr>
            <w:r w:rsidRPr="00DE7B61">
              <w:t>—</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5FDBF6" w14:textId="77777777" w:rsidR="00DE7B61" w:rsidRPr="00DE7B61" w:rsidRDefault="00DE7B61" w:rsidP="004E19FE">
            <w:pPr>
              <w:pStyle w:val="CDITable-RowCentre"/>
            </w:pPr>
            <w:r w:rsidRPr="00DE7B61">
              <w:t>—</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8656D7" w14:textId="77777777" w:rsidR="00DE7B61" w:rsidRPr="00DE7B61" w:rsidRDefault="00DE7B61" w:rsidP="004E19FE">
            <w:pPr>
              <w:pStyle w:val="CDITable-RowCentre"/>
            </w:pPr>
            <w:r w:rsidRPr="00DE7B61">
              <w:t>Ref.</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BE5437" w14:textId="77777777" w:rsidR="00DE7B61" w:rsidRPr="00DE7B61" w:rsidRDefault="00DE7B61" w:rsidP="004E19FE">
            <w:pPr>
              <w:pStyle w:val="CDITable-RowCentre"/>
            </w:pPr>
            <w:r w:rsidRPr="00DE7B61">
              <w:t>—</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B1A137" w14:textId="77777777" w:rsidR="00DE7B61" w:rsidRPr="00DE7B61" w:rsidRDefault="00DE7B61" w:rsidP="004E19FE">
            <w:pPr>
              <w:pStyle w:val="CDITable-RowCentre"/>
            </w:pPr>
            <w:r w:rsidRPr="00DE7B61">
              <w:t>—</w:t>
            </w:r>
          </w:p>
        </w:tc>
      </w:tr>
      <w:tr w:rsidR="00DE7B61" w:rsidRPr="00DE7B61" w14:paraId="71C74126" w14:textId="77777777" w:rsidTr="004E19FE">
        <w:trPr>
          <w:trHeight w:val="20"/>
        </w:trPr>
        <w:tc>
          <w:tcPr>
            <w:tcW w:w="3345" w:type="dxa"/>
            <w:vMerge/>
            <w:tcBorders>
              <w:bottom w:val="single" w:sz="6" w:space="0" w:color="1E4496" w:themeColor="text2"/>
            </w:tcBorders>
          </w:tcPr>
          <w:p w14:paraId="7FCDB6E1" w14:textId="77777777" w:rsidR="00DE7B61" w:rsidRPr="00DE7B61" w:rsidRDefault="00DE7B61" w:rsidP="004E19FE">
            <w:pPr>
              <w:pStyle w:val="CDITable-RowLeft"/>
            </w:pPr>
          </w:p>
        </w:tc>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EDE54E" w14:textId="77777777" w:rsidR="00DE7B61" w:rsidRPr="00DE7B61" w:rsidRDefault="00DE7B61" w:rsidP="004E19FE">
            <w:pPr>
              <w:pStyle w:val="CDITable-RowLeft"/>
            </w:pPr>
            <w:r w:rsidRPr="00DE7B61">
              <w:t>Non-specialist service</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8295B5" w14:textId="77777777" w:rsidR="00DE7B61" w:rsidRPr="00DE7B61" w:rsidRDefault="00DE7B61" w:rsidP="004E19FE">
            <w:pPr>
              <w:pStyle w:val="CDITable-RowCentre"/>
            </w:pPr>
            <w:r w:rsidRPr="00DE7B61">
              <w:t>1.5</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B63FAF" w14:textId="77777777" w:rsidR="00DE7B61" w:rsidRPr="00DE7B61" w:rsidRDefault="00DE7B61" w:rsidP="004E19FE">
            <w:pPr>
              <w:pStyle w:val="CDITable-RowCentre"/>
            </w:pPr>
            <w:r w:rsidRPr="00DE7B61">
              <w:t>0.7–2.9</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B5EB06" w14:textId="77777777" w:rsidR="00DE7B61" w:rsidRPr="00DE7B61" w:rsidRDefault="00DE7B61" w:rsidP="004E19FE">
            <w:pPr>
              <w:pStyle w:val="CDITable-RowCentre"/>
            </w:pPr>
            <w:r w:rsidRPr="00DE7B61">
              <w:t>0.268</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0625D7" w14:textId="77777777" w:rsidR="00DE7B61" w:rsidRPr="00DE7B61" w:rsidRDefault="00DE7B61" w:rsidP="004E19FE">
            <w:pPr>
              <w:pStyle w:val="CDITable-RowCentre"/>
            </w:pPr>
            <w:r w:rsidRPr="00DE7B61">
              <w:t>1.7</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E668B9" w14:textId="77777777" w:rsidR="00DE7B61" w:rsidRPr="00DE7B61" w:rsidRDefault="00DE7B61" w:rsidP="004E19FE">
            <w:pPr>
              <w:pStyle w:val="CDITable-RowCentre"/>
            </w:pPr>
            <w:r w:rsidRPr="00DE7B61">
              <w:t>0.97–2.9</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4C3CD9" w14:textId="77777777" w:rsidR="00DE7B61" w:rsidRPr="00DE7B61" w:rsidRDefault="00DE7B61" w:rsidP="004E19FE">
            <w:pPr>
              <w:pStyle w:val="CDITable-RowCentre"/>
            </w:pPr>
            <w:r w:rsidRPr="00DE7B61">
              <w:t>0.062</w:t>
            </w:r>
          </w:p>
        </w:tc>
      </w:tr>
      <w:tr w:rsidR="00DE7B61" w:rsidRPr="00DE7B61" w14:paraId="09187C02" w14:textId="77777777" w:rsidTr="004E19FE">
        <w:trPr>
          <w:trHeight w:val="20"/>
        </w:trPr>
        <w:tc>
          <w:tcPr>
            <w:tcW w:w="3345" w:type="dxa"/>
            <w:vMerge w:val="restart"/>
            <w:tcBorders>
              <w:bottom w:val="single" w:sz="6" w:space="0" w:color="1E4496" w:themeColor="text2"/>
            </w:tcBorders>
            <w:tcMar>
              <w:top w:w="113" w:type="dxa"/>
              <w:left w:w="113" w:type="dxa"/>
              <w:bottom w:w="113" w:type="dxa"/>
              <w:right w:w="113" w:type="dxa"/>
            </w:tcMar>
            <w:vAlign w:val="center"/>
          </w:tcPr>
          <w:p w14:paraId="041B3370" w14:textId="77777777" w:rsidR="00DE7B61" w:rsidRPr="00DE7B61" w:rsidRDefault="00DE7B61" w:rsidP="004E19FE">
            <w:pPr>
              <w:pStyle w:val="CDITable-RowLeft"/>
            </w:pPr>
            <w:r w:rsidRPr="00DE7B61">
              <w:t>Sexual exposure (by sex at birth)</w:t>
            </w:r>
          </w:p>
        </w:tc>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910111" w14:textId="77777777" w:rsidR="00DE7B61" w:rsidRPr="00DE7B61" w:rsidRDefault="00DE7B61" w:rsidP="004E19FE">
            <w:pPr>
              <w:pStyle w:val="CDITable-RowLeft"/>
            </w:pPr>
            <w:r w:rsidRPr="00DE7B61">
              <w:t>Same sex</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E2B78D" w14:textId="77777777" w:rsidR="00DE7B61" w:rsidRPr="00DE7B61" w:rsidRDefault="00DE7B61" w:rsidP="004E19FE">
            <w:pPr>
              <w:pStyle w:val="CDITable-RowCentre"/>
            </w:pPr>
            <w:r w:rsidRPr="00DE7B61">
              <w:t>Ref.</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A875EA" w14:textId="77777777" w:rsidR="00DE7B61" w:rsidRPr="00DE7B61" w:rsidRDefault="00DE7B61" w:rsidP="004E19FE">
            <w:pPr>
              <w:pStyle w:val="CDITable-RowCentre"/>
            </w:pPr>
            <w:r w:rsidRPr="00DE7B61">
              <w:t>—</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C055BF" w14:textId="77777777" w:rsidR="00DE7B61" w:rsidRPr="00DE7B61" w:rsidRDefault="00DE7B61" w:rsidP="004E19FE">
            <w:pPr>
              <w:pStyle w:val="CDITable-RowCentre"/>
            </w:pPr>
            <w:r w:rsidRPr="00DE7B61">
              <w:t>—</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A63BA7" w14:textId="77777777" w:rsidR="00DE7B61" w:rsidRPr="00DE7B61" w:rsidRDefault="00DE7B61" w:rsidP="004E19FE">
            <w:pPr>
              <w:pStyle w:val="CDITable-RowCentre"/>
            </w:pPr>
            <w:r w:rsidRPr="00DE7B61">
              <w:t>Ref.</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4B6982" w14:textId="77777777" w:rsidR="00DE7B61" w:rsidRPr="00DE7B61" w:rsidRDefault="00DE7B61" w:rsidP="004E19FE">
            <w:pPr>
              <w:pStyle w:val="CDITable-RowCentre"/>
            </w:pPr>
            <w:r w:rsidRPr="00DE7B61">
              <w:t>—</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1B7307" w14:textId="77777777" w:rsidR="00DE7B61" w:rsidRPr="00DE7B61" w:rsidRDefault="00DE7B61" w:rsidP="004E19FE">
            <w:pPr>
              <w:pStyle w:val="CDITable-RowCentre"/>
            </w:pPr>
            <w:r w:rsidRPr="00DE7B61">
              <w:t>—</w:t>
            </w:r>
          </w:p>
        </w:tc>
      </w:tr>
      <w:tr w:rsidR="00DE7B61" w:rsidRPr="00DE7B61" w14:paraId="4955E02D" w14:textId="77777777" w:rsidTr="004E19FE">
        <w:trPr>
          <w:trHeight w:val="20"/>
        </w:trPr>
        <w:tc>
          <w:tcPr>
            <w:tcW w:w="3345" w:type="dxa"/>
            <w:vMerge/>
            <w:tcBorders>
              <w:bottom w:val="single" w:sz="6" w:space="0" w:color="1E4496" w:themeColor="text2"/>
            </w:tcBorders>
          </w:tcPr>
          <w:p w14:paraId="0B5A0F81" w14:textId="77777777" w:rsidR="00DE7B61" w:rsidRPr="00DE7B61" w:rsidRDefault="00DE7B61" w:rsidP="004E19FE">
            <w:pPr>
              <w:pStyle w:val="CDITable-RowLeft"/>
            </w:pPr>
          </w:p>
        </w:tc>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1172E0" w14:textId="77777777" w:rsidR="00DE7B61" w:rsidRPr="00DE7B61" w:rsidRDefault="00DE7B61" w:rsidP="004E19FE">
            <w:pPr>
              <w:pStyle w:val="CDITable-RowLeft"/>
            </w:pPr>
            <w:r w:rsidRPr="00DE7B61">
              <w:t>Other sex</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70B8E4" w14:textId="77777777" w:rsidR="00DE7B61" w:rsidRPr="00DE7B61" w:rsidRDefault="00DE7B61" w:rsidP="004E19FE">
            <w:pPr>
              <w:pStyle w:val="CDITable-RowCentre"/>
            </w:pPr>
            <w:r w:rsidRPr="00DE7B61">
              <w:t>2.5</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71E189" w14:textId="77777777" w:rsidR="00DE7B61" w:rsidRPr="00DE7B61" w:rsidRDefault="00DE7B61" w:rsidP="004E19FE">
            <w:pPr>
              <w:pStyle w:val="CDITable-RowCentre"/>
            </w:pPr>
            <w:r w:rsidRPr="00DE7B61">
              <w:t>1.2–5.3</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E63563" w14:textId="77777777" w:rsidR="00DE7B61" w:rsidRPr="00DE7B61" w:rsidRDefault="00DE7B61" w:rsidP="004E19FE">
            <w:pPr>
              <w:pStyle w:val="CDITable-RowCentre"/>
            </w:pPr>
            <w:r w:rsidRPr="00DE7B61">
              <w:t>0.013</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9AF11A" w14:textId="77777777" w:rsidR="00DE7B61" w:rsidRPr="00DE7B61" w:rsidRDefault="00DE7B61" w:rsidP="004E19FE">
            <w:pPr>
              <w:pStyle w:val="CDITable-RowCentre"/>
            </w:pPr>
            <w:r w:rsidRPr="00DE7B61">
              <w:t>3.0</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205FFD" w14:textId="77777777" w:rsidR="00DE7B61" w:rsidRPr="00DE7B61" w:rsidRDefault="00DE7B61" w:rsidP="004E19FE">
            <w:pPr>
              <w:pStyle w:val="CDITable-RowCentre"/>
            </w:pPr>
            <w:r w:rsidRPr="00DE7B61">
              <w:t>1.7–5.4</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0F5C54" w14:textId="77777777" w:rsidR="00DE7B61" w:rsidRPr="00DE7B61" w:rsidRDefault="00DE7B61" w:rsidP="004E19FE">
            <w:pPr>
              <w:pStyle w:val="CDITable-RowCentre"/>
            </w:pPr>
            <w:r w:rsidRPr="00DE7B61">
              <w:t>&lt; 0.001</w:t>
            </w:r>
          </w:p>
        </w:tc>
      </w:tr>
      <w:tr w:rsidR="00DE7B61" w:rsidRPr="00DE7B61" w14:paraId="6439F443" w14:textId="77777777" w:rsidTr="004E19FE">
        <w:trPr>
          <w:trHeight w:val="20"/>
        </w:trPr>
        <w:tc>
          <w:tcPr>
            <w:tcW w:w="3345" w:type="dxa"/>
            <w:vMerge/>
            <w:tcBorders>
              <w:bottom w:val="single" w:sz="6" w:space="0" w:color="1E4496" w:themeColor="text2"/>
            </w:tcBorders>
          </w:tcPr>
          <w:p w14:paraId="7E85FA22" w14:textId="77777777" w:rsidR="00DE7B61" w:rsidRPr="00DE7B61" w:rsidRDefault="00DE7B61" w:rsidP="004E19FE">
            <w:pPr>
              <w:pStyle w:val="CDITable-RowLeft"/>
            </w:pPr>
          </w:p>
        </w:tc>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D9D7BE" w14:textId="77777777" w:rsidR="00DE7B61" w:rsidRPr="00DE7B61" w:rsidRDefault="00DE7B61" w:rsidP="004E19FE">
            <w:pPr>
              <w:pStyle w:val="CDITable-RowLeft"/>
            </w:pPr>
            <w:r w:rsidRPr="00DE7B61">
              <w:t>Partners of more than one sex</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369BB7" w14:textId="77777777" w:rsidR="00DE7B61" w:rsidRPr="00DE7B61" w:rsidRDefault="00DE7B61" w:rsidP="004E19FE">
            <w:pPr>
              <w:pStyle w:val="CDITable-RowCentre"/>
            </w:pPr>
            <w:r w:rsidRPr="00DE7B61">
              <w:t>2.3</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00B9E3" w14:textId="77777777" w:rsidR="00DE7B61" w:rsidRPr="00DE7B61" w:rsidRDefault="00DE7B61" w:rsidP="004E19FE">
            <w:pPr>
              <w:pStyle w:val="CDITable-RowCentre"/>
            </w:pPr>
            <w:r w:rsidRPr="00DE7B61">
              <w:t>0.8–6.3</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E7FD5A" w14:textId="77777777" w:rsidR="00DE7B61" w:rsidRPr="00DE7B61" w:rsidRDefault="00DE7B61" w:rsidP="004E19FE">
            <w:pPr>
              <w:pStyle w:val="CDITable-RowCentre"/>
            </w:pPr>
            <w:r w:rsidRPr="00DE7B61">
              <w:t>0.102</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EF2EE7" w14:textId="77777777" w:rsidR="00DE7B61" w:rsidRPr="00DE7B61" w:rsidRDefault="00DE7B61" w:rsidP="004E19FE">
            <w:pPr>
              <w:pStyle w:val="CDITable-RowCentre"/>
            </w:pPr>
            <w:r w:rsidRPr="00DE7B61">
              <w:t>3.0</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E71928" w14:textId="77777777" w:rsidR="00DE7B61" w:rsidRPr="00DE7B61" w:rsidRDefault="00DE7B61" w:rsidP="004E19FE">
            <w:pPr>
              <w:pStyle w:val="CDITable-RowCentre"/>
            </w:pPr>
            <w:r w:rsidRPr="00DE7B61">
              <w:t>1.4–6.6</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BCC0B8" w14:textId="77777777" w:rsidR="00DE7B61" w:rsidRPr="00DE7B61" w:rsidRDefault="00DE7B61" w:rsidP="004E19FE">
            <w:pPr>
              <w:pStyle w:val="CDITable-RowCentre"/>
            </w:pPr>
            <w:r w:rsidRPr="00DE7B61">
              <w:t>0.006</w:t>
            </w:r>
          </w:p>
        </w:tc>
      </w:tr>
      <w:tr w:rsidR="00DE7B61" w:rsidRPr="00DE7B61" w14:paraId="71ACF560" w14:textId="77777777" w:rsidTr="004E19FE">
        <w:trPr>
          <w:trHeight w:val="20"/>
        </w:trPr>
        <w:tc>
          <w:tcPr>
            <w:tcW w:w="3345" w:type="dxa"/>
            <w:vMerge/>
            <w:tcBorders>
              <w:bottom w:val="single" w:sz="6" w:space="0" w:color="1E4496" w:themeColor="text2"/>
            </w:tcBorders>
          </w:tcPr>
          <w:p w14:paraId="1E5C88A2" w14:textId="77777777" w:rsidR="00DE7B61" w:rsidRPr="00DE7B61" w:rsidRDefault="00DE7B61" w:rsidP="004E19FE">
            <w:pPr>
              <w:pStyle w:val="CDITable-RowLeft"/>
            </w:pPr>
          </w:p>
        </w:tc>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F26912" w14:textId="77777777" w:rsidR="00DE7B61" w:rsidRPr="00DE7B61" w:rsidRDefault="00DE7B61" w:rsidP="004E19FE">
            <w:pPr>
              <w:pStyle w:val="CDITable-RowLeft"/>
            </w:pPr>
            <w:r w:rsidRPr="00DE7B61">
              <w:t>Other or not stated</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B5B68D" w14:textId="77777777" w:rsidR="00DE7B61" w:rsidRPr="00DE7B61" w:rsidRDefault="00DE7B61" w:rsidP="004E19FE">
            <w:pPr>
              <w:pStyle w:val="CDITable-RowCentre"/>
            </w:pPr>
            <w:r w:rsidRPr="00DE7B61">
              <w:t>2.9</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28FEFD" w14:textId="77777777" w:rsidR="00DE7B61" w:rsidRPr="00DE7B61" w:rsidRDefault="00DE7B61" w:rsidP="004E19FE">
            <w:pPr>
              <w:pStyle w:val="CDITable-RowCentre"/>
            </w:pPr>
            <w:r w:rsidRPr="00DE7B61">
              <w:t>0.3–27.4</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CAF97E" w14:textId="77777777" w:rsidR="00DE7B61" w:rsidRPr="00DE7B61" w:rsidRDefault="00DE7B61" w:rsidP="004E19FE">
            <w:pPr>
              <w:pStyle w:val="CDITable-RowCentre"/>
            </w:pPr>
            <w:r w:rsidRPr="00DE7B61">
              <w:t>0.353</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D2187C" w14:textId="77777777" w:rsidR="00DE7B61" w:rsidRPr="00DE7B61" w:rsidRDefault="00DE7B61" w:rsidP="004E19FE">
            <w:pPr>
              <w:pStyle w:val="CDITable-RowCentre"/>
            </w:pPr>
            <w:r w:rsidRPr="00DE7B61">
              <w:t>1.9</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023259" w14:textId="77777777" w:rsidR="00DE7B61" w:rsidRPr="00DE7B61" w:rsidRDefault="00DE7B61" w:rsidP="004E19FE">
            <w:pPr>
              <w:pStyle w:val="CDITable-RowCentre"/>
            </w:pPr>
            <w:r w:rsidRPr="00DE7B61">
              <w:t>0.2–17.6</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52705A" w14:textId="77777777" w:rsidR="00DE7B61" w:rsidRPr="00DE7B61" w:rsidRDefault="00DE7B61" w:rsidP="004E19FE">
            <w:pPr>
              <w:pStyle w:val="CDITable-RowCentre"/>
            </w:pPr>
            <w:r w:rsidRPr="00DE7B61">
              <w:t>0.574</w:t>
            </w:r>
          </w:p>
        </w:tc>
      </w:tr>
      <w:tr w:rsidR="00DE7B61" w:rsidRPr="00DE7B61" w14:paraId="5929421B" w14:textId="77777777" w:rsidTr="004E19FE">
        <w:trPr>
          <w:trHeight w:val="20"/>
        </w:trPr>
        <w:tc>
          <w:tcPr>
            <w:tcW w:w="3345" w:type="dxa"/>
            <w:vMerge w:val="restart"/>
            <w:tcBorders>
              <w:bottom w:val="single" w:sz="6" w:space="0" w:color="1E4496" w:themeColor="text2"/>
            </w:tcBorders>
            <w:tcMar>
              <w:top w:w="113" w:type="dxa"/>
              <w:left w:w="113" w:type="dxa"/>
              <w:bottom w:w="113" w:type="dxa"/>
              <w:right w:w="113" w:type="dxa"/>
            </w:tcMar>
            <w:vAlign w:val="center"/>
          </w:tcPr>
          <w:p w14:paraId="134E450F" w14:textId="77777777" w:rsidR="00DE7B61" w:rsidRPr="00DE7B61" w:rsidRDefault="00DE7B61" w:rsidP="004E19FE">
            <w:pPr>
              <w:pStyle w:val="CDITable-RowLeft"/>
            </w:pPr>
            <w:r w:rsidRPr="00DE7B61">
              <w:t>Symptom status at time of diagnosis</w:t>
            </w:r>
          </w:p>
        </w:tc>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BC1A8E" w14:textId="77777777" w:rsidR="00DE7B61" w:rsidRPr="00DE7B61" w:rsidRDefault="00DE7B61" w:rsidP="004E19FE">
            <w:pPr>
              <w:pStyle w:val="CDITable-RowLeft"/>
            </w:pPr>
            <w:r w:rsidRPr="00DE7B61">
              <w:t>Asymptomatic</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5385B7" w14:textId="77777777" w:rsidR="00DE7B61" w:rsidRPr="00DE7B61" w:rsidRDefault="00DE7B61" w:rsidP="004E19FE">
            <w:pPr>
              <w:pStyle w:val="CDITable-RowCentre"/>
            </w:pPr>
            <w:r w:rsidRPr="00DE7B61">
              <w:t>Ref.</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3D85EF" w14:textId="77777777" w:rsidR="00DE7B61" w:rsidRPr="00DE7B61" w:rsidRDefault="00DE7B61" w:rsidP="004E19FE">
            <w:pPr>
              <w:pStyle w:val="CDITable-RowCentre"/>
            </w:pPr>
            <w:r w:rsidRPr="00DE7B61">
              <w:t>—</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481477" w14:textId="77777777" w:rsidR="00DE7B61" w:rsidRPr="00DE7B61" w:rsidRDefault="00DE7B61" w:rsidP="004E19FE">
            <w:pPr>
              <w:pStyle w:val="CDITable-RowCentre"/>
            </w:pPr>
            <w:r w:rsidRPr="00DE7B61">
              <w:t>—</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45EFC5" w14:textId="77777777" w:rsidR="00DE7B61" w:rsidRPr="00DE7B61" w:rsidRDefault="00DE7B61" w:rsidP="004E19FE">
            <w:pPr>
              <w:pStyle w:val="CDITable-RowCentre"/>
            </w:pPr>
            <w:r w:rsidRPr="00DE7B61">
              <w:t>Ref.</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0C50E6" w14:textId="77777777" w:rsidR="00DE7B61" w:rsidRPr="00DE7B61" w:rsidRDefault="00DE7B61" w:rsidP="004E19FE">
            <w:pPr>
              <w:pStyle w:val="CDITable-RowCentre"/>
            </w:pPr>
            <w:r w:rsidRPr="00DE7B61">
              <w:t>—</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887CD1" w14:textId="77777777" w:rsidR="00DE7B61" w:rsidRPr="00DE7B61" w:rsidRDefault="00DE7B61" w:rsidP="004E19FE">
            <w:pPr>
              <w:pStyle w:val="CDITable-RowCentre"/>
            </w:pPr>
            <w:r w:rsidRPr="00DE7B61">
              <w:t>—</w:t>
            </w:r>
          </w:p>
        </w:tc>
      </w:tr>
      <w:tr w:rsidR="00DE7B61" w:rsidRPr="00DE7B61" w14:paraId="614328FC" w14:textId="77777777" w:rsidTr="004E19FE">
        <w:trPr>
          <w:trHeight w:val="20"/>
        </w:trPr>
        <w:tc>
          <w:tcPr>
            <w:tcW w:w="3345" w:type="dxa"/>
            <w:vMerge/>
            <w:tcBorders>
              <w:bottom w:val="single" w:sz="6" w:space="0" w:color="1E4496" w:themeColor="text2"/>
            </w:tcBorders>
          </w:tcPr>
          <w:p w14:paraId="1ED9DA08" w14:textId="77777777" w:rsidR="00DE7B61" w:rsidRPr="00DE7B61" w:rsidRDefault="00DE7B61" w:rsidP="004E19FE">
            <w:pPr>
              <w:pStyle w:val="CDITable-RowLeft"/>
            </w:pPr>
          </w:p>
        </w:tc>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8E1EAE" w14:textId="77777777" w:rsidR="00DE7B61" w:rsidRPr="00DE7B61" w:rsidRDefault="00DE7B61" w:rsidP="004E19FE">
            <w:pPr>
              <w:pStyle w:val="CDITable-RowLeft"/>
            </w:pPr>
            <w:r w:rsidRPr="00DE7B61">
              <w:t>Symptoms of syphilis</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3BAE69" w14:textId="77777777" w:rsidR="00DE7B61" w:rsidRPr="00DE7B61" w:rsidRDefault="00DE7B61" w:rsidP="004E19FE">
            <w:pPr>
              <w:pStyle w:val="CDITable-RowCentre"/>
            </w:pPr>
            <w:r w:rsidRPr="00DE7B61">
              <w:t>0.6</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9ECAA2" w14:textId="77777777" w:rsidR="00DE7B61" w:rsidRPr="00DE7B61" w:rsidRDefault="00DE7B61" w:rsidP="004E19FE">
            <w:pPr>
              <w:pStyle w:val="CDITable-RowCentre"/>
            </w:pPr>
            <w:r w:rsidRPr="00DE7B61">
              <w:t>0.3–1.3</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D0968C" w14:textId="77777777" w:rsidR="00DE7B61" w:rsidRPr="00DE7B61" w:rsidRDefault="00DE7B61" w:rsidP="004E19FE">
            <w:pPr>
              <w:pStyle w:val="CDITable-RowCentre"/>
            </w:pPr>
            <w:r w:rsidRPr="00DE7B61">
              <w:t>0.195</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2C4FB3" w14:textId="77777777" w:rsidR="00DE7B61" w:rsidRPr="00DE7B61" w:rsidRDefault="00DE7B61" w:rsidP="004E19FE">
            <w:pPr>
              <w:pStyle w:val="CDITable-RowCentre"/>
            </w:pPr>
            <w:r w:rsidRPr="00DE7B61">
              <w:t>1.2</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FA73E0" w14:textId="77777777" w:rsidR="00DE7B61" w:rsidRPr="00DE7B61" w:rsidRDefault="00DE7B61" w:rsidP="004E19FE">
            <w:pPr>
              <w:pStyle w:val="CDITable-RowCentre"/>
            </w:pPr>
            <w:r w:rsidRPr="00DE7B61">
              <w:t>0.7–2.0</w:t>
            </w:r>
          </w:p>
        </w:tc>
        <w:tc>
          <w:tcPr>
            <w:tcW w:w="136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3C16CB" w14:textId="77777777" w:rsidR="00DE7B61" w:rsidRPr="00DE7B61" w:rsidRDefault="00DE7B61" w:rsidP="004E19FE">
            <w:pPr>
              <w:pStyle w:val="CDITable-RowCentre"/>
            </w:pPr>
            <w:r w:rsidRPr="00DE7B61">
              <w:t>0.663</w:t>
            </w:r>
          </w:p>
        </w:tc>
      </w:tr>
    </w:tbl>
    <w:p w14:paraId="441A8B7C" w14:textId="77777777" w:rsidR="00DE7B61" w:rsidRPr="00DE7B61" w:rsidRDefault="00DE7B61" w:rsidP="00DE7B61">
      <w:pPr>
        <w:pStyle w:val="CDITable-FirstFootnote"/>
        <w:rPr>
          <w:lang w:val="en-GB"/>
        </w:rPr>
      </w:pPr>
      <w:proofErr w:type="gramStart"/>
      <w:r w:rsidRPr="00DE7B61">
        <w:rPr>
          <w:lang w:val="en-GB"/>
        </w:rPr>
        <w:t>a</w:t>
      </w:r>
      <w:proofErr w:type="gramEnd"/>
      <w:r w:rsidRPr="00DE7B61">
        <w:rPr>
          <w:lang w:val="en-GB"/>
        </w:rPr>
        <w:tab/>
        <w:t>IDU: injecting drug use; non-IDU: non-injecting drug use. For purposes of calculation, ‘IDU’ includes also those cases reporting both IDU and non-IDU.</w:t>
      </w:r>
    </w:p>
    <w:p w14:paraId="4965E86A" w14:textId="77777777" w:rsidR="00DE7B61" w:rsidRPr="00DE7B61" w:rsidRDefault="00DE7B61" w:rsidP="00DE7B61">
      <w:pPr>
        <w:pStyle w:val="CDITable-Footnote"/>
        <w:rPr>
          <w:lang w:val="en-GB"/>
        </w:rPr>
      </w:pPr>
      <w:r w:rsidRPr="00DE7B61">
        <w:rPr>
          <w:lang w:val="en-GB"/>
        </w:rPr>
        <w:t>b</w:t>
      </w:r>
      <w:r w:rsidRPr="00DE7B61">
        <w:rPr>
          <w:lang w:val="en-GB"/>
        </w:rPr>
        <w:tab/>
        <w:t>OR: crude odds ratio; Ref.: reference.</w:t>
      </w:r>
    </w:p>
    <w:p w14:paraId="65921893" w14:textId="77777777" w:rsidR="00DE7B61" w:rsidRPr="00DE7B61" w:rsidRDefault="00DE7B61" w:rsidP="00DE7B61">
      <w:pPr>
        <w:pStyle w:val="CDITable-Footnote"/>
        <w:rPr>
          <w:lang w:val="en-GB"/>
        </w:rPr>
      </w:pPr>
      <w:r w:rsidRPr="00DE7B61">
        <w:rPr>
          <w:lang w:val="en-GB"/>
        </w:rPr>
        <w:t>c</w:t>
      </w:r>
      <w:r w:rsidRPr="00DE7B61">
        <w:rPr>
          <w:lang w:val="en-GB"/>
        </w:rPr>
        <w:tab/>
        <w:t>95% CI: 95% confidence interval.</w:t>
      </w:r>
    </w:p>
    <w:p w14:paraId="2F9E59A2" w14:textId="30C5B916" w:rsidR="00F7417F" w:rsidRDefault="00DE7B61" w:rsidP="00DE7B61">
      <w:pPr>
        <w:pStyle w:val="CDITable-Footnote"/>
        <w:rPr>
          <w:lang w:val="en-GB"/>
        </w:rPr>
      </w:pPr>
      <w:r w:rsidRPr="00DE7B61">
        <w:rPr>
          <w:lang w:val="en-GB"/>
        </w:rPr>
        <w:t>d</w:t>
      </w:r>
      <w:r w:rsidRPr="00DE7B61">
        <w:rPr>
          <w:lang w:val="en-GB"/>
        </w:rPr>
        <w:tab/>
      </w:r>
      <w:proofErr w:type="gramStart"/>
      <w:r w:rsidRPr="00DE7B61">
        <w:rPr>
          <w:lang w:val="en-GB"/>
        </w:rPr>
        <w:t>The</w:t>
      </w:r>
      <w:proofErr w:type="gramEnd"/>
      <w:r w:rsidRPr="00DE7B61">
        <w:rPr>
          <w:lang w:val="en-GB"/>
        </w:rPr>
        <w:t xml:space="preserve"> following services are considered to specialise in sexual health and STI management: Adelaide Sexual Health Centre (ASHC), SHINE SA and O’Brien Street Practice.</w:t>
      </w:r>
    </w:p>
    <w:p w14:paraId="347BBE40" w14:textId="77777777" w:rsidR="00F7417F" w:rsidRDefault="00F7417F" w:rsidP="003233AE">
      <w:pPr>
        <w:rPr>
          <w:lang w:val="en-GB"/>
        </w:rPr>
        <w:sectPr w:rsidR="00F7417F" w:rsidSect="00F7417F">
          <w:footnotePr>
            <w:numFmt w:val="lowerRoman"/>
          </w:footnotePr>
          <w:pgSz w:w="16840" w:h="11907" w:orient="landscape" w:code="9"/>
          <w:pgMar w:top="1134" w:right="1134" w:bottom="1134" w:left="1134" w:header="709" w:footer="567" w:gutter="0"/>
          <w:cols w:space="708"/>
          <w:docGrid w:linePitch="360"/>
        </w:sectPr>
      </w:pPr>
    </w:p>
    <w:p w14:paraId="24C19840" w14:textId="77777777" w:rsidR="003233AE" w:rsidRPr="003233AE" w:rsidRDefault="003233AE" w:rsidP="00F7417F">
      <w:pPr>
        <w:pStyle w:val="Normal-nospace"/>
        <w:rPr>
          <w:lang w:val="en-GB"/>
        </w:rPr>
      </w:pPr>
      <w:r w:rsidRPr="003233AE">
        <w:rPr>
          <w:lang w:val="en-GB"/>
        </w:rPr>
        <w:lastRenderedPageBreak/>
        <w:t>In univariable logistic regression (Table 3), statistical significance was reached only for the increased odds of IDU among females compared to males (odds ratio, OR: 2.8; 95% CI: 1.2–6.3); for the increased odds of both IDU and non-IDU among cases reporting sexual partners of a different sex compared to cases among MSM (IDU: OR: 2.5; 95% CI: 1.2–5.3; non-IDU: OR: 3.0; 95% CI: 1.7–5.4); and for the increased odds of non-IDU among cases reporting partners of a different sex compared to cases reporting partners of more than one sex (OR: 3.0; 95% CI: 1.4–6.6). The elevated odds of non-IDU among cases diagnosed outside specialist sexual health services (OR: 1.7; 95% CI: 0.97–2.9) also approached statistical significance.</w:t>
      </w:r>
    </w:p>
    <w:p w14:paraId="71469DAF" w14:textId="77777777" w:rsidR="00F7417F" w:rsidRPr="00F7417F" w:rsidRDefault="00F7417F" w:rsidP="00F7417F">
      <w:pPr>
        <w:rPr>
          <w:lang w:val="en-GB"/>
        </w:rPr>
      </w:pPr>
      <w:r w:rsidRPr="00F7417F">
        <w:rPr>
          <w:lang w:val="en-GB"/>
        </w:rPr>
        <w:t>For cases reporting IDU, details of the drug or drugs consumed were available for 83% of reports (n = 33/40). This includes six cases indicating injection of more than one substance. Methamphetamine injection was reported for 28 cases; an additional three reports referred to amphetamine; and one report specified crystal methamphetamine. Heroin use was reported for five cases. For one case each, the notifying medical practitioner indicated injection of alkyl nitrites or gamma-hydroxybutyrate (GHB), respectively.</w:t>
      </w:r>
    </w:p>
    <w:p w14:paraId="3D1C4300" w14:textId="77777777" w:rsidR="00F7417F" w:rsidRPr="00F7417F" w:rsidRDefault="00F7417F" w:rsidP="00F7417F">
      <w:pPr>
        <w:rPr>
          <w:lang w:val="en-GB"/>
        </w:rPr>
      </w:pPr>
      <w:r w:rsidRPr="00F7417F">
        <w:rPr>
          <w:lang w:val="en-GB"/>
        </w:rPr>
        <w:t xml:space="preserve">There was a greater variety of non-injecting drugs reported. Among the 94% of cases (n = 64/68) for whom only non-IDU was </w:t>
      </w:r>
      <w:proofErr w:type="gramStart"/>
      <w:r w:rsidRPr="00F7417F">
        <w:rPr>
          <w:lang w:val="en-GB"/>
        </w:rPr>
        <w:t>reported</w:t>
      </w:r>
      <w:proofErr w:type="gramEnd"/>
      <w:r w:rsidRPr="00F7417F">
        <w:rPr>
          <w:lang w:val="en-GB"/>
        </w:rPr>
        <w:t xml:space="preserve"> and drug details were available, there were 33 reports of methamphetamine use; 28 reports of cannabis use (delta-9-tetrahydrocannabinol or THC); nine reports of cocaine use; six reports of GHB use; and four reports of alkyl nitrite use. In addition, there were three reports each of crystal methamphetamine and MDMA/ecstasy (3,4-methylenedioxymethamphetamine) use, as well as one report each of heroin, lysergic acid diethylamide (LSD), and benzodiazepine use. For 18% of cases (n = 12/68), non-injecting consumption of two substances was reported, and for an additional 9% of cases (n = 6/68), consumption of three or more substances was reported. </w:t>
      </w:r>
    </w:p>
    <w:p w14:paraId="00433DBB" w14:textId="5D1B1072" w:rsidR="00F7417F" w:rsidRPr="00F7417F" w:rsidRDefault="00F7417F" w:rsidP="00F7417F">
      <w:pPr>
        <w:rPr>
          <w:lang w:val="en-GB"/>
        </w:rPr>
      </w:pPr>
      <w:r w:rsidRPr="00F7417F">
        <w:rPr>
          <w:lang w:val="en-GB"/>
        </w:rPr>
        <w:t>Among the 15 cases who reported a combination of injecting and non-injecting drug use, 67% (n</w:t>
      </w:r>
      <w:r>
        <w:rPr>
          <w:lang w:val="en-GB"/>
        </w:rPr>
        <w:t> </w:t>
      </w:r>
      <w:r w:rsidRPr="00F7417F">
        <w:rPr>
          <w:lang w:val="en-GB"/>
        </w:rPr>
        <w:t>=</w:t>
      </w:r>
      <w:r>
        <w:rPr>
          <w:lang w:val="en-GB"/>
        </w:rPr>
        <w:t> </w:t>
      </w:r>
      <w:r w:rsidRPr="00F7417F">
        <w:rPr>
          <w:lang w:val="en-GB"/>
        </w:rPr>
        <w:t xml:space="preserve">10/15) had information for both types of drugs used. The most frequent combinations were injecting of an amphetamine (predominantly methamphetamine) and consumption of cannabis/THC (n = 6) and injecting and non-injecting administration of amphetamines (n = 4). </w:t>
      </w:r>
    </w:p>
    <w:p w14:paraId="1639B2CF" w14:textId="6151A110" w:rsidR="006E0B0E" w:rsidRDefault="008017B6" w:rsidP="00813DAA">
      <w:pPr>
        <w:pStyle w:val="Heading1"/>
      </w:pPr>
      <w:bookmarkStart w:id="19" w:name="_Toc207013314"/>
      <w:bookmarkStart w:id="20" w:name="_Toc195519590"/>
      <w:bookmarkStart w:id="21" w:name="_Toc195522359"/>
      <w:r>
        <w:lastRenderedPageBreak/>
        <w:t>Discussion</w:t>
      </w:r>
      <w:r w:rsidR="00F7417F">
        <w:t xml:space="preserve"> and conclusion</w:t>
      </w:r>
      <w:bookmarkEnd w:id="19"/>
    </w:p>
    <w:p w14:paraId="117F5821" w14:textId="77777777" w:rsidR="00813DAA" w:rsidRPr="00813DAA" w:rsidRDefault="00813DAA" w:rsidP="00813DAA">
      <w:pPr>
        <w:rPr>
          <w:lang w:val="en-GB"/>
        </w:rPr>
      </w:pPr>
      <w:r w:rsidRPr="00813DAA">
        <w:rPr>
          <w:lang w:val="en-GB"/>
        </w:rPr>
        <w:t>Although high prevalence of recreational drug use among cases of infectious syphilis has previously been noted internationally, this is the first report of similar findings from state-wide surveillance in an Australian jurisdiction. Our analysis demonstrates a high prevalence of IDU and non-IDU amongst syphilis cases overall: 10% of cases disclosed IDU in the past 12 months and an additional 17% of cases reported non-IDU only. The percentage of cases reporting IDU in South Australia represents double the peak prevalence of 4.9% reported by the United States (US) Centers for Disease Control and Prevention in their analysis spanning the years 2013–2017;</w:t>
      </w:r>
      <w:r w:rsidRPr="00813DAA">
        <w:rPr>
          <w:vertAlign w:val="superscript"/>
          <w:lang w:val="en-GB"/>
        </w:rPr>
        <w:t>9</w:t>
      </w:r>
      <w:r w:rsidRPr="00813DAA">
        <w:rPr>
          <w:lang w:val="en-GB"/>
        </w:rPr>
        <w:t xml:space="preserve"> it is also higher than the 6.9% observed in Missouri over a similar time period.</w:t>
      </w:r>
      <w:r w:rsidRPr="00813DAA">
        <w:rPr>
          <w:vertAlign w:val="superscript"/>
          <w:lang w:val="en-GB"/>
        </w:rPr>
        <w:t>10</w:t>
      </w:r>
      <w:r w:rsidRPr="00813DAA">
        <w:rPr>
          <w:lang w:val="en-GB"/>
        </w:rPr>
        <w:t xml:space="preserve"> The markedly higher prevalence of IDU in South Australia compared to US data holds across subgroups by sex at birth and by sexual orientation. Our data also confirms the pattern of higher IDU prevalence among female cases compared to males reported by other research, including in the USA</w:t>
      </w:r>
      <w:r w:rsidRPr="00813DAA">
        <w:rPr>
          <w:vertAlign w:val="superscript"/>
          <w:lang w:val="en-GB"/>
        </w:rPr>
        <w:t>9,10</w:t>
      </w:r>
      <w:r w:rsidRPr="00813DAA">
        <w:rPr>
          <w:lang w:val="en-GB"/>
        </w:rPr>
        <w:t xml:space="preserve"> and in a previous Australian study.</w:t>
      </w:r>
      <w:r w:rsidRPr="00813DAA">
        <w:rPr>
          <w:vertAlign w:val="superscript"/>
          <w:lang w:val="en-GB"/>
        </w:rPr>
        <w:t>13</w:t>
      </w:r>
      <w:r w:rsidRPr="00813DAA">
        <w:rPr>
          <w:lang w:val="en-GB"/>
        </w:rPr>
        <w:t xml:space="preserve"> Previous research did not disaggregate drug use patterns by the type of diagnosing service. While not reaching statistical significance, our study demonstrates a clear trend towards higher prevalence of both IDU and non-IDU among cases of syphilis diagnosed outside specialist services in South Australia. This association is stronger for cases reporting non-IDU only. Given that these services disproportionately serve MSM and other priority populations, this finding correlates with the observation that females and heterosexuals diagnosed with syphilis report drug use more frequently than the traditional priority population of MSM. </w:t>
      </w:r>
    </w:p>
    <w:p w14:paraId="5D649E96" w14:textId="77777777" w:rsidR="00813DAA" w:rsidRPr="00813DAA" w:rsidRDefault="00813DAA" w:rsidP="00813DAA">
      <w:pPr>
        <w:rPr>
          <w:lang w:val="en-GB"/>
        </w:rPr>
      </w:pPr>
      <w:r w:rsidRPr="00813DAA">
        <w:rPr>
          <w:lang w:val="en-GB"/>
        </w:rPr>
        <w:t xml:space="preserve">In South Australia, the results of this research have highlighted the importance of improving access to sexual health care, including comprehensive guideline-based STI testing, for people who use drugs recreationally as a key syphilis prevention strategy. To date, several strategies have been progressed towards this goal, including prioritisation of the correctional and drug and alcohol sectors within efforts to increase routine syphilis testing within the community. Furthermore, noting the long-standing trust, social capital and expertise that community led hepatitis C prevention and health promotion programs have developed with people who use drugs, in South Australia these programs have been re-oriented to routinely integrate syphilis prevention messaging into their engagement with this population. In addition, efforts have been made to alert mainstream primary care providers to recreational drug use as a risk factor for syphilis infection. </w:t>
      </w:r>
    </w:p>
    <w:p w14:paraId="7824CDF6" w14:textId="77777777" w:rsidR="00813DAA" w:rsidRPr="00813DAA" w:rsidRDefault="00813DAA" w:rsidP="00813DAA">
      <w:pPr>
        <w:rPr>
          <w:lang w:val="en-GB"/>
        </w:rPr>
      </w:pPr>
      <w:r w:rsidRPr="00813DAA">
        <w:rPr>
          <w:lang w:val="en-GB"/>
        </w:rPr>
        <w:t xml:space="preserve">These results also reinforce the importance of strategies to support consistent implementation of updated recommendations in the current </w:t>
      </w:r>
      <w:r w:rsidRPr="00813DAA">
        <w:rPr>
          <w:i/>
          <w:iCs/>
          <w:lang w:val="en-GB"/>
        </w:rPr>
        <w:t>Australian STI Management Guidelines for Use in Primary Care</w:t>
      </w:r>
      <w:r w:rsidRPr="00813DAA">
        <w:rPr>
          <w:lang w:val="en-GB"/>
        </w:rPr>
        <w:t>. These guidelines now stipulate that HIV and syphilis testing should be offered whenever STI testing is indicated, including as part of all standard asymptomatic STI testing.</w:t>
      </w:r>
      <w:r w:rsidRPr="00813DAA">
        <w:rPr>
          <w:vertAlign w:val="superscript"/>
          <w:lang w:val="en-GB"/>
        </w:rPr>
        <w:t>2</w:t>
      </w:r>
      <w:r w:rsidRPr="00813DAA">
        <w:rPr>
          <w:lang w:val="en-GB"/>
        </w:rPr>
        <w:t xml:space="preserve"> However, implementation of concurrent syphilis serology when screening for gonorrhoea and chlamydia is only one of the challenges that providers who do not specialise in sexual health face in detecting syphilis in their patient cohorts. The </w:t>
      </w:r>
      <w:r w:rsidRPr="00813DAA">
        <w:rPr>
          <w:i/>
          <w:iCs/>
          <w:lang w:val="en-GB"/>
        </w:rPr>
        <w:t>Australian STI Management Guidelines’</w:t>
      </w:r>
      <w:r w:rsidRPr="00813DAA">
        <w:rPr>
          <w:lang w:val="en-GB"/>
        </w:rPr>
        <w:t xml:space="preserve"> recommendations for people who use drugs stop short of describing drug use, particularly injecting or non-injecting use of methamphetamines and GHB, as an independent indicator for syphilis testing. As a result, the challenge remains for these providers to consider evidence of drug use as a prompt to initiate a discussion of sexual history and recommended syphilis testing according to sexual risk. Conversely, other Australian states such as Western Australia have incorporated clear advice into local guidelines to consider drug use a risk factor for syphilis acquisition in asymptomatic, sexually active people who use drugs in non-sexual contexts.</w:t>
      </w:r>
      <w:r w:rsidRPr="00813DAA">
        <w:rPr>
          <w:vertAlign w:val="superscript"/>
          <w:lang w:val="en-GB"/>
        </w:rPr>
        <w:t>16</w:t>
      </w:r>
    </w:p>
    <w:p w14:paraId="36FE3EAB" w14:textId="77777777" w:rsidR="00813DAA" w:rsidRPr="00813DAA" w:rsidRDefault="00813DAA" w:rsidP="00813DAA">
      <w:pPr>
        <w:rPr>
          <w:lang w:val="en-GB"/>
        </w:rPr>
      </w:pPr>
      <w:r w:rsidRPr="00813DAA">
        <w:rPr>
          <w:lang w:val="en-GB"/>
        </w:rPr>
        <w:t xml:space="preserve">In addition to the use of surveillance data to provide a state-wide analysis of drug use among syphilis cases, a key strength of this study was high data completeness in relation to drug use. In our study, this information was unavailable for only 8% of cases overall. By contrast, a US national </w:t>
      </w:r>
      <w:r w:rsidRPr="00813DAA">
        <w:rPr>
          <w:lang w:val="en-GB"/>
        </w:rPr>
        <w:lastRenderedPageBreak/>
        <w:t>analysis related to drug use reported a missing data range of 18–25% depending on the year and variable;</w:t>
      </w:r>
      <w:r w:rsidRPr="00813DAA">
        <w:rPr>
          <w:vertAlign w:val="superscript"/>
          <w:lang w:val="en-GB"/>
        </w:rPr>
        <w:t>7</w:t>
      </w:r>
      <w:r w:rsidRPr="00813DAA">
        <w:rPr>
          <w:lang w:val="en-GB"/>
        </w:rPr>
        <w:t xml:space="preserve"> state-level surveillance data in Missouri had 14% missing data.</w:t>
      </w:r>
      <w:r w:rsidRPr="00813DAA">
        <w:rPr>
          <w:vertAlign w:val="superscript"/>
          <w:lang w:val="en-GB"/>
        </w:rPr>
        <w:t>8</w:t>
      </w:r>
      <w:r w:rsidRPr="00813DAA">
        <w:rPr>
          <w:lang w:val="en-GB"/>
        </w:rPr>
        <w:t xml:space="preserve"> Conversely, in our study, comparatively low data completeness from Aboriginal health services limits relevance of these findings to the sector. The difference in data completeness is in part due to a major Aboriginal health service not utilising the new notification form at the time of data collection and completing all case follow up independently of the public health unit. However, most major Aboriginal health services, particularly in regional and remote South Australia, have long-standing yearly syphilis screening programs. </w:t>
      </w:r>
    </w:p>
    <w:p w14:paraId="52B6F9F7" w14:textId="77777777" w:rsidR="00813DAA" w:rsidRPr="00813DAA" w:rsidRDefault="00813DAA" w:rsidP="00813DAA">
      <w:pPr>
        <w:rPr>
          <w:lang w:val="en-GB"/>
        </w:rPr>
      </w:pPr>
      <w:r w:rsidRPr="00813DAA">
        <w:rPr>
          <w:lang w:val="en-GB"/>
        </w:rPr>
        <w:t>In addition to differential data completeness, other key limitations of this study relate to the use of surveillance data from a relatively small jurisdiction in terms of population. The use of surveillance data necessarily restricts the denominator for prevalence of drug use to all cases of syphilis and cannot compare prevalence among cases to prevalence among all persons at risk of syphilis acquisition, or among all clients undergoing testing. Data from the 2022–2023 National Drug Strategy Household Survey for South Australia indicates that 17.9% of respondents used any illicit drug in the past 12 months and a combined 1% reported using amphetamines and/or heroin, the two most frequently injected drugs amongst our cohort of syphilis cases.</w:t>
      </w:r>
      <w:r w:rsidRPr="00813DAA">
        <w:rPr>
          <w:vertAlign w:val="superscript"/>
          <w:lang w:val="en-GB"/>
        </w:rPr>
        <w:t>17</w:t>
      </w:r>
      <w:r w:rsidRPr="00813DAA">
        <w:rPr>
          <w:lang w:val="en-GB"/>
        </w:rPr>
        <w:t xml:space="preserve"> While these figures give an indication of the prevalence in the general population, the survey does not distinguish between injecting and non-injecting drug use and respondents cannot be assumed to be sexually active. Service-based studies, which are able to ascertain the prevalence of drug use among all clients regardless of syphilis status, reported use of injecting drugs in the past 12 months as 2% among MSM attending Melbourne Sexual Health Centre</w:t>
      </w:r>
      <w:r w:rsidRPr="00813DAA">
        <w:rPr>
          <w:vertAlign w:val="superscript"/>
          <w:lang w:val="en-GB"/>
        </w:rPr>
        <w:t>10</w:t>
      </w:r>
      <w:r w:rsidRPr="00813DAA">
        <w:rPr>
          <w:lang w:val="en-GB"/>
        </w:rPr>
        <w:t xml:space="preserve"> and 2.1 and 3%, respectively, among heterosexual men and women attending specialist services participating in the ACCESS network.</w:t>
      </w:r>
      <w:r w:rsidRPr="00813DAA">
        <w:rPr>
          <w:vertAlign w:val="superscript"/>
          <w:lang w:val="en-GB"/>
        </w:rPr>
        <w:t>11</w:t>
      </w:r>
      <w:r w:rsidRPr="00813DAA">
        <w:rPr>
          <w:lang w:val="en-GB"/>
        </w:rPr>
        <w:t xml:space="preserve"> This suggests that rather than reflecting a high level of drug use in the underlying population of sexually active persons seeking sexual health care, drug use is indeed elevated among persons diagnosed with syphilis and therefore a useful marker of risk that can help direct service provision. </w:t>
      </w:r>
    </w:p>
    <w:p w14:paraId="50A05C62" w14:textId="77777777" w:rsidR="00813DAA" w:rsidRPr="00813DAA" w:rsidRDefault="00813DAA" w:rsidP="00813DAA">
      <w:pPr>
        <w:rPr>
          <w:lang w:val="en-GB"/>
        </w:rPr>
      </w:pPr>
      <w:r w:rsidRPr="00813DAA">
        <w:rPr>
          <w:lang w:val="en-GB"/>
        </w:rPr>
        <w:t>Owing to the overall small population of our jurisdiction, the small numbers of cases limited the usefulness of the regression analysis and precluded multivariate analysis. Additional years of data collection are needed to further analyse observed differences, including symptom status for which diverging trends were seen among cases reporting IDU and non-IDU that may suggest less frequent asymptomatic testing among patients reporting non-IDU only.</w:t>
      </w:r>
    </w:p>
    <w:p w14:paraId="1353D940" w14:textId="379981CE" w:rsidR="008017B6" w:rsidRPr="008017B6" w:rsidRDefault="00813DAA" w:rsidP="008017B6">
      <w:r w:rsidRPr="00813DAA">
        <w:rPr>
          <w:lang w:val="en-GB"/>
        </w:rPr>
        <w:t xml:space="preserve">Our findings provide new evidence that both injecting and non-injecting recreational drug use are highly prevalent among cases of infectious syphilis diagnosed in South Australia and may represent one of the drivers of recent increases in cases among women and heterosexual men. These results underscore the importance of improving access to sexual health care, including comprehensive guideline-based STI testing, as a key syphilis prevention strategy for people who use drugs. Health services and community-led programs which have established links with people who use drugs have an important role to play in pursuit of this aim. More broadly, mainstream healthcare providers not specialising in sexual health or addiction medicine should be alert to drug use as a prompt to discuss sexual history, and to offer syphilis testing. Increased testing of non-traditional risk populations that are currently bearing the brunt of the increased disease burden in all appropriate healthcare settings is a key instrument to limit onward transmission and to control the burgeoning syphilis epidemic in South Australia and nationally. </w:t>
      </w:r>
      <w:bookmarkEnd w:id="20"/>
      <w:bookmarkEnd w:id="21"/>
    </w:p>
    <w:p w14:paraId="12C2220D" w14:textId="77777777" w:rsidR="00F216F0" w:rsidRDefault="00F216F0" w:rsidP="00F216F0">
      <w:pPr>
        <w:pStyle w:val="Heading1"/>
      </w:pPr>
      <w:bookmarkStart w:id="22" w:name="_Toc195530510"/>
      <w:bookmarkStart w:id="23" w:name="_Toc207013315"/>
      <w:bookmarkStart w:id="24" w:name="_Toc195530508"/>
      <w:r>
        <w:lastRenderedPageBreak/>
        <w:t>Acknowledgments</w:t>
      </w:r>
      <w:bookmarkEnd w:id="22"/>
      <w:bookmarkEnd w:id="23"/>
    </w:p>
    <w:p w14:paraId="39A79886" w14:textId="77777777" w:rsidR="00813DAA" w:rsidRPr="00813DAA" w:rsidRDefault="00813DAA" w:rsidP="00813DAA">
      <w:pPr>
        <w:rPr>
          <w:lang w:val="en-GB"/>
        </w:rPr>
      </w:pPr>
      <w:r w:rsidRPr="00813DAA">
        <w:rPr>
          <w:lang w:val="en-GB"/>
        </w:rPr>
        <w:t xml:space="preserve">The authors would like to acknowledge all notifiers and their clients who contributed to the collection of surveillance data. </w:t>
      </w:r>
    </w:p>
    <w:p w14:paraId="3CA1103C" w14:textId="22A8426F" w:rsidR="00F216F0" w:rsidRDefault="00813DAA" w:rsidP="00813DAA">
      <w:pPr>
        <w:pStyle w:val="Heading1"/>
        <w:pageBreakBefore w:val="0"/>
      </w:pPr>
      <w:bookmarkStart w:id="25" w:name="_Toc207013316"/>
      <w:r>
        <w:t>Data availability</w:t>
      </w:r>
      <w:bookmarkEnd w:id="25"/>
    </w:p>
    <w:p w14:paraId="0194001B" w14:textId="7EC08A46" w:rsidR="00813DAA" w:rsidRPr="00813DAA" w:rsidRDefault="00813DAA" w:rsidP="00813DAA">
      <w:r w:rsidRPr="00813DAA">
        <w:rPr>
          <w:lang w:val="en-GB"/>
        </w:rPr>
        <w:t xml:space="preserve">All data are owned by the Communicable Disease Control Branch at SA Health. All requests for data need to be approved by the data custodian. </w:t>
      </w:r>
    </w:p>
    <w:p w14:paraId="09F89A87" w14:textId="77777777" w:rsidR="008A0736" w:rsidRDefault="008A0736" w:rsidP="008A0736">
      <w:pPr>
        <w:pStyle w:val="Heading1"/>
      </w:pPr>
      <w:bookmarkStart w:id="26" w:name="_Toc207013317"/>
      <w:r>
        <w:lastRenderedPageBreak/>
        <w:t>Author details</w:t>
      </w:r>
      <w:bookmarkEnd w:id="24"/>
      <w:bookmarkEnd w:id="26"/>
    </w:p>
    <w:p w14:paraId="2C39A463" w14:textId="77777777" w:rsidR="00813DAA" w:rsidRPr="00813DAA" w:rsidRDefault="00813DAA" w:rsidP="00813DAA">
      <w:pPr>
        <w:rPr>
          <w:lang w:val="en-GB"/>
        </w:rPr>
      </w:pPr>
      <w:r w:rsidRPr="00813DAA">
        <w:rPr>
          <w:lang w:val="en-GB"/>
        </w:rPr>
        <w:t xml:space="preserve">Jana </w:t>
      </w:r>
      <w:proofErr w:type="spellStart"/>
      <w:r w:rsidRPr="00813DAA">
        <w:rPr>
          <w:lang w:val="en-GB"/>
        </w:rPr>
        <w:t>Sisnowski</w:t>
      </w:r>
      <w:proofErr w:type="spellEnd"/>
      <w:r w:rsidRPr="00813DAA">
        <w:rPr>
          <w:lang w:val="en-GB"/>
        </w:rPr>
        <w:t>, PhD,</w:t>
      </w:r>
      <w:r w:rsidRPr="00813DAA">
        <w:rPr>
          <w:vertAlign w:val="superscript"/>
          <w:lang w:val="en-GB"/>
        </w:rPr>
        <w:t>1</w:t>
      </w:r>
    </w:p>
    <w:p w14:paraId="3A642DDA" w14:textId="77777777" w:rsidR="00813DAA" w:rsidRPr="00813DAA" w:rsidRDefault="00813DAA" w:rsidP="00813DAA">
      <w:pPr>
        <w:rPr>
          <w:lang w:val="en-GB"/>
        </w:rPr>
      </w:pPr>
      <w:r w:rsidRPr="00813DAA">
        <w:rPr>
          <w:lang w:val="en-GB"/>
        </w:rPr>
        <w:t>Trisha J Rogers, PhD,</w:t>
      </w:r>
      <w:r w:rsidRPr="00813DAA">
        <w:rPr>
          <w:vertAlign w:val="superscript"/>
          <w:lang w:val="en-GB"/>
        </w:rPr>
        <w:t>1</w:t>
      </w:r>
    </w:p>
    <w:p w14:paraId="303FCD67" w14:textId="77777777" w:rsidR="00813DAA" w:rsidRPr="00813DAA" w:rsidRDefault="00813DAA" w:rsidP="00813DAA">
      <w:pPr>
        <w:rPr>
          <w:lang w:val="en-GB"/>
        </w:rPr>
      </w:pPr>
      <w:r w:rsidRPr="00813DAA">
        <w:rPr>
          <w:lang w:val="en-GB"/>
        </w:rPr>
        <w:t>Ms Jaime Pearson,</w:t>
      </w:r>
      <w:r w:rsidRPr="00813DAA">
        <w:rPr>
          <w:vertAlign w:val="superscript"/>
          <w:lang w:val="en-GB"/>
        </w:rPr>
        <w:t>1</w:t>
      </w:r>
    </w:p>
    <w:p w14:paraId="1AB7ADA8" w14:textId="77777777" w:rsidR="00813DAA" w:rsidRPr="00813DAA" w:rsidRDefault="00813DAA" w:rsidP="00813DAA">
      <w:pPr>
        <w:rPr>
          <w:lang w:val="en-GB"/>
        </w:rPr>
      </w:pPr>
      <w:r w:rsidRPr="00813DAA">
        <w:rPr>
          <w:lang w:val="en-GB"/>
        </w:rPr>
        <w:t>Ms Sarah N Del Fante,</w:t>
      </w:r>
      <w:r w:rsidRPr="00813DAA">
        <w:rPr>
          <w:vertAlign w:val="superscript"/>
          <w:lang w:val="en-GB"/>
        </w:rPr>
        <w:t>1</w:t>
      </w:r>
    </w:p>
    <w:p w14:paraId="138DB337" w14:textId="77777777" w:rsidR="00813DAA" w:rsidRPr="00813DAA" w:rsidRDefault="00813DAA" w:rsidP="00813DAA">
      <w:pPr>
        <w:rPr>
          <w:lang w:val="en-GB"/>
        </w:rPr>
      </w:pPr>
      <w:r w:rsidRPr="00813DAA">
        <w:rPr>
          <w:lang w:val="en-GB"/>
        </w:rPr>
        <w:t>Mr Jamie Hermanson,</w:t>
      </w:r>
      <w:r w:rsidRPr="00813DAA">
        <w:rPr>
          <w:vertAlign w:val="superscript"/>
          <w:lang w:val="en-GB"/>
        </w:rPr>
        <w:t>2</w:t>
      </w:r>
    </w:p>
    <w:p w14:paraId="3E210CC3" w14:textId="77777777" w:rsidR="00813DAA" w:rsidRPr="00813DAA" w:rsidRDefault="00813DAA" w:rsidP="00813DAA">
      <w:pPr>
        <w:rPr>
          <w:lang w:val="en-GB"/>
        </w:rPr>
      </w:pPr>
      <w:r w:rsidRPr="00813DAA">
        <w:rPr>
          <w:lang w:val="en-GB"/>
        </w:rPr>
        <w:t>Mr Tom Rees,</w:t>
      </w:r>
      <w:r w:rsidRPr="00813DAA">
        <w:rPr>
          <w:vertAlign w:val="superscript"/>
          <w:lang w:val="en-GB"/>
        </w:rPr>
        <w:t>1</w:t>
      </w:r>
    </w:p>
    <w:p w14:paraId="14F36F22" w14:textId="77777777" w:rsidR="00813DAA" w:rsidRPr="00813DAA" w:rsidRDefault="00813DAA" w:rsidP="00813DAA">
      <w:pPr>
        <w:rPr>
          <w:lang w:val="en-GB"/>
        </w:rPr>
      </w:pPr>
      <w:r w:rsidRPr="00813DAA">
        <w:rPr>
          <w:lang w:val="en-GB"/>
        </w:rPr>
        <w:t>Dr Charlotte Bell</w:t>
      </w:r>
      <w:r w:rsidRPr="00813DAA">
        <w:rPr>
          <w:vertAlign w:val="superscript"/>
          <w:lang w:val="en-GB"/>
        </w:rPr>
        <w:t>1,2,3</w:t>
      </w:r>
    </w:p>
    <w:p w14:paraId="59FB1A1B" w14:textId="77777777" w:rsidR="00813DAA" w:rsidRPr="00813DAA" w:rsidRDefault="00813DAA" w:rsidP="00813DAA">
      <w:pPr>
        <w:pStyle w:val="CDINumberedList1L1"/>
        <w:rPr>
          <w:lang w:val="en-GB"/>
        </w:rPr>
      </w:pPr>
      <w:r w:rsidRPr="00813DAA">
        <w:rPr>
          <w:lang w:val="en-GB"/>
        </w:rPr>
        <w:t>Communicable Disease Control Branch, SA Health, Adelaide, South Australia, Australia</w:t>
      </w:r>
    </w:p>
    <w:p w14:paraId="112564D7" w14:textId="77777777" w:rsidR="00813DAA" w:rsidRPr="00813DAA" w:rsidRDefault="00813DAA" w:rsidP="00813DAA">
      <w:pPr>
        <w:pStyle w:val="CDINumberedList1L1"/>
        <w:rPr>
          <w:lang w:val="en-GB"/>
        </w:rPr>
      </w:pPr>
      <w:r w:rsidRPr="00813DAA">
        <w:rPr>
          <w:lang w:val="en-GB"/>
        </w:rPr>
        <w:t>Adelaide Sexual Health Centre, Central Adelaide Local Health Network, Adelaide, South Australia, Australia</w:t>
      </w:r>
    </w:p>
    <w:p w14:paraId="629A3637" w14:textId="77777777" w:rsidR="00813DAA" w:rsidRPr="00813DAA" w:rsidRDefault="00813DAA" w:rsidP="00813DAA">
      <w:pPr>
        <w:pStyle w:val="CDINumberedList1L1"/>
        <w:rPr>
          <w:lang w:val="en-GB"/>
        </w:rPr>
      </w:pPr>
      <w:r w:rsidRPr="00813DAA">
        <w:rPr>
          <w:lang w:val="en-GB"/>
        </w:rPr>
        <w:t>Royal Adelaide Hospital, Central Adelaide Local Health Network, Adelaide, South Australia, Australia</w:t>
      </w:r>
    </w:p>
    <w:p w14:paraId="1D4E1FFE" w14:textId="77777777" w:rsidR="00423436" w:rsidRDefault="00423436" w:rsidP="00423436">
      <w:pPr>
        <w:pStyle w:val="CDICorrespondingauthor"/>
      </w:pPr>
      <w:r>
        <w:t>Corresponding author</w:t>
      </w:r>
    </w:p>
    <w:p w14:paraId="284B2D61" w14:textId="77777777" w:rsidR="00813DAA" w:rsidRPr="00813DAA" w:rsidRDefault="00813DAA" w:rsidP="00813DAA">
      <w:pPr>
        <w:rPr>
          <w:lang w:val="en-GB"/>
        </w:rPr>
      </w:pPr>
      <w:r w:rsidRPr="00813DAA">
        <w:rPr>
          <w:lang w:val="en-GB"/>
        </w:rPr>
        <w:t>Dr Trisha J Rogers</w:t>
      </w:r>
    </w:p>
    <w:p w14:paraId="6718A42C" w14:textId="77777777" w:rsidR="00813DAA" w:rsidRPr="00813DAA" w:rsidRDefault="00813DAA" w:rsidP="00813DAA">
      <w:pPr>
        <w:rPr>
          <w:lang w:val="en-GB"/>
        </w:rPr>
      </w:pPr>
      <w:r w:rsidRPr="00813DAA">
        <w:rPr>
          <w:lang w:val="en-GB"/>
        </w:rPr>
        <w:t xml:space="preserve">Communicable Disease Control Branch, 11 Hindmarsh Square, Adelaide SA 5000 </w:t>
      </w:r>
    </w:p>
    <w:p w14:paraId="375F2631" w14:textId="77777777" w:rsidR="00813DAA" w:rsidRPr="00813DAA" w:rsidRDefault="00813DAA" w:rsidP="00813DAA">
      <w:pPr>
        <w:rPr>
          <w:lang w:val="en-GB"/>
        </w:rPr>
      </w:pPr>
      <w:r w:rsidRPr="00813DAA">
        <w:rPr>
          <w:lang w:val="en-GB"/>
        </w:rPr>
        <w:t>Postal address: GPO Box 9848, Adelaide SA 5001</w:t>
      </w:r>
    </w:p>
    <w:p w14:paraId="58490974" w14:textId="77777777" w:rsidR="00813DAA" w:rsidRPr="00813DAA" w:rsidRDefault="00813DAA" w:rsidP="00813DAA">
      <w:pPr>
        <w:rPr>
          <w:lang w:val="en-GB"/>
        </w:rPr>
      </w:pPr>
      <w:r w:rsidRPr="00813DAA">
        <w:rPr>
          <w:lang w:val="en-GB"/>
        </w:rPr>
        <w:t>Phone: 1300 232 272</w:t>
      </w:r>
    </w:p>
    <w:p w14:paraId="592E064C" w14:textId="1D6144CF" w:rsidR="008A0736" w:rsidRDefault="00813DAA" w:rsidP="00423436">
      <w:r w:rsidRPr="00813DAA">
        <w:rPr>
          <w:lang w:val="en-GB"/>
        </w:rPr>
        <w:t xml:space="preserve">E-mail: </w:t>
      </w:r>
      <w:hyperlink r:id="rId24" w:history="1">
        <w:r w:rsidRPr="00813DAA">
          <w:rPr>
            <w:rStyle w:val="Hyperlink"/>
            <w:lang w:val="en-GB"/>
          </w:rPr>
          <w:t>trisha.rogers@sa.gov.au</w:t>
        </w:r>
      </w:hyperlink>
      <w:r>
        <w:rPr>
          <w:lang w:val="en-GB"/>
        </w:rPr>
        <w:t xml:space="preserve"> </w:t>
      </w:r>
    </w:p>
    <w:p w14:paraId="55B48632" w14:textId="77777777" w:rsidR="008A0736" w:rsidRDefault="008A0736" w:rsidP="00122ADA">
      <w:pPr>
        <w:pStyle w:val="Heading1"/>
      </w:pPr>
      <w:bookmarkStart w:id="27" w:name="_Toc195530511"/>
      <w:bookmarkStart w:id="28" w:name="_Toc207013318"/>
      <w:r>
        <w:lastRenderedPageBreak/>
        <w:t>References</w:t>
      </w:r>
      <w:bookmarkEnd w:id="27"/>
      <w:bookmarkEnd w:id="28"/>
    </w:p>
    <w:p w14:paraId="6F948032" w14:textId="0BE20EF8" w:rsidR="00813DAA" w:rsidRDefault="00813DAA" w:rsidP="00813DAA">
      <w:pPr>
        <w:pStyle w:val="CDINumberedList1L1"/>
        <w:numPr>
          <w:ilvl w:val="0"/>
          <w:numId w:val="10"/>
        </w:numPr>
      </w:pPr>
      <w:r>
        <w:t xml:space="preserve">Australian Government Department of Health and Aged Care. National Notifiable Disease Surveillance System: National Communicable Disease Surveillance Dashboard. [Website.] Canberra: Australian Government Department of Health and Aged Care; 2024. [Accessed on 15 May 2024.] Available from: </w:t>
      </w:r>
      <w:hyperlink r:id="rId25" w:history="1">
        <w:r w:rsidRPr="00027529">
          <w:rPr>
            <w:rStyle w:val="Hyperlink"/>
          </w:rPr>
          <w:t>https://nindss.health.gov.au/pbi-dashboard/</w:t>
        </w:r>
      </w:hyperlink>
      <w:r>
        <w:t xml:space="preserve">. </w:t>
      </w:r>
    </w:p>
    <w:p w14:paraId="2F070410" w14:textId="07B86A82" w:rsidR="00813DAA" w:rsidRDefault="00813DAA" w:rsidP="00813DAA">
      <w:pPr>
        <w:pStyle w:val="CDINumberedList1L1"/>
      </w:pPr>
      <w:r>
        <w:t xml:space="preserve">Ong JJ, Bourne C, Dean JA, Ryder N, Cornelisse VJ, Murray S et al. Australian sexually transmitted infection (STI) management guidelines for use in primary care, 2022 update. </w:t>
      </w:r>
      <w:r w:rsidRPr="00265C99">
        <w:rPr>
          <w:i/>
          <w:iCs/>
        </w:rPr>
        <w:t>Sex Health</w:t>
      </w:r>
      <w:r>
        <w:t xml:space="preserve">. 2023;20(1):1–8. doi: </w:t>
      </w:r>
      <w:hyperlink r:id="rId26" w:history="1">
        <w:r w:rsidRPr="00027529">
          <w:rPr>
            <w:rStyle w:val="Hyperlink"/>
          </w:rPr>
          <w:t>https://doi.org/10.1071/SH22134</w:t>
        </w:r>
      </w:hyperlink>
      <w:r>
        <w:t>.</w:t>
      </w:r>
    </w:p>
    <w:p w14:paraId="3B33A411" w14:textId="5112C2CD" w:rsidR="00813DAA" w:rsidRDefault="00813DAA" w:rsidP="00813DAA">
      <w:pPr>
        <w:pStyle w:val="CDINumberedList1L1"/>
      </w:pPr>
      <w:r>
        <w:t xml:space="preserve">King J, McManus H, Kwon JA, Gray R, McGregor S. </w:t>
      </w:r>
      <w:r w:rsidRPr="00265C99">
        <w:rPr>
          <w:i/>
          <w:iCs/>
        </w:rPr>
        <w:t>HIV, viral hepatitis and sexually transmissible infections in Australia: Annual surveillance report 2024</w:t>
      </w:r>
      <w:r>
        <w:t xml:space="preserve">. Sydney: The Kirby Institute, University of New South Wales; 2024. [Accessed on 8 March 2025.] Available from: </w:t>
      </w:r>
      <w:hyperlink r:id="rId27" w:history="1">
        <w:r w:rsidRPr="00027529">
          <w:rPr>
            <w:rStyle w:val="Hyperlink"/>
          </w:rPr>
          <w:t>https://www.kirby.unsw.edu.au/research/reports/asr2024</w:t>
        </w:r>
      </w:hyperlink>
      <w:r>
        <w:t>.</w:t>
      </w:r>
    </w:p>
    <w:p w14:paraId="4729FA3D" w14:textId="5D1DEB4F" w:rsidR="00813DAA" w:rsidRDefault="00813DAA" w:rsidP="00813DAA">
      <w:pPr>
        <w:pStyle w:val="CDINumberedList1L1"/>
      </w:pPr>
      <w:r>
        <w:t xml:space="preserve">Government of South Australia Department of Health (SA Health). </w:t>
      </w:r>
      <w:r w:rsidRPr="00265C99">
        <w:rPr>
          <w:i/>
          <w:iCs/>
        </w:rPr>
        <w:t>Congenital syphilis case review. A report on outcomes with recommendations for prevention and management of future cases</w:t>
      </w:r>
      <w:r>
        <w:t xml:space="preserve">. Adelaide: SA Health; May 2021. [Accessed on 15 May 2024.] Available from: </w:t>
      </w:r>
      <w:hyperlink r:id="rId28" w:history="1">
        <w:r w:rsidRPr="00027529">
          <w:rPr>
            <w:rStyle w:val="Hyperlink"/>
          </w:rPr>
          <w:t>https://www.sahealth.sa.gov.au/wps/wcm/connect/public+content/sa+health+internet/resources/congenital+syphilis+case+review+report</w:t>
        </w:r>
      </w:hyperlink>
      <w:r>
        <w:t xml:space="preserve">. </w:t>
      </w:r>
    </w:p>
    <w:p w14:paraId="3071DCBD" w14:textId="4B908561" w:rsidR="00813DAA" w:rsidRDefault="00813DAA" w:rsidP="00813DAA">
      <w:pPr>
        <w:pStyle w:val="CDINumberedList1L1"/>
      </w:pPr>
      <w:r>
        <w:t xml:space="preserve">Maxwell S, </w:t>
      </w:r>
      <w:proofErr w:type="spellStart"/>
      <w:r>
        <w:t>Shahmanesh</w:t>
      </w:r>
      <w:proofErr w:type="spellEnd"/>
      <w:r>
        <w:t xml:space="preserve"> M, </w:t>
      </w:r>
      <w:proofErr w:type="spellStart"/>
      <w:r>
        <w:t>Gafos</w:t>
      </w:r>
      <w:proofErr w:type="spellEnd"/>
      <w:r>
        <w:t xml:space="preserve"> M. </w:t>
      </w:r>
      <w:proofErr w:type="spellStart"/>
      <w:r>
        <w:t>Chemsex</w:t>
      </w:r>
      <w:proofErr w:type="spellEnd"/>
      <w:r>
        <w:t xml:space="preserve"> behaviours among men who have sex with men: a systematic review of the literature. </w:t>
      </w:r>
      <w:r w:rsidRPr="00265C99">
        <w:rPr>
          <w:i/>
          <w:iCs/>
        </w:rPr>
        <w:t>Int J Drug Policy</w:t>
      </w:r>
      <w:r>
        <w:t xml:space="preserve">. </w:t>
      </w:r>
      <w:proofErr w:type="gramStart"/>
      <w:r>
        <w:t>2019;63:74</w:t>
      </w:r>
      <w:proofErr w:type="gramEnd"/>
      <w:r>
        <w:t>–89. doi:</w:t>
      </w:r>
      <w:r w:rsidR="00265C99">
        <w:t> </w:t>
      </w:r>
      <w:hyperlink r:id="rId29" w:history="1">
        <w:r w:rsidRPr="00027529">
          <w:rPr>
            <w:rStyle w:val="Hyperlink"/>
          </w:rPr>
          <w:t>https://doi.org/10.1016/j.drugpo.2018.11.014</w:t>
        </w:r>
      </w:hyperlink>
      <w:r>
        <w:t xml:space="preserve">. </w:t>
      </w:r>
    </w:p>
    <w:p w14:paraId="1B2E0BB0" w14:textId="21E5A6C0" w:rsidR="00813DAA" w:rsidRPr="00265C99" w:rsidRDefault="00813DAA" w:rsidP="00265C99">
      <w:pPr>
        <w:pStyle w:val="CDINumberedList1L1"/>
      </w:pPr>
      <w:r w:rsidRPr="00265C99">
        <w:t xml:space="preserve">Fairley TA, Hadler JL, Gunn RA. The syphilis epidemic in Connecticut: relationship to drug use and prostitution. </w:t>
      </w:r>
      <w:r w:rsidRPr="00265C99">
        <w:rPr>
          <w:i/>
          <w:iCs/>
        </w:rPr>
        <w:t>Sex Transm Dis</w:t>
      </w:r>
      <w:r w:rsidRPr="00265C99">
        <w:t xml:space="preserve">. 1990;17(4):163–8. doi: </w:t>
      </w:r>
      <w:hyperlink r:id="rId30" w:history="1">
        <w:r w:rsidRPr="00265C99">
          <w:rPr>
            <w:rStyle w:val="Hyperlink"/>
          </w:rPr>
          <w:t>https://doi.org/10.1097/00007435-199010000-0000</w:t>
        </w:r>
        <w:r w:rsidRPr="00265C99">
          <w:t>3</w:t>
        </w:r>
      </w:hyperlink>
      <w:r w:rsidRPr="00265C99">
        <w:t>.</w:t>
      </w:r>
    </w:p>
    <w:p w14:paraId="50832E49" w14:textId="34A36944" w:rsidR="00813DAA" w:rsidRDefault="00813DAA" w:rsidP="00813DAA">
      <w:pPr>
        <w:pStyle w:val="CDINumberedList1L1"/>
      </w:pPr>
      <w:r>
        <w:t xml:space="preserve">Rolfs RT, Goldberg M, Sharrar RG. Risk factors for syphilis: cocaine </w:t>
      </w:r>
      <w:proofErr w:type="gramStart"/>
      <w:r>
        <w:t>use</w:t>
      </w:r>
      <w:proofErr w:type="gramEnd"/>
      <w:r>
        <w:t xml:space="preserve"> and prostitution. </w:t>
      </w:r>
      <w:r w:rsidRPr="00265C99">
        <w:rPr>
          <w:i/>
          <w:iCs/>
        </w:rPr>
        <w:t>Am J Public Health</w:t>
      </w:r>
      <w:r>
        <w:t xml:space="preserve">. 1990;80(7):853–7. doi: </w:t>
      </w:r>
      <w:hyperlink r:id="rId31" w:history="1">
        <w:r w:rsidRPr="00027529">
          <w:rPr>
            <w:rStyle w:val="Hyperlink"/>
          </w:rPr>
          <w:t>https://doi.org/10.2105/ajph.80.7.853</w:t>
        </w:r>
      </w:hyperlink>
      <w:r>
        <w:t>.</w:t>
      </w:r>
    </w:p>
    <w:p w14:paraId="53938E12" w14:textId="3EA21A37" w:rsidR="00813DAA" w:rsidRDefault="00813DAA" w:rsidP="00813DAA">
      <w:pPr>
        <w:pStyle w:val="CDINumberedList1L1"/>
      </w:pPr>
      <w:proofErr w:type="spellStart"/>
      <w:r>
        <w:t>Balshem</w:t>
      </w:r>
      <w:proofErr w:type="spellEnd"/>
      <w:r>
        <w:t xml:space="preserve"> M, Oxman G, van Rooyen D, Girod K. Syphilis, sex and crack cocaine: images of risk and morality. </w:t>
      </w:r>
      <w:r w:rsidRPr="00265C99">
        <w:rPr>
          <w:i/>
          <w:iCs/>
        </w:rPr>
        <w:t>Soc Sci Med</w:t>
      </w:r>
      <w:r>
        <w:t xml:space="preserve">. 1992;35(2):147–60. doi: </w:t>
      </w:r>
      <w:hyperlink r:id="rId32" w:history="1">
        <w:r w:rsidR="00265C99" w:rsidRPr="00027529">
          <w:rPr>
            <w:rStyle w:val="Hyperlink"/>
          </w:rPr>
          <w:t>https://doi.org/10.1016/0277-9536(92)90162-j</w:t>
        </w:r>
      </w:hyperlink>
      <w:r>
        <w:t>.</w:t>
      </w:r>
    </w:p>
    <w:p w14:paraId="5EBE236D" w14:textId="3C49F687" w:rsidR="00813DAA" w:rsidRDefault="00813DAA" w:rsidP="00813DAA">
      <w:pPr>
        <w:pStyle w:val="CDINumberedList1L1"/>
      </w:pPr>
      <w:r>
        <w:t xml:space="preserve">Kidd SE, Grey JA, Torrone EA, Weinstock HS. Increased methamphetamine, injection drug, and heroin use among women and heterosexual men with primary and secondary syphilis — United States, 2013–2017. </w:t>
      </w:r>
      <w:r w:rsidRPr="00265C99">
        <w:rPr>
          <w:i/>
          <w:iCs/>
        </w:rPr>
        <w:t xml:space="preserve">MMWR </w:t>
      </w:r>
      <w:proofErr w:type="spellStart"/>
      <w:r w:rsidRPr="00265C99">
        <w:rPr>
          <w:i/>
          <w:iCs/>
        </w:rPr>
        <w:t>Morb</w:t>
      </w:r>
      <w:proofErr w:type="spellEnd"/>
      <w:r w:rsidRPr="00265C99">
        <w:rPr>
          <w:i/>
          <w:iCs/>
        </w:rPr>
        <w:t xml:space="preserve"> Mortal </w:t>
      </w:r>
      <w:proofErr w:type="spellStart"/>
      <w:r w:rsidRPr="00265C99">
        <w:rPr>
          <w:i/>
          <w:iCs/>
        </w:rPr>
        <w:t>Wkly</w:t>
      </w:r>
      <w:proofErr w:type="spellEnd"/>
      <w:r w:rsidRPr="00265C99">
        <w:rPr>
          <w:i/>
          <w:iCs/>
        </w:rPr>
        <w:t xml:space="preserve"> Rep</w:t>
      </w:r>
      <w:r>
        <w:t xml:space="preserve">. 2019;68(6):144–148. doi: </w:t>
      </w:r>
      <w:hyperlink r:id="rId33" w:history="1">
        <w:r w:rsidR="00265C99" w:rsidRPr="00027529">
          <w:rPr>
            <w:rStyle w:val="Hyperlink"/>
          </w:rPr>
          <w:t>https://doi.org/10.15585/mmwr.mm6806a4</w:t>
        </w:r>
      </w:hyperlink>
      <w:r>
        <w:t xml:space="preserve">. </w:t>
      </w:r>
    </w:p>
    <w:p w14:paraId="3F61F31A" w14:textId="32257813" w:rsidR="00813DAA" w:rsidRDefault="00813DAA" w:rsidP="00813DAA">
      <w:pPr>
        <w:pStyle w:val="CDINumberedList1L1"/>
      </w:pPr>
      <w:r>
        <w:t xml:space="preserve">Reno H, Fox B, Highfill C, McKee A, </w:t>
      </w:r>
      <w:proofErr w:type="spellStart"/>
      <w:r>
        <w:t>Trolard</w:t>
      </w:r>
      <w:proofErr w:type="spellEnd"/>
      <w:r>
        <w:t xml:space="preserve"> A, Liang SY et al. The emerging intersection between injection drug use and early syphilis in nonurban areas of Missouri, 2012–2018. </w:t>
      </w:r>
      <w:r w:rsidRPr="00265C99">
        <w:rPr>
          <w:i/>
          <w:iCs/>
        </w:rPr>
        <w:t>J</w:t>
      </w:r>
      <w:r w:rsidR="00265C99">
        <w:rPr>
          <w:i/>
          <w:iCs/>
        </w:rPr>
        <w:t> </w:t>
      </w:r>
      <w:r w:rsidRPr="00265C99">
        <w:rPr>
          <w:i/>
          <w:iCs/>
        </w:rPr>
        <w:t>Infect Dis</w:t>
      </w:r>
      <w:r>
        <w:t>. 2020;222(Suppl 5</w:t>
      </w:r>
      <w:proofErr w:type="gramStart"/>
      <w:r>
        <w:t>):S</w:t>
      </w:r>
      <w:proofErr w:type="gramEnd"/>
      <w:r>
        <w:t xml:space="preserve">465–70. doi: </w:t>
      </w:r>
      <w:hyperlink r:id="rId34" w:history="1">
        <w:r w:rsidR="00265C99" w:rsidRPr="00027529">
          <w:rPr>
            <w:rStyle w:val="Hyperlink"/>
          </w:rPr>
          <w:t>https://doi.org/10.1093/infdis/jiaa056</w:t>
        </w:r>
      </w:hyperlink>
      <w:r>
        <w:t xml:space="preserve">. </w:t>
      </w:r>
    </w:p>
    <w:p w14:paraId="2BB7F281" w14:textId="52AB8AF5" w:rsidR="00813DAA" w:rsidRDefault="00813DAA" w:rsidP="00265C99">
      <w:pPr>
        <w:pStyle w:val="CDINumberedList1L1"/>
      </w:pPr>
      <w:r>
        <w:t xml:space="preserve">Smith AM, Ferris JA, Simpson JM, Shelley J, Pitts MK, Richters J. Cannabis use and sexual health. </w:t>
      </w:r>
      <w:r w:rsidRPr="00265C99">
        <w:rPr>
          <w:i/>
          <w:iCs/>
        </w:rPr>
        <w:t>J Sex Med</w:t>
      </w:r>
      <w:r>
        <w:t>. 2010;7(2 Pt 1):787–93. doi:</w:t>
      </w:r>
      <w:r w:rsidR="00265C99">
        <w:t> </w:t>
      </w:r>
      <w:hyperlink r:id="rId35" w:history="1">
        <w:r w:rsidR="00265C99" w:rsidRPr="00027529">
          <w:rPr>
            <w:rStyle w:val="Hyperlink"/>
          </w:rPr>
          <w:t>https://doi.org/10.1111/j.1743-6109.2009.01453.x</w:t>
        </w:r>
      </w:hyperlink>
      <w:r>
        <w:t xml:space="preserve">. </w:t>
      </w:r>
    </w:p>
    <w:p w14:paraId="4ADF1255" w14:textId="5D44A9F1" w:rsidR="00813DAA" w:rsidRDefault="00813DAA" w:rsidP="00813DAA">
      <w:pPr>
        <w:pStyle w:val="CDINumberedList1L1"/>
      </w:pPr>
      <w:r>
        <w:lastRenderedPageBreak/>
        <w:t xml:space="preserve">Aung ET, Fairley CK, Ong JJ, Chen MY, Phillips TR, Tran J et al. Incidence and risk factors for early syphilis among men who have sex with men in Australia, 2013–2019: a retrospective cohort study. </w:t>
      </w:r>
      <w:r w:rsidRPr="00265C99">
        <w:rPr>
          <w:i/>
          <w:iCs/>
        </w:rPr>
        <w:t>Open Forum Infect Dis</w:t>
      </w:r>
      <w:r>
        <w:t>. 2023;10(2</w:t>
      </w:r>
      <w:proofErr w:type="gramStart"/>
      <w:r>
        <w:t>):ofad</w:t>
      </w:r>
      <w:proofErr w:type="gramEnd"/>
      <w:r>
        <w:t>017. doi:</w:t>
      </w:r>
      <w:r w:rsidR="00265C99">
        <w:t> </w:t>
      </w:r>
      <w:hyperlink r:id="rId36" w:history="1">
        <w:r w:rsidR="00265C99" w:rsidRPr="00027529">
          <w:rPr>
            <w:rStyle w:val="Hyperlink"/>
          </w:rPr>
          <w:t>https://doi.org/10.1093/ofid/ofad017</w:t>
        </w:r>
      </w:hyperlink>
      <w:r>
        <w:t>.</w:t>
      </w:r>
    </w:p>
    <w:p w14:paraId="6ACF2E0E" w14:textId="437E5FD9" w:rsidR="00813DAA" w:rsidRDefault="00813DAA" w:rsidP="00813DAA">
      <w:pPr>
        <w:pStyle w:val="CDINumberedList1L1"/>
      </w:pPr>
      <w:r>
        <w:t xml:space="preserve">Carter A, McManus H, Ward JS, Vickers T, Asselin J, Baillie G et al. Infectious syphilis in women and heterosexual men in major Australian cities: sentinel surveillance data, 2011–2019. </w:t>
      </w:r>
      <w:r w:rsidRPr="00265C99">
        <w:rPr>
          <w:i/>
          <w:iCs/>
        </w:rPr>
        <w:t>Med J Aust</w:t>
      </w:r>
      <w:r>
        <w:t xml:space="preserve">. 2023;218(5):223–8. doi: </w:t>
      </w:r>
      <w:hyperlink r:id="rId37" w:history="1">
        <w:r w:rsidR="00265C99" w:rsidRPr="00027529">
          <w:rPr>
            <w:rStyle w:val="Hyperlink"/>
          </w:rPr>
          <w:t>https://doi.org/10.5694/mja2.51864</w:t>
        </w:r>
      </w:hyperlink>
      <w:r>
        <w:t>.</w:t>
      </w:r>
    </w:p>
    <w:p w14:paraId="2926AD7F" w14:textId="46735503" w:rsidR="00813DAA" w:rsidRDefault="00813DAA" w:rsidP="00813DAA">
      <w:pPr>
        <w:pStyle w:val="CDINumberedList1L1"/>
      </w:pPr>
      <w:r>
        <w:t xml:space="preserve">Government of South Australia Register of Legislation. South Australian </w:t>
      </w:r>
      <w:r w:rsidRPr="00265C99">
        <w:rPr>
          <w:i/>
          <w:iCs/>
        </w:rPr>
        <w:t>Public Health Act 2011</w:t>
      </w:r>
      <w:r>
        <w:t>. [Legislation.] Adelaide: Government of South Australia; 24 May 2022. [Accessed on 8</w:t>
      </w:r>
      <w:r w:rsidR="00265C99">
        <w:t> </w:t>
      </w:r>
      <w:r>
        <w:t xml:space="preserve">March 2025.] Available from: </w:t>
      </w:r>
      <w:hyperlink r:id="rId38" w:history="1">
        <w:r w:rsidR="00265C99" w:rsidRPr="00027529">
          <w:rPr>
            <w:rStyle w:val="Hyperlink"/>
          </w:rPr>
          <w:t>https://www.legislation.sa.gov.au/lz?path=%2FC%2FA%2FSOUTH%20AUSTRALIAN%20PUBLIC%20HEALTH%20ACT%202011</w:t>
        </w:r>
      </w:hyperlink>
      <w:r>
        <w:t xml:space="preserve">. </w:t>
      </w:r>
    </w:p>
    <w:p w14:paraId="4BDAB5E1" w14:textId="3D35D28F" w:rsidR="00813DAA" w:rsidRDefault="00813DAA" w:rsidP="00813DAA">
      <w:pPr>
        <w:pStyle w:val="CDINumberedList1L1"/>
      </w:pPr>
      <w:r>
        <w:t xml:space="preserve">SA Health. </w:t>
      </w:r>
      <w:r w:rsidRPr="00265C99">
        <w:rPr>
          <w:i/>
          <w:iCs/>
        </w:rPr>
        <w:t>Report of Notifiable Condition. Syphilis Infection or Related Death</w:t>
      </w:r>
      <w:r>
        <w:t xml:space="preserve">. [Downloadable reporting form.] Adelaide: SA Health; 2024. [Accessed on 8 March 2025.] Available from: </w:t>
      </w:r>
      <w:hyperlink r:id="rId39" w:history="1">
        <w:r w:rsidR="00265C99" w:rsidRPr="00027529">
          <w:rPr>
            <w:rStyle w:val="Hyperlink"/>
          </w:rPr>
          <w:t>https://www.sahealth.sa.gov.au/wps/wcm/connect/08e26045-3c5e-4f29-af49-df2367d11422/RNC_Syphilis+Notification+Form_November2024.pdf</w:t>
        </w:r>
      </w:hyperlink>
      <w:r>
        <w:t xml:space="preserve">. </w:t>
      </w:r>
    </w:p>
    <w:p w14:paraId="2080634A" w14:textId="4B22C38B" w:rsidR="00813DAA" w:rsidRDefault="00813DAA" w:rsidP="00813DAA">
      <w:pPr>
        <w:pStyle w:val="CDINumberedList1L1"/>
      </w:pPr>
      <w:r>
        <w:t>Government of Western Australia Department of Health (WA Health). STI screening recommendations for priority populations. [Webpage.] Perth: WA Health. [Accessed on 8</w:t>
      </w:r>
      <w:r w:rsidR="00265C99">
        <w:t> </w:t>
      </w:r>
      <w:r>
        <w:t xml:space="preserve">March 2025.] Available from: </w:t>
      </w:r>
      <w:hyperlink r:id="rId40" w:history="1">
        <w:r w:rsidR="00265C99" w:rsidRPr="00027529">
          <w:rPr>
            <w:rStyle w:val="Hyperlink"/>
          </w:rPr>
          <w:t>https://www.health.wa.gov.au/Silver-book/STI-screening-recommendations-for-high-risk-populations</w:t>
        </w:r>
      </w:hyperlink>
      <w:r>
        <w:t xml:space="preserve">. </w:t>
      </w:r>
    </w:p>
    <w:p w14:paraId="098D1E49" w14:textId="05FC4D99" w:rsidR="0058264F" w:rsidRPr="001E3ECB" w:rsidRDefault="00813DAA" w:rsidP="00813DAA">
      <w:pPr>
        <w:pStyle w:val="CDINumberedList1L1"/>
      </w:pPr>
      <w:r>
        <w:t xml:space="preserve">Analytics and Research Unit, Drug and Alcohol Services South Australia. </w:t>
      </w:r>
      <w:r w:rsidRPr="00265C99">
        <w:rPr>
          <w:i/>
          <w:iCs/>
        </w:rPr>
        <w:t>Summary of Key Findings from the 2022-23 National Drug Strategy Household Survey</w:t>
      </w:r>
      <w:r>
        <w:t xml:space="preserve">. Adelaide: SA Health, Drug and Alcohol Services South Australia; March 2024. [Accessed on 8 March 2025.] Available from: </w:t>
      </w:r>
      <w:hyperlink r:id="rId41" w:history="1">
        <w:r w:rsidR="00265C99" w:rsidRPr="00027529">
          <w:rPr>
            <w:rStyle w:val="Hyperlink"/>
          </w:rPr>
          <w:t>https://www.sahealth.sa.gov.au/wps/wcm/connect/fcd8c706-b910-419c-b528-36992be993f0/Summary+of+Findings+from+the+2022-23+National+Drug+Strategy+Household+Survey.pdf</w:t>
        </w:r>
      </w:hyperlink>
      <w:r>
        <w:t>.</w:t>
      </w:r>
    </w:p>
    <w:sectPr w:rsidR="0058264F" w:rsidRPr="001E3ECB" w:rsidSect="001E3ECB">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3898D" w14:textId="77777777" w:rsidR="006C5594" w:rsidRDefault="006C5594" w:rsidP="00E54DBA">
      <w:r>
        <w:separator/>
      </w:r>
    </w:p>
    <w:p w14:paraId="3000CD53" w14:textId="77777777" w:rsidR="006C5594" w:rsidRDefault="006C5594"/>
    <w:p w14:paraId="29D1C098" w14:textId="77777777" w:rsidR="006C5594" w:rsidRDefault="006C5594" w:rsidP="008714B0"/>
  </w:endnote>
  <w:endnote w:type="continuationSeparator" w:id="0">
    <w:p w14:paraId="3130EFCE" w14:textId="77777777" w:rsidR="006C5594" w:rsidRDefault="006C5594" w:rsidP="00E54DBA">
      <w:r>
        <w:continuationSeparator/>
      </w:r>
    </w:p>
    <w:p w14:paraId="3D6C7426" w14:textId="77777777" w:rsidR="006C5594" w:rsidRDefault="006C5594"/>
    <w:p w14:paraId="04B0A622" w14:textId="77777777" w:rsidR="006C5594" w:rsidRDefault="006C5594"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Pro-Roman">
    <w:altName w:val="Arial"/>
    <w:panose1 w:val="00000000000000000000"/>
    <w:charset w:val="00"/>
    <w:family w:val="auto"/>
    <w:notTrueType/>
    <w:pitch w:val="default"/>
    <w:sig w:usb0="00000003" w:usb1="00000000" w:usb2="00000000" w:usb3="00000000" w:csb0="00000001" w:csb1="00000000"/>
  </w:font>
  <w:font w:name="HelveticaNeueLTPro-B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EBBE" w14:textId="02DA1D65" w:rsidR="00B87589" w:rsidRDefault="00937EF4">
    <w:r>
      <w:rPr>
        <w:noProof/>
        <w14:ligatures w14:val="none"/>
      </w:rPr>
      <mc:AlternateContent>
        <mc:Choice Requires="wps">
          <w:drawing>
            <wp:anchor distT="0" distB="0" distL="0" distR="0" simplePos="0" relativeHeight="251672576" behindDoc="0" locked="0" layoutInCell="1" allowOverlap="1" wp14:anchorId="04A6623E" wp14:editId="780D49D1">
              <wp:simplePos x="635" y="635"/>
              <wp:positionH relativeFrom="page">
                <wp:align>center</wp:align>
              </wp:positionH>
              <wp:positionV relativeFrom="page">
                <wp:align>bottom</wp:align>
              </wp:positionV>
              <wp:extent cx="551815" cy="518795"/>
              <wp:effectExtent l="0" t="0" r="635" b="0"/>
              <wp:wrapNone/>
              <wp:docPr id="157484579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2141125" w14:textId="66E2A41C" w:rsidR="00937EF4" w:rsidRPr="00937EF4" w:rsidRDefault="00937EF4" w:rsidP="00937EF4">
                          <w:pPr>
                            <w:rPr>
                              <w:rFonts w:ascii="Calibri" w:eastAsia="Calibri" w:hAnsi="Calibri" w:cs="Calibri"/>
                              <w:noProof/>
                              <w:color w:val="FF0000"/>
                              <w:sz w:val="24"/>
                              <w:szCs w:val="24"/>
                            </w:rPr>
                          </w:pPr>
                          <w:r w:rsidRPr="00937EF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A6623E" id="_x0000_t202" coordsize="21600,21600" o:spt="202" path="m,l,21600r21600,l21600,xe">
              <v:stroke joinstyle="miter"/>
              <v:path gradientshapeok="t" o:connecttype="rect"/>
            </v:shapetype>
            <v:shape id="Text Box 11" o:spid="_x0000_s1027" type="#_x0000_t202" alt="OFFICIAL" style="position:absolute;margin-left:0;margin-top:0;width:43.45pt;height:40.8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fill o:detectmouseclick="t"/>
              <v:textbox style="mso-fit-shape-to-text:t" inset="0,0,0,15pt">
                <w:txbxContent>
                  <w:p w14:paraId="52141125" w14:textId="66E2A41C" w:rsidR="00937EF4" w:rsidRPr="00937EF4" w:rsidRDefault="00937EF4" w:rsidP="00937EF4">
                    <w:pPr>
                      <w:rPr>
                        <w:rFonts w:ascii="Calibri" w:eastAsia="Calibri" w:hAnsi="Calibri" w:cs="Calibri"/>
                        <w:noProof/>
                        <w:color w:val="FF0000"/>
                        <w:sz w:val="24"/>
                        <w:szCs w:val="24"/>
                      </w:rPr>
                    </w:pPr>
                    <w:r w:rsidRPr="00937EF4">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B3F15" w14:textId="252B0EFD"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6C5594">
        <w:t>2025</w:t>
      </w:r>
    </w:fldSimple>
    <w:r w:rsidR="009B78A9">
      <w:t>;</w:t>
    </w:r>
    <w:fldSimple w:instr=" DOCPROPERTY  Vol  \* MERGEFORMAT ">
      <w:r w:rsidR="006C5594">
        <w:t>49</w:t>
      </w:r>
    </w:fldSimple>
    <w:r w:rsidR="00385655" w:rsidRPr="001D0612">
      <w:t xml:space="preserve"> </w:t>
    </w:r>
    <w:r w:rsidR="00385655" w:rsidRPr="00B85B74">
      <w:t>•</w:t>
    </w:r>
    <w:r w:rsidR="00385655">
      <w:t xml:space="preserve"> </w:t>
    </w:r>
    <w:fldSimple w:instr=" DOCPROPERTY  DOI  \* MERGEFORMAT ">
      <w:r w:rsidR="00744318">
        <w:t>doi.org/10.33321/cdi.2025.49.049</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1A5C03">
        <w:t>10.09.2025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A49FE" w14:textId="57066E43" w:rsidR="00B87589" w:rsidRDefault="00937EF4">
    <w:r>
      <w:rPr>
        <w:noProof/>
        <w14:ligatures w14:val="none"/>
      </w:rPr>
      <mc:AlternateContent>
        <mc:Choice Requires="wps">
          <w:drawing>
            <wp:anchor distT="0" distB="0" distL="0" distR="0" simplePos="0" relativeHeight="251671552" behindDoc="0" locked="0" layoutInCell="1" allowOverlap="1" wp14:anchorId="2CC0E0A0" wp14:editId="5E7B4CEA">
              <wp:simplePos x="635" y="635"/>
              <wp:positionH relativeFrom="page">
                <wp:align>center</wp:align>
              </wp:positionH>
              <wp:positionV relativeFrom="page">
                <wp:align>bottom</wp:align>
              </wp:positionV>
              <wp:extent cx="551815" cy="518795"/>
              <wp:effectExtent l="0" t="0" r="635" b="0"/>
              <wp:wrapNone/>
              <wp:docPr id="169147733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44D6397" w14:textId="77F26002" w:rsidR="00937EF4" w:rsidRPr="00937EF4" w:rsidRDefault="00937EF4" w:rsidP="00937EF4">
                          <w:pPr>
                            <w:rPr>
                              <w:rFonts w:ascii="Calibri" w:eastAsia="Calibri" w:hAnsi="Calibri" w:cs="Calibri"/>
                              <w:noProof/>
                              <w:color w:val="FF0000"/>
                              <w:sz w:val="24"/>
                              <w:szCs w:val="24"/>
                            </w:rPr>
                          </w:pPr>
                          <w:r w:rsidRPr="00937EF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C0E0A0" id="_x0000_t202" coordsize="21600,21600" o:spt="202" path="m,l,21600r21600,l21600,xe">
              <v:stroke joinstyle="miter"/>
              <v:path gradientshapeok="t" o:connecttype="rect"/>
            </v:shapetype>
            <v:shape id="Text Box 10" o:spid="_x0000_s1029" type="#_x0000_t202" alt="OFFICIAL" style="position:absolute;margin-left:0;margin-top:0;width:43.45pt;height:40.8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fill o:detectmouseclick="t"/>
              <v:textbox style="mso-fit-shape-to-text:t" inset="0,0,0,15pt">
                <w:txbxContent>
                  <w:p w14:paraId="144D6397" w14:textId="77F26002" w:rsidR="00937EF4" w:rsidRPr="00937EF4" w:rsidRDefault="00937EF4" w:rsidP="00937EF4">
                    <w:pPr>
                      <w:rPr>
                        <w:rFonts w:ascii="Calibri" w:eastAsia="Calibri" w:hAnsi="Calibri" w:cs="Calibri"/>
                        <w:noProof/>
                        <w:color w:val="FF0000"/>
                        <w:sz w:val="24"/>
                        <w:szCs w:val="24"/>
                      </w:rPr>
                    </w:pPr>
                    <w:r w:rsidRPr="00937EF4">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2D593" w14:textId="77777777" w:rsidR="006C5594" w:rsidRPr="00B91FB5" w:rsidRDefault="006C5594" w:rsidP="00B91FB5">
      <w:pPr>
        <w:spacing w:line="240" w:lineRule="auto"/>
        <w:rPr>
          <w:sz w:val="18"/>
          <w:szCs w:val="18"/>
        </w:rPr>
      </w:pPr>
      <w:r w:rsidRPr="00B91FB5">
        <w:rPr>
          <w:sz w:val="18"/>
          <w:szCs w:val="18"/>
        </w:rPr>
        <w:separator/>
      </w:r>
    </w:p>
  </w:footnote>
  <w:footnote w:type="continuationSeparator" w:id="0">
    <w:p w14:paraId="7184A532" w14:textId="77777777" w:rsidR="006C5594" w:rsidRDefault="006C5594" w:rsidP="00E54DBA">
      <w:r>
        <w:continuationSeparator/>
      </w:r>
    </w:p>
  </w:footnote>
  <w:footnote w:type="continuationNotice" w:id="1">
    <w:p w14:paraId="23125F1C" w14:textId="77777777" w:rsidR="006C5594" w:rsidRPr="00224EFF" w:rsidRDefault="006C5594" w:rsidP="00224EFF"/>
  </w:footnote>
  <w:footnote w:id="2">
    <w:p w14:paraId="71540F5F" w14:textId="51FC4F6F" w:rsidR="003233AE" w:rsidRDefault="003233AE" w:rsidP="003233AE">
      <w:pPr>
        <w:pStyle w:val="FootnoteText"/>
      </w:pPr>
      <w:r w:rsidRPr="003233AE">
        <w:footnoteRef/>
      </w:r>
      <w:r>
        <w:tab/>
        <w:t>Government of South Australia Department of Health, Communicable Disease Control Branch. Unpublished data.</w:t>
      </w:r>
    </w:p>
  </w:footnote>
  <w:footnote w:id="3">
    <w:p w14:paraId="3858A4A0" w14:textId="544E8B64" w:rsidR="003233AE" w:rsidRDefault="003233AE" w:rsidP="003233AE">
      <w:pPr>
        <w:pStyle w:val="FootnoteText"/>
      </w:pPr>
      <w:r w:rsidRPr="003233AE">
        <w:footnoteRef/>
      </w:r>
      <w:r>
        <w:tab/>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BE50" w14:textId="7FACAE39" w:rsidR="00B87589" w:rsidRDefault="00937EF4">
    <w:pPr>
      <w:pStyle w:val="Header"/>
    </w:pPr>
    <w:r>
      <w:rPr>
        <w:noProof/>
        <w14:ligatures w14:val="none"/>
      </w:rPr>
      <mc:AlternateContent>
        <mc:Choice Requires="wps">
          <w:drawing>
            <wp:anchor distT="0" distB="0" distL="0" distR="0" simplePos="0" relativeHeight="251669504" behindDoc="0" locked="0" layoutInCell="1" allowOverlap="1" wp14:anchorId="1EA4CBDA" wp14:editId="5C9561A7">
              <wp:simplePos x="635" y="635"/>
              <wp:positionH relativeFrom="page">
                <wp:align>center</wp:align>
              </wp:positionH>
              <wp:positionV relativeFrom="page">
                <wp:align>top</wp:align>
              </wp:positionV>
              <wp:extent cx="551815" cy="518795"/>
              <wp:effectExtent l="0" t="0" r="635" b="14605"/>
              <wp:wrapNone/>
              <wp:docPr id="24321402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69E4CB8" w14:textId="61F22FA5" w:rsidR="00937EF4" w:rsidRPr="00937EF4" w:rsidRDefault="00937EF4" w:rsidP="00937EF4">
                          <w:pPr>
                            <w:rPr>
                              <w:rFonts w:ascii="Calibri" w:eastAsia="Calibri" w:hAnsi="Calibri" w:cs="Calibri"/>
                              <w:noProof/>
                              <w:color w:val="FF0000"/>
                              <w:sz w:val="24"/>
                              <w:szCs w:val="24"/>
                            </w:rPr>
                          </w:pPr>
                          <w:r w:rsidRPr="00937EF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A4CBDA" id="_x0000_t202" coordsize="21600,21600" o:spt="202" path="m,l,21600r21600,l21600,xe">
              <v:stroke joinstyle="miter"/>
              <v:path gradientshapeok="t" o:connecttype="rect"/>
            </v:shapetype>
            <v:shape id="Text Box 8" o:spid="_x0000_s1026" type="#_x0000_t202" alt="OFFICIAL" style="position:absolute;margin-left:0;margin-top:0;width:43.45pt;height:40.8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fill o:detectmouseclick="t"/>
              <v:textbox style="mso-fit-shape-to-text:t" inset="0,15pt,0,0">
                <w:txbxContent>
                  <w:p w14:paraId="669E4CB8" w14:textId="61F22FA5" w:rsidR="00937EF4" w:rsidRPr="00937EF4" w:rsidRDefault="00937EF4" w:rsidP="00937EF4">
                    <w:pPr>
                      <w:rPr>
                        <w:rFonts w:ascii="Calibri" w:eastAsia="Calibri" w:hAnsi="Calibri" w:cs="Calibri"/>
                        <w:noProof/>
                        <w:color w:val="FF0000"/>
                        <w:sz w:val="24"/>
                        <w:szCs w:val="24"/>
                      </w:rPr>
                    </w:pPr>
                    <w:r w:rsidRPr="00937EF4">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3F8C" w14:textId="4370EFB0"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BBC1" w14:textId="752D5BAE" w:rsidR="00B87589" w:rsidRDefault="00937EF4">
    <w:pPr>
      <w:pStyle w:val="Header"/>
    </w:pPr>
    <w:r>
      <w:rPr>
        <w:noProof/>
        <w14:ligatures w14:val="none"/>
      </w:rPr>
      <mc:AlternateContent>
        <mc:Choice Requires="wps">
          <w:drawing>
            <wp:anchor distT="0" distB="0" distL="0" distR="0" simplePos="0" relativeHeight="251668480" behindDoc="0" locked="0" layoutInCell="1" allowOverlap="1" wp14:anchorId="682321F6" wp14:editId="0C180F90">
              <wp:simplePos x="635" y="635"/>
              <wp:positionH relativeFrom="page">
                <wp:align>center</wp:align>
              </wp:positionH>
              <wp:positionV relativeFrom="page">
                <wp:align>top</wp:align>
              </wp:positionV>
              <wp:extent cx="551815" cy="518795"/>
              <wp:effectExtent l="0" t="0" r="635" b="14605"/>
              <wp:wrapNone/>
              <wp:docPr id="105471184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334538A1" w14:textId="019A4059" w:rsidR="00937EF4" w:rsidRPr="00937EF4" w:rsidRDefault="00937EF4" w:rsidP="00937EF4">
                          <w:pPr>
                            <w:rPr>
                              <w:rFonts w:ascii="Calibri" w:eastAsia="Calibri" w:hAnsi="Calibri" w:cs="Calibri"/>
                              <w:noProof/>
                              <w:color w:val="FF0000"/>
                              <w:sz w:val="24"/>
                              <w:szCs w:val="24"/>
                            </w:rPr>
                          </w:pPr>
                          <w:r w:rsidRPr="00937EF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2321F6" id="_x0000_t202" coordsize="21600,21600" o:spt="202" path="m,l,21600r21600,l21600,xe">
              <v:stroke joinstyle="miter"/>
              <v:path gradientshapeok="t" o:connecttype="rect"/>
            </v:shapetype>
            <v:shape id="Text Box 7" o:spid="_x0000_s1028" type="#_x0000_t202" alt="OFFICIAL" style="position:absolute;margin-left:0;margin-top:0;width:43.45pt;height:40.8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fill o:detectmouseclick="t"/>
              <v:textbox style="mso-fit-shape-to-text:t" inset="0,15pt,0,0">
                <w:txbxContent>
                  <w:p w14:paraId="334538A1" w14:textId="019A4059" w:rsidR="00937EF4" w:rsidRPr="00937EF4" w:rsidRDefault="00937EF4" w:rsidP="00937EF4">
                    <w:pPr>
                      <w:rPr>
                        <w:rFonts w:ascii="Calibri" w:eastAsia="Calibri" w:hAnsi="Calibri" w:cs="Calibri"/>
                        <w:noProof/>
                        <w:color w:val="FF0000"/>
                        <w:sz w:val="24"/>
                        <w:szCs w:val="24"/>
                      </w:rPr>
                    </w:pPr>
                    <w:r w:rsidRPr="00937EF4">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FBF47AD4"/>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386569235">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94"/>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C03"/>
    <w:rsid w:val="001A5D05"/>
    <w:rsid w:val="001A796C"/>
    <w:rsid w:val="001B0E7B"/>
    <w:rsid w:val="001B248E"/>
    <w:rsid w:val="001B2614"/>
    <w:rsid w:val="001B37B8"/>
    <w:rsid w:val="001B4B8D"/>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307CB"/>
    <w:rsid w:val="00231046"/>
    <w:rsid w:val="0023151F"/>
    <w:rsid w:val="00234F21"/>
    <w:rsid w:val="00236A5F"/>
    <w:rsid w:val="00242659"/>
    <w:rsid w:val="002428F7"/>
    <w:rsid w:val="00242A9E"/>
    <w:rsid w:val="0024315F"/>
    <w:rsid w:val="00245439"/>
    <w:rsid w:val="0024631C"/>
    <w:rsid w:val="00252C9A"/>
    <w:rsid w:val="00254E56"/>
    <w:rsid w:val="00256309"/>
    <w:rsid w:val="00257484"/>
    <w:rsid w:val="00260636"/>
    <w:rsid w:val="00262EA6"/>
    <w:rsid w:val="00264B29"/>
    <w:rsid w:val="00265C9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626"/>
    <w:rsid w:val="003052F5"/>
    <w:rsid w:val="003059EC"/>
    <w:rsid w:val="00316727"/>
    <w:rsid w:val="00316CCD"/>
    <w:rsid w:val="003233AE"/>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38F6"/>
    <w:rsid w:val="004B0C95"/>
    <w:rsid w:val="004B0E96"/>
    <w:rsid w:val="004B1266"/>
    <w:rsid w:val="004B4EB6"/>
    <w:rsid w:val="004B4F34"/>
    <w:rsid w:val="004C04D3"/>
    <w:rsid w:val="004C083C"/>
    <w:rsid w:val="004C3BDE"/>
    <w:rsid w:val="004C62AA"/>
    <w:rsid w:val="004C67C6"/>
    <w:rsid w:val="004D1D6A"/>
    <w:rsid w:val="004D29DE"/>
    <w:rsid w:val="004E1094"/>
    <w:rsid w:val="004E19FE"/>
    <w:rsid w:val="004E2E81"/>
    <w:rsid w:val="004E5103"/>
    <w:rsid w:val="004F5434"/>
    <w:rsid w:val="00505184"/>
    <w:rsid w:val="0050662A"/>
    <w:rsid w:val="00510EAC"/>
    <w:rsid w:val="005138AF"/>
    <w:rsid w:val="00514F40"/>
    <w:rsid w:val="005226F2"/>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2793"/>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6427"/>
    <w:rsid w:val="00656FDA"/>
    <w:rsid w:val="00660255"/>
    <w:rsid w:val="00661FE1"/>
    <w:rsid w:val="0066362A"/>
    <w:rsid w:val="00663EA5"/>
    <w:rsid w:val="00666D94"/>
    <w:rsid w:val="00676161"/>
    <w:rsid w:val="00681509"/>
    <w:rsid w:val="00682146"/>
    <w:rsid w:val="00682E53"/>
    <w:rsid w:val="006837F7"/>
    <w:rsid w:val="00683E6F"/>
    <w:rsid w:val="006862C0"/>
    <w:rsid w:val="00690811"/>
    <w:rsid w:val="00690957"/>
    <w:rsid w:val="00693DAE"/>
    <w:rsid w:val="00697039"/>
    <w:rsid w:val="006971F3"/>
    <w:rsid w:val="006A12BE"/>
    <w:rsid w:val="006B16A5"/>
    <w:rsid w:val="006B337D"/>
    <w:rsid w:val="006C2787"/>
    <w:rsid w:val="006C5594"/>
    <w:rsid w:val="006C5B50"/>
    <w:rsid w:val="006C74A3"/>
    <w:rsid w:val="006C76D0"/>
    <w:rsid w:val="006C7D54"/>
    <w:rsid w:val="006D1381"/>
    <w:rsid w:val="006D31BC"/>
    <w:rsid w:val="006D4979"/>
    <w:rsid w:val="006D508B"/>
    <w:rsid w:val="006D6625"/>
    <w:rsid w:val="006E0B0E"/>
    <w:rsid w:val="006E222D"/>
    <w:rsid w:val="006E47CB"/>
    <w:rsid w:val="006E7943"/>
    <w:rsid w:val="006E7AC3"/>
    <w:rsid w:val="006F24EA"/>
    <w:rsid w:val="006F5FEC"/>
    <w:rsid w:val="00700338"/>
    <w:rsid w:val="0070113C"/>
    <w:rsid w:val="00702D05"/>
    <w:rsid w:val="00703009"/>
    <w:rsid w:val="00704CA9"/>
    <w:rsid w:val="0071048D"/>
    <w:rsid w:val="00710F86"/>
    <w:rsid w:val="007111A8"/>
    <w:rsid w:val="007114BA"/>
    <w:rsid w:val="00714CD2"/>
    <w:rsid w:val="00723B5F"/>
    <w:rsid w:val="00725C33"/>
    <w:rsid w:val="00726C6A"/>
    <w:rsid w:val="00731BC3"/>
    <w:rsid w:val="00731FF7"/>
    <w:rsid w:val="00733216"/>
    <w:rsid w:val="00734159"/>
    <w:rsid w:val="007401FD"/>
    <w:rsid w:val="00741192"/>
    <w:rsid w:val="007430BF"/>
    <w:rsid w:val="00743A33"/>
    <w:rsid w:val="00743DF3"/>
    <w:rsid w:val="00744318"/>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708"/>
    <w:rsid w:val="00813007"/>
    <w:rsid w:val="00813DAA"/>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FF3"/>
    <w:rsid w:val="0086228F"/>
    <w:rsid w:val="00862C50"/>
    <w:rsid w:val="00863F8D"/>
    <w:rsid w:val="008673F6"/>
    <w:rsid w:val="00867976"/>
    <w:rsid w:val="008714B0"/>
    <w:rsid w:val="00872A7F"/>
    <w:rsid w:val="0087374B"/>
    <w:rsid w:val="00876331"/>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EF4"/>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720F"/>
    <w:rsid w:val="009B78A9"/>
    <w:rsid w:val="009C31B2"/>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0894"/>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42FE"/>
    <w:rsid w:val="00C02B29"/>
    <w:rsid w:val="00C06DA4"/>
    <w:rsid w:val="00C07606"/>
    <w:rsid w:val="00C12070"/>
    <w:rsid w:val="00C12542"/>
    <w:rsid w:val="00C130EE"/>
    <w:rsid w:val="00C230DA"/>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2A22"/>
    <w:rsid w:val="00C735E0"/>
    <w:rsid w:val="00C7723C"/>
    <w:rsid w:val="00C81439"/>
    <w:rsid w:val="00C82027"/>
    <w:rsid w:val="00C838F5"/>
    <w:rsid w:val="00C841C0"/>
    <w:rsid w:val="00C91F37"/>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8655E"/>
    <w:rsid w:val="00D93AD4"/>
    <w:rsid w:val="00DA2E9E"/>
    <w:rsid w:val="00DA6E56"/>
    <w:rsid w:val="00DA78DD"/>
    <w:rsid w:val="00DB0DF2"/>
    <w:rsid w:val="00DB1C65"/>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E7B61"/>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BFD"/>
    <w:rsid w:val="00E64C4F"/>
    <w:rsid w:val="00E66E2E"/>
    <w:rsid w:val="00E67691"/>
    <w:rsid w:val="00E6790C"/>
    <w:rsid w:val="00E714F6"/>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82D"/>
    <w:rsid w:val="00EF55AE"/>
    <w:rsid w:val="00F04552"/>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17F"/>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A4C"/>
    <w:rsid w:val="00FB17AB"/>
    <w:rsid w:val="00FB48CF"/>
    <w:rsid w:val="00FC002E"/>
    <w:rsid w:val="00FC4C23"/>
    <w:rsid w:val="00FC6204"/>
    <w:rsid w:val="00FC642E"/>
    <w:rsid w:val="00FD337F"/>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70508B"/>
  <w15:docId w15:val="{D3E822FE-D915-408A-AABC-C64BDE8B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C6"/>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BB3320"/>
    <w:pPr>
      <w:spacing w:before="400"/>
    </w:pPr>
    <w:rPr>
      <w:rFonts w:asciiTheme="majorHAnsi" w:hAnsiTheme="majorHAnsi" w:cs="Arial"/>
      <w:b/>
      <w:bCs/>
      <w:sz w:val="48"/>
      <w:szCs w:val="54"/>
    </w:rPr>
  </w:style>
  <w:style w:type="character" w:customStyle="1" w:styleId="TitleChar">
    <w:name w:val="Title Char"/>
    <w:basedOn w:val="DefaultParagraphFont"/>
    <w:link w:val="Title"/>
    <w:uiPriority w:val="10"/>
    <w:rsid w:val="00BB3320"/>
    <w:rPr>
      <w:rFonts w:asciiTheme="majorHAnsi" w:hAnsiTheme="majorHAnsi" w:cs="Arial"/>
      <w:b/>
      <w:bCs/>
      <w:sz w:val="48"/>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E15CF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E15CF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Caption">
    <w:name w:val="caption"/>
    <w:basedOn w:val="Normal"/>
    <w:next w:val="Normal"/>
    <w:unhideWhenUsed/>
    <w:rsid w:val="00264B29"/>
    <w:pPr>
      <w:spacing w:after="120" w:line="240" w:lineRule="auto"/>
    </w:pPr>
    <w:rPr>
      <w:rFonts w:ascii="Arial Bold" w:hAnsi="Arial Bold"/>
      <w:b/>
      <w:iCs/>
      <w:sz w:val="23"/>
      <w:szCs w:val="18"/>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F7417F"/>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BB3320"/>
    <w:pPr>
      <w:numPr>
        <w:numId w:val="2"/>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L1"/>
    <w:basedOn w:val="Normal"/>
    <w:uiPriority w:val="99"/>
    <w:rsid w:val="00C735E0"/>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E0B0E"/>
    <w:pPr>
      <w:spacing w:before="24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3233AE"/>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3233AE"/>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character" w:styleId="CommentReference">
    <w:name w:val="annotation reference"/>
    <w:basedOn w:val="DefaultParagraphFont"/>
    <w:uiPriority w:val="99"/>
    <w:semiHidden/>
    <w:unhideWhenUsed/>
    <w:rsid w:val="007B537E"/>
    <w:rPr>
      <w:sz w:val="16"/>
      <w:szCs w:val="16"/>
    </w:rPr>
  </w:style>
  <w:style w:type="paragraph" w:styleId="CommentText">
    <w:name w:val="annotation text"/>
    <w:basedOn w:val="Normal"/>
    <w:link w:val="CommentTextChar"/>
    <w:uiPriority w:val="99"/>
    <w:unhideWhenUsed/>
    <w:rsid w:val="007B537E"/>
    <w:pPr>
      <w:spacing w:line="240" w:lineRule="auto"/>
    </w:pPr>
    <w:rPr>
      <w:sz w:val="20"/>
      <w:szCs w:val="20"/>
    </w:rPr>
  </w:style>
  <w:style w:type="character" w:customStyle="1" w:styleId="CommentTextChar">
    <w:name w:val="Comment Text Char"/>
    <w:basedOn w:val="DefaultParagraphFont"/>
    <w:link w:val="CommentText"/>
    <w:uiPriority w:val="99"/>
    <w:rsid w:val="007B537E"/>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B537E"/>
    <w:rPr>
      <w:b/>
      <w:bCs/>
    </w:rPr>
  </w:style>
  <w:style w:type="character" w:customStyle="1" w:styleId="CommentSubjectChar">
    <w:name w:val="Comment Subject Char"/>
    <w:basedOn w:val="CommentTextChar"/>
    <w:link w:val="CommentSubject"/>
    <w:uiPriority w:val="99"/>
    <w:semiHidden/>
    <w:rsid w:val="007B537E"/>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5138AF"/>
    <w:pPr>
      <w:numPr>
        <w:numId w:val="9"/>
      </w:numPr>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umberedList1L1">
    <w:name w:val="Numbered List (1.) L1"/>
    <w:basedOn w:val="Normal"/>
    <w:uiPriority w:val="99"/>
    <w:rsid w:val="00265C99"/>
    <w:pPr>
      <w:keepLines/>
      <w:suppressAutoHyphens/>
      <w:autoSpaceDE w:val="0"/>
      <w:autoSpaceDN w:val="0"/>
      <w:adjustRightInd w:val="0"/>
      <w:spacing w:before="142" w:line="250" w:lineRule="atLeast"/>
      <w:ind w:left="397" w:hanging="397"/>
      <w:textAlignment w:val="center"/>
    </w:pPr>
    <w:rPr>
      <w:rFonts w:ascii="HelveticaNeueLTPro-Roman" w:hAnsi="HelveticaNeueLTPro-Roman" w:cs="HelveticaNeueLTPro-Roman"/>
      <w:color w:val="000000"/>
      <w:sz w:val="20"/>
      <w:szCs w:val="20"/>
      <w:lang w:val="en-GB"/>
      <w14:ligatures w14:val="none"/>
    </w:rPr>
  </w:style>
  <w:style w:type="paragraph" w:customStyle="1" w:styleId="HeaderLeftFigures-Tables">
    <w:name w:val="Header Left (Figures-Tables)"/>
    <w:basedOn w:val="Normal"/>
    <w:uiPriority w:val="99"/>
    <w:rsid w:val="00265C99"/>
    <w:pPr>
      <w:suppressAutoHyphens/>
      <w:autoSpaceDE w:val="0"/>
      <w:autoSpaceDN w:val="0"/>
      <w:adjustRightInd w:val="0"/>
      <w:spacing w:before="0" w:line="220" w:lineRule="atLeast"/>
      <w:textAlignment w:val="center"/>
    </w:pPr>
    <w:rPr>
      <w:rFonts w:ascii="HelveticaNeueLTPro-Bd" w:hAnsi="HelveticaNeueLTPro-Bd" w:cs="HelveticaNeueLTPro-Bd"/>
      <w:b/>
      <w:bCs/>
      <w:color w:val="FFFFFF"/>
      <w:sz w:val="18"/>
      <w:szCs w:val="18"/>
      <w:lang w:val="en-GB"/>
      <w14:ligatures w14:val="none"/>
    </w:rPr>
  </w:style>
  <w:style w:type="character" w:customStyle="1" w:styleId="BoldItalic">
    <w:name w:val="Bold Italic"/>
    <w:basedOn w:val="DefaultParagraphFont"/>
    <w:uiPriority w:val="99"/>
    <w:rsid w:val="00DE7B61"/>
    <w:rPr>
      <w:b/>
      <w:bCs/>
      <w:i/>
      <w:iCs/>
    </w:rPr>
  </w:style>
  <w:style w:type="character" w:customStyle="1" w:styleId="Arial">
    <w:name w:val="Arial"/>
    <w:uiPriority w:val="99"/>
    <w:rsid w:val="00DE7B6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topics/communicable-diseases/cdi/eab" TargetMode="External"/><Relationship Id="rId18" Type="http://schemas.openxmlformats.org/officeDocument/2006/relationships/header" Target="header1.xml"/><Relationship Id="rId26" Type="http://schemas.openxmlformats.org/officeDocument/2006/relationships/hyperlink" Target="https://doi.org/10.1071/SH22134" TargetMode="External"/><Relationship Id="rId39" Type="http://schemas.openxmlformats.org/officeDocument/2006/relationships/hyperlink" Target="https://www.sahealth.sa.gov.au/wps/wcm/connect/08e26045-3c5e-4f29-af49-df2367d11422/RNC_Syphilis+Notification+Form_November2024.pdf" TargetMode="External"/><Relationship Id="rId21" Type="http://schemas.openxmlformats.org/officeDocument/2006/relationships/footer" Target="footer2.xml"/><Relationship Id="rId34" Type="http://schemas.openxmlformats.org/officeDocument/2006/relationships/hyperlink" Target="https://doi.org/10.1093/infdis/jiaa056"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dc.gov.au/topics/communicable-diseases/cdi" TargetMode="External"/><Relationship Id="rId20" Type="http://schemas.openxmlformats.org/officeDocument/2006/relationships/footer" Target="footer1.xml"/><Relationship Id="rId29" Type="http://schemas.openxmlformats.org/officeDocument/2006/relationships/hyperlink" Target="https://doi.org/10.1016/j.drugpo.2018.11.014" TargetMode="External"/><Relationship Id="rId41" Type="http://schemas.openxmlformats.org/officeDocument/2006/relationships/hyperlink" Target="https://www.sahealth.sa.gov.au/wps/wcm/connect/fcd8c706-b910-419c-b528-36992be993f0/Summary+of+Findings+from+the+2022-23+National+Drug+Strategy+Household+Survey.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nc-nd/4.0/legalcode" TargetMode="External"/><Relationship Id="rId24" Type="http://schemas.openxmlformats.org/officeDocument/2006/relationships/hyperlink" Target="mailto:trisha.rogers@sa.gov.au" TargetMode="External"/><Relationship Id="rId32" Type="http://schemas.openxmlformats.org/officeDocument/2006/relationships/hyperlink" Target="https://doi.org/10.1016/0277-9536(92)90162-j" TargetMode="External"/><Relationship Id="rId37" Type="http://schemas.openxmlformats.org/officeDocument/2006/relationships/hyperlink" Target="https://doi.org/10.5694/mja2.51864" TargetMode="External"/><Relationship Id="rId40" Type="http://schemas.openxmlformats.org/officeDocument/2006/relationships/hyperlink" Target="https://www.health.wa.gov.au/Silver-book/STI-screening-recommendations-for-high-risk-populations" TargetMode="Externa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oter" Target="footer3.xml"/><Relationship Id="rId28" Type="http://schemas.openxmlformats.org/officeDocument/2006/relationships/hyperlink" Target="https://www.sahealth.sa.gov.au/wps/wcm/connect/public+content/sa+health+internet/resources/congenital+syphilis+case+review+report" TargetMode="External"/><Relationship Id="rId36" Type="http://schemas.openxmlformats.org/officeDocument/2006/relationships/hyperlink" Target="https://doi.org/10.1093/ofid/ofad017" TargetMode="External"/><Relationship Id="rId10" Type="http://schemas.openxmlformats.org/officeDocument/2006/relationships/hyperlink" Target="https://www.cdc.gov.au/topics/communicable-diseases/cdi" TargetMode="External"/><Relationship Id="rId19" Type="http://schemas.openxmlformats.org/officeDocument/2006/relationships/header" Target="header2.xml"/><Relationship Id="rId31" Type="http://schemas.openxmlformats.org/officeDocument/2006/relationships/hyperlink" Target="https://doi.org/10.2105/ajph.80.7.853"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dc.gov.au/topics/communicable-diseases/cdi/authors" TargetMode="External"/><Relationship Id="rId22" Type="http://schemas.openxmlformats.org/officeDocument/2006/relationships/header" Target="header3.xml"/><Relationship Id="rId27" Type="http://schemas.openxmlformats.org/officeDocument/2006/relationships/hyperlink" Target="https://www.kirby.unsw.edu.au/research/reports/asr2024" TargetMode="External"/><Relationship Id="rId30" Type="http://schemas.openxmlformats.org/officeDocument/2006/relationships/hyperlink" Target="https://doi.org/10.1097/00007435-199010000-00003" TargetMode="External"/><Relationship Id="rId35" Type="http://schemas.openxmlformats.org/officeDocument/2006/relationships/hyperlink" Target="https://doi.org/10.1111/j.1743-6109.2009.01453.x"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cdi.editor@health.gov.au" TargetMode="External"/><Relationship Id="rId17" Type="http://schemas.openxmlformats.org/officeDocument/2006/relationships/hyperlink" Target="mailto:cdi.editor@health.gov.au" TargetMode="External"/><Relationship Id="rId25" Type="http://schemas.openxmlformats.org/officeDocument/2006/relationships/hyperlink" Target="https://nindss.health.gov.au/pbi-dashboard/" TargetMode="External"/><Relationship Id="rId33" Type="http://schemas.openxmlformats.org/officeDocument/2006/relationships/hyperlink" Target="https://doi.org/10.15585/mmwr.mm6806a4" TargetMode="External"/><Relationship Id="rId38" Type="http://schemas.openxmlformats.org/officeDocument/2006/relationships/hyperlink" Target="https://www.legislation.sa.gov.au/lz?path=%2FC%2FA%2FSOUTH%20AUSTRALIAN%20PUBLIC%20HEALTH%20ACT%20201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long-report-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CDI-long-report-template-2025.dotx</Template>
  <TotalTime>4</TotalTime>
  <Pages>17</Pages>
  <Words>5205</Words>
  <Characters>33039</Characters>
  <Application>Microsoft Office Word</Application>
  <DocSecurity>0</DocSecurity>
  <Lines>550</Lines>
  <Paragraphs>275</Paragraphs>
  <ScaleCrop>false</ScaleCrop>
  <HeadingPairs>
    <vt:vector size="2" baseType="variant">
      <vt:variant>
        <vt:lpstr>Title</vt:lpstr>
      </vt:variant>
      <vt:variant>
        <vt:i4>1</vt:i4>
      </vt:variant>
    </vt:vector>
  </HeadingPairs>
  <TitlesOfParts>
    <vt:vector size="1" baseType="lpstr">
      <vt:lpstr>Communicable Diseases Intelligence - Implications of high prevalence of recreational drug use among cases of infectious syphilis: insights from state-wide surveillance data, South Australia, July 2022 – September 2023</vt:lpstr>
    </vt:vector>
  </TitlesOfParts>
  <Company>interim Australian Centre for Disease Control within the Department of Health, Disability and Ageing</Company>
  <LinksUpToDate>false</LinksUpToDate>
  <CharactersWithSpaces>37969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Implications of high prevalence of recreational drug use among cases of infectious syphilis: insights from state-wide surveillance data, South Australia, July 2022 – September 2023</dc:title>
  <dc:subject>This research reports on patterns of recreational drug use among cases of infectious syphilis notified in South Australia between 1 July 2022 and 30 September 2023. Cases are categorised into those reporting injecting drug use and those reporting non-injecting drug use only. The article examines variation in prevalence of both types of drug use by demographic, clinical, and diagnosing provider characteristics.</dc:subject>
  <dc:creator>Jana Sisnowski; Trisha J Rogers; Jaime Pearson; Sarah N Del Fante;Jamie Hermanson; Tom Rees; Charlotte Bell</dc:creator>
  <cp:keywords>syphilis; surveillance; re-emerging disease; sexually transmitted disease; infectious disease; drug use; methamphetamine; Australia</cp:keywords>
  <dc:description>© 2025 Commonwealth of Australia as represented by the Department of Health, Disability and Ageing. This publication is licenced under a CC BY-NC-ND licence.</dc:description>
  <cp:revision>2</cp:revision>
  <cp:lastPrinted>2024-03-07T01:06:00Z</cp:lastPrinted>
  <dcterms:created xsi:type="dcterms:W3CDTF">2025-09-01T05:41:00Z</dcterms:created>
  <dcterms:modified xsi:type="dcterms:W3CDTF">2025-09-01T05:41:00Z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10.09.2025</vt:lpwstr>
  </property>
  <property fmtid="{D5CDD505-2E9C-101B-9397-08002B2CF9AE}" pid="5" name="DOI">
    <vt:lpwstr>doi.org/10.33321/cdi.2025.49.049</vt:lpwstr>
  </property>
  <property fmtid="{D5CDD505-2E9C-101B-9397-08002B2CF9AE}" pid="6" name="ClassificationContentMarkingHeaderText">
    <vt:lpwstr>OFFICIAL</vt:lpwstr>
  </property>
  <property fmtid="{D5CDD505-2E9C-101B-9397-08002B2CF9AE}" pid="7" name="ClassificationContentMarkingHeaderShapeIds">
    <vt:lpwstr>3edda023,e7f26ca,42194344</vt:lpwstr>
  </property>
  <property fmtid="{D5CDD505-2E9C-101B-9397-08002B2CF9AE}" pid="8" name="ClassificationContentMarkingHeaderFontProps">
    <vt:lpwstr>#ff0000,12,Calibri</vt:lpwstr>
  </property>
  <property fmtid="{D5CDD505-2E9C-101B-9397-08002B2CF9AE}" pid="9" name="ClassificationContentMarkingFooterShapeIds">
    <vt:lpwstr>64d1e55a,5dde3d64,446c7cb3</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2025-08-25T01:20:44Z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9d2bc644-cf4d-4dec-8643-a792d479733b</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