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5984" w14:textId="0A95772E"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4B2B58A" wp14:editId="46EB3EA2">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E80F6F">
          <w:t>2025</w:t>
        </w:r>
      </w:fldSimple>
      <w:r w:rsidR="00D22CC8" w:rsidRPr="00B85B74">
        <w:t xml:space="preserve"> • Volume </w:t>
      </w:r>
      <w:fldSimple w:instr=" DOCPROPERTY  Vol  \* MERGEFORMAT ">
        <w:r w:rsidR="00E80F6F">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DE7FD0">
          <w:t>10.09.2025</w:t>
        </w:r>
      </w:fldSimple>
      <w:r w:rsidR="00700338">
        <w:t xml:space="preserve"> </w:t>
      </w:r>
      <w:r w:rsidR="00700338" w:rsidRPr="00B85B74">
        <w:t xml:space="preserve">• </w:t>
      </w:r>
      <w:fldSimple w:instr=" DOCPROPERTY  DOI  \* MERGEFORMAT ">
        <w:r w:rsidR="00783EFA">
          <w:t>doi.org/10.33321/cdi.2025.49.034</w:t>
        </w:r>
      </w:fldSimple>
    </w:p>
    <w:p w14:paraId="02230914" w14:textId="085CD2D6" w:rsidR="006B16A5" w:rsidRPr="00142578" w:rsidRDefault="00783EFA" w:rsidP="00CE2CC7">
      <w:pPr>
        <w:pStyle w:val="Title"/>
      </w:pPr>
      <w:r w:rsidRPr="00783EFA">
        <w:t xml:space="preserve">Shigellosis in South East Metropolitan </w:t>
      </w:r>
      <w:r w:rsidRPr="00783EFA">
        <w:rPr>
          <w:spacing w:val="-8"/>
        </w:rPr>
        <w:t>Melbourne, 1 January 2022 – 31 March 2023</w:t>
      </w:r>
    </w:p>
    <w:p w14:paraId="151FFBDE" w14:textId="0143A962" w:rsidR="00013B65" w:rsidRDefault="00783EFA" w:rsidP="00BB3320">
      <w:pPr>
        <w:pStyle w:val="Subtitle"/>
      </w:pPr>
      <w:r w:rsidRPr="00783EFA">
        <w:t>Emilie Guy, Lucy O Attwood, Tania Ruz, Mohana Baptista, Simon R Crouch, Rhonda Stuart</w:t>
      </w:r>
      <w:r w:rsidR="00013B65">
        <w:br w:type="page"/>
      </w:r>
    </w:p>
    <w:p w14:paraId="070E1E97"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E80F6F">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43B82E0B" w14:textId="77777777" w:rsidR="00B52457" w:rsidRPr="0089025E" w:rsidRDefault="00B52457" w:rsidP="00087CC4">
      <w:pPr>
        <w:pStyle w:val="CDICopyright"/>
      </w:pPr>
      <w:r w:rsidRPr="0089025E">
        <w:t>ISSN: 2209-6051 Online</w:t>
      </w:r>
    </w:p>
    <w:p w14:paraId="0BCB35C4" w14:textId="77777777" w:rsidR="00B52457" w:rsidRDefault="00B52457" w:rsidP="00087CC4">
      <w:pPr>
        <w:pStyle w:val="CDICopyright"/>
      </w:pPr>
      <w:r w:rsidRPr="0089025E">
        <w:t>This journal is indexed by Index Medicus and Medline.</w:t>
      </w:r>
    </w:p>
    <w:p w14:paraId="0DDA448C" w14:textId="77777777" w:rsidR="00B52457" w:rsidRPr="007F2B27" w:rsidRDefault="00B52457" w:rsidP="00CC3648">
      <w:pPr>
        <w:pStyle w:val="CDICopyrightHeading"/>
      </w:pPr>
      <w:r w:rsidRPr="007F2B27">
        <w:t>Creative Commons Licence</w:t>
      </w:r>
    </w:p>
    <w:p w14:paraId="09846603"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374A2894" w14:textId="77777777" w:rsidR="00B52457" w:rsidRPr="007F2B27" w:rsidRDefault="00B52457" w:rsidP="00CC3648">
      <w:pPr>
        <w:pStyle w:val="CDICopyrightHeading"/>
      </w:pPr>
      <w:r w:rsidRPr="007F2B27">
        <w:t>Restrictions</w:t>
      </w:r>
    </w:p>
    <w:p w14:paraId="3303850A"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2913B138" w14:textId="77777777" w:rsidR="00B52457" w:rsidRPr="00E9313B" w:rsidRDefault="00B52457" w:rsidP="00E9313B">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738269FD" w14:textId="77777777" w:rsidR="00B52457" w:rsidRPr="003C23C9" w:rsidRDefault="0022524E" w:rsidP="00E9313B">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00B52457" w:rsidRPr="003C23C9">
        <w:t>;</w:t>
      </w:r>
      <w:proofErr w:type="gramEnd"/>
    </w:p>
    <w:p w14:paraId="6D28F509" w14:textId="77777777" w:rsidR="00B52457" w:rsidRPr="00E9313B" w:rsidRDefault="00B52457" w:rsidP="00E9313B">
      <w:pPr>
        <w:pStyle w:val="CDICopyrightBullets"/>
      </w:pPr>
      <w:r w:rsidRPr="00E9313B">
        <w:t xml:space="preserve">any photographs and </w:t>
      </w:r>
      <w:proofErr w:type="gramStart"/>
      <w:r w:rsidRPr="00E9313B">
        <w:t>images;</w:t>
      </w:r>
      <w:proofErr w:type="gramEnd"/>
      <w:r w:rsidRPr="00E9313B">
        <w:t xml:space="preserve"> </w:t>
      </w:r>
    </w:p>
    <w:p w14:paraId="574D4A49" w14:textId="77777777" w:rsidR="00B52457" w:rsidRPr="00E9313B" w:rsidRDefault="00B52457" w:rsidP="00E9313B">
      <w:pPr>
        <w:pStyle w:val="CDICopyrightBullets"/>
      </w:pPr>
      <w:r w:rsidRPr="00E9313B">
        <w:t>any signatures; and</w:t>
      </w:r>
    </w:p>
    <w:p w14:paraId="4B27C1A3" w14:textId="77777777" w:rsidR="00B52457" w:rsidRPr="003C23C9" w:rsidRDefault="00B52457" w:rsidP="00E9313B">
      <w:pPr>
        <w:pStyle w:val="CDICopyrightBullets"/>
      </w:pPr>
      <w:r w:rsidRPr="00E9313B">
        <w:t>any</w:t>
      </w:r>
      <w:r w:rsidRPr="003C23C9">
        <w:t xml:space="preserve"> material belonging to third parties.</w:t>
      </w:r>
    </w:p>
    <w:p w14:paraId="4F3C725D" w14:textId="77777777" w:rsidR="00B52457" w:rsidRPr="00CC3648" w:rsidRDefault="00B52457" w:rsidP="00CC3648">
      <w:pPr>
        <w:pStyle w:val="CDICopyrightHeading"/>
      </w:pPr>
      <w:r w:rsidRPr="00CC3648">
        <w:t>Disclaimer</w:t>
      </w:r>
    </w:p>
    <w:p w14:paraId="5CFC460E"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551872FB" w14:textId="77777777" w:rsidR="00B52457" w:rsidRPr="007F2B27" w:rsidRDefault="00B52457" w:rsidP="00CC3648">
      <w:pPr>
        <w:pStyle w:val="CDICopyrightHeading"/>
      </w:pPr>
      <w:r w:rsidRPr="007F2B27">
        <w:t>Enquiries</w:t>
      </w:r>
    </w:p>
    <w:p w14:paraId="25FFF69B"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67A44F9B" w14:textId="77777777" w:rsidR="00B52457" w:rsidRPr="00A65DFA" w:rsidRDefault="00B52457" w:rsidP="00B52457">
      <w:pPr>
        <w:pStyle w:val="CDIAbout"/>
      </w:pPr>
      <w:bookmarkStart w:id="1" w:name="_Toc190257376"/>
      <w:r>
        <w:t xml:space="preserve">About </w:t>
      </w:r>
      <w:bookmarkEnd w:id="1"/>
      <w:r w:rsidR="0022524E">
        <w:t>CDI</w:t>
      </w:r>
    </w:p>
    <w:p w14:paraId="258EC919"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71C58B1D"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4276B8DE"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5F9EF4B0"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701DEE2F"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474770A4"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1AB92F41" w14:textId="77777777" w:rsidR="00B52457" w:rsidRPr="00B87589" w:rsidRDefault="00B52457" w:rsidP="00B87589">
      <w:pPr>
        <w:pStyle w:val="CDIAbouttext"/>
        <w:rPr>
          <w:b/>
          <w:bCs/>
        </w:rPr>
      </w:pPr>
      <w:r w:rsidRPr="00B87589">
        <w:rPr>
          <w:b/>
          <w:bCs/>
        </w:rPr>
        <w:t>Contact us</w:t>
      </w:r>
    </w:p>
    <w:p w14:paraId="4D5684C3" w14:textId="77777777" w:rsidR="00B52457" w:rsidRPr="00087CC4" w:rsidRDefault="00B52457" w:rsidP="00360B3A">
      <w:pPr>
        <w:pStyle w:val="CDIAbouttextLess"/>
      </w:pPr>
      <w:r w:rsidRPr="009572C6">
        <w:t>Communicable Diseases Intelligence</w:t>
      </w:r>
      <w:r w:rsidRPr="00087CC4">
        <w:t xml:space="preserve"> (CDI)</w:t>
      </w:r>
    </w:p>
    <w:p w14:paraId="0B3016DE" w14:textId="77777777" w:rsidR="00B52457" w:rsidRPr="00087CC4" w:rsidRDefault="009572C6" w:rsidP="00360B3A">
      <w:pPr>
        <w:pStyle w:val="CDIAbouttextLess"/>
      </w:pPr>
      <w:r>
        <w:t>interim Australian Centre for Disease Control, Department of Health, Disability and Ageing</w:t>
      </w:r>
    </w:p>
    <w:p w14:paraId="4EE9F6F3" w14:textId="77777777" w:rsidR="00B52457" w:rsidRPr="0089025E" w:rsidRDefault="00B52457" w:rsidP="00360B3A">
      <w:pPr>
        <w:pStyle w:val="CDIAbouttextLess"/>
      </w:pPr>
      <w:r w:rsidRPr="00087CC4">
        <w:t>GPO Box 9848, CANBERRA</w:t>
      </w:r>
      <w:r w:rsidRPr="0089025E">
        <w:t xml:space="preserve"> ACT 2601</w:t>
      </w:r>
    </w:p>
    <w:p w14:paraId="00B399E1"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0522F8CD"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29AF7C75"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07030731"/>
      <w:bookmarkStart w:id="7" w:name="_Toc195530496"/>
      <w:r>
        <w:lastRenderedPageBreak/>
        <w:t>Contents</w:t>
      </w:r>
      <w:bookmarkEnd w:id="2"/>
      <w:bookmarkEnd w:id="3"/>
      <w:bookmarkEnd w:id="4"/>
      <w:bookmarkEnd w:id="5"/>
      <w:bookmarkEnd w:id="6"/>
    </w:p>
    <w:p w14:paraId="7BE64834" w14:textId="5C25DC60" w:rsidR="00BA527E" w:rsidRPr="00EF4A66" w:rsidRDefault="005A4E9D">
      <w:pPr>
        <w:pStyle w:val="TOC1"/>
        <w:rPr>
          <w:noProof/>
        </w:rPr>
      </w:pPr>
      <w:r>
        <w:fldChar w:fldCharType="begin"/>
      </w:r>
      <w:r>
        <w:instrText xml:space="preserve"> TOC \o "1-1" \h \z \t "Heading 2,2,Heading 2 - no space before,2,Heading 2 - less space before,2,Heading 2 - new page,2" </w:instrText>
      </w:r>
      <w:r>
        <w:fldChar w:fldCharType="separate"/>
      </w:r>
      <w:hyperlink w:anchor="_Toc207030732" w:history="1">
        <w:r w:rsidR="00BA527E" w:rsidRPr="00E53CC4">
          <w:rPr>
            <w:rStyle w:val="Hyperlink"/>
            <w:noProof/>
          </w:rPr>
          <w:t>Abstract</w:t>
        </w:r>
        <w:r w:rsidR="00BA527E">
          <w:rPr>
            <w:noProof/>
            <w:webHidden/>
          </w:rPr>
          <w:tab/>
        </w:r>
        <w:r w:rsidR="00BA527E">
          <w:rPr>
            <w:noProof/>
            <w:webHidden/>
          </w:rPr>
          <w:fldChar w:fldCharType="begin"/>
        </w:r>
        <w:r w:rsidR="00BA527E">
          <w:rPr>
            <w:noProof/>
            <w:webHidden/>
          </w:rPr>
          <w:instrText xml:space="preserve"> PAGEREF _Toc207030732 \h </w:instrText>
        </w:r>
        <w:r w:rsidR="00BA527E">
          <w:rPr>
            <w:noProof/>
            <w:webHidden/>
          </w:rPr>
        </w:r>
        <w:r w:rsidR="00BA527E">
          <w:rPr>
            <w:noProof/>
            <w:webHidden/>
          </w:rPr>
          <w:fldChar w:fldCharType="separate"/>
        </w:r>
        <w:r w:rsidR="00EF4A66">
          <w:rPr>
            <w:noProof/>
            <w:webHidden/>
          </w:rPr>
          <w:t>4</w:t>
        </w:r>
        <w:r w:rsidR="00BA527E">
          <w:rPr>
            <w:noProof/>
            <w:webHidden/>
          </w:rPr>
          <w:fldChar w:fldCharType="end"/>
        </w:r>
      </w:hyperlink>
    </w:p>
    <w:p w14:paraId="4C6CE41B" w14:textId="727C2ABC" w:rsidR="00BA527E" w:rsidRPr="00EF4A66" w:rsidRDefault="00BA527E">
      <w:pPr>
        <w:pStyle w:val="TOC2"/>
        <w:tabs>
          <w:tab w:val="right" w:leader="dot" w:pos="9629"/>
        </w:tabs>
        <w:rPr>
          <w:noProof/>
        </w:rPr>
      </w:pPr>
      <w:hyperlink w:anchor="_Toc207030733" w:history="1">
        <w:r w:rsidRPr="00E53CC4">
          <w:rPr>
            <w:rStyle w:val="Hyperlink"/>
            <w:noProof/>
            <w:lang w:val="en-GB"/>
          </w:rPr>
          <w:t>Introduction</w:t>
        </w:r>
        <w:r>
          <w:rPr>
            <w:noProof/>
            <w:webHidden/>
          </w:rPr>
          <w:tab/>
        </w:r>
        <w:r>
          <w:rPr>
            <w:noProof/>
            <w:webHidden/>
          </w:rPr>
          <w:fldChar w:fldCharType="begin"/>
        </w:r>
        <w:r>
          <w:rPr>
            <w:noProof/>
            <w:webHidden/>
          </w:rPr>
          <w:instrText xml:space="preserve"> PAGEREF _Toc207030733 \h </w:instrText>
        </w:r>
        <w:r>
          <w:rPr>
            <w:noProof/>
            <w:webHidden/>
          </w:rPr>
        </w:r>
        <w:r>
          <w:rPr>
            <w:noProof/>
            <w:webHidden/>
          </w:rPr>
          <w:fldChar w:fldCharType="separate"/>
        </w:r>
        <w:r w:rsidR="00EF4A66">
          <w:rPr>
            <w:noProof/>
            <w:webHidden/>
          </w:rPr>
          <w:t>4</w:t>
        </w:r>
        <w:r>
          <w:rPr>
            <w:noProof/>
            <w:webHidden/>
          </w:rPr>
          <w:fldChar w:fldCharType="end"/>
        </w:r>
      </w:hyperlink>
    </w:p>
    <w:p w14:paraId="0877CB56" w14:textId="75986A3C" w:rsidR="00BA527E" w:rsidRPr="00EF4A66" w:rsidRDefault="00BA527E">
      <w:pPr>
        <w:pStyle w:val="TOC2"/>
        <w:tabs>
          <w:tab w:val="right" w:leader="dot" w:pos="9629"/>
        </w:tabs>
        <w:rPr>
          <w:noProof/>
        </w:rPr>
      </w:pPr>
      <w:hyperlink w:anchor="_Toc207030734" w:history="1">
        <w:r w:rsidRPr="00E53CC4">
          <w:rPr>
            <w:rStyle w:val="Hyperlink"/>
            <w:noProof/>
          </w:rPr>
          <w:t>Aim</w:t>
        </w:r>
        <w:r>
          <w:rPr>
            <w:noProof/>
            <w:webHidden/>
          </w:rPr>
          <w:tab/>
        </w:r>
        <w:r>
          <w:rPr>
            <w:noProof/>
            <w:webHidden/>
          </w:rPr>
          <w:fldChar w:fldCharType="begin"/>
        </w:r>
        <w:r>
          <w:rPr>
            <w:noProof/>
            <w:webHidden/>
          </w:rPr>
          <w:instrText xml:space="preserve"> PAGEREF _Toc207030734 \h </w:instrText>
        </w:r>
        <w:r>
          <w:rPr>
            <w:noProof/>
            <w:webHidden/>
          </w:rPr>
        </w:r>
        <w:r>
          <w:rPr>
            <w:noProof/>
            <w:webHidden/>
          </w:rPr>
          <w:fldChar w:fldCharType="separate"/>
        </w:r>
        <w:r w:rsidR="00EF4A66">
          <w:rPr>
            <w:noProof/>
            <w:webHidden/>
          </w:rPr>
          <w:t>4</w:t>
        </w:r>
        <w:r>
          <w:rPr>
            <w:noProof/>
            <w:webHidden/>
          </w:rPr>
          <w:fldChar w:fldCharType="end"/>
        </w:r>
      </w:hyperlink>
    </w:p>
    <w:p w14:paraId="76C04874" w14:textId="22F3DC7B" w:rsidR="00BA527E" w:rsidRPr="00EF4A66" w:rsidRDefault="00BA527E">
      <w:pPr>
        <w:pStyle w:val="TOC2"/>
        <w:tabs>
          <w:tab w:val="right" w:leader="dot" w:pos="9629"/>
        </w:tabs>
        <w:rPr>
          <w:noProof/>
        </w:rPr>
      </w:pPr>
      <w:hyperlink w:anchor="_Toc207030735" w:history="1">
        <w:r w:rsidRPr="00E53CC4">
          <w:rPr>
            <w:rStyle w:val="Hyperlink"/>
            <w:noProof/>
            <w:lang w:val="en-GB"/>
          </w:rPr>
          <w:t>Methods</w:t>
        </w:r>
        <w:r>
          <w:rPr>
            <w:noProof/>
            <w:webHidden/>
          </w:rPr>
          <w:tab/>
        </w:r>
        <w:r>
          <w:rPr>
            <w:noProof/>
            <w:webHidden/>
          </w:rPr>
          <w:fldChar w:fldCharType="begin"/>
        </w:r>
        <w:r>
          <w:rPr>
            <w:noProof/>
            <w:webHidden/>
          </w:rPr>
          <w:instrText xml:space="preserve"> PAGEREF _Toc207030735 \h </w:instrText>
        </w:r>
        <w:r>
          <w:rPr>
            <w:noProof/>
            <w:webHidden/>
          </w:rPr>
        </w:r>
        <w:r>
          <w:rPr>
            <w:noProof/>
            <w:webHidden/>
          </w:rPr>
          <w:fldChar w:fldCharType="separate"/>
        </w:r>
        <w:r w:rsidR="00EF4A66">
          <w:rPr>
            <w:noProof/>
            <w:webHidden/>
          </w:rPr>
          <w:t>4</w:t>
        </w:r>
        <w:r>
          <w:rPr>
            <w:noProof/>
            <w:webHidden/>
          </w:rPr>
          <w:fldChar w:fldCharType="end"/>
        </w:r>
      </w:hyperlink>
    </w:p>
    <w:p w14:paraId="49A87C68" w14:textId="3676E85B" w:rsidR="00BA527E" w:rsidRPr="00EF4A66" w:rsidRDefault="00BA527E">
      <w:pPr>
        <w:pStyle w:val="TOC2"/>
        <w:tabs>
          <w:tab w:val="right" w:leader="dot" w:pos="9629"/>
        </w:tabs>
        <w:rPr>
          <w:noProof/>
        </w:rPr>
      </w:pPr>
      <w:hyperlink w:anchor="_Toc207030736" w:history="1">
        <w:r w:rsidRPr="00E53CC4">
          <w:rPr>
            <w:rStyle w:val="Hyperlink"/>
            <w:noProof/>
            <w:lang w:val="en-GB"/>
          </w:rPr>
          <w:t>Results</w:t>
        </w:r>
        <w:r>
          <w:rPr>
            <w:noProof/>
            <w:webHidden/>
          </w:rPr>
          <w:tab/>
        </w:r>
        <w:r>
          <w:rPr>
            <w:noProof/>
            <w:webHidden/>
          </w:rPr>
          <w:fldChar w:fldCharType="begin"/>
        </w:r>
        <w:r>
          <w:rPr>
            <w:noProof/>
            <w:webHidden/>
          </w:rPr>
          <w:instrText xml:space="preserve"> PAGEREF _Toc207030736 \h </w:instrText>
        </w:r>
        <w:r>
          <w:rPr>
            <w:noProof/>
            <w:webHidden/>
          </w:rPr>
        </w:r>
        <w:r>
          <w:rPr>
            <w:noProof/>
            <w:webHidden/>
          </w:rPr>
          <w:fldChar w:fldCharType="separate"/>
        </w:r>
        <w:r w:rsidR="00EF4A66">
          <w:rPr>
            <w:noProof/>
            <w:webHidden/>
          </w:rPr>
          <w:t>4</w:t>
        </w:r>
        <w:r>
          <w:rPr>
            <w:noProof/>
            <w:webHidden/>
          </w:rPr>
          <w:fldChar w:fldCharType="end"/>
        </w:r>
      </w:hyperlink>
    </w:p>
    <w:p w14:paraId="5FB97BC5" w14:textId="06565191" w:rsidR="00BA527E" w:rsidRPr="00EF4A66" w:rsidRDefault="00BA527E">
      <w:pPr>
        <w:pStyle w:val="TOC2"/>
        <w:tabs>
          <w:tab w:val="right" w:leader="dot" w:pos="9629"/>
        </w:tabs>
        <w:rPr>
          <w:noProof/>
        </w:rPr>
      </w:pPr>
      <w:hyperlink w:anchor="_Toc207030737" w:history="1">
        <w:r w:rsidRPr="00E53CC4">
          <w:rPr>
            <w:rStyle w:val="Hyperlink"/>
            <w:noProof/>
            <w:lang w:val="en-GB"/>
          </w:rPr>
          <w:t>Conclusion</w:t>
        </w:r>
        <w:r>
          <w:rPr>
            <w:noProof/>
            <w:webHidden/>
          </w:rPr>
          <w:tab/>
        </w:r>
        <w:r>
          <w:rPr>
            <w:noProof/>
            <w:webHidden/>
          </w:rPr>
          <w:fldChar w:fldCharType="begin"/>
        </w:r>
        <w:r>
          <w:rPr>
            <w:noProof/>
            <w:webHidden/>
          </w:rPr>
          <w:instrText xml:space="preserve"> PAGEREF _Toc207030737 \h </w:instrText>
        </w:r>
        <w:r>
          <w:rPr>
            <w:noProof/>
            <w:webHidden/>
          </w:rPr>
        </w:r>
        <w:r>
          <w:rPr>
            <w:noProof/>
            <w:webHidden/>
          </w:rPr>
          <w:fldChar w:fldCharType="separate"/>
        </w:r>
        <w:r w:rsidR="00EF4A66">
          <w:rPr>
            <w:noProof/>
            <w:webHidden/>
          </w:rPr>
          <w:t>4</w:t>
        </w:r>
        <w:r>
          <w:rPr>
            <w:noProof/>
            <w:webHidden/>
          </w:rPr>
          <w:fldChar w:fldCharType="end"/>
        </w:r>
      </w:hyperlink>
    </w:p>
    <w:p w14:paraId="69CE142C" w14:textId="345BC5C6" w:rsidR="00BA527E" w:rsidRPr="00EF4A66" w:rsidRDefault="00BA527E">
      <w:pPr>
        <w:pStyle w:val="TOC1"/>
        <w:rPr>
          <w:noProof/>
        </w:rPr>
      </w:pPr>
      <w:hyperlink w:anchor="_Toc207030738" w:history="1">
        <w:r w:rsidRPr="00E53CC4">
          <w:rPr>
            <w:rStyle w:val="Hyperlink"/>
            <w:noProof/>
          </w:rPr>
          <w:t>Introduction</w:t>
        </w:r>
        <w:r>
          <w:rPr>
            <w:noProof/>
            <w:webHidden/>
          </w:rPr>
          <w:tab/>
        </w:r>
        <w:r>
          <w:rPr>
            <w:noProof/>
            <w:webHidden/>
          </w:rPr>
          <w:fldChar w:fldCharType="begin"/>
        </w:r>
        <w:r>
          <w:rPr>
            <w:noProof/>
            <w:webHidden/>
          </w:rPr>
          <w:instrText xml:space="preserve"> PAGEREF _Toc207030738 \h </w:instrText>
        </w:r>
        <w:r>
          <w:rPr>
            <w:noProof/>
            <w:webHidden/>
          </w:rPr>
        </w:r>
        <w:r>
          <w:rPr>
            <w:noProof/>
            <w:webHidden/>
          </w:rPr>
          <w:fldChar w:fldCharType="separate"/>
        </w:r>
        <w:r w:rsidR="00EF4A66">
          <w:rPr>
            <w:noProof/>
            <w:webHidden/>
          </w:rPr>
          <w:t>5</w:t>
        </w:r>
        <w:r>
          <w:rPr>
            <w:noProof/>
            <w:webHidden/>
          </w:rPr>
          <w:fldChar w:fldCharType="end"/>
        </w:r>
      </w:hyperlink>
    </w:p>
    <w:p w14:paraId="21E8D37F" w14:textId="1F4CA716" w:rsidR="00BA527E" w:rsidRPr="00EF4A66" w:rsidRDefault="00BA527E">
      <w:pPr>
        <w:pStyle w:val="TOC2"/>
        <w:tabs>
          <w:tab w:val="right" w:leader="dot" w:pos="9629"/>
        </w:tabs>
        <w:rPr>
          <w:noProof/>
        </w:rPr>
      </w:pPr>
      <w:hyperlink w:anchor="_Toc207030739" w:history="1">
        <w:r w:rsidRPr="00E53CC4">
          <w:rPr>
            <w:rStyle w:val="Hyperlink"/>
            <w:noProof/>
            <w:lang w:val="en-GB"/>
          </w:rPr>
          <w:t>Epidemiology</w:t>
        </w:r>
        <w:r>
          <w:rPr>
            <w:noProof/>
            <w:webHidden/>
          </w:rPr>
          <w:tab/>
        </w:r>
        <w:r>
          <w:rPr>
            <w:noProof/>
            <w:webHidden/>
          </w:rPr>
          <w:fldChar w:fldCharType="begin"/>
        </w:r>
        <w:r>
          <w:rPr>
            <w:noProof/>
            <w:webHidden/>
          </w:rPr>
          <w:instrText xml:space="preserve"> PAGEREF _Toc207030739 \h </w:instrText>
        </w:r>
        <w:r>
          <w:rPr>
            <w:noProof/>
            <w:webHidden/>
          </w:rPr>
        </w:r>
        <w:r>
          <w:rPr>
            <w:noProof/>
            <w:webHidden/>
          </w:rPr>
          <w:fldChar w:fldCharType="separate"/>
        </w:r>
        <w:r w:rsidR="00EF4A66">
          <w:rPr>
            <w:noProof/>
            <w:webHidden/>
          </w:rPr>
          <w:t>5</w:t>
        </w:r>
        <w:r>
          <w:rPr>
            <w:noProof/>
            <w:webHidden/>
          </w:rPr>
          <w:fldChar w:fldCharType="end"/>
        </w:r>
      </w:hyperlink>
    </w:p>
    <w:p w14:paraId="7C067E1C" w14:textId="17EE5978" w:rsidR="00BA527E" w:rsidRPr="00EF4A66" w:rsidRDefault="00BA527E">
      <w:pPr>
        <w:pStyle w:val="TOC2"/>
        <w:tabs>
          <w:tab w:val="right" w:leader="dot" w:pos="9629"/>
        </w:tabs>
        <w:rPr>
          <w:noProof/>
        </w:rPr>
      </w:pPr>
      <w:hyperlink w:anchor="_Toc207030740" w:history="1">
        <w:r w:rsidRPr="00E53CC4">
          <w:rPr>
            <w:rStyle w:val="Hyperlink"/>
            <w:noProof/>
            <w:lang w:val="en-GB"/>
          </w:rPr>
          <w:t>Resistance profiles</w:t>
        </w:r>
        <w:r>
          <w:rPr>
            <w:noProof/>
            <w:webHidden/>
          </w:rPr>
          <w:tab/>
        </w:r>
        <w:r>
          <w:rPr>
            <w:noProof/>
            <w:webHidden/>
          </w:rPr>
          <w:fldChar w:fldCharType="begin"/>
        </w:r>
        <w:r>
          <w:rPr>
            <w:noProof/>
            <w:webHidden/>
          </w:rPr>
          <w:instrText xml:space="preserve"> PAGEREF _Toc207030740 \h </w:instrText>
        </w:r>
        <w:r>
          <w:rPr>
            <w:noProof/>
            <w:webHidden/>
          </w:rPr>
        </w:r>
        <w:r>
          <w:rPr>
            <w:noProof/>
            <w:webHidden/>
          </w:rPr>
          <w:fldChar w:fldCharType="separate"/>
        </w:r>
        <w:r w:rsidR="00EF4A66">
          <w:rPr>
            <w:noProof/>
            <w:webHidden/>
          </w:rPr>
          <w:t>5</w:t>
        </w:r>
        <w:r>
          <w:rPr>
            <w:noProof/>
            <w:webHidden/>
          </w:rPr>
          <w:fldChar w:fldCharType="end"/>
        </w:r>
      </w:hyperlink>
    </w:p>
    <w:p w14:paraId="2020E33F" w14:textId="2DC2A44C" w:rsidR="00BA527E" w:rsidRPr="00EF4A66" w:rsidRDefault="00BA527E">
      <w:pPr>
        <w:pStyle w:val="TOC2"/>
        <w:tabs>
          <w:tab w:val="right" w:leader="dot" w:pos="9629"/>
        </w:tabs>
        <w:rPr>
          <w:noProof/>
        </w:rPr>
      </w:pPr>
      <w:hyperlink w:anchor="_Toc207030741" w:history="1">
        <w:r w:rsidRPr="00E53CC4">
          <w:rPr>
            <w:rStyle w:val="Hyperlink"/>
            <w:noProof/>
            <w:lang w:val="en-GB"/>
          </w:rPr>
          <w:t>Local responses to reducing infections</w:t>
        </w:r>
        <w:r>
          <w:rPr>
            <w:noProof/>
            <w:webHidden/>
          </w:rPr>
          <w:tab/>
        </w:r>
        <w:r>
          <w:rPr>
            <w:noProof/>
            <w:webHidden/>
          </w:rPr>
          <w:fldChar w:fldCharType="begin"/>
        </w:r>
        <w:r>
          <w:rPr>
            <w:noProof/>
            <w:webHidden/>
          </w:rPr>
          <w:instrText xml:space="preserve"> PAGEREF _Toc207030741 \h </w:instrText>
        </w:r>
        <w:r>
          <w:rPr>
            <w:noProof/>
            <w:webHidden/>
          </w:rPr>
        </w:r>
        <w:r>
          <w:rPr>
            <w:noProof/>
            <w:webHidden/>
          </w:rPr>
          <w:fldChar w:fldCharType="separate"/>
        </w:r>
        <w:r w:rsidR="00EF4A66">
          <w:rPr>
            <w:noProof/>
            <w:webHidden/>
          </w:rPr>
          <w:t>6</w:t>
        </w:r>
        <w:r>
          <w:rPr>
            <w:noProof/>
            <w:webHidden/>
          </w:rPr>
          <w:fldChar w:fldCharType="end"/>
        </w:r>
      </w:hyperlink>
    </w:p>
    <w:p w14:paraId="28BAB118" w14:textId="05B09F2E" w:rsidR="00BA527E" w:rsidRPr="00EF4A66" w:rsidRDefault="00BA527E">
      <w:pPr>
        <w:pStyle w:val="TOC2"/>
        <w:tabs>
          <w:tab w:val="right" w:leader="dot" w:pos="9629"/>
        </w:tabs>
        <w:rPr>
          <w:noProof/>
        </w:rPr>
      </w:pPr>
      <w:hyperlink w:anchor="_Toc207030742" w:history="1">
        <w:r w:rsidRPr="00E53CC4">
          <w:rPr>
            <w:rStyle w:val="Hyperlink"/>
            <w:noProof/>
            <w:lang w:val="en-GB"/>
          </w:rPr>
          <w:t>Research aim</w:t>
        </w:r>
        <w:r>
          <w:rPr>
            <w:noProof/>
            <w:webHidden/>
          </w:rPr>
          <w:tab/>
        </w:r>
        <w:r>
          <w:rPr>
            <w:noProof/>
            <w:webHidden/>
          </w:rPr>
          <w:fldChar w:fldCharType="begin"/>
        </w:r>
        <w:r>
          <w:rPr>
            <w:noProof/>
            <w:webHidden/>
          </w:rPr>
          <w:instrText xml:space="preserve"> PAGEREF _Toc207030742 \h </w:instrText>
        </w:r>
        <w:r>
          <w:rPr>
            <w:noProof/>
            <w:webHidden/>
          </w:rPr>
        </w:r>
        <w:r>
          <w:rPr>
            <w:noProof/>
            <w:webHidden/>
          </w:rPr>
          <w:fldChar w:fldCharType="separate"/>
        </w:r>
        <w:r w:rsidR="00EF4A66">
          <w:rPr>
            <w:noProof/>
            <w:webHidden/>
          </w:rPr>
          <w:t>6</w:t>
        </w:r>
        <w:r>
          <w:rPr>
            <w:noProof/>
            <w:webHidden/>
          </w:rPr>
          <w:fldChar w:fldCharType="end"/>
        </w:r>
      </w:hyperlink>
    </w:p>
    <w:p w14:paraId="1D28AAF4" w14:textId="5AAC3142" w:rsidR="00BA527E" w:rsidRPr="00EF4A66" w:rsidRDefault="00BA527E">
      <w:pPr>
        <w:pStyle w:val="TOC1"/>
        <w:rPr>
          <w:noProof/>
        </w:rPr>
      </w:pPr>
      <w:hyperlink w:anchor="_Toc207030743" w:history="1">
        <w:r w:rsidRPr="00E53CC4">
          <w:rPr>
            <w:rStyle w:val="Hyperlink"/>
            <w:noProof/>
            <w:lang w:val="en-GB"/>
          </w:rPr>
          <w:t>Method</w:t>
        </w:r>
        <w:r>
          <w:rPr>
            <w:noProof/>
            <w:webHidden/>
          </w:rPr>
          <w:tab/>
        </w:r>
        <w:r>
          <w:rPr>
            <w:noProof/>
            <w:webHidden/>
          </w:rPr>
          <w:fldChar w:fldCharType="begin"/>
        </w:r>
        <w:r>
          <w:rPr>
            <w:noProof/>
            <w:webHidden/>
          </w:rPr>
          <w:instrText xml:space="preserve"> PAGEREF _Toc207030743 \h </w:instrText>
        </w:r>
        <w:r>
          <w:rPr>
            <w:noProof/>
            <w:webHidden/>
          </w:rPr>
        </w:r>
        <w:r>
          <w:rPr>
            <w:noProof/>
            <w:webHidden/>
          </w:rPr>
          <w:fldChar w:fldCharType="separate"/>
        </w:r>
        <w:r w:rsidR="00EF4A66">
          <w:rPr>
            <w:noProof/>
            <w:webHidden/>
          </w:rPr>
          <w:t>7</w:t>
        </w:r>
        <w:r>
          <w:rPr>
            <w:noProof/>
            <w:webHidden/>
          </w:rPr>
          <w:fldChar w:fldCharType="end"/>
        </w:r>
      </w:hyperlink>
    </w:p>
    <w:p w14:paraId="3C332630" w14:textId="36E7170B" w:rsidR="00BA527E" w:rsidRPr="00EF4A66" w:rsidRDefault="00BA527E">
      <w:pPr>
        <w:pStyle w:val="TOC2"/>
        <w:tabs>
          <w:tab w:val="right" w:leader="dot" w:pos="9629"/>
        </w:tabs>
        <w:rPr>
          <w:noProof/>
        </w:rPr>
      </w:pPr>
      <w:hyperlink w:anchor="_Toc207030744" w:history="1">
        <w:r w:rsidRPr="00E53CC4">
          <w:rPr>
            <w:rStyle w:val="Hyperlink"/>
            <w:noProof/>
            <w:lang w:val="en-GB"/>
          </w:rPr>
          <w:t>Statistical analyses</w:t>
        </w:r>
        <w:r>
          <w:rPr>
            <w:noProof/>
            <w:webHidden/>
          </w:rPr>
          <w:tab/>
        </w:r>
        <w:r>
          <w:rPr>
            <w:noProof/>
            <w:webHidden/>
          </w:rPr>
          <w:fldChar w:fldCharType="begin"/>
        </w:r>
        <w:r>
          <w:rPr>
            <w:noProof/>
            <w:webHidden/>
          </w:rPr>
          <w:instrText xml:space="preserve"> PAGEREF _Toc207030744 \h </w:instrText>
        </w:r>
        <w:r>
          <w:rPr>
            <w:noProof/>
            <w:webHidden/>
          </w:rPr>
        </w:r>
        <w:r>
          <w:rPr>
            <w:noProof/>
            <w:webHidden/>
          </w:rPr>
          <w:fldChar w:fldCharType="separate"/>
        </w:r>
        <w:r w:rsidR="00EF4A66">
          <w:rPr>
            <w:noProof/>
            <w:webHidden/>
          </w:rPr>
          <w:t>7</w:t>
        </w:r>
        <w:r>
          <w:rPr>
            <w:noProof/>
            <w:webHidden/>
          </w:rPr>
          <w:fldChar w:fldCharType="end"/>
        </w:r>
      </w:hyperlink>
    </w:p>
    <w:p w14:paraId="114CC739" w14:textId="72C902AD" w:rsidR="00BA527E" w:rsidRPr="00EF4A66" w:rsidRDefault="00BA527E">
      <w:pPr>
        <w:pStyle w:val="TOC1"/>
        <w:rPr>
          <w:noProof/>
        </w:rPr>
      </w:pPr>
      <w:hyperlink w:anchor="_Toc207030745" w:history="1">
        <w:r w:rsidRPr="00E53CC4">
          <w:rPr>
            <w:rStyle w:val="Hyperlink"/>
            <w:noProof/>
          </w:rPr>
          <w:t>Results</w:t>
        </w:r>
        <w:r>
          <w:rPr>
            <w:noProof/>
            <w:webHidden/>
          </w:rPr>
          <w:tab/>
        </w:r>
        <w:r>
          <w:rPr>
            <w:noProof/>
            <w:webHidden/>
          </w:rPr>
          <w:fldChar w:fldCharType="begin"/>
        </w:r>
        <w:r>
          <w:rPr>
            <w:noProof/>
            <w:webHidden/>
          </w:rPr>
          <w:instrText xml:space="preserve"> PAGEREF _Toc207030745 \h </w:instrText>
        </w:r>
        <w:r>
          <w:rPr>
            <w:noProof/>
            <w:webHidden/>
          </w:rPr>
        </w:r>
        <w:r>
          <w:rPr>
            <w:noProof/>
            <w:webHidden/>
          </w:rPr>
          <w:fldChar w:fldCharType="separate"/>
        </w:r>
        <w:r w:rsidR="00EF4A66">
          <w:rPr>
            <w:noProof/>
            <w:webHidden/>
          </w:rPr>
          <w:t>8</w:t>
        </w:r>
        <w:r>
          <w:rPr>
            <w:noProof/>
            <w:webHidden/>
          </w:rPr>
          <w:fldChar w:fldCharType="end"/>
        </w:r>
      </w:hyperlink>
    </w:p>
    <w:p w14:paraId="498389A2" w14:textId="414C0AE3" w:rsidR="00BA527E" w:rsidRPr="00EF4A66" w:rsidRDefault="00BA527E">
      <w:pPr>
        <w:pStyle w:val="TOC2"/>
        <w:tabs>
          <w:tab w:val="right" w:leader="dot" w:pos="9629"/>
        </w:tabs>
        <w:rPr>
          <w:noProof/>
        </w:rPr>
      </w:pPr>
      <w:hyperlink w:anchor="_Toc207030746" w:history="1">
        <w:r w:rsidRPr="00E53CC4">
          <w:rPr>
            <w:rStyle w:val="Hyperlink"/>
            <w:noProof/>
            <w:lang w:val="en-GB"/>
          </w:rPr>
          <w:t>Case demographics</w:t>
        </w:r>
        <w:r>
          <w:rPr>
            <w:noProof/>
            <w:webHidden/>
          </w:rPr>
          <w:tab/>
        </w:r>
        <w:r>
          <w:rPr>
            <w:noProof/>
            <w:webHidden/>
          </w:rPr>
          <w:fldChar w:fldCharType="begin"/>
        </w:r>
        <w:r>
          <w:rPr>
            <w:noProof/>
            <w:webHidden/>
          </w:rPr>
          <w:instrText xml:space="preserve"> PAGEREF _Toc207030746 \h </w:instrText>
        </w:r>
        <w:r>
          <w:rPr>
            <w:noProof/>
            <w:webHidden/>
          </w:rPr>
        </w:r>
        <w:r>
          <w:rPr>
            <w:noProof/>
            <w:webHidden/>
          </w:rPr>
          <w:fldChar w:fldCharType="separate"/>
        </w:r>
        <w:r w:rsidR="00EF4A66">
          <w:rPr>
            <w:noProof/>
            <w:webHidden/>
          </w:rPr>
          <w:t>8</w:t>
        </w:r>
        <w:r>
          <w:rPr>
            <w:noProof/>
            <w:webHidden/>
          </w:rPr>
          <w:fldChar w:fldCharType="end"/>
        </w:r>
      </w:hyperlink>
    </w:p>
    <w:p w14:paraId="5643E0F8" w14:textId="4DD5A5C2" w:rsidR="00BA527E" w:rsidRPr="00EF4A66" w:rsidRDefault="00BA527E">
      <w:pPr>
        <w:pStyle w:val="TOC2"/>
        <w:tabs>
          <w:tab w:val="right" w:leader="dot" w:pos="9629"/>
        </w:tabs>
        <w:rPr>
          <w:noProof/>
        </w:rPr>
      </w:pPr>
      <w:hyperlink w:anchor="_Toc207030747" w:history="1">
        <w:r w:rsidRPr="00E53CC4">
          <w:rPr>
            <w:rStyle w:val="Hyperlink"/>
            <w:noProof/>
            <w:lang w:val="en-GB"/>
          </w:rPr>
          <w:t>Risk factors</w:t>
        </w:r>
        <w:r>
          <w:rPr>
            <w:noProof/>
            <w:webHidden/>
          </w:rPr>
          <w:tab/>
        </w:r>
        <w:r>
          <w:rPr>
            <w:noProof/>
            <w:webHidden/>
          </w:rPr>
          <w:fldChar w:fldCharType="begin"/>
        </w:r>
        <w:r>
          <w:rPr>
            <w:noProof/>
            <w:webHidden/>
          </w:rPr>
          <w:instrText xml:space="preserve"> PAGEREF _Toc207030747 \h </w:instrText>
        </w:r>
        <w:r>
          <w:rPr>
            <w:noProof/>
            <w:webHidden/>
          </w:rPr>
        </w:r>
        <w:r>
          <w:rPr>
            <w:noProof/>
            <w:webHidden/>
          </w:rPr>
          <w:fldChar w:fldCharType="separate"/>
        </w:r>
        <w:r w:rsidR="00EF4A66">
          <w:rPr>
            <w:noProof/>
            <w:webHidden/>
          </w:rPr>
          <w:t>9</w:t>
        </w:r>
        <w:r>
          <w:rPr>
            <w:noProof/>
            <w:webHidden/>
          </w:rPr>
          <w:fldChar w:fldCharType="end"/>
        </w:r>
      </w:hyperlink>
    </w:p>
    <w:p w14:paraId="051A7120" w14:textId="2583973F" w:rsidR="00BA527E" w:rsidRPr="00EF4A66" w:rsidRDefault="00BA527E">
      <w:pPr>
        <w:pStyle w:val="TOC2"/>
        <w:tabs>
          <w:tab w:val="right" w:leader="dot" w:pos="9629"/>
        </w:tabs>
        <w:rPr>
          <w:noProof/>
        </w:rPr>
      </w:pPr>
      <w:hyperlink w:anchor="_Toc207030748" w:history="1">
        <w:r w:rsidRPr="00E53CC4">
          <w:rPr>
            <w:rStyle w:val="Hyperlink"/>
            <w:noProof/>
            <w:lang w:val="en-GB"/>
          </w:rPr>
          <w:t>Laboratory confirmed cases</w:t>
        </w:r>
        <w:r>
          <w:rPr>
            <w:noProof/>
            <w:webHidden/>
          </w:rPr>
          <w:tab/>
        </w:r>
        <w:r>
          <w:rPr>
            <w:noProof/>
            <w:webHidden/>
          </w:rPr>
          <w:fldChar w:fldCharType="begin"/>
        </w:r>
        <w:r>
          <w:rPr>
            <w:noProof/>
            <w:webHidden/>
          </w:rPr>
          <w:instrText xml:space="preserve"> PAGEREF _Toc207030748 \h </w:instrText>
        </w:r>
        <w:r>
          <w:rPr>
            <w:noProof/>
            <w:webHidden/>
          </w:rPr>
        </w:r>
        <w:r>
          <w:rPr>
            <w:noProof/>
            <w:webHidden/>
          </w:rPr>
          <w:fldChar w:fldCharType="separate"/>
        </w:r>
        <w:r w:rsidR="00EF4A66">
          <w:rPr>
            <w:noProof/>
            <w:webHidden/>
          </w:rPr>
          <w:t>11</w:t>
        </w:r>
        <w:r>
          <w:rPr>
            <w:noProof/>
            <w:webHidden/>
          </w:rPr>
          <w:fldChar w:fldCharType="end"/>
        </w:r>
      </w:hyperlink>
    </w:p>
    <w:p w14:paraId="627282BC" w14:textId="00FC70EF" w:rsidR="00BA527E" w:rsidRPr="00EF4A66" w:rsidRDefault="00BA527E">
      <w:pPr>
        <w:pStyle w:val="TOC1"/>
        <w:rPr>
          <w:noProof/>
        </w:rPr>
      </w:pPr>
      <w:hyperlink w:anchor="_Toc207030749" w:history="1">
        <w:r w:rsidRPr="00E53CC4">
          <w:rPr>
            <w:rStyle w:val="Hyperlink"/>
            <w:noProof/>
          </w:rPr>
          <w:t>Discussion</w:t>
        </w:r>
        <w:r>
          <w:rPr>
            <w:noProof/>
            <w:webHidden/>
          </w:rPr>
          <w:tab/>
        </w:r>
        <w:r>
          <w:rPr>
            <w:noProof/>
            <w:webHidden/>
          </w:rPr>
          <w:fldChar w:fldCharType="begin"/>
        </w:r>
        <w:r>
          <w:rPr>
            <w:noProof/>
            <w:webHidden/>
          </w:rPr>
          <w:instrText xml:space="preserve"> PAGEREF _Toc207030749 \h </w:instrText>
        </w:r>
        <w:r>
          <w:rPr>
            <w:noProof/>
            <w:webHidden/>
          </w:rPr>
        </w:r>
        <w:r>
          <w:rPr>
            <w:noProof/>
            <w:webHidden/>
          </w:rPr>
          <w:fldChar w:fldCharType="separate"/>
        </w:r>
        <w:r w:rsidR="00EF4A66">
          <w:rPr>
            <w:noProof/>
            <w:webHidden/>
          </w:rPr>
          <w:t>13</w:t>
        </w:r>
        <w:r>
          <w:rPr>
            <w:noProof/>
            <w:webHidden/>
          </w:rPr>
          <w:fldChar w:fldCharType="end"/>
        </w:r>
      </w:hyperlink>
    </w:p>
    <w:p w14:paraId="5E0E4348" w14:textId="62DE2F09" w:rsidR="00BA527E" w:rsidRPr="00EF4A66" w:rsidRDefault="00BA527E">
      <w:pPr>
        <w:pStyle w:val="TOC2"/>
        <w:tabs>
          <w:tab w:val="right" w:leader="dot" w:pos="9629"/>
        </w:tabs>
        <w:rPr>
          <w:noProof/>
        </w:rPr>
      </w:pPr>
      <w:hyperlink w:anchor="_Toc207030750" w:history="1">
        <w:r w:rsidRPr="00E53CC4">
          <w:rPr>
            <w:rStyle w:val="Hyperlink"/>
            <w:noProof/>
            <w:lang w:val="en-GB"/>
          </w:rPr>
          <w:t>Future directions</w:t>
        </w:r>
        <w:r>
          <w:rPr>
            <w:noProof/>
            <w:webHidden/>
          </w:rPr>
          <w:tab/>
        </w:r>
        <w:r>
          <w:rPr>
            <w:noProof/>
            <w:webHidden/>
          </w:rPr>
          <w:fldChar w:fldCharType="begin"/>
        </w:r>
        <w:r>
          <w:rPr>
            <w:noProof/>
            <w:webHidden/>
          </w:rPr>
          <w:instrText xml:space="preserve"> PAGEREF _Toc207030750 \h </w:instrText>
        </w:r>
        <w:r>
          <w:rPr>
            <w:noProof/>
            <w:webHidden/>
          </w:rPr>
        </w:r>
        <w:r>
          <w:rPr>
            <w:noProof/>
            <w:webHidden/>
          </w:rPr>
          <w:fldChar w:fldCharType="separate"/>
        </w:r>
        <w:r w:rsidR="00EF4A66">
          <w:rPr>
            <w:noProof/>
            <w:webHidden/>
          </w:rPr>
          <w:t>14</w:t>
        </w:r>
        <w:r>
          <w:rPr>
            <w:noProof/>
            <w:webHidden/>
          </w:rPr>
          <w:fldChar w:fldCharType="end"/>
        </w:r>
      </w:hyperlink>
    </w:p>
    <w:p w14:paraId="64380AF4" w14:textId="455EACEE" w:rsidR="00BA527E" w:rsidRPr="00EF4A66" w:rsidRDefault="00BA527E">
      <w:pPr>
        <w:pStyle w:val="TOC1"/>
        <w:rPr>
          <w:noProof/>
        </w:rPr>
      </w:pPr>
      <w:hyperlink w:anchor="_Toc207030751" w:history="1">
        <w:r w:rsidRPr="00E53CC4">
          <w:rPr>
            <w:rStyle w:val="Hyperlink"/>
            <w:noProof/>
          </w:rPr>
          <w:t>Conclusion</w:t>
        </w:r>
        <w:r>
          <w:rPr>
            <w:noProof/>
            <w:webHidden/>
          </w:rPr>
          <w:tab/>
        </w:r>
        <w:r>
          <w:rPr>
            <w:noProof/>
            <w:webHidden/>
          </w:rPr>
          <w:fldChar w:fldCharType="begin"/>
        </w:r>
        <w:r>
          <w:rPr>
            <w:noProof/>
            <w:webHidden/>
          </w:rPr>
          <w:instrText xml:space="preserve"> PAGEREF _Toc207030751 \h </w:instrText>
        </w:r>
        <w:r>
          <w:rPr>
            <w:noProof/>
            <w:webHidden/>
          </w:rPr>
        </w:r>
        <w:r>
          <w:rPr>
            <w:noProof/>
            <w:webHidden/>
          </w:rPr>
          <w:fldChar w:fldCharType="separate"/>
        </w:r>
        <w:r w:rsidR="00EF4A66">
          <w:rPr>
            <w:noProof/>
            <w:webHidden/>
          </w:rPr>
          <w:t>15</w:t>
        </w:r>
        <w:r>
          <w:rPr>
            <w:noProof/>
            <w:webHidden/>
          </w:rPr>
          <w:fldChar w:fldCharType="end"/>
        </w:r>
      </w:hyperlink>
    </w:p>
    <w:p w14:paraId="55091EC3" w14:textId="5F176D51" w:rsidR="00BA527E" w:rsidRPr="00EF4A66" w:rsidRDefault="00BA527E">
      <w:pPr>
        <w:pStyle w:val="TOC1"/>
        <w:rPr>
          <w:noProof/>
        </w:rPr>
      </w:pPr>
      <w:hyperlink w:anchor="_Toc207030752" w:history="1">
        <w:r w:rsidRPr="00E53CC4">
          <w:rPr>
            <w:rStyle w:val="Hyperlink"/>
            <w:noProof/>
          </w:rPr>
          <w:t>Acknowledgments</w:t>
        </w:r>
        <w:r>
          <w:rPr>
            <w:noProof/>
            <w:webHidden/>
          </w:rPr>
          <w:tab/>
        </w:r>
        <w:r>
          <w:rPr>
            <w:noProof/>
            <w:webHidden/>
          </w:rPr>
          <w:fldChar w:fldCharType="begin"/>
        </w:r>
        <w:r>
          <w:rPr>
            <w:noProof/>
            <w:webHidden/>
          </w:rPr>
          <w:instrText xml:space="preserve"> PAGEREF _Toc207030752 \h </w:instrText>
        </w:r>
        <w:r>
          <w:rPr>
            <w:noProof/>
            <w:webHidden/>
          </w:rPr>
        </w:r>
        <w:r>
          <w:rPr>
            <w:noProof/>
            <w:webHidden/>
          </w:rPr>
          <w:fldChar w:fldCharType="separate"/>
        </w:r>
        <w:r w:rsidR="00EF4A66">
          <w:rPr>
            <w:noProof/>
            <w:webHidden/>
          </w:rPr>
          <w:t>16</w:t>
        </w:r>
        <w:r>
          <w:rPr>
            <w:noProof/>
            <w:webHidden/>
          </w:rPr>
          <w:fldChar w:fldCharType="end"/>
        </w:r>
      </w:hyperlink>
    </w:p>
    <w:p w14:paraId="59EDFCCC" w14:textId="7037A4A4" w:rsidR="00BA527E" w:rsidRPr="00EF4A66" w:rsidRDefault="00BA527E">
      <w:pPr>
        <w:pStyle w:val="TOC1"/>
        <w:rPr>
          <w:noProof/>
        </w:rPr>
      </w:pPr>
      <w:hyperlink w:anchor="_Toc207030753" w:history="1">
        <w:r w:rsidRPr="00E53CC4">
          <w:rPr>
            <w:rStyle w:val="Hyperlink"/>
            <w:noProof/>
          </w:rPr>
          <w:t>Author details</w:t>
        </w:r>
        <w:r>
          <w:rPr>
            <w:noProof/>
            <w:webHidden/>
          </w:rPr>
          <w:tab/>
        </w:r>
        <w:r>
          <w:rPr>
            <w:noProof/>
            <w:webHidden/>
          </w:rPr>
          <w:fldChar w:fldCharType="begin"/>
        </w:r>
        <w:r>
          <w:rPr>
            <w:noProof/>
            <w:webHidden/>
          </w:rPr>
          <w:instrText xml:space="preserve"> PAGEREF _Toc207030753 \h </w:instrText>
        </w:r>
        <w:r>
          <w:rPr>
            <w:noProof/>
            <w:webHidden/>
          </w:rPr>
        </w:r>
        <w:r>
          <w:rPr>
            <w:noProof/>
            <w:webHidden/>
          </w:rPr>
          <w:fldChar w:fldCharType="separate"/>
        </w:r>
        <w:r w:rsidR="00EF4A66">
          <w:rPr>
            <w:noProof/>
            <w:webHidden/>
          </w:rPr>
          <w:t>17</w:t>
        </w:r>
        <w:r>
          <w:rPr>
            <w:noProof/>
            <w:webHidden/>
          </w:rPr>
          <w:fldChar w:fldCharType="end"/>
        </w:r>
      </w:hyperlink>
    </w:p>
    <w:p w14:paraId="1A0815C6" w14:textId="14B7F43D" w:rsidR="00BA527E" w:rsidRPr="00EF4A66" w:rsidRDefault="00BA527E">
      <w:pPr>
        <w:pStyle w:val="TOC1"/>
        <w:rPr>
          <w:noProof/>
        </w:rPr>
      </w:pPr>
      <w:hyperlink w:anchor="_Toc207030754" w:history="1">
        <w:r w:rsidRPr="00E53CC4">
          <w:rPr>
            <w:rStyle w:val="Hyperlink"/>
            <w:noProof/>
          </w:rPr>
          <w:t>References</w:t>
        </w:r>
        <w:r>
          <w:rPr>
            <w:noProof/>
            <w:webHidden/>
          </w:rPr>
          <w:tab/>
        </w:r>
        <w:r>
          <w:rPr>
            <w:noProof/>
            <w:webHidden/>
          </w:rPr>
          <w:fldChar w:fldCharType="begin"/>
        </w:r>
        <w:r>
          <w:rPr>
            <w:noProof/>
            <w:webHidden/>
          </w:rPr>
          <w:instrText xml:space="preserve"> PAGEREF _Toc207030754 \h </w:instrText>
        </w:r>
        <w:r>
          <w:rPr>
            <w:noProof/>
            <w:webHidden/>
          </w:rPr>
        </w:r>
        <w:r>
          <w:rPr>
            <w:noProof/>
            <w:webHidden/>
          </w:rPr>
          <w:fldChar w:fldCharType="separate"/>
        </w:r>
        <w:r w:rsidR="00EF4A66">
          <w:rPr>
            <w:noProof/>
            <w:webHidden/>
          </w:rPr>
          <w:t>18</w:t>
        </w:r>
        <w:r>
          <w:rPr>
            <w:noProof/>
            <w:webHidden/>
          </w:rPr>
          <w:fldChar w:fldCharType="end"/>
        </w:r>
      </w:hyperlink>
    </w:p>
    <w:p w14:paraId="4338037A" w14:textId="535F620B" w:rsidR="00BA527E" w:rsidRPr="00EF4A66" w:rsidRDefault="00BA527E">
      <w:pPr>
        <w:pStyle w:val="TOC1"/>
        <w:rPr>
          <w:noProof/>
        </w:rPr>
      </w:pPr>
      <w:hyperlink w:anchor="_Toc207030755" w:history="1">
        <w:r w:rsidRPr="00E53CC4">
          <w:rPr>
            <w:rStyle w:val="Hyperlink"/>
            <w:noProof/>
          </w:rPr>
          <w:t>Appendix A</w:t>
        </w:r>
        <w:r>
          <w:rPr>
            <w:noProof/>
            <w:webHidden/>
          </w:rPr>
          <w:tab/>
        </w:r>
        <w:r>
          <w:rPr>
            <w:noProof/>
            <w:webHidden/>
          </w:rPr>
          <w:fldChar w:fldCharType="begin"/>
        </w:r>
        <w:r>
          <w:rPr>
            <w:noProof/>
            <w:webHidden/>
          </w:rPr>
          <w:instrText xml:space="preserve"> PAGEREF _Toc207030755 \h </w:instrText>
        </w:r>
        <w:r>
          <w:rPr>
            <w:noProof/>
            <w:webHidden/>
          </w:rPr>
        </w:r>
        <w:r>
          <w:rPr>
            <w:noProof/>
            <w:webHidden/>
          </w:rPr>
          <w:fldChar w:fldCharType="separate"/>
        </w:r>
        <w:r w:rsidR="00EF4A66">
          <w:rPr>
            <w:noProof/>
            <w:webHidden/>
          </w:rPr>
          <w:t>21</w:t>
        </w:r>
        <w:r>
          <w:rPr>
            <w:noProof/>
            <w:webHidden/>
          </w:rPr>
          <w:fldChar w:fldCharType="end"/>
        </w:r>
      </w:hyperlink>
    </w:p>
    <w:p w14:paraId="7A18B72B" w14:textId="56EA4226" w:rsidR="00F216F0" w:rsidRPr="00F216F0" w:rsidRDefault="005A4E9D" w:rsidP="00F216F0">
      <w:r>
        <w:rPr>
          <w:rFonts w:eastAsiaTheme="minorHAnsi" w:cstheme="minorHAnsi"/>
          <w:szCs w:val="24"/>
          <w:lang w:eastAsia="en-US"/>
        </w:rPr>
        <w:fldChar w:fldCharType="end"/>
      </w:r>
    </w:p>
    <w:p w14:paraId="51C6B410" w14:textId="77777777" w:rsidR="00F25C00" w:rsidRDefault="0098426C" w:rsidP="00A24E95">
      <w:pPr>
        <w:pStyle w:val="Heading1"/>
      </w:pPr>
      <w:bookmarkStart w:id="8" w:name="_Toc195530498"/>
      <w:bookmarkStart w:id="9" w:name="_Toc207030732"/>
      <w:bookmarkEnd w:id="7"/>
      <w:r>
        <w:lastRenderedPageBreak/>
        <w:t>Abstract</w:t>
      </w:r>
      <w:bookmarkEnd w:id="8"/>
      <w:bookmarkEnd w:id="9"/>
    </w:p>
    <w:p w14:paraId="298CAD5A" w14:textId="77777777" w:rsidR="00EB5DBD" w:rsidRPr="00EB5DBD" w:rsidRDefault="00EB5DBD" w:rsidP="00EB5DBD">
      <w:pPr>
        <w:pStyle w:val="Heading2-lessspacebefore"/>
        <w:rPr>
          <w:lang w:val="en-GB"/>
        </w:rPr>
      </w:pPr>
      <w:bookmarkStart w:id="10" w:name="_Toc207030733"/>
      <w:r w:rsidRPr="00EB5DBD">
        <w:rPr>
          <w:lang w:val="en-GB"/>
        </w:rPr>
        <w:t>Introduction</w:t>
      </w:r>
      <w:bookmarkEnd w:id="10"/>
    </w:p>
    <w:p w14:paraId="14E32F8A" w14:textId="1C08F8AB" w:rsidR="00EB5DBD" w:rsidRPr="00EB5DBD" w:rsidRDefault="00EB5DBD" w:rsidP="00EB5DBD">
      <w:pPr>
        <w:rPr>
          <w:lang w:val="en-GB"/>
        </w:rPr>
      </w:pPr>
      <w:r w:rsidRPr="00EB5DBD">
        <w:rPr>
          <w:i/>
          <w:iCs/>
          <w:lang w:val="en-GB"/>
        </w:rPr>
        <w:t>Shigella</w:t>
      </w:r>
      <w:r w:rsidRPr="00EB5DBD">
        <w:rPr>
          <w:lang w:val="en-GB"/>
        </w:rPr>
        <w:t xml:space="preserve"> is a notifiable condition in Victoria under the </w:t>
      </w:r>
      <w:r w:rsidRPr="00EB5DBD">
        <w:rPr>
          <w:i/>
          <w:iCs/>
          <w:lang w:val="en-GB"/>
        </w:rPr>
        <w:t>Public Health and Wellbeing Act</w:t>
      </w:r>
      <w:r w:rsidRPr="00EB5DBD">
        <w:rPr>
          <w:lang w:val="en-GB"/>
        </w:rPr>
        <w:t>. Since 24</w:t>
      </w:r>
      <w:r>
        <w:rPr>
          <w:lang w:val="en-GB"/>
        </w:rPr>
        <w:t> </w:t>
      </w:r>
      <w:r w:rsidRPr="00EB5DBD">
        <w:rPr>
          <w:lang w:val="en-GB"/>
        </w:rPr>
        <w:t xml:space="preserve">October 2022, the </w:t>
      </w:r>
      <w:proofErr w:type="gramStart"/>
      <w:r w:rsidRPr="00EB5DBD">
        <w:rPr>
          <w:lang w:val="en-GB"/>
        </w:rPr>
        <w:t>South East</w:t>
      </w:r>
      <w:proofErr w:type="gramEnd"/>
      <w:r w:rsidRPr="00EB5DBD">
        <w:rPr>
          <w:lang w:val="en-GB"/>
        </w:rPr>
        <w:t xml:space="preserve"> Public Health Unit (SEPHU) has been managing these notifications for the </w:t>
      </w:r>
      <w:proofErr w:type="gramStart"/>
      <w:r w:rsidRPr="00EB5DBD">
        <w:rPr>
          <w:lang w:val="en-GB"/>
        </w:rPr>
        <w:t>south east</w:t>
      </w:r>
      <w:proofErr w:type="gramEnd"/>
      <w:r w:rsidRPr="00EB5DBD">
        <w:rPr>
          <w:lang w:val="en-GB"/>
        </w:rPr>
        <w:t xml:space="preserve"> region of Melbourne. </w:t>
      </w:r>
    </w:p>
    <w:p w14:paraId="6AA36C70" w14:textId="77777777" w:rsidR="00EB5DBD" w:rsidRPr="00EB5DBD" w:rsidRDefault="00EB5DBD" w:rsidP="00EB5DBD">
      <w:pPr>
        <w:pStyle w:val="Heading2"/>
      </w:pPr>
      <w:bookmarkStart w:id="11" w:name="_Toc207030734"/>
      <w:r w:rsidRPr="00EB5DBD">
        <w:t>Aim</w:t>
      </w:r>
      <w:bookmarkEnd w:id="11"/>
    </w:p>
    <w:p w14:paraId="1A840471" w14:textId="77777777" w:rsidR="00EB5DBD" w:rsidRPr="00EB5DBD" w:rsidRDefault="00EB5DBD" w:rsidP="00EB5DBD">
      <w:pPr>
        <w:rPr>
          <w:lang w:val="en-GB"/>
        </w:rPr>
      </w:pPr>
      <w:r w:rsidRPr="00EB5DBD">
        <w:rPr>
          <w:lang w:val="en-GB"/>
        </w:rPr>
        <w:t>This study aimed to determine the demographics and risk factors for acquisition of shigellosis cases in the SEPHU catchment.</w:t>
      </w:r>
    </w:p>
    <w:p w14:paraId="55AB3146" w14:textId="77777777" w:rsidR="00EB5DBD" w:rsidRPr="00EB5DBD" w:rsidRDefault="00EB5DBD" w:rsidP="00EB5DBD">
      <w:pPr>
        <w:pStyle w:val="Heading2"/>
        <w:rPr>
          <w:lang w:val="en-GB"/>
        </w:rPr>
      </w:pPr>
      <w:bookmarkStart w:id="12" w:name="_Toc207030735"/>
      <w:r w:rsidRPr="00EB5DBD">
        <w:rPr>
          <w:lang w:val="en-GB"/>
        </w:rPr>
        <w:t>Methods</w:t>
      </w:r>
      <w:bookmarkEnd w:id="12"/>
    </w:p>
    <w:p w14:paraId="238E3C8C" w14:textId="77777777" w:rsidR="00EB5DBD" w:rsidRPr="00EB5DBD" w:rsidRDefault="00EB5DBD" w:rsidP="00EB5DBD">
      <w:pPr>
        <w:rPr>
          <w:lang w:val="en-GB"/>
        </w:rPr>
      </w:pPr>
      <w:r w:rsidRPr="00EB5DBD">
        <w:rPr>
          <w:lang w:val="en-GB"/>
        </w:rPr>
        <w:t>A review was performed of all shigellosis notifications within the SEPHU catchment during the period 1 January 1</w:t>
      </w:r>
      <w:proofErr w:type="gramStart"/>
      <w:r w:rsidRPr="00EB5DBD">
        <w:rPr>
          <w:lang w:val="en-GB"/>
        </w:rPr>
        <w:t xml:space="preserve"> 2022</w:t>
      </w:r>
      <w:proofErr w:type="gramEnd"/>
      <w:r w:rsidRPr="00EB5DBD">
        <w:rPr>
          <w:lang w:val="en-GB"/>
        </w:rPr>
        <w:t xml:space="preserve"> – 31 March 2023. De-identified information was collated from the Public Health Event Surveillance System (PHESS) for analysis of demographics, risk factors and antimicrobial resistance. </w:t>
      </w:r>
    </w:p>
    <w:p w14:paraId="22B592D7" w14:textId="77777777" w:rsidR="00EB5DBD" w:rsidRPr="00EB5DBD" w:rsidRDefault="00EB5DBD" w:rsidP="00EB5DBD">
      <w:pPr>
        <w:pStyle w:val="Heading2"/>
        <w:rPr>
          <w:lang w:val="en-GB"/>
        </w:rPr>
      </w:pPr>
      <w:bookmarkStart w:id="13" w:name="_Toc207030736"/>
      <w:r w:rsidRPr="00EB5DBD">
        <w:rPr>
          <w:lang w:val="en-GB"/>
        </w:rPr>
        <w:t>Results</w:t>
      </w:r>
      <w:bookmarkEnd w:id="13"/>
    </w:p>
    <w:p w14:paraId="2ACEFCA0" w14:textId="77777777" w:rsidR="00EB5DBD" w:rsidRPr="00EB5DBD" w:rsidRDefault="00EB5DBD" w:rsidP="00EB5DBD">
      <w:pPr>
        <w:rPr>
          <w:lang w:val="en-GB"/>
        </w:rPr>
      </w:pPr>
      <w:r w:rsidRPr="00EB5DBD">
        <w:rPr>
          <w:lang w:val="en-GB"/>
        </w:rPr>
        <w:t xml:space="preserve">A total of 127 cases were notified: 51 were confirmed with culture, with the remaining 76 identified as probable cases through polymerase chain reaction testing. The greatest numbers of cases were within the 0–4 and 5–9 years of age categories (each 19/127; 15%), followed by the 30–34 years age group (18/127; 14%). The highest case numbers were recorded in the local government area (LGA) of Casey (30/127; 24%) while the highest rate </w:t>
      </w:r>
      <w:proofErr w:type="gramStart"/>
      <w:r w:rsidRPr="00EB5DBD">
        <w:rPr>
          <w:lang w:val="en-GB"/>
        </w:rPr>
        <w:t>across the 15-month study period,</w:t>
      </w:r>
      <w:proofErr w:type="gramEnd"/>
      <w:r w:rsidRPr="00EB5DBD">
        <w:rPr>
          <w:lang w:val="en-GB"/>
        </w:rPr>
        <w:t xml:space="preserve"> of 20.2 per 100,000, was from the Stonnington LGA. The most prominent primary risk factor was travel overseas (62/127, 49%) followed by contact between men who have sex with men (MSM) (16/127, 13%). Of confirmed cases, 61% (31/51) met the criteria for classification as critical antibiotic resistance (CAR) shigellosis. </w:t>
      </w:r>
    </w:p>
    <w:p w14:paraId="61BE5AA4" w14:textId="77777777" w:rsidR="00EB5DBD" w:rsidRPr="00EB5DBD" w:rsidRDefault="00EB5DBD" w:rsidP="00EB5DBD">
      <w:pPr>
        <w:pStyle w:val="Heading2"/>
        <w:rPr>
          <w:lang w:val="en-GB"/>
        </w:rPr>
      </w:pPr>
      <w:bookmarkStart w:id="14" w:name="_Toc207030737"/>
      <w:r w:rsidRPr="00EB5DBD">
        <w:rPr>
          <w:lang w:val="en-GB"/>
        </w:rPr>
        <w:t>Conclusion</w:t>
      </w:r>
      <w:bookmarkEnd w:id="14"/>
    </w:p>
    <w:p w14:paraId="5EA84195" w14:textId="77777777" w:rsidR="00EB5DBD" w:rsidRPr="00EB5DBD" w:rsidRDefault="00EB5DBD" w:rsidP="00EB5DBD">
      <w:pPr>
        <w:pStyle w:val="Normal-morespaceafter"/>
        <w:rPr>
          <w:lang w:val="en-GB"/>
        </w:rPr>
      </w:pPr>
      <w:r w:rsidRPr="00EB5DBD">
        <w:rPr>
          <w:lang w:val="en-GB"/>
        </w:rPr>
        <w:t xml:space="preserve">This review found that the LGAs with high number and rates of cases are Casey, Greater Dandenong and Stonnington. However, the risk factors for acquisition differs in these areas, indicating a need for LGA-specific education in the diverse SEPHU catchment. </w:t>
      </w:r>
    </w:p>
    <w:p w14:paraId="647FB7BE" w14:textId="27575527" w:rsidR="00B73144" w:rsidRDefault="00B73144" w:rsidP="00E61A68">
      <w:pPr>
        <w:pStyle w:val="CDIBoxText"/>
        <w:rPr>
          <w:lang w:val="en-GB"/>
        </w:rPr>
      </w:pPr>
      <w:r w:rsidRPr="00E61A68">
        <w:t>Keywords</w:t>
      </w:r>
      <w:r w:rsidR="00BF1476">
        <w:t xml:space="preserve">: </w:t>
      </w:r>
      <w:r w:rsidR="00EB5DBD" w:rsidRPr="00EB5DBD">
        <w:rPr>
          <w:i/>
          <w:iCs/>
        </w:rPr>
        <w:t>Shigella</w:t>
      </w:r>
      <w:r w:rsidR="00EB5DBD" w:rsidRPr="00EB5DBD">
        <w:t>, shigellosis, antimicrobial resistance, incidence, Victoria</w:t>
      </w:r>
    </w:p>
    <w:p w14:paraId="12B8E29F" w14:textId="77777777" w:rsidR="0037146D" w:rsidRDefault="00B73144" w:rsidP="00B73144">
      <w:pPr>
        <w:pStyle w:val="Heading1"/>
      </w:pPr>
      <w:bookmarkStart w:id="15" w:name="_Toc195530501"/>
      <w:bookmarkStart w:id="16" w:name="_Toc207030738"/>
      <w:r>
        <w:lastRenderedPageBreak/>
        <w:t>Introduction</w:t>
      </w:r>
      <w:bookmarkEnd w:id="15"/>
      <w:bookmarkEnd w:id="16"/>
    </w:p>
    <w:p w14:paraId="30369C55" w14:textId="77777777" w:rsidR="00EB5DBD" w:rsidRPr="00EB5DBD" w:rsidRDefault="00EB5DBD" w:rsidP="00EB5DBD">
      <w:pPr>
        <w:rPr>
          <w:lang w:val="en-GB"/>
        </w:rPr>
      </w:pPr>
      <w:r w:rsidRPr="00EB5DBD">
        <w:rPr>
          <w:i/>
          <w:iCs/>
          <w:lang w:val="en-GB"/>
        </w:rPr>
        <w:t>Shigella</w:t>
      </w:r>
      <w:r w:rsidRPr="00EB5DBD">
        <w:rPr>
          <w:lang w:val="en-GB"/>
        </w:rPr>
        <w:t xml:space="preserve"> is a highly infectious gram-negative bacterium that causes the clinical syndrome of shigellosis. There are four species: </w:t>
      </w:r>
      <w:r w:rsidRPr="00EB5DBD">
        <w:rPr>
          <w:i/>
          <w:iCs/>
          <w:lang w:val="en-GB"/>
        </w:rPr>
        <w:t>S. dysenteriae</w:t>
      </w:r>
      <w:r w:rsidRPr="00EB5DBD">
        <w:rPr>
          <w:lang w:val="en-GB"/>
        </w:rPr>
        <w:t xml:space="preserve">, </w:t>
      </w:r>
      <w:r w:rsidRPr="00EB5DBD">
        <w:rPr>
          <w:i/>
          <w:iCs/>
          <w:lang w:val="en-GB"/>
        </w:rPr>
        <w:t>S. flexneri</w:t>
      </w:r>
      <w:r w:rsidRPr="00EB5DBD">
        <w:rPr>
          <w:lang w:val="en-GB"/>
        </w:rPr>
        <w:t xml:space="preserve">, </w:t>
      </w:r>
      <w:r w:rsidRPr="00EB5DBD">
        <w:rPr>
          <w:i/>
          <w:iCs/>
          <w:lang w:val="en-GB"/>
        </w:rPr>
        <w:t>S. boydii</w:t>
      </w:r>
      <w:r w:rsidRPr="00EB5DBD">
        <w:rPr>
          <w:lang w:val="en-GB"/>
        </w:rPr>
        <w:t xml:space="preserve"> and </w:t>
      </w:r>
      <w:r w:rsidRPr="00EB5DBD">
        <w:rPr>
          <w:i/>
          <w:iCs/>
          <w:lang w:val="en-GB"/>
        </w:rPr>
        <w:t>S. sonnei</w:t>
      </w:r>
      <w:r w:rsidRPr="00EB5DBD">
        <w:rPr>
          <w:lang w:val="en-GB"/>
        </w:rPr>
        <w:t>, each with many serotypes.</w:t>
      </w:r>
      <w:r w:rsidRPr="00EB5DBD">
        <w:rPr>
          <w:vertAlign w:val="superscript"/>
          <w:lang w:val="en-GB"/>
        </w:rPr>
        <w:t>1</w:t>
      </w:r>
      <w:r w:rsidRPr="00EB5DBD">
        <w:rPr>
          <w:lang w:val="en-GB"/>
        </w:rPr>
        <w:t xml:space="preserve"> </w:t>
      </w:r>
      <w:r w:rsidRPr="00EB5DBD">
        <w:rPr>
          <w:i/>
          <w:iCs/>
          <w:lang w:val="en-GB"/>
        </w:rPr>
        <w:t>Shigella</w:t>
      </w:r>
      <w:r w:rsidRPr="00EB5DBD">
        <w:rPr>
          <w:lang w:val="en-GB"/>
        </w:rPr>
        <w:t xml:space="preserve"> is transmitted via the faecal-oral route and is spread through contaminated food and water or by close contact with an infected individual.</w:t>
      </w:r>
      <w:r w:rsidRPr="00EB5DBD">
        <w:rPr>
          <w:vertAlign w:val="superscript"/>
          <w:lang w:val="en-GB"/>
        </w:rPr>
        <w:t>2,3</w:t>
      </w:r>
      <w:r w:rsidRPr="00EB5DBD">
        <w:rPr>
          <w:lang w:val="en-GB"/>
        </w:rPr>
        <w:t xml:space="preserve"> This can occur due to poor hygiene, crowded living arrangements, or through sexual contact.</w:t>
      </w:r>
      <w:r w:rsidRPr="00EB5DBD">
        <w:rPr>
          <w:vertAlign w:val="superscript"/>
          <w:lang w:val="en-GB"/>
        </w:rPr>
        <w:t>4</w:t>
      </w:r>
      <w:r w:rsidRPr="00EB5DBD">
        <w:rPr>
          <w:lang w:val="en-GB"/>
        </w:rPr>
        <w:t xml:space="preserve"> Due to the low infectious dose of 10 to 100 organisms, </w:t>
      </w:r>
      <w:r w:rsidRPr="00EB5DBD">
        <w:rPr>
          <w:i/>
          <w:iCs/>
          <w:lang w:val="en-GB"/>
        </w:rPr>
        <w:t>Shigella</w:t>
      </w:r>
      <w:r w:rsidRPr="00EB5DBD">
        <w:rPr>
          <w:lang w:val="en-GB"/>
        </w:rPr>
        <w:t xml:space="preserve"> is easily transmitted from person to person.</w:t>
      </w:r>
      <w:r w:rsidRPr="00EB5DBD">
        <w:rPr>
          <w:vertAlign w:val="superscript"/>
          <w:lang w:val="en-GB"/>
        </w:rPr>
        <w:t>5</w:t>
      </w:r>
      <w:r w:rsidRPr="00EB5DBD">
        <w:rPr>
          <w:lang w:val="en-GB"/>
        </w:rPr>
        <w:t xml:space="preserve"> The incubation period varies from one to seven days; the infectious period ends when the bacteria are no longer shed into faeces, which can be up to four weeks.</w:t>
      </w:r>
      <w:r w:rsidRPr="00EB5DBD">
        <w:rPr>
          <w:vertAlign w:val="superscript"/>
          <w:lang w:val="en-GB"/>
        </w:rPr>
        <w:t>6,7</w:t>
      </w:r>
      <w:r w:rsidRPr="00EB5DBD">
        <w:rPr>
          <w:lang w:val="en-GB"/>
        </w:rPr>
        <w:t xml:space="preserve"> After ingestion, </w:t>
      </w:r>
      <w:r w:rsidRPr="00EB5DBD">
        <w:rPr>
          <w:i/>
          <w:iCs/>
          <w:lang w:val="en-GB"/>
        </w:rPr>
        <w:t>Shigella</w:t>
      </w:r>
      <w:r w:rsidRPr="00EB5DBD">
        <w:rPr>
          <w:lang w:val="en-GB"/>
        </w:rPr>
        <w:t xml:space="preserve"> invades the epithelial lining of the lower gastrointestinal tract, leading to symptoms of diarrhoea or fulminant dysentery, fever and abdominal cramps.</w:t>
      </w:r>
      <w:r w:rsidRPr="00EB5DBD">
        <w:rPr>
          <w:vertAlign w:val="superscript"/>
          <w:lang w:val="en-GB"/>
        </w:rPr>
        <w:t>8</w:t>
      </w:r>
      <w:r w:rsidRPr="00EB5DBD">
        <w:rPr>
          <w:lang w:val="en-GB"/>
        </w:rPr>
        <w:t xml:space="preserve"> It is generally a mild and self-limiting gastroenteritis but can be severe, requiring hospitalisation for dysentery or haemolytic uraemic syndrome.</w:t>
      </w:r>
      <w:r w:rsidRPr="00EB5DBD">
        <w:rPr>
          <w:vertAlign w:val="superscript"/>
          <w:lang w:val="en-GB"/>
        </w:rPr>
        <w:t>9</w:t>
      </w:r>
    </w:p>
    <w:p w14:paraId="3A1829D8" w14:textId="0C525255" w:rsidR="00EB5DBD" w:rsidRPr="00EB5DBD" w:rsidRDefault="00EB5DBD" w:rsidP="00EB5DBD">
      <w:pPr>
        <w:pStyle w:val="Heading2"/>
        <w:rPr>
          <w:lang w:val="en-GB"/>
        </w:rPr>
      </w:pPr>
      <w:bookmarkStart w:id="17" w:name="_Toc207030739"/>
      <w:r w:rsidRPr="00EB5DBD">
        <w:rPr>
          <w:lang w:val="en-GB"/>
        </w:rPr>
        <w:t>Epidemiology</w:t>
      </w:r>
      <w:bookmarkEnd w:id="17"/>
    </w:p>
    <w:p w14:paraId="4C0A0974" w14:textId="4D2D320A" w:rsidR="00EB5DBD" w:rsidRPr="00EB5DBD" w:rsidRDefault="00EB5DBD" w:rsidP="00EB5DBD">
      <w:pPr>
        <w:rPr>
          <w:lang w:val="en-GB"/>
        </w:rPr>
      </w:pPr>
      <w:r w:rsidRPr="00EB5DBD">
        <w:rPr>
          <w:lang w:val="en-GB"/>
        </w:rPr>
        <w:t>Shigellosis is a disease seen globally; it causes approximately 190 million cases of diarrhoea each year.</w:t>
      </w:r>
      <w:r w:rsidRPr="00EB5DBD">
        <w:rPr>
          <w:vertAlign w:val="superscript"/>
          <w:lang w:val="en-GB"/>
        </w:rPr>
        <w:t>10</w:t>
      </w:r>
      <w:r w:rsidRPr="00EB5DBD">
        <w:rPr>
          <w:lang w:val="en-GB"/>
        </w:rPr>
        <w:t xml:space="preserve"> Risk factors for </w:t>
      </w:r>
      <w:r w:rsidRPr="00EB5DBD">
        <w:rPr>
          <w:i/>
          <w:iCs/>
          <w:lang w:val="en-GB"/>
        </w:rPr>
        <w:t>Shigella</w:t>
      </w:r>
      <w:r w:rsidRPr="00EB5DBD">
        <w:rPr>
          <w:lang w:val="en-GB"/>
        </w:rPr>
        <w:t xml:space="preserve"> infection include direct oral-anal contact, human immunodeficiency virus (HIV) infection, poor hygiene and travel overseas.</w:t>
      </w:r>
      <w:r w:rsidRPr="00EB5DBD">
        <w:rPr>
          <w:vertAlign w:val="superscript"/>
          <w:lang w:val="en-GB"/>
        </w:rPr>
        <w:t>11</w:t>
      </w:r>
      <w:r w:rsidRPr="00EB5DBD">
        <w:rPr>
          <w:lang w:val="en-GB"/>
        </w:rPr>
        <w:t xml:space="preserve"> It occurs in people of all ages, but infections amongst young children aged one to four years from low- or middle-income areas account for the majority of the disease burden.</w:t>
      </w:r>
      <w:r w:rsidRPr="00EB5DBD">
        <w:rPr>
          <w:vertAlign w:val="superscript"/>
          <w:lang w:val="en-GB"/>
        </w:rPr>
        <w:t>8</w:t>
      </w:r>
      <w:r w:rsidRPr="00EB5DBD">
        <w:rPr>
          <w:lang w:val="en-GB"/>
        </w:rPr>
        <w:t xml:space="preserve"> In high-income countries such as Australia, the majority of cases reported are in returning travellers from endemic countries and men who have sex with men (MSM).</w:t>
      </w:r>
      <w:r w:rsidRPr="00EB5DBD">
        <w:rPr>
          <w:vertAlign w:val="superscript"/>
          <w:lang w:val="en-GB"/>
        </w:rPr>
        <w:t>3</w:t>
      </w:r>
      <w:r w:rsidRPr="00EB5DBD">
        <w:rPr>
          <w:lang w:val="en-GB"/>
        </w:rPr>
        <w:t xml:space="preserve"> In Australia, higher rates are also seen amongst remote Aboriginal and Torres Strait Islander communities associated with crowded households and poor sewerage management.</w:t>
      </w:r>
      <w:r w:rsidRPr="00EB5DBD">
        <w:rPr>
          <w:vertAlign w:val="superscript"/>
          <w:lang w:val="en-GB"/>
        </w:rPr>
        <w:t>3</w:t>
      </w:r>
      <w:r w:rsidRPr="00EB5DBD">
        <w:rPr>
          <w:lang w:val="en-GB"/>
        </w:rPr>
        <w:t xml:space="preserve"> Out of 459 notified cases of shigellosis with risk factor data in Victoria between 2008 and 2012, the majority (249/459; 54%) were related to returned overseas travellers, with the remaining 210 cases locally acquired in Australia. Locally acquired infections were predominately in males (150/210), with the majority of these (120/150; 80%) associated with MSM contact.</w:t>
      </w:r>
      <w:r w:rsidRPr="00EB5DBD">
        <w:rPr>
          <w:vertAlign w:val="superscript"/>
          <w:lang w:val="en-GB"/>
        </w:rPr>
        <w:t>11</w:t>
      </w:r>
      <w:r w:rsidRPr="00EB5DBD">
        <w:rPr>
          <w:lang w:val="en-GB"/>
        </w:rPr>
        <w:t xml:space="preserve"> Following the inclusion of culture independent diagnostic tests (CIDT) in the surveillance case definition in 2016, the notification rate increased from 2.2 per 100,000 population per year in 2011 to 12.4 per 100,000 population per year in 2019.</w:t>
      </w:r>
      <w:r w:rsidRPr="00EB5DBD">
        <w:rPr>
          <w:vertAlign w:val="superscript"/>
          <w:lang w:val="en-GB"/>
        </w:rPr>
        <w:t>11</w:t>
      </w:r>
      <w:r w:rsidRPr="00EB5DBD">
        <w:rPr>
          <w:lang w:val="en-GB"/>
        </w:rPr>
        <w:t xml:space="preserve"> Reported cases of shigellosis are rising in Victoria, with 667 notifications in 2023 (of which 188 were in the catchment of the South East Public Health Unit), potentially due to increased testing, as well as to increases in overseas travel and in transmission of infections between men who have sex with men.</w:t>
      </w:r>
      <w:r w:rsidRPr="00EB5DBD">
        <w:rPr>
          <w:vertAlign w:val="superscript"/>
          <w:lang w:val="en-GB"/>
        </w:rPr>
        <w:t>12,13</w:t>
      </w:r>
      <w:r w:rsidRPr="00EB5DBD">
        <w:rPr>
          <w:lang w:val="en-GB"/>
        </w:rPr>
        <w:t xml:space="preserve"> </w:t>
      </w:r>
    </w:p>
    <w:p w14:paraId="381973A5" w14:textId="77777777" w:rsidR="00EB5DBD" w:rsidRPr="00EB5DBD" w:rsidRDefault="00EB5DBD" w:rsidP="00EB5DBD">
      <w:pPr>
        <w:pStyle w:val="Heading2"/>
        <w:rPr>
          <w:lang w:val="en-GB"/>
        </w:rPr>
      </w:pPr>
      <w:bookmarkStart w:id="18" w:name="_Toc207030740"/>
      <w:r w:rsidRPr="00EB5DBD">
        <w:rPr>
          <w:lang w:val="en-GB"/>
        </w:rPr>
        <w:t>Resistance profiles</w:t>
      </w:r>
      <w:bookmarkEnd w:id="18"/>
      <w:r w:rsidRPr="00EB5DBD">
        <w:rPr>
          <w:lang w:val="en-GB"/>
        </w:rPr>
        <w:t xml:space="preserve"> </w:t>
      </w:r>
    </w:p>
    <w:p w14:paraId="437645E0" w14:textId="7445D58E" w:rsidR="00EB5DBD" w:rsidRPr="00EB5DBD" w:rsidRDefault="00EB5DBD" w:rsidP="00EB5DBD">
      <w:pPr>
        <w:rPr>
          <w:lang w:val="en-GB"/>
        </w:rPr>
      </w:pPr>
      <w:r w:rsidRPr="00EB5DBD">
        <w:rPr>
          <w:lang w:val="en-GB"/>
        </w:rPr>
        <w:t>Antimicrobial therapy can be provided for shigellosis to reduce symptoms and bacterial shedding;</w:t>
      </w:r>
      <w:r w:rsidRPr="00EB5DBD">
        <w:rPr>
          <w:vertAlign w:val="superscript"/>
          <w:lang w:val="en-GB"/>
        </w:rPr>
        <w:t>14</w:t>
      </w:r>
      <w:r w:rsidRPr="00EB5DBD">
        <w:rPr>
          <w:lang w:val="en-GB"/>
        </w:rPr>
        <w:t xml:space="preserve"> however, this is reserved for severe infections, due to concerns regarding increasing antimicrobial resistance.</w:t>
      </w:r>
      <w:r w:rsidRPr="00EB5DBD">
        <w:rPr>
          <w:vertAlign w:val="superscript"/>
          <w:lang w:val="en-GB"/>
        </w:rPr>
        <w:t>4</w:t>
      </w:r>
      <w:r w:rsidRPr="00EB5DBD">
        <w:rPr>
          <w:lang w:val="en-GB"/>
        </w:rPr>
        <w:t xml:space="preserve"> Antibiotic therapy involves oral ciprofloxacin as first-line and azithromycin or trimethoprim-sulfamethoxazole as second-line options.</w:t>
      </w:r>
      <w:r w:rsidRPr="00EB5DBD">
        <w:rPr>
          <w:vertAlign w:val="superscript"/>
          <w:lang w:val="en-GB"/>
        </w:rPr>
        <w:t>10,15</w:t>
      </w:r>
      <w:r w:rsidRPr="00EB5DBD">
        <w:rPr>
          <w:lang w:val="en-GB"/>
        </w:rPr>
        <w:t xml:space="preserve"> For infections with resistance to these oral agents, third-generation cephalosporins such as ceftriaxone are prescribed.</w:t>
      </w:r>
      <w:r w:rsidRPr="00EB5DBD">
        <w:rPr>
          <w:vertAlign w:val="superscript"/>
          <w:lang w:val="en-GB"/>
        </w:rPr>
        <w:t>15</w:t>
      </w:r>
      <w:r w:rsidRPr="00EB5DBD">
        <w:rPr>
          <w:lang w:val="en-GB"/>
        </w:rPr>
        <w:t xml:space="preserve"> Dissemination of resistance is particularly facilitated by travellers and MSM contact.</w:t>
      </w:r>
      <w:r w:rsidRPr="00EB5DBD">
        <w:rPr>
          <w:vertAlign w:val="superscript"/>
          <w:lang w:val="en-GB"/>
        </w:rPr>
        <w:t>8</w:t>
      </w:r>
      <w:r w:rsidRPr="00EB5DBD">
        <w:rPr>
          <w:lang w:val="en-GB"/>
        </w:rPr>
        <w:t xml:space="preserve"> Between 1 January 2016 and 31 March 2018, the rates of resistance amongst cases in Victoria were found to be 17.6% (95/541) and 50.6% (274/541) to ciprofloxacin and azithromycin respectively. Azithromycin resistance across all cases was 50.6%, but in MSM associated </w:t>
      </w:r>
      <w:r w:rsidRPr="00EB5DBD">
        <w:rPr>
          <w:i/>
          <w:iCs/>
          <w:lang w:val="en-GB"/>
        </w:rPr>
        <w:t>Shigella</w:t>
      </w:r>
      <w:r w:rsidRPr="00EB5DBD">
        <w:rPr>
          <w:lang w:val="en-GB"/>
        </w:rPr>
        <w:t xml:space="preserve"> isolates, resistance was recorded at 93% for </w:t>
      </w:r>
      <w:r w:rsidRPr="00EB5DBD">
        <w:rPr>
          <w:i/>
          <w:iCs/>
          <w:lang w:val="en-GB"/>
        </w:rPr>
        <w:t>S. sonnei</w:t>
      </w:r>
      <w:r w:rsidRPr="00EB5DBD">
        <w:rPr>
          <w:lang w:val="en-GB"/>
        </w:rPr>
        <w:t xml:space="preserve"> and 71% for </w:t>
      </w:r>
      <w:r w:rsidRPr="00EB5DBD">
        <w:rPr>
          <w:i/>
          <w:iCs/>
          <w:lang w:val="en-GB"/>
        </w:rPr>
        <w:t>S. flexneri</w:t>
      </w:r>
      <w:r w:rsidRPr="00EB5DBD">
        <w:rPr>
          <w:lang w:val="en-GB"/>
        </w:rPr>
        <w:t xml:space="preserve"> lineages.</w:t>
      </w:r>
      <w:r w:rsidRPr="00EB5DBD">
        <w:rPr>
          <w:vertAlign w:val="superscript"/>
          <w:lang w:val="en-GB"/>
        </w:rPr>
        <w:t>10</w:t>
      </w:r>
      <w:r w:rsidRPr="00EB5DBD">
        <w:rPr>
          <w:lang w:val="en-GB"/>
        </w:rPr>
        <w:t xml:space="preserve"> Theories for these observations include the use of azithromycin for the treatment of urethritis selecting for resistance.</w:t>
      </w:r>
      <w:r w:rsidRPr="00EB5DBD">
        <w:rPr>
          <w:vertAlign w:val="superscript"/>
          <w:lang w:val="en-GB"/>
        </w:rPr>
        <w:t>10</w:t>
      </w:r>
      <w:r w:rsidRPr="00EB5DBD">
        <w:rPr>
          <w:lang w:val="en-GB"/>
        </w:rPr>
        <w:t xml:space="preserve"> In contrast, resistance </w:t>
      </w:r>
      <w:r w:rsidRPr="00EB5DBD">
        <w:rPr>
          <w:lang w:val="en-GB"/>
        </w:rPr>
        <w:lastRenderedPageBreak/>
        <w:t>to ciprofloxacin more strongly correlates to cases in international travellers predominantly returning from southeast and central Asia.</w:t>
      </w:r>
      <w:r w:rsidRPr="00EB5DBD">
        <w:rPr>
          <w:vertAlign w:val="superscript"/>
          <w:lang w:val="en-GB"/>
        </w:rPr>
        <w:t>10</w:t>
      </w:r>
      <w:r w:rsidRPr="00EB5DBD">
        <w:rPr>
          <w:lang w:val="en-GB"/>
        </w:rPr>
        <w:t xml:space="preserve"> Data analysis for Victorian shigellosis cases revealed that those returning from India were more predominately infected with ciprofloxacin-resistant lineages than those returning from Indonesia, among whom sensitive strains predominated.</w:t>
      </w:r>
      <w:r w:rsidRPr="00EB5DBD">
        <w:rPr>
          <w:vertAlign w:val="superscript"/>
          <w:lang w:val="en-GB"/>
        </w:rPr>
        <w:t>11</w:t>
      </w:r>
      <w:r w:rsidRPr="00EB5DBD">
        <w:rPr>
          <w:lang w:val="en-GB"/>
        </w:rPr>
        <w:t xml:space="preserve"> Rising resistance amongst </w:t>
      </w:r>
      <w:r w:rsidRPr="00EB5DBD">
        <w:rPr>
          <w:i/>
          <w:iCs/>
          <w:lang w:val="en-GB"/>
        </w:rPr>
        <w:t>Shigella</w:t>
      </w:r>
      <w:r w:rsidRPr="00EB5DBD">
        <w:rPr>
          <w:lang w:val="en-GB"/>
        </w:rPr>
        <w:t xml:space="preserve"> species prompted the World Health Organization to list </w:t>
      </w:r>
      <w:r w:rsidRPr="00EB5DBD">
        <w:rPr>
          <w:i/>
          <w:iCs/>
          <w:lang w:val="en-GB"/>
        </w:rPr>
        <w:t>Shigella</w:t>
      </w:r>
      <w:r w:rsidRPr="00EB5DBD">
        <w:rPr>
          <w:lang w:val="en-GB"/>
        </w:rPr>
        <w:t xml:space="preserve"> as a medium priority for research and development of new antibiotics in 2017.</w:t>
      </w:r>
      <w:r w:rsidRPr="00EB5DBD">
        <w:rPr>
          <w:vertAlign w:val="superscript"/>
          <w:lang w:val="en-GB"/>
        </w:rPr>
        <w:t>16,17</w:t>
      </w:r>
      <w:r w:rsidRPr="00EB5DBD">
        <w:rPr>
          <w:lang w:val="en-GB"/>
        </w:rPr>
        <w:t xml:space="preserve"> </w:t>
      </w:r>
    </w:p>
    <w:p w14:paraId="2B638069" w14:textId="77777777" w:rsidR="00EB5DBD" w:rsidRPr="00EB5DBD" w:rsidRDefault="00EB5DBD" w:rsidP="00EB5DBD">
      <w:pPr>
        <w:pStyle w:val="Heading2"/>
        <w:rPr>
          <w:lang w:val="en-GB"/>
        </w:rPr>
      </w:pPr>
      <w:bookmarkStart w:id="19" w:name="_Toc207030741"/>
      <w:r w:rsidRPr="00EB5DBD">
        <w:rPr>
          <w:lang w:val="en-GB"/>
        </w:rPr>
        <w:t>Local responses to reducing infections</w:t>
      </w:r>
      <w:bookmarkEnd w:id="19"/>
      <w:r w:rsidRPr="00EB5DBD">
        <w:rPr>
          <w:lang w:val="en-GB"/>
        </w:rPr>
        <w:t xml:space="preserve"> </w:t>
      </w:r>
    </w:p>
    <w:p w14:paraId="2342146A" w14:textId="77777777" w:rsidR="00EB5DBD" w:rsidRPr="00EB5DBD" w:rsidRDefault="00EB5DBD" w:rsidP="00EB5DBD">
      <w:pPr>
        <w:rPr>
          <w:lang w:val="en-GB"/>
        </w:rPr>
      </w:pPr>
      <w:r w:rsidRPr="00EB5DBD">
        <w:rPr>
          <w:lang w:val="en-GB"/>
        </w:rPr>
        <w:t>Prompt case notification and implementation of thorough cleaning and isolation strategies are critical to minimise spread.</w:t>
      </w:r>
      <w:r w:rsidRPr="00EB5DBD">
        <w:rPr>
          <w:vertAlign w:val="superscript"/>
          <w:lang w:val="en-GB"/>
        </w:rPr>
        <w:t>18</w:t>
      </w:r>
      <w:r w:rsidRPr="00EB5DBD">
        <w:rPr>
          <w:lang w:val="en-GB"/>
        </w:rPr>
        <w:t xml:space="preserve"> With increasing antibiotic resistance, finding an appropriate antibiotic regimen is becoming more difficult.</w:t>
      </w:r>
      <w:r w:rsidRPr="00EB5DBD">
        <w:rPr>
          <w:vertAlign w:val="superscript"/>
          <w:lang w:val="en-GB"/>
        </w:rPr>
        <w:t>19</w:t>
      </w:r>
      <w:r w:rsidRPr="00EB5DBD">
        <w:rPr>
          <w:lang w:val="en-GB"/>
        </w:rPr>
        <w:t xml:space="preserve"> The introduction of local public health units in Victoria has provided an opportunity to deliver targeted responses at a local level. The </w:t>
      </w:r>
      <w:proofErr w:type="gramStart"/>
      <w:r w:rsidRPr="00EB5DBD">
        <w:rPr>
          <w:lang w:val="en-GB"/>
        </w:rPr>
        <w:t>South East</w:t>
      </w:r>
      <w:proofErr w:type="gramEnd"/>
      <w:r w:rsidRPr="00EB5DBD">
        <w:rPr>
          <w:lang w:val="en-GB"/>
        </w:rPr>
        <w:t xml:space="preserve"> Public Health Unit (SEPHU), based at Monash Health, is one such unit. SEPHU covers a population of 1.5 million people in the </w:t>
      </w:r>
      <w:proofErr w:type="gramStart"/>
      <w:r w:rsidRPr="00EB5DBD">
        <w:rPr>
          <w:lang w:val="en-GB"/>
        </w:rPr>
        <w:t>South East</w:t>
      </w:r>
      <w:proofErr w:type="gramEnd"/>
      <w:r w:rsidRPr="00EB5DBD">
        <w:rPr>
          <w:lang w:val="en-GB"/>
        </w:rPr>
        <w:t xml:space="preserve"> Metropolitan region of Melbourne. </w:t>
      </w:r>
    </w:p>
    <w:p w14:paraId="3915D8EF" w14:textId="77777777" w:rsidR="00EB5DBD" w:rsidRPr="00EB5DBD" w:rsidRDefault="00EB5DBD" w:rsidP="00EB5DBD">
      <w:pPr>
        <w:pStyle w:val="Heading2"/>
        <w:rPr>
          <w:lang w:val="en-GB"/>
        </w:rPr>
      </w:pPr>
      <w:bookmarkStart w:id="20" w:name="_Toc207030742"/>
      <w:r w:rsidRPr="00EB5DBD">
        <w:rPr>
          <w:lang w:val="en-GB"/>
        </w:rPr>
        <w:t>Research aim</w:t>
      </w:r>
      <w:bookmarkEnd w:id="20"/>
    </w:p>
    <w:p w14:paraId="16302C08" w14:textId="77777777" w:rsidR="00EB5DBD" w:rsidRPr="00EB5DBD" w:rsidRDefault="00EB5DBD" w:rsidP="00EB5DBD">
      <w:pPr>
        <w:rPr>
          <w:lang w:val="en-GB"/>
        </w:rPr>
      </w:pPr>
      <w:r w:rsidRPr="00EB5DBD">
        <w:rPr>
          <w:lang w:val="en-GB"/>
        </w:rPr>
        <w:t xml:space="preserve">There is no recent published information regarding the demographics, risk groups and antimicrobial status within the SEPHU catchment for shigellosis cases. Understanding the local epidemiology is important for SEPHU’s new role in effectively managing these cases. It is also critical for ensuring appropriate prevention measures are in place, to support both patients and healthcare providers in the region. </w:t>
      </w:r>
    </w:p>
    <w:p w14:paraId="59DAA522" w14:textId="6135D3AF" w:rsidR="00AC46DC" w:rsidRPr="00AC46DC" w:rsidRDefault="00EB5DBD" w:rsidP="00AC46DC">
      <w:r w:rsidRPr="00EB5DBD">
        <w:rPr>
          <w:lang w:val="en-GB"/>
        </w:rPr>
        <w:t xml:space="preserve">The aim of this research is to describe the epidemiology of </w:t>
      </w:r>
      <w:r w:rsidRPr="00EB5DBD">
        <w:rPr>
          <w:i/>
          <w:iCs/>
          <w:lang w:val="en-GB"/>
        </w:rPr>
        <w:t>Shigella</w:t>
      </w:r>
      <w:r w:rsidRPr="00EB5DBD">
        <w:rPr>
          <w:lang w:val="en-GB"/>
        </w:rPr>
        <w:t xml:space="preserve"> cases in the SEPHU catchment between January 2022 and March 2023 </w:t>
      </w:r>
      <w:proofErr w:type="gramStart"/>
      <w:r w:rsidRPr="00EB5DBD">
        <w:rPr>
          <w:lang w:val="en-GB"/>
        </w:rPr>
        <w:t>in order to</w:t>
      </w:r>
      <w:proofErr w:type="gramEnd"/>
      <w:r w:rsidRPr="00EB5DBD">
        <w:rPr>
          <w:lang w:val="en-GB"/>
        </w:rPr>
        <w:t xml:space="preserve"> shape local public health action to mitigate the spread of disease. </w:t>
      </w:r>
    </w:p>
    <w:p w14:paraId="33FDEC1C" w14:textId="6906D516" w:rsidR="00A24E95" w:rsidRDefault="00B73144" w:rsidP="00B73144">
      <w:pPr>
        <w:pStyle w:val="Heading1"/>
        <w:rPr>
          <w:lang w:val="en-GB"/>
        </w:rPr>
      </w:pPr>
      <w:bookmarkStart w:id="21" w:name="_Toc195530502"/>
      <w:bookmarkStart w:id="22" w:name="_Toc207030743"/>
      <w:r>
        <w:rPr>
          <w:lang w:val="en-GB"/>
        </w:rPr>
        <w:lastRenderedPageBreak/>
        <w:t>Method</w:t>
      </w:r>
      <w:bookmarkEnd w:id="21"/>
      <w:bookmarkEnd w:id="22"/>
    </w:p>
    <w:p w14:paraId="464A131F" w14:textId="77777777" w:rsidR="00EB5DBD" w:rsidRPr="00EB5DBD" w:rsidRDefault="00EB5DBD" w:rsidP="00EB5DBD">
      <w:pPr>
        <w:rPr>
          <w:lang w:val="en-GB"/>
        </w:rPr>
      </w:pPr>
      <w:r w:rsidRPr="00EB5DBD">
        <w:rPr>
          <w:lang w:val="en-GB"/>
        </w:rPr>
        <w:t xml:space="preserve">This project is a review of all shigellosis cases in the SEPHU catchment notified to the Victoria State Government Department of Health (DH) during the period 1 January 2022 to 31 March 2023. </w:t>
      </w:r>
      <w:r w:rsidRPr="00EB5DBD">
        <w:rPr>
          <w:i/>
          <w:iCs/>
          <w:lang w:val="en-GB"/>
        </w:rPr>
        <w:t>Shigella</w:t>
      </w:r>
      <w:r w:rsidRPr="00EB5DBD">
        <w:rPr>
          <w:lang w:val="en-GB"/>
        </w:rPr>
        <w:t xml:space="preserve"> is a notifiable condition and thus the demographics, risk group and antimicrobial resistance status is recorded through the PHESS. Cases are notified to DH but immediately referred to SEPHU for public health follow-up based on Local Government Area (LGA) where they live. </w:t>
      </w:r>
    </w:p>
    <w:p w14:paraId="22CC7490" w14:textId="77777777" w:rsidR="00EB5DBD" w:rsidRPr="00EB5DBD" w:rsidRDefault="00EB5DBD" w:rsidP="00EB5DBD">
      <w:pPr>
        <w:rPr>
          <w:lang w:val="en-GB"/>
        </w:rPr>
      </w:pPr>
      <w:r w:rsidRPr="00EB5DBD">
        <w:rPr>
          <w:lang w:val="en-GB"/>
        </w:rPr>
        <w:t xml:space="preserve">This project was reviewed by the Monash Health research office (reference number RES-23-0000-245Q) and considered as exempt from Human Research Ethics Committee review, consistent with the National Health and Medical Research Council (NHMRC) </w:t>
      </w:r>
      <w:r w:rsidRPr="00EB5DBD">
        <w:rPr>
          <w:i/>
          <w:iCs/>
          <w:lang w:val="en-GB"/>
        </w:rPr>
        <w:t>Ethical Considerations in Quality Assurance and Evaluation Activities</w:t>
      </w:r>
      <w:r w:rsidRPr="00EB5DBD">
        <w:rPr>
          <w:lang w:val="en-GB"/>
        </w:rPr>
        <w:t xml:space="preserve"> (March 2014) guideline.</w:t>
      </w:r>
      <w:r w:rsidRPr="00EB5DBD">
        <w:rPr>
          <w:vertAlign w:val="superscript"/>
          <w:lang w:val="en-GB"/>
        </w:rPr>
        <w:footnoteReference w:id="2"/>
      </w:r>
      <w:r w:rsidRPr="00EB5DBD">
        <w:rPr>
          <w:lang w:val="en-GB"/>
        </w:rPr>
        <w:t xml:space="preserve"> </w:t>
      </w:r>
    </w:p>
    <w:p w14:paraId="18A08C29" w14:textId="77777777" w:rsidR="00EB5DBD" w:rsidRPr="00EB5DBD" w:rsidRDefault="00EB5DBD" w:rsidP="00EB5DBD">
      <w:pPr>
        <w:rPr>
          <w:lang w:val="en-GB"/>
        </w:rPr>
      </w:pPr>
      <w:r w:rsidRPr="00EB5DBD">
        <w:rPr>
          <w:lang w:val="en-GB"/>
        </w:rPr>
        <w:t xml:space="preserve">Cases are defined as either confirmed or probable, both of which have been included in the analysis. A confirmed case requires either laboratory isolation of </w:t>
      </w:r>
      <w:r w:rsidRPr="00EB5DBD">
        <w:rPr>
          <w:i/>
          <w:iCs/>
          <w:lang w:val="en-GB"/>
        </w:rPr>
        <w:t>Shigella</w:t>
      </w:r>
      <w:r w:rsidRPr="00EB5DBD">
        <w:rPr>
          <w:lang w:val="en-GB"/>
        </w:rPr>
        <w:t xml:space="preserve"> species through culture or detection of </w:t>
      </w:r>
      <w:r w:rsidRPr="00EB5DBD">
        <w:rPr>
          <w:i/>
          <w:iCs/>
          <w:lang w:val="en-GB"/>
        </w:rPr>
        <w:t>Shigella</w:t>
      </w:r>
      <w:r w:rsidRPr="00EB5DBD">
        <w:rPr>
          <w:lang w:val="en-GB"/>
        </w:rPr>
        <w:t xml:space="preserve"> by nucleic acid testing, as well as an established epidemiological link such as contact with a confirmed case or exposure to a source. A probable case requires the detection of </w:t>
      </w:r>
      <w:r w:rsidRPr="00EB5DBD">
        <w:rPr>
          <w:i/>
          <w:iCs/>
          <w:lang w:val="en-GB"/>
        </w:rPr>
        <w:t>Shigella</w:t>
      </w:r>
      <w:r w:rsidRPr="00EB5DBD">
        <w:rPr>
          <w:lang w:val="en-GB"/>
        </w:rPr>
        <w:t xml:space="preserve"> by polymerase chain reaction (PCR) testing alone.</w:t>
      </w:r>
      <w:r w:rsidRPr="00EB5DBD">
        <w:rPr>
          <w:vertAlign w:val="superscript"/>
          <w:lang w:val="en-GB"/>
        </w:rPr>
        <w:t>20</w:t>
      </w:r>
      <w:r w:rsidRPr="00EB5DBD">
        <w:rPr>
          <w:lang w:val="en-GB"/>
        </w:rPr>
        <w:t xml:space="preserve"> Cases are identified to be high risk if they have an occupation in, or have acquired the infection in, childcare or healthcare settings or </w:t>
      </w:r>
      <w:proofErr w:type="gramStart"/>
      <w:r w:rsidRPr="00EB5DBD">
        <w:rPr>
          <w:lang w:val="en-GB"/>
        </w:rPr>
        <w:t>high risk</w:t>
      </w:r>
      <w:proofErr w:type="gramEnd"/>
      <w:r w:rsidRPr="00EB5DBD">
        <w:rPr>
          <w:lang w:val="en-GB"/>
        </w:rPr>
        <w:t xml:space="preserve"> residential settings such as aged care facilities, correctional facilities, disability group homes and defence force facilities. </w:t>
      </w:r>
    </w:p>
    <w:p w14:paraId="622DBE2F" w14:textId="77777777" w:rsidR="00EB5DBD" w:rsidRPr="00EB5DBD" w:rsidRDefault="00EB5DBD" w:rsidP="00EB5DBD">
      <w:pPr>
        <w:rPr>
          <w:lang w:val="en-GB"/>
        </w:rPr>
      </w:pPr>
      <w:r w:rsidRPr="00EB5DBD">
        <w:rPr>
          <w:lang w:val="en-GB"/>
        </w:rPr>
        <w:t>Culture positive samples are referred to the reference laboratory, the Microbiological Diagnostic Unit, for analysis of antimicrobial susceptibilities. A critical antibiotic resistance (CAR), as defined by the CARAlert system,</w:t>
      </w:r>
      <w:r w:rsidRPr="00EB5DBD">
        <w:rPr>
          <w:vertAlign w:val="superscript"/>
          <w:lang w:val="en-GB"/>
        </w:rPr>
        <w:t>21</w:t>
      </w:r>
      <w:r w:rsidRPr="00EB5DBD">
        <w:rPr>
          <w:lang w:val="en-GB"/>
        </w:rPr>
        <w:t xml:space="preserve"> is assigned to an isolate that has a resistance mechanism or profile that may impact effectiveness of typical first line antibiotics. The condition of CAR shigellosis is defined as an isolate resistant to at least three of the following antibiotics: ampicillin/amoxicillin; ciprofloxacin/norfloxacin; co-trimoxazole; ceftriaxone/cefotaxime/ceftazidime; or azithromycin. </w:t>
      </w:r>
    </w:p>
    <w:p w14:paraId="0FE6013F" w14:textId="35F3965B" w:rsidR="00EB5DBD" w:rsidRPr="00EB5DBD" w:rsidRDefault="00EB5DBD" w:rsidP="00EB5DBD">
      <w:pPr>
        <w:rPr>
          <w:lang w:val="en-GB"/>
        </w:rPr>
      </w:pPr>
      <w:r w:rsidRPr="00EB5DBD">
        <w:rPr>
          <w:lang w:val="en-GB"/>
        </w:rPr>
        <w:t xml:space="preserve">Until 24 October 2022, </w:t>
      </w:r>
      <w:r w:rsidRPr="00EB5DBD">
        <w:rPr>
          <w:i/>
          <w:iCs/>
          <w:lang w:val="en-GB"/>
        </w:rPr>
        <w:t>Shigella</w:t>
      </w:r>
      <w:r w:rsidRPr="00EB5DBD">
        <w:rPr>
          <w:lang w:val="en-GB"/>
        </w:rPr>
        <w:t xml:space="preserve"> notifications were followed up by the Victoria State Government Department of Health. Thereafter, SEPHU took over this role, conducting case interviews that included a three-day food history if there </w:t>
      </w:r>
      <w:proofErr w:type="gramStart"/>
      <w:r w:rsidRPr="00EB5DBD">
        <w:rPr>
          <w:lang w:val="en-GB"/>
        </w:rPr>
        <w:t>was</w:t>
      </w:r>
      <w:proofErr w:type="gramEnd"/>
      <w:r w:rsidRPr="00EB5DBD">
        <w:rPr>
          <w:lang w:val="en-GB"/>
        </w:rPr>
        <w:t xml:space="preserve"> no MSM contact, travel or known contact risk factors identified. Data from notifying clinicians, enhanced surveillance forms (ESF) and case interviews were extracted from PHESS and collated. Identification of primary risk factors was dependent on the information sought by individual interviewers. For cases that did not have a primary risk factor listed, manual reviews of the correspondence notes related to the case were conducted (Appendix</w:t>
      </w:r>
      <w:r w:rsidR="00AD1D3C">
        <w:rPr>
          <w:lang w:val="en-GB"/>
        </w:rPr>
        <w:t> </w:t>
      </w:r>
      <w:r w:rsidRPr="00EB5DBD">
        <w:rPr>
          <w:lang w:val="en-GB"/>
        </w:rPr>
        <w:t xml:space="preserve">A). De-identified information regarding cases was collated from PHESS to review demographics, risk factors and antimicrobial resistance. </w:t>
      </w:r>
    </w:p>
    <w:p w14:paraId="05CA7E25" w14:textId="77777777" w:rsidR="00EB5DBD" w:rsidRPr="00EB5DBD" w:rsidRDefault="00EB5DBD" w:rsidP="00AD1D3C">
      <w:pPr>
        <w:pStyle w:val="Heading2"/>
        <w:rPr>
          <w:lang w:val="en-GB"/>
        </w:rPr>
      </w:pPr>
      <w:bookmarkStart w:id="23" w:name="_Toc207030744"/>
      <w:r w:rsidRPr="00EB5DBD">
        <w:rPr>
          <w:lang w:val="en-GB"/>
        </w:rPr>
        <w:t>Statistical analyses</w:t>
      </w:r>
      <w:bookmarkEnd w:id="23"/>
    </w:p>
    <w:p w14:paraId="44560405" w14:textId="77777777" w:rsidR="00EB5DBD" w:rsidRPr="00EB5DBD" w:rsidRDefault="00EB5DBD" w:rsidP="00EB5DBD">
      <w:pPr>
        <w:rPr>
          <w:lang w:val="en-GB"/>
        </w:rPr>
      </w:pPr>
      <w:r w:rsidRPr="00EB5DBD">
        <w:rPr>
          <w:lang w:val="en-GB"/>
        </w:rPr>
        <w:t xml:space="preserve">Descriptive statistics were presented from collated epidemiological data. Data was analysed using Microsoft Excel. Descriptive analysis was performed on the demographic variables. For visualisation of notification trends, data was presented in graphs created in Excel. The likelihood of having faecal culture performed depending on the presence of major risk factors for </w:t>
      </w:r>
      <w:r w:rsidRPr="00EB5DBD">
        <w:rPr>
          <w:i/>
          <w:iCs/>
          <w:lang w:val="en-GB"/>
        </w:rPr>
        <w:t>Shigella</w:t>
      </w:r>
      <w:r w:rsidRPr="00EB5DBD">
        <w:rPr>
          <w:lang w:val="en-GB"/>
        </w:rPr>
        <w:t xml:space="preserve"> (travel overseas and MSM contact) was determined using a Chi square test. </w:t>
      </w:r>
    </w:p>
    <w:p w14:paraId="52315456" w14:textId="77777777" w:rsidR="008A0736" w:rsidRDefault="000073ED" w:rsidP="005A4E9D">
      <w:pPr>
        <w:pStyle w:val="Heading1"/>
      </w:pPr>
      <w:bookmarkStart w:id="24" w:name="_Toc195530503"/>
      <w:bookmarkStart w:id="25" w:name="_Toc207030745"/>
      <w:r>
        <w:lastRenderedPageBreak/>
        <w:t>Results</w:t>
      </w:r>
      <w:bookmarkEnd w:id="24"/>
      <w:bookmarkEnd w:id="25"/>
    </w:p>
    <w:p w14:paraId="332211C1" w14:textId="77777777" w:rsidR="00AD1D3C" w:rsidRPr="00AD1D3C" w:rsidRDefault="00AD1D3C" w:rsidP="00AD1D3C">
      <w:pPr>
        <w:rPr>
          <w:lang w:val="en-GB"/>
        </w:rPr>
      </w:pPr>
      <w:r w:rsidRPr="00AD1D3C">
        <w:rPr>
          <w:lang w:val="en-GB"/>
        </w:rPr>
        <w:t>A total of 127 confirmed or probable cases with a case rate of 6.9 per 100,000 people were notified within the SEPHU catchment for the period 1 January 2022 – 31 March 2023.</w:t>
      </w:r>
      <w:r w:rsidRPr="00AD1D3C">
        <w:rPr>
          <w:vertAlign w:val="superscript"/>
          <w:lang w:val="en-GB"/>
        </w:rPr>
        <w:footnoteReference w:id="3"/>
      </w:r>
      <w:r w:rsidRPr="00AD1D3C">
        <w:rPr>
          <w:lang w:val="en-GB"/>
        </w:rPr>
        <w:t xml:space="preserve"> </w:t>
      </w:r>
    </w:p>
    <w:p w14:paraId="3D0FE252" w14:textId="77777777" w:rsidR="00AD1D3C" w:rsidRPr="00AD1D3C" w:rsidRDefault="00AD1D3C" w:rsidP="00AD1D3C">
      <w:pPr>
        <w:pStyle w:val="Heading2"/>
        <w:rPr>
          <w:lang w:val="en-GB"/>
        </w:rPr>
      </w:pPr>
      <w:bookmarkStart w:id="26" w:name="_Toc207030746"/>
      <w:r w:rsidRPr="00AD1D3C">
        <w:rPr>
          <w:lang w:val="en-GB"/>
        </w:rPr>
        <w:t>Case demographics</w:t>
      </w:r>
      <w:bookmarkEnd w:id="26"/>
    </w:p>
    <w:p w14:paraId="256A2906" w14:textId="77777777" w:rsidR="00AD1D3C" w:rsidRDefault="00AD1D3C" w:rsidP="00AD1D3C">
      <w:pPr>
        <w:rPr>
          <w:lang w:val="en-GB"/>
        </w:rPr>
      </w:pPr>
      <w:r w:rsidRPr="00AD1D3C">
        <w:rPr>
          <w:lang w:val="en-GB"/>
        </w:rPr>
        <w:t>Demographic characteristics are listed in Table 1. The age groups which recorded the greatest number of cases (each with 19/127; 15%) were the 0–4 and 5–9 years of age categories followed closely by the 30–34 years age category (18/127; 14%) (Figure 1). A higher proportion of cases were in males than females (Figure 1). Figure 2a shows that the highest case numbers came from the Casey LGA, while Figure 2b demonstrates that the highest case rates for the 15-month study period came from the Stonnington LGA (20.2 per 100,000 population) followed by the Greater Dandenong LGA (9.5 per 100,000 population) and Casey LGA (8.2 per 100,000 population).</w:t>
      </w:r>
    </w:p>
    <w:p w14:paraId="7B866770" w14:textId="53FF4BBF" w:rsidR="00AD1D3C" w:rsidRDefault="00AD1D3C" w:rsidP="00AD1D3C">
      <w:pPr>
        <w:pStyle w:val="CDIFigure-Title"/>
        <w:rPr>
          <w:lang w:val="en-GB"/>
        </w:rPr>
      </w:pPr>
      <w:r w:rsidRPr="00AD1D3C">
        <w:rPr>
          <w:lang w:val="en-GB"/>
        </w:rPr>
        <w:t xml:space="preserve">Table 1: Demographic characteristics of </w:t>
      </w:r>
      <w:r w:rsidRPr="00AD1D3C">
        <w:rPr>
          <w:i/>
          <w:iCs/>
          <w:lang w:val="en-GB"/>
        </w:rPr>
        <w:t>Shigella</w:t>
      </w:r>
      <w:r w:rsidRPr="00AD1D3C">
        <w:rPr>
          <w:lang w:val="en-GB"/>
        </w:rPr>
        <w:t xml:space="preserve"> notifications within South-East Metropolitan Melbourne from January 2022 to March 2023</w:t>
      </w:r>
    </w:p>
    <w:tbl>
      <w:tblPr>
        <w:tblW w:w="0" w:type="auto"/>
        <w:tblLayout w:type="fixed"/>
        <w:tblCellMar>
          <w:left w:w="0" w:type="dxa"/>
          <w:right w:w="0" w:type="dxa"/>
        </w:tblCellMar>
        <w:tblLook w:val="0000" w:firstRow="0" w:lastRow="0" w:firstColumn="0" w:lastColumn="0" w:noHBand="0" w:noVBand="0"/>
        <w:tblCaption w:val="Table 1: Demographic characteristics of Shigella notifications within South-East Metropolitan Melbourne from January 2022 to March 2023"/>
        <w:tblDescription w:val="Table 1 presents notification number and percentage of cases according to the demographic categories of sex, and indigenous status. "/>
      </w:tblPr>
      <w:tblGrid>
        <w:gridCol w:w="2268"/>
        <w:gridCol w:w="3401"/>
        <w:gridCol w:w="1985"/>
        <w:gridCol w:w="1984"/>
      </w:tblGrid>
      <w:tr w:rsidR="00AD1D3C" w:rsidRPr="00AD1D3C" w14:paraId="15444853" w14:textId="77777777" w:rsidTr="00AD1D3C">
        <w:trPr>
          <w:trHeight w:val="60"/>
          <w:tblHeader/>
        </w:trPr>
        <w:tc>
          <w:tcPr>
            <w:tcW w:w="2268" w:type="dxa"/>
            <w:shd w:val="clear" w:color="auto" w:fill="1E4496" w:themeFill="text2"/>
            <w:tcMar>
              <w:top w:w="113" w:type="dxa"/>
              <w:left w:w="113" w:type="dxa"/>
              <w:bottom w:w="113" w:type="dxa"/>
              <w:right w:w="113" w:type="dxa"/>
            </w:tcMar>
            <w:vAlign w:val="bottom"/>
          </w:tcPr>
          <w:p w14:paraId="64F8B8F9" w14:textId="77777777" w:rsidR="00AD1D3C" w:rsidRPr="00AD1D3C" w:rsidRDefault="00AD1D3C" w:rsidP="00AD1D3C">
            <w:pPr>
              <w:pStyle w:val="CDITable-HeaderRowLeft"/>
            </w:pPr>
            <w:r w:rsidRPr="00AD1D3C">
              <w:t>Category</w:t>
            </w:r>
          </w:p>
        </w:tc>
        <w:tc>
          <w:tcPr>
            <w:tcW w:w="3401" w:type="dxa"/>
            <w:shd w:val="clear" w:color="auto" w:fill="1E4496" w:themeFill="text2"/>
            <w:tcMar>
              <w:top w:w="113" w:type="dxa"/>
              <w:left w:w="113" w:type="dxa"/>
              <w:bottom w:w="113" w:type="dxa"/>
              <w:right w:w="113" w:type="dxa"/>
            </w:tcMar>
            <w:vAlign w:val="bottom"/>
          </w:tcPr>
          <w:p w14:paraId="34DD08AA" w14:textId="77777777" w:rsidR="00AD1D3C" w:rsidRPr="00AD1D3C" w:rsidRDefault="00AD1D3C" w:rsidP="00AD1D3C">
            <w:pPr>
              <w:pStyle w:val="CDITable-HeaderRowLeft"/>
            </w:pPr>
            <w:r w:rsidRPr="00AD1D3C">
              <w:t>Characteristic</w:t>
            </w:r>
          </w:p>
        </w:tc>
        <w:tc>
          <w:tcPr>
            <w:tcW w:w="1985" w:type="dxa"/>
            <w:shd w:val="clear" w:color="auto" w:fill="1E4496" w:themeFill="text2"/>
            <w:tcMar>
              <w:top w:w="113" w:type="dxa"/>
              <w:left w:w="113" w:type="dxa"/>
              <w:bottom w:w="113" w:type="dxa"/>
              <w:right w:w="113" w:type="dxa"/>
            </w:tcMar>
            <w:vAlign w:val="bottom"/>
          </w:tcPr>
          <w:p w14:paraId="1EA2444A" w14:textId="77777777" w:rsidR="00AD1D3C" w:rsidRPr="00AD1D3C" w:rsidRDefault="00AD1D3C" w:rsidP="00AD1D3C">
            <w:pPr>
              <w:pStyle w:val="CDITable-HeaderRowCentre"/>
            </w:pPr>
            <w:r w:rsidRPr="00AD1D3C">
              <w:t>n</w:t>
            </w:r>
          </w:p>
        </w:tc>
        <w:tc>
          <w:tcPr>
            <w:tcW w:w="1984" w:type="dxa"/>
            <w:shd w:val="clear" w:color="auto" w:fill="1E4496" w:themeFill="text2"/>
            <w:tcMar>
              <w:top w:w="113" w:type="dxa"/>
              <w:left w:w="113" w:type="dxa"/>
              <w:bottom w:w="113" w:type="dxa"/>
              <w:right w:w="113" w:type="dxa"/>
            </w:tcMar>
            <w:vAlign w:val="bottom"/>
          </w:tcPr>
          <w:p w14:paraId="52229F40" w14:textId="77777777" w:rsidR="00AD1D3C" w:rsidRPr="00AD1D3C" w:rsidRDefault="00AD1D3C" w:rsidP="00AD1D3C">
            <w:pPr>
              <w:pStyle w:val="CDITable-HeaderRowCentre"/>
            </w:pPr>
            <w:r w:rsidRPr="00AD1D3C">
              <w:t>%</w:t>
            </w:r>
          </w:p>
        </w:tc>
      </w:tr>
      <w:tr w:rsidR="00AD1D3C" w:rsidRPr="00AD1D3C" w14:paraId="2C84186D" w14:textId="77777777" w:rsidTr="00AD1D3C">
        <w:trPr>
          <w:trHeight w:val="60"/>
        </w:trPr>
        <w:tc>
          <w:tcPr>
            <w:tcW w:w="2268" w:type="dxa"/>
            <w:vMerge w:val="restart"/>
            <w:tcBorders>
              <w:bottom w:val="single" w:sz="6" w:space="0" w:color="1E4496" w:themeColor="text2"/>
            </w:tcBorders>
            <w:tcMar>
              <w:top w:w="113" w:type="dxa"/>
              <w:left w:w="113" w:type="dxa"/>
              <w:bottom w:w="113" w:type="dxa"/>
              <w:right w:w="113" w:type="dxa"/>
            </w:tcMar>
            <w:vAlign w:val="center"/>
          </w:tcPr>
          <w:p w14:paraId="7797451B" w14:textId="77777777" w:rsidR="00AD1D3C" w:rsidRPr="00AD1D3C" w:rsidRDefault="00AD1D3C" w:rsidP="00AD1D3C">
            <w:pPr>
              <w:pStyle w:val="CDITable-RowLeft"/>
            </w:pPr>
            <w:r w:rsidRPr="00AD1D3C">
              <w:t>Sex</w:t>
            </w:r>
          </w:p>
        </w:tc>
        <w:tc>
          <w:tcPr>
            <w:tcW w:w="3401" w:type="dxa"/>
            <w:tcBorders>
              <w:bottom w:val="single" w:sz="6" w:space="0" w:color="1E4496" w:themeColor="text2"/>
            </w:tcBorders>
            <w:tcMar>
              <w:top w:w="113" w:type="dxa"/>
              <w:left w:w="113" w:type="dxa"/>
              <w:bottom w:w="113" w:type="dxa"/>
              <w:right w:w="113" w:type="dxa"/>
            </w:tcMar>
            <w:vAlign w:val="center"/>
          </w:tcPr>
          <w:p w14:paraId="01431C6A" w14:textId="77777777" w:rsidR="00AD1D3C" w:rsidRPr="00AD1D3C" w:rsidRDefault="00AD1D3C" w:rsidP="00AD1D3C">
            <w:pPr>
              <w:pStyle w:val="CDITable-RowLeft"/>
            </w:pPr>
            <w:r w:rsidRPr="00AD1D3C">
              <w:t>Male</w:t>
            </w:r>
          </w:p>
        </w:tc>
        <w:tc>
          <w:tcPr>
            <w:tcW w:w="1985" w:type="dxa"/>
            <w:tcBorders>
              <w:bottom w:val="single" w:sz="6" w:space="0" w:color="1E4496" w:themeColor="text2"/>
            </w:tcBorders>
            <w:tcMar>
              <w:top w:w="113" w:type="dxa"/>
              <w:left w:w="113" w:type="dxa"/>
              <w:bottom w:w="113" w:type="dxa"/>
              <w:right w:w="113" w:type="dxa"/>
            </w:tcMar>
            <w:vAlign w:val="center"/>
          </w:tcPr>
          <w:p w14:paraId="06A5CEE0" w14:textId="77777777" w:rsidR="00AD1D3C" w:rsidRPr="00AD1D3C" w:rsidRDefault="00AD1D3C" w:rsidP="00AD1D3C">
            <w:pPr>
              <w:pStyle w:val="CDITable-RowCentre"/>
            </w:pPr>
            <w:r w:rsidRPr="00AD1D3C">
              <w:t>79</w:t>
            </w:r>
          </w:p>
        </w:tc>
        <w:tc>
          <w:tcPr>
            <w:tcW w:w="1984" w:type="dxa"/>
            <w:tcBorders>
              <w:bottom w:val="single" w:sz="6" w:space="0" w:color="1E4496" w:themeColor="text2"/>
            </w:tcBorders>
            <w:tcMar>
              <w:top w:w="113" w:type="dxa"/>
              <w:left w:w="113" w:type="dxa"/>
              <w:bottom w:w="113" w:type="dxa"/>
              <w:right w:w="113" w:type="dxa"/>
            </w:tcMar>
            <w:vAlign w:val="center"/>
          </w:tcPr>
          <w:p w14:paraId="21FE1BFA" w14:textId="77777777" w:rsidR="00AD1D3C" w:rsidRPr="00AD1D3C" w:rsidRDefault="00AD1D3C" w:rsidP="00AD1D3C">
            <w:pPr>
              <w:pStyle w:val="CDITable-RowCentre"/>
            </w:pPr>
            <w:r w:rsidRPr="00AD1D3C">
              <w:t>62</w:t>
            </w:r>
          </w:p>
        </w:tc>
      </w:tr>
      <w:tr w:rsidR="00AD1D3C" w:rsidRPr="00AD1D3C" w14:paraId="0F9DD073" w14:textId="77777777" w:rsidTr="00AD1D3C">
        <w:trPr>
          <w:trHeight w:val="60"/>
        </w:trPr>
        <w:tc>
          <w:tcPr>
            <w:tcW w:w="2268" w:type="dxa"/>
            <w:vMerge/>
            <w:tcBorders>
              <w:bottom w:val="single" w:sz="6" w:space="0" w:color="1E4496" w:themeColor="text2"/>
            </w:tcBorders>
          </w:tcPr>
          <w:p w14:paraId="62A9D68A" w14:textId="77777777" w:rsidR="00AD1D3C" w:rsidRPr="00AD1D3C" w:rsidRDefault="00AD1D3C" w:rsidP="00AD1D3C">
            <w:pPr>
              <w:pStyle w:val="CDITable-RowLeft"/>
            </w:pPr>
          </w:p>
        </w:tc>
        <w:tc>
          <w:tcPr>
            <w:tcW w:w="34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985286" w14:textId="77777777" w:rsidR="00AD1D3C" w:rsidRPr="00AD1D3C" w:rsidRDefault="00AD1D3C" w:rsidP="00AD1D3C">
            <w:pPr>
              <w:pStyle w:val="CDITable-RowLeft"/>
            </w:pPr>
            <w:r w:rsidRPr="00AD1D3C">
              <w:t>Female</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A2AD80" w14:textId="77777777" w:rsidR="00AD1D3C" w:rsidRPr="00AD1D3C" w:rsidRDefault="00AD1D3C" w:rsidP="00AD1D3C">
            <w:pPr>
              <w:pStyle w:val="CDITable-RowCentre"/>
            </w:pPr>
            <w:r w:rsidRPr="00AD1D3C">
              <w:t>48</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E70AFF" w14:textId="77777777" w:rsidR="00AD1D3C" w:rsidRPr="00AD1D3C" w:rsidRDefault="00AD1D3C" w:rsidP="00AD1D3C">
            <w:pPr>
              <w:pStyle w:val="CDITable-RowCentre"/>
            </w:pPr>
            <w:r w:rsidRPr="00AD1D3C">
              <w:t>38</w:t>
            </w:r>
          </w:p>
        </w:tc>
      </w:tr>
      <w:tr w:rsidR="00AD1D3C" w:rsidRPr="00AD1D3C" w14:paraId="0A205288" w14:textId="77777777" w:rsidTr="00AD1D3C">
        <w:trPr>
          <w:trHeight w:val="60"/>
        </w:trPr>
        <w:tc>
          <w:tcPr>
            <w:tcW w:w="2268"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529043" w14:textId="77777777" w:rsidR="00AD1D3C" w:rsidRPr="00AD1D3C" w:rsidRDefault="00AD1D3C" w:rsidP="00AD1D3C">
            <w:pPr>
              <w:pStyle w:val="CDITable-RowLeft"/>
            </w:pPr>
            <w:r w:rsidRPr="00AD1D3C">
              <w:t>Indigenous status</w:t>
            </w:r>
          </w:p>
        </w:tc>
        <w:tc>
          <w:tcPr>
            <w:tcW w:w="34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7534ED" w14:textId="77777777" w:rsidR="00AD1D3C" w:rsidRPr="00AD1D3C" w:rsidRDefault="00AD1D3C" w:rsidP="00AD1D3C">
            <w:pPr>
              <w:pStyle w:val="CDITable-RowLeft"/>
            </w:pPr>
            <w:r w:rsidRPr="00AD1D3C">
              <w:t>Not Aboriginal or Torres Strait Islander</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7C5917" w14:textId="77777777" w:rsidR="00AD1D3C" w:rsidRPr="00AD1D3C" w:rsidRDefault="00AD1D3C" w:rsidP="00AD1D3C">
            <w:pPr>
              <w:pStyle w:val="CDITable-RowCentre"/>
            </w:pPr>
            <w:r w:rsidRPr="00AD1D3C">
              <w:t>94</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729DE6" w14:textId="77777777" w:rsidR="00AD1D3C" w:rsidRPr="00AD1D3C" w:rsidRDefault="00AD1D3C" w:rsidP="00AD1D3C">
            <w:pPr>
              <w:pStyle w:val="CDITable-RowCentre"/>
            </w:pPr>
            <w:r w:rsidRPr="00AD1D3C">
              <w:t>74</w:t>
            </w:r>
          </w:p>
        </w:tc>
      </w:tr>
      <w:tr w:rsidR="00AD1D3C" w:rsidRPr="00AD1D3C" w14:paraId="63665F55" w14:textId="77777777" w:rsidTr="00AD1D3C">
        <w:trPr>
          <w:trHeight w:val="60"/>
        </w:trPr>
        <w:tc>
          <w:tcPr>
            <w:tcW w:w="2268" w:type="dxa"/>
            <w:vMerge/>
            <w:tcBorders>
              <w:bottom w:val="single" w:sz="6" w:space="0" w:color="1E4496" w:themeColor="text2"/>
            </w:tcBorders>
          </w:tcPr>
          <w:p w14:paraId="150AD3F2" w14:textId="77777777" w:rsidR="00AD1D3C" w:rsidRPr="00AD1D3C" w:rsidRDefault="00AD1D3C" w:rsidP="00AD1D3C">
            <w:pPr>
              <w:pStyle w:val="CDITable-RowLeft"/>
            </w:pPr>
          </w:p>
        </w:tc>
        <w:tc>
          <w:tcPr>
            <w:tcW w:w="34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71A8A7" w14:textId="77777777" w:rsidR="00AD1D3C" w:rsidRPr="00AD1D3C" w:rsidRDefault="00AD1D3C" w:rsidP="00AD1D3C">
            <w:pPr>
              <w:pStyle w:val="CDITable-RowLeft"/>
            </w:pPr>
            <w:r w:rsidRPr="00AD1D3C">
              <w:t>Aboriginal or Torres Strait Islander</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600249" w14:textId="77777777" w:rsidR="00AD1D3C" w:rsidRPr="00AD1D3C" w:rsidRDefault="00AD1D3C" w:rsidP="00AD1D3C">
            <w:pPr>
              <w:pStyle w:val="CDITable-RowCentre"/>
            </w:pPr>
            <w:r w:rsidRPr="00AD1D3C">
              <w:t>0</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446869" w14:textId="77777777" w:rsidR="00AD1D3C" w:rsidRPr="00AD1D3C" w:rsidRDefault="00AD1D3C" w:rsidP="00AD1D3C">
            <w:pPr>
              <w:pStyle w:val="CDITable-RowCentre"/>
            </w:pPr>
            <w:r w:rsidRPr="00AD1D3C">
              <w:t>0</w:t>
            </w:r>
          </w:p>
        </w:tc>
      </w:tr>
      <w:tr w:rsidR="00AD1D3C" w:rsidRPr="00AD1D3C" w14:paraId="049EBB9F" w14:textId="77777777" w:rsidTr="00AD1D3C">
        <w:trPr>
          <w:trHeight w:val="60"/>
        </w:trPr>
        <w:tc>
          <w:tcPr>
            <w:tcW w:w="2268" w:type="dxa"/>
            <w:vMerge/>
            <w:tcBorders>
              <w:bottom w:val="single" w:sz="6" w:space="0" w:color="1E4496" w:themeColor="text2"/>
            </w:tcBorders>
          </w:tcPr>
          <w:p w14:paraId="69641BE3" w14:textId="77777777" w:rsidR="00AD1D3C" w:rsidRPr="00AD1D3C" w:rsidRDefault="00AD1D3C" w:rsidP="00AD1D3C">
            <w:pPr>
              <w:pStyle w:val="CDITable-RowLeft"/>
            </w:pPr>
          </w:p>
        </w:tc>
        <w:tc>
          <w:tcPr>
            <w:tcW w:w="34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8ED5C4" w14:textId="77777777" w:rsidR="00AD1D3C" w:rsidRPr="00AD1D3C" w:rsidRDefault="00AD1D3C" w:rsidP="00AD1D3C">
            <w:pPr>
              <w:pStyle w:val="CDITable-RowLeft"/>
            </w:pPr>
            <w:r w:rsidRPr="00AD1D3C">
              <w:t>Unknown</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AB952C" w14:textId="77777777" w:rsidR="00AD1D3C" w:rsidRPr="00AD1D3C" w:rsidRDefault="00AD1D3C" w:rsidP="00AD1D3C">
            <w:pPr>
              <w:pStyle w:val="CDITable-RowCentre"/>
            </w:pPr>
            <w:r w:rsidRPr="00AD1D3C">
              <w:t>33</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869213" w14:textId="77777777" w:rsidR="00AD1D3C" w:rsidRPr="00AD1D3C" w:rsidRDefault="00AD1D3C" w:rsidP="00AD1D3C">
            <w:pPr>
              <w:pStyle w:val="CDITable-RowCentre"/>
            </w:pPr>
            <w:r w:rsidRPr="00AD1D3C">
              <w:t>26</w:t>
            </w:r>
          </w:p>
        </w:tc>
      </w:tr>
    </w:tbl>
    <w:p w14:paraId="6DEF7E45" w14:textId="761A7481" w:rsidR="00AD1D3C" w:rsidRDefault="0076732C" w:rsidP="0076732C">
      <w:pPr>
        <w:pStyle w:val="CDIFigure-Title"/>
        <w:rPr>
          <w:lang w:val="en-GB"/>
        </w:rPr>
      </w:pPr>
      <w:r w:rsidRPr="0076732C">
        <w:rPr>
          <w:lang w:val="en-GB"/>
        </w:rPr>
        <w:t xml:space="preserve">Figure 1: </w:t>
      </w:r>
      <w:r w:rsidR="00DE7FD0" w:rsidRPr="00DE7FD0">
        <w:rPr>
          <w:lang w:val="en-GB"/>
        </w:rPr>
        <w:t>Shigellosis cases in SEPHU catchment area from January 2022 to March 2023, distributed according to age and sex</w:t>
      </w:r>
    </w:p>
    <w:p w14:paraId="05B3BEE3" w14:textId="49337B6A" w:rsidR="0076732C" w:rsidRDefault="0076732C" w:rsidP="0076732C">
      <w:pPr>
        <w:pStyle w:val="CDIFigure-Placeholder"/>
        <w:rPr>
          <w:lang w:val="en-GB"/>
        </w:rPr>
      </w:pPr>
      <w:r>
        <w:rPr>
          <w:noProof/>
          <w:lang w:val="en-GB"/>
          <w14:ligatures w14:val="none"/>
        </w:rPr>
        <w:drawing>
          <wp:inline distT="0" distB="0" distL="0" distR="0" wp14:anchorId="11B2A473" wp14:editId="2D25A9F4">
            <wp:extent cx="6120765" cy="1696085"/>
            <wp:effectExtent l="0" t="0" r="0" b="0"/>
            <wp:docPr id="1294430314" name="Picture 1" descr="Figure 1: Bidirectional bar graph depicting the number of cases in females and males for five year age increments. Female cases are presented in grey on the left and males in blue on the right. There appeared to be two peak age groups in young children and around the 30-year-old age group. The age groups 0-4 and 5-9 had the greatest number of cases with 19 each. The age group of 30-34 years closely follows with 18 cases. The majority of these cases (16/18) in the 30-34 year range are in m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30314" name="Picture 1" descr="Figure 1: Bidirectional bar graph depicting the number of cases in females and males for five year age increments. Female cases are presented in grey on the left and males in blue on the right. There appeared to be two peak age groups in young children and around the 30-year-old age group. The age groups 0-4 and 5-9 had the greatest number of cases with 19 each. The age group of 30-34 years closely follows with 18 cases. The majority of these cases (16/18) in the 30-34 year range are in males. "/>
                    <pic:cNvPicPr/>
                  </pic:nvPicPr>
                  <pic:blipFill>
                    <a:blip r:embed="rId18">
                      <a:extLst>
                        <a:ext uri="{28A0092B-C50C-407E-A947-70E740481C1C}">
                          <a14:useLocalDpi xmlns:a14="http://schemas.microsoft.com/office/drawing/2010/main" val="0"/>
                        </a:ext>
                      </a:extLst>
                    </a:blip>
                    <a:stretch>
                      <a:fillRect/>
                    </a:stretch>
                  </pic:blipFill>
                  <pic:spPr>
                    <a:xfrm>
                      <a:off x="0" y="0"/>
                      <a:ext cx="6120765" cy="1696085"/>
                    </a:xfrm>
                    <a:prstGeom prst="rect">
                      <a:avLst/>
                    </a:prstGeom>
                  </pic:spPr>
                </pic:pic>
              </a:graphicData>
            </a:graphic>
          </wp:inline>
        </w:drawing>
      </w:r>
      <w:r>
        <w:rPr>
          <w:lang w:val="en-GB"/>
        </w:rPr>
        <w:br w:type="page"/>
      </w:r>
    </w:p>
    <w:p w14:paraId="562868FB" w14:textId="05C0155E" w:rsidR="0076732C" w:rsidRDefault="0076732C" w:rsidP="0076732C">
      <w:pPr>
        <w:pStyle w:val="CDIFigure-Title"/>
      </w:pPr>
      <w:r w:rsidRPr="0076732C">
        <w:lastRenderedPageBreak/>
        <w:t xml:space="preserve">Figure 2: </w:t>
      </w:r>
      <w:r w:rsidR="006F1923" w:rsidRPr="006F1923">
        <w:t>Shigellosis cases in SEPHU catchment area from January 2022 to March 2023,</w:t>
      </w:r>
      <w:r w:rsidRPr="0076732C">
        <w:t xml:space="preserve"> as (a) case numbers and (b) case rates, according to the local government area (LGA) where they were reported and primary risk factor</w:t>
      </w:r>
    </w:p>
    <w:p w14:paraId="0F65DA23" w14:textId="266CBCD0" w:rsidR="0076732C" w:rsidRDefault="0076732C" w:rsidP="0076732C">
      <w:pPr>
        <w:pStyle w:val="CDIFigure-Placeholder"/>
      </w:pPr>
      <w:r>
        <w:rPr>
          <w:noProof/>
          <w14:ligatures w14:val="none"/>
        </w:rPr>
        <w:drawing>
          <wp:inline distT="0" distB="0" distL="0" distR="0" wp14:anchorId="3494505B" wp14:editId="119D320A">
            <wp:extent cx="6120765" cy="5553942"/>
            <wp:effectExtent l="0" t="0" r="0" b="8890"/>
            <wp:docPr id="1937079344" name="Picture 2" descr="Column graphs depicting case numbers and rates divided according to LGA. Different colours within each column represent the breakdown of the risk factors associated with the cases. These risk factors are having a known sick contact, travel within Australia, men who have sex with men, travel overseas and unknown. Casey had the greatest number of cases with 30, followed by Stonnington with 24 then Greater Dandenong with 16. The number of cases were converted to rates by multiplying by the case rate for the specific LGA. Stonnington had greatest case rate of 20.2/ 100k. Within this LGA, MSM was the greatest primary risk factor. Greater Dandenong had second highest case rate with majority being unknown risk factors followed by Casey with most cases associated with overseas. From highest case rate to lowest thereafter was Port Phillip, Monash, Cardinia, Glen Eira, bayside, Kingston, Mornington Peninsula and Franks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079344" name="Picture 2" descr="Column graphs depicting case numbers and rates divided according to LGA. Different colours within each column represent the breakdown of the risk factors associated with the cases. These risk factors are having a known sick contact, travel within Australia, men who have sex with men, travel overseas and unknown. Casey had the greatest number of cases with 30, followed by Stonnington with 24 then Greater Dandenong with 16. The number of cases were converted to rates by multiplying by the case rate for the specific LGA. Stonnington had greatest case rate of 20.2/ 100k. Within this LGA, MSM was the greatest primary risk factor. Greater Dandenong had second highest case rate with majority being unknown risk factors followed by Casey with most cases associated with overseas. From highest case rate to lowest thereafter was Port Phillip, Monash, Cardinia, Glen Eira, bayside, Kingston, Mornington Peninsula and Frankston. "/>
                    <pic:cNvPicPr/>
                  </pic:nvPicPr>
                  <pic:blipFill>
                    <a:blip r:embed="rId19">
                      <a:extLst>
                        <a:ext uri="{28A0092B-C50C-407E-A947-70E740481C1C}">
                          <a14:useLocalDpi xmlns:a14="http://schemas.microsoft.com/office/drawing/2010/main" val="0"/>
                        </a:ext>
                      </a:extLst>
                    </a:blip>
                    <a:stretch>
                      <a:fillRect/>
                    </a:stretch>
                  </pic:blipFill>
                  <pic:spPr>
                    <a:xfrm>
                      <a:off x="0" y="0"/>
                      <a:ext cx="6120765" cy="5553942"/>
                    </a:xfrm>
                    <a:prstGeom prst="rect">
                      <a:avLst/>
                    </a:prstGeom>
                  </pic:spPr>
                </pic:pic>
              </a:graphicData>
            </a:graphic>
          </wp:inline>
        </w:drawing>
      </w:r>
    </w:p>
    <w:p w14:paraId="74B49EB9" w14:textId="77777777" w:rsidR="00AD1D3C" w:rsidRPr="00AD1D3C" w:rsidRDefault="00AD1D3C" w:rsidP="00AD1D3C">
      <w:pPr>
        <w:pStyle w:val="Heading2"/>
        <w:rPr>
          <w:lang w:val="en-GB"/>
        </w:rPr>
      </w:pPr>
      <w:bookmarkStart w:id="27" w:name="_Toc207030747"/>
      <w:r w:rsidRPr="00AD1D3C">
        <w:rPr>
          <w:lang w:val="en-GB"/>
        </w:rPr>
        <w:t>Risk factors</w:t>
      </w:r>
      <w:bookmarkEnd w:id="27"/>
    </w:p>
    <w:p w14:paraId="503A0D5A" w14:textId="77777777" w:rsidR="00AD1D3C" w:rsidRPr="00AD1D3C" w:rsidRDefault="00AD1D3C" w:rsidP="00AD1D3C">
      <w:pPr>
        <w:rPr>
          <w:lang w:val="en-GB"/>
        </w:rPr>
      </w:pPr>
      <w:r w:rsidRPr="00AD1D3C">
        <w:rPr>
          <w:lang w:val="en-GB"/>
        </w:rPr>
        <w:t xml:space="preserve">The most prominent primary risk factor was travel overseas (62/127; 48.9%). Thirty-two of the cases related to overseas travel (51.6%) were in females. India was the most frequent country visited for these cases. Contact between MSM was the second most common risk factor (16/127; 12.6%). Contact with a known case accounted for four cases (3%; Figure 3). Forty cases (40/127; 31.5%) did not have a primary risk factor identified. Within the LGA of Stonnington, cases were predominately associated with MSM. The Cardinia LGA, in comparison, had a greater proportion of cases for which travel overseas was the primary risk factor. </w:t>
      </w:r>
      <w:proofErr w:type="gramStart"/>
      <w:r w:rsidRPr="00AD1D3C">
        <w:rPr>
          <w:lang w:val="en-GB"/>
        </w:rPr>
        <w:t>The majority of</w:t>
      </w:r>
      <w:proofErr w:type="gramEnd"/>
      <w:r w:rsidRPr="00AD1D3C">
        <w:rPr>
          <w:lang w:val="en-GB"/>
        </w:rPr>
        <w:t xml:space="preserve"> Greater Dandenong’s cases were of unknown risk factor followed by overseas travel (Figure 2a). Twelve of the cases for Greater Dandenong (12/16; 75%) were recorded prior to SEPHU taking over the management of shigellosis notifications. </w:t>
      </w:r>
    </w:p>
    <w:p w14:paraId="3184079C" w14:textId="4B4EE897" w:rsidR="0076732C" w:rsidRDefault="0076732C" w:rsidP="0076732C">
      <w:pPr>
        <w:pStyle w:val="CDIFigure-Title"/>
      </w:pPr>
      <w:r w:rsidRPr="0076732C">
        <w:lastRenderedPageBreak/>
        <w:t xml:space="preserve">Figure 3: </w:t>
      </w:r>
      <w:r w:rsidR="006F1923" w:rsidRPr="006F1923">
        <w:t>Shigellosis cases in SEPHU catchment area from January 2022 to March 2023,</w:t>
      </w:r>
      <w:r w:rsidR="006F1923">
        <w:t xml:space="preserve"> </w:t>
      </w:r>
      <w:r w:rsidRPr="0076732C">
        <w:t>according to the primary risk factor reported</w:t>
      </w:r>
    </w:p>
    <w:p w14:paraId="3124CBE2" w14:textId="77777777" w:rsidR="0076732C" w:rsidRDefault="0076732C" w:rsidP="0076732C">
      <w:pPr>
        <w:pStyle w:val="CDIFigure-Placeholder"/>
      </w:pPr>
      <w:r>
        <w:rPr>
          <w:noProof/>
          <w14:ligatures w14:val="none"/>
        </w:rPr>
        <w:drawing>
          <wp:inline distT="0" distB="0" distL="0" distR="0" wp14:anchorId="6BAE5944" wp14:editId="48B8F541">
            <wp:extent cx="6120765" cy="2340426"/>
            <wp:effectExtent l="0" t="0" r="0" b="3175"/>
            <wp:docPr id="327384508" name="Picture 3" descr="Column graph depicting the breakdown of cases according to primary risk factor. Risk factors identified included travel overseas, men who have sex with men (MSM), travel within Australia and being a contact with an infected person. The remainder of cases did not have a particular risk identified. There were 62 notifications associated with overseas travel, 32 being female and 30 being male. 16 cases were associated with MSM, three with travel within Australia (2 male, 1 female), six with a known sick contact (4 male, 2 female) and 40 that where no primary risk was able to identified (27 male, 13 fem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84508" name="Picture 3" descr="Column graph depicting the breakdown of cases according to primary risk factor. Risk factors identified included travel overseas, men who have sex with men (MSM), travel within Australia and being a contact with an infected person. The remainder of cases did not have a particular risk identified. There were 62 notifications associated with overseas travel, 32 being female and 30 being male. 16 cases were associated with MSM, three with travel within Australia (2 male, 1 female), six with a known sick contact (4 male, 2 female) and 40 that where no primary risk was able to identified (27 male, 13 female). "/>
                    <pic:cNvPicPr/>
                  </pic:nvPicPr>
                  <pic:blipFill>
                    <a:blip r:embed="rId20">
                      <a:extLst>
                        <a:ext uri="{28A0092B-C50C-407E-A947-70E740481C1C}">
                          <a14:useLocalDpi xmlns:a14="http://schemas.microsoft.com/office/drawing/2010/main" val="0"/>
                        </a:ext>
                      </a:extLst>
                    </a:blip>
                    <a:stretch>
                      <a:fillRect/>
                    </a:stretch>
                  </pic:blipFill>
                  <pic:spPr>
                    <a:xfrm>
                      <a:off x="0" y="0"/>
                      <a:ext cx="6120765" cy="2340426"/>
                    </a:xfrm>
                    <a:prstGeom prst="rect">
                      <a:avLst/>
                    </a:prstGeom>
                  </pic:spPr>
                </pic:pic>
              </a:graphicData>
            </a:graphic>
          </wp:inline>
        </w:drawing>
      </w:r>
    </w:p>
    <w:p w14:paraId="70E0C739" w14:textId="21E0B290" w:rsidR="0076732C" w:rsidRPr="0076732C" w:rsidRDefault="0076732C" w:rsidP="0076732C">
      <w:pPr>
        <w:pStyle w:val="Normal-morespacebefore"/>
        <w:rPr>
          <w:lang w:val="en-GB"/>
        </w:rPr>
      </w:pPr>
      <w:r>
        <w:rPr>
          <w:lang w:val="en-GB"/>
        </w:rPr>
        <w:t>T</w:t>
      </w:r>
      <w:r w:rsidRPr="0076732C">
        <w:rPr>
          <w:lang w:val="en-GB"/>
        </w:rPr>
        <w:t>here were 59 cases reported prior to 24 October 2022, with 34 of these (58%) having no primary risk factors recorded. From 24 October 2022 and integration to SEPHU, there were 68 cases notified, of which only 14 (21%) had no listed primary risk factor (Appendix A, Table A.1). No sources were identified following completion of three-day food histories where no primary risk factor was identified.</w:t>
      </w:r>
    </w:p>
    <w:p w14:paraId="7A47C054" w14:textId="77777777" w:rsidR="0076732C" w:rsidRDefault="0076732C" w:rsidP="0076732C">
      <w:pPr>
        <w:rPr>
          <w:lang w:val="en-GB"/>
        </w:rPr>
      </w:pPr>
      <w:r w:rsidRPr="0076732C">
        <w:rPr>
          <w:lang w:val="en-GB"/>
        </w:rPr>
        <w:t>Table 2 shows that travel overseas was the most prominent risk factor in the youngest ten-year age group of 0–9 years (23/38 cases within this age group). In comparison, within the age group of 30–39 years, after ‘unknown’, the next highest number of cases were associated with MSM (11/33).</w:t>
      </w:r>
    </w:p>
    <w:p w14:paraId="53BABD06" w14:textId="20EC86F9" w:rsidR="0076732C" w:rsidRDefault="0076732C" w:rsidP="0076732C">
      <w:pPr>
        <w:pStyle w:val="CDITable-Title"/>
        <w:rPr>
          <w:lang w:val="en-GB"/>
        </w:rPr>
      </w:pPr>
      <w:r w:rsidRPr="0076732C">
        <w:rPr>
          <w:lang w:val="en-GB"/>
        </w:rPr>
        <w:t xml:space="preserve">Table 2: </w:t>
      </w:r>
      <w:r w:rsidR="00631773" w:rsidRPr="00631773">
        <w:rPr>
          <w:lang w:val="en-GB"/>
        </w:rPr>
        <w:t>Shigellosis cases in SEPHU catchment area from January 2022 to March 2023, by risk factors and age group</w:t>
      </w:r>
    </w:p>
    <w:tbl>
      <w:tblPr>
        <w:tblW w:w="9646" w:type="dxa"/>
        <w:tblLayout w:type="fixed"/>
        <w:tblCellMar>
          <w:left w:w="0" w:type="dxa"/>
          <w:right w:w="0" w:type="dxa"/>
        </w:tblCellMar>
        <w:tblLook w:val="0000" w:firstRow="0" w:lastRow="0" w:firstColumn="0" w:lastColumn="0" w:noHBand="0" w:noVBand="0"/>
        <w:tblCaption w:val="Table 2: Shigellosis cases in SEPHU catchment area from January 2022 to March 2023, by risk factors and age group"/>
        <w:tblDescription w:val="Table 2 presents risk factors according to 10 year age groups in order to highlight that not all age groups have equal representation of the risk factors.  "/>
      </w:tblPr>
      <w:tblGrid>
        <w:gridCol w:w="1247"/>
        <w:gridCol w:w="1377"/>
        <w:gridCol w:w="1446"/>
        <w:gridCol w:w="1445"/>
        <w:gridCol w:w="1377"/>
        <w:gridCol w:w="1377"/>
        <w:gridCol w:w="1377"/>
      </w:tblGrid>
      <w:tr w:rsidR="0076732C" w:rsidRPr="0076732C" w14:paraId="5ABCBED1" w14:textId="77777777" w:rsidTr="00D601DD">
        <w:trPr>
          <w:trHeight w:val="60"/>
          <w:tblHeader/>
        </w:trPr>
        <w:tc>
          <w:tcPr>
            <w:tcW w:w="1247" w:type="dxa"/>
            <w:vMerge w:val="restart"/>
            <w:shd w:val="clear" w:color="auto" w:fill="1E4496" w:themeFill="text2"/>
            <w:tcMar>
              <w:top w:w="113" w:type="dxa"/>
              <w:left w:w="113" w:type="dxa"/>
              <w:bottom w:w="113" w:type="dxa"/>
              <w:right w:w="113" w:type="dxa"/>
            </w:tcMar>
            <w:vAlign w:val="bottom"/>
          </w:tcPr>
          <w:p w14:paraId="06D1C604" w14:textId="77777777" w:rsidR="0076732C" w:rsidRPr="0076732C" w:rsidRDefault="0076732C" w:rsidP="0076732C">
            <w:pPr>
              <w:pStyle w:val="CDITable-HeaderRowLeft"/>
            </w:pPr>
            <w:r w:rsidRPr="0076732C">
              <w:t>Age group (years)</w:t>
            </w:r>
          </w:p>
        </w:tc>
        <w:tc>
          <w:tcPr>
            <w:tcW w:w="8399" w:type="dxa"/>
            <w:gridSpan w:val="6"/>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8A63144" w14:textId="77777777" w:rsidR="0076732C" w:rsidRPr="0076732C" w:rsidRDefault="0076732C" w:rsidP="0076732C">
            <w:pPr>
              <w:pStyle w:val="CDITable-HeaderRowCentre"/>
            </w:pPr>
            <w:r w:rsidRPr="0076732C">
              <w:t>Risk factor</w:t>
            </w:r>
          </w:p>
        </w:tc>
      </w:tr>
      <w:tr w:rsidR="0076732C" w:rsidRPr="0076732C" w14:paraId="313E618F" w14:textId="77777777" w:rsidTr="00D601DD">
        <w:trPr>
          <w:trHeight w:val="60"/>
          <w:tblHeader/>
        </w:trPr>
        <w:tc>
          <w:tcPr>
            <w:tcW w:w="1247" w:type="dxa"/>
            <w:vMerge/>
            <w:shd w:val="clear" w:color="auto" w:fill="1E4496" w:themeFill="text2"/>
          </w:tcPr>
          <w:p w14:paraId="15F12BD9" w14:textId="77777777" w:rsidR="0076732C" w:rsidRPr="0076732C" w:rsidRDefault="0076732C" w:rsidP="0076732C">
            <w:pPr>
              <w:pStyle w:val="CDITable-HeaderRowCentre"/>
            </w:pPr>
          </w:p>
        </w:tc>
        <w:tc>
          <w:tcPr>
            <w:tcW w:w="137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02BE817" w14:textId="77777777" w:rsidR="0076732C" w:rsidRPr="0076732C" w:rsidRDefault="0076732C" w:rsidP="0076732C">
            <w:pPr>
              <w:pStyle w:val="CDITable-HeaderRowCentre"/>
            </w:pPr>
            <w:r w:rsidRPr="0076732C">
              <w:t>Travel overseas</w:t>
            </w:r>
          </w:p>
        </w:tc>
        <w:tc>
          <w:tcPr>
            <w:tcW w:w="144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F73A668" w14:textId="77777777" w:rsidR="0076732C" w:rsidRPr="0076732C" w:rsidRDefault="0076732C" w:rsidP="0076732C">
            <w:pPr>
              <w:pStyle w:val="CDITable-HeaderRowCentre"/>
            </w:pPr>
            <w:r w:rsidRPr="0076732C">
              <w:t>Contact with known case</w:t>
            </w:r>
          </w:p>
        </w:tc>
        <w:tc>
          <w:tcPr>
            <w:tcW w:w="1445"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2C39468" w14:textId="77777777" w:rsidR="0076732C" w:rsidRPr="0076732C" w:rsidRDefault="0076732C" w:rsidP="0076732C">
            <w:pPr>
              <w:pStyle w:val="CDITable-HeaderRowCentre"/>
            </w:pPr>
            <w:r w:rsidRPr="0076732C">
              <w:t>Travel within Australia</w:t>
            </w:r>
          </w:p>
        </w:tc>
        <w:tc>
          <w:tcPr>
            <w:tcW w:w="137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4215591" w14:textId="77777777" w:rsidR="0076732C" w:rsidRPr="0076732C" w:rsidRDefault="0076732C" w:rsidP="0076732C">
            <w:pPr>
              <w:pStyle w:val="CDITable-HeaderRowCentre"/>
            </w:pPr>
            <w:r w:rsidRPr="0076732C">
              <w:t>MSM</w:t>
            </w:r>
          </w:p>
        </w:tc>
        <w:tc>
          <w:tcPr>
            <w:tcW w:w="137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DDC51DA" w14:textId="77777777" w:rsidR="0076732C" w:rsidRPr="0076732C" w:rsidRDefault="0076732C" w:rsidP="0076732C">
            <w:pPr>
              <w:pStyle w:val="CDITable-HeaderRowCentre"/>
            </w:pPr>
            <w:r w:rsidRPr="0076732C">
              <w:t>Unknown</w:t>
            </w:r>
          </w:p>
        </w:tc>
        <w:tc>
          <w:tcPr>
            <w:tcW w:w="137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83CD82F" w14:textId="77777777" w:rsidR="0076732C" w:rsidRPr="0076732C" w:rsidRDefault="0076732C" w:rsidP="0076732C">
            <w:pPr>
              <w:pStyle w:val="CDITable-HeaderRowCentre"/>
            </w:pPr>
            <w:r w:rsidRPr="0076732C">
              <w:t>Total</w:t>
            </w:r>
          </w:p>
        </w:tc>
      </w:tr>
      <w:tr w:rsidR="0076732C" w:rsidRPr="0076732C" w14:paraId="0E824B0F" w14:textId="77777777" w:rsidTr="00D601DD">
        <w:trPr>
          <w:trHeight w:val="60"/>
        </w:trPr>
        <w:tc>
          <w:tcPr>
            <w:tcW w:w="1247" w:type="dxa"/>
            <w:tcBorders>
              <w:bottom w:val="single" w:sz="6" w:space="0" w:color="1E4496" w:themeColor="text2"/>
            </w:tcBorders>
            <w:tcMar>
              <w:top w:w="113" w:type="dxa"/>
              <w:left w:w="113" w:type="dxa"/>
              <w:bottom w:w="113" w:type="dxa"/>
              <w:right w:w="113" w:type="dxa"/>
            </w:tcMar>
            <w:vAlign w:val="center"/>
          </w:tcPr>
          <w:p w14:paraId="413186A9" w14:textId="77777777" w:rsidR="0076732C" w:rsidRPr="0076732C" w:rsidRDefault="0076732C" w:rsidP="0076732C">
            <w:pPr>
              <w:pStyle w:val="CDITable-RowLeft"/>
            </w:pPr>
            <w:r w:rsidRPr="0076732C">
              <w:t>0–9</w:t>
            </w:r>
          </w:p>
        </w:tc>
        <w:tc>
          <w:tcPr>
            <w:tcW w:w="1377" w:type="dxa"/>
            <w:tcBorders>
              <w:bottom w:val="single" w:sz="6" w:space="0" w:color="1E4496" w:themeColor="text2"/>
            </w:tcBorders>
            <w:tcMar>
              <w:top w:w="113" w:type="dxa"/>
              <w:left w:w="113" w:type="dxa"/>
              <w:bottom w:w="113" w:type="dxa"/>
              <w:right w:w="113" w:type="dxa"/>
            </w:tcMar>
            <w:vAlign w:val="center"/>
          </w:tcPr>
          <w:p w14:paraId="2407E7D3" w14:textId="77777777" w:rsidR="0076732C" w:rsidRPr="0076732C" w:rsidRDefault="0076732C" w:rsidP="0076732C">
            <w:pPr>
              <w:pStyle w:val="CDITable-RowCentre"/>
            </w:pPr>
            <w:r w:rsidRPr="0076732C">
              <w:t>23</w:t>
            </w:r>
          </w:p>
        </w:tc>
        <w:tc>
          <w:tcPr>
            <w:tcW w:w="1446" w:type="dxa"/>
            <w:tcBorders>
              <w:bottom w:val="single" w:sz="6" w:space="0" w:color="1E4496" w:themeColor="text2"/>
            </w:tcBorders>
            <w:tcMar>
              <w:top w:w="113" w:type="dxa"/>
              <w:left w:w="113" w:type="dxa"/>
              <w:bottom w:w="113" w:type="dxa"/>
              <w:right w:w="113" w:type="dxa"/>
            </w:tcMar>
            <w:vAlign w:val="center"/>
          </w:tcPr>
          <w:p w14:paraId="5E5548BE" w14:textId="77777777" w:rsidR="0076732C" w:rsidRPr="0076732C" w:rsidRDefault="0076732C" w:rsidP="0076732C">
            <w:pPr>
              <w:pStyle w:val="CDITable-RowCentre"/>
            </w:pPr>
            <w:r w:rsidRPr="0076732C">
              <w:t>3</w:t>
            </w:r>
          </w:p>
        </w:tc>
        <w:tc>
          <w:tcPr>
            <w:tcW w:w="1445" w:type="dxa"/>
            <w:tcBorders>
              <w:bottom w:val="single" w:sz="6" w:space="0" w:color="1E4496" w:themeColor="text2"/>
            </w:tcBorders>
            <w:tcMar>
              <w:top w:w="113" w:type="dxa"/>
              <w:left w:w="113" w:type="dxa"/>
              <w:bottom w:w="113" w:type="dxa"/>
              <w:right w:w="113" w:type="dxa"/>
            </w:tcMar>
            <w:vAlign w:val="center"/>
          </w:tcPr>
          <w:p w14:paraId="08D4789E" w14:textId="77777777" w:rsidR="0076732C" w:rsidRPr="0076732C" w:rsidRDefault="0076732C" w:rsidP="0076732C">
            <w:pPr>
              <w:pStyle w:val="CDITable-RowCentre"/>
            </w:pPr>
            <w:r w:rsidRPr="0076732C">
              <w:t>2</w:t>
            </w:r>
          </w:p>
        </w:tc>
        <w:tc>
          <w:tcPr>
            <w:tcW w:w="1377" w:type="dxa"/>
            <w:tcBorders>
              <w:bottom w:val="single" w:sz="6" w:space="0" w:color="1E4496" w:themeColor="text2"/>
            </w:tcBorders>
            <w:tcMar>
              <w:top w:w="113" w:type="dxa"/>
              <w:left w:w="113" w:type="dxa"/>
              <w:bottom w:w="113" w:type="dxa"/>
              <w:right w:w="113" w:type="dxa"/>
            </w:tcMar>
            <w:vAlign w:val="center"/>
          </w:tcPr>
          <w:p w14:paraId="5A2405D6" w14:textId="77777777" w:rsidR="0076732C" w:rsidRPr="0076732C" w:rsidRDefault="0076732C" w:rsidP="0076732C">
            <w:pPr>
              <w:pStyle w:val="CDITable-RowCentre"/>
            </w:pPr>
            <w:r w:rsidRPr="0076732C">
              <w:t>0</w:t>
            </w:r>
          </w:p>
        </w:tc>
        <w:tc>
          <w:tcPr>
            <w:tcW w:w="1377" w:type="dxa"/>
            <w:tcBorders>
              <w:bottom w:val="single" w:sz="6" w:space="0" w:color="1E4496" w:themeColor="text2"/>
            </w:tcBorders>
            <w:tcMar>
              <w:top w:w="113" w:type="dxa"/>
              <w:left w:w="113" w:type="dxa"/>
              <w:bottom w:w="113" w:type="dxa"/>
              <w:right w:w="113" w:type="dxa"/>
            </w:tcMar>
            <w:vAlign w:val="center"/>
          </w:tcPr>
          <w:p w14:paraId="3300C4AD" w14:textId="77777777" w:rsidR="0076732C" w:rsidRPr="0076732C" w:rsidRDefault="0076732C" w:rsidP="0076732C">
            <w:pPr>
              <w:pStyle w:val="CDITable-RowCentre"/>
            </w:pPr>
            <w:r w:rsidRPr="0076732C">
              <w:t>10</w:t>
            </w:r>
          </w:p>
        </w:tc>
        <w:tc>
          <w:tcPr>
            <w:tcW w:w="1377" w:type="dxa"/>
            <w:tcBorders>
              <w:bottom w:val="single" w:sz="6" w:space="0" w:color="1E4496" w:themeColor="text2"/>
            </w:tcBorders>
            <w:tcMar>
              <w:top w:w="113" w:type="dxa"/>
              <w:left w:w="113" w:type="dxa"/>
              <w:bottom w:w="113" w:type="dxa"/>
              <w:right w:w="113" w:type="dxa"/>
            </w:tcMar>
            <w:vAlign w:val="center"/>
          </w:tcPr>
          <w:p w14:paraId="3F85E3D5" w14:textId="77777777" w:rsidR="0076732C" w:rsidRPr="0076732C" w:rsidRDefault="0076732C" w:rsidP="0076732C">
            <w:pPr>
              <w:pStyle w:val="CDITable-RowCentre"/>
            </w:pPr>
            <w:r w:rsidRPr="0076732C">
              <w:t>38</w:t>
            </w:r>
          </w:p>
        </w:tc>
      </w:tr>
      <w:tr w:rsidR="0076732C" w:rsidRPr="0076732C" w14:paraId="00139F9F" w14:textId="77777777" w:rsidTr="00D601DD">
        <w:trPr>
          <w:trHeight w:val="60"/>
        </w:trPr>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862869" w14:textId="77777777" w:rsidR="0076732C" w:rsidRPr="0076732C" w:rsidRDefault="0076732C" w:rsidP="0076732C">
            <w:pPr>
              <w:pStyle w:val="CDITable-RowLeft"/>
            </w:pPr>
            <w:r w:rsidRPr="0076732C">
              <w:t>10–19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C91332" w14:textId="77777777" w:rsidR="0076732C" w:rsidRPr="0076732C" w:rsidRDefault="0076732C" w:rsidP="0076732C">
            <w:pPr>
              <w:pStyle w:val="CDITable-RowCentre"/>
            </w:pPr>
            <w:r w:rsidRPr="0076732C">
              <w:t>3</w:t>
            </w:r>
          </w:p>
        </w:tc>
        <w:tc>
          <w:tcPr>
            <w:tcW w:w="144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F230D8" w14:textId="77777777" w:rsidR="0076732C" w:rsidRPr="0076732C" w:rsidRDefault="0076732C" w:rsidP="0076732C">
            <w:pPr>
              <w:pStyle w:val="CDITable-RowCentre"/>
            </w:pPr>
            <w:r w:rsidRPr="0076732C">
              <w:t>0</w:t>
            </w:r>
          </w:p>
        </w:tc>
        <w:tc>
          <w:tcPr>
            <w:tcW w:w="14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48937A" w14:textId="77777777" w:rsidR="0076732C" w:rsidRPr="0076732C" w:rsidRDefault="0076732C" w:rsidP="0076732C">
            <w:pPr>
              <w:pStyle w:val="CDITable-RowCentre"/>
            </w:pPr>
            <w:r w:rsidRPr="0076732C">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4E9454" w14:textId="77777777" w:rsidR="0076732C" w:rsidRPr="0076732C" w:rsidRDefault="0076732C" w:rsidP="0076732C">
            <w:pPr>
              <w:pStyle w:val="CDITable-RowCentre"/>
            </w:pPr>
            <w:r w:rsidRPr="0076732C">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9D084D" w14:textId="77777777" w:rsidR="0076732C" w:rsidRPr="0076732C" w:rsidRDefault="0076732C" w:rsidP="0076732C">
            <w:pPr>
              <w:pStyle w:val="CDITable-RowCentre"/>
            </w:pPr>
            <w:r w:rsidRPr="0076732C">
              <w:t>7</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5424C6" w14:textId="77777777" w:rsidR="0076732C" w:rsidRPr="0076732C" w:rsidRDefault="0076732C" w:rsidP="0076732C">
            <w:pPr>
              <w:pStyle w:val="CDITable-RowCentre"/>
            </w:pPr>
            <w:r w:rsidRPr="0076732C">
              <w:t>10</w:t>
            </w:r>
          </w:p>
        </w:tc>
      </w:tr>
      <w:tr w:rsidR="0076732C" w:rsidRPr="0076732C" w14:paraId="6EAE2296" w14:textId="77777777" w:rsidTr="00D601DD">
        <w:trPr>
          <w:trHeight w:val="60"/>
        </w:trPr>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DF3928" w14:textId="77777777" w:rsidR="0076732C" w:rsidRPr="0076732C" w:rsidRDefault="0076732C" w:rsidP="0076732C">
            <w:pPr>
              <w:pStyle w:val="CDITable-RowLeft"/>
            </w:pPr>
            <w:r w:rsidRPr="0076732C">
              <w:t>20–29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A07553" w14:textId="77777777" w:rsidR="0076732C" w:rsidRPr="0076732C" w:rsidRDefault="0076732C" w:rsidP="0076732C">
            <w:pPr>
              <w:pStyle w:val="CDITable-RowCentre"/>
            </w:pPr>
            <w:r w:rsidRPr="0076732C">
              <w:t>14</w:t>
            </w:r>
          </w:p>
        </w:tc>
        <w:tc>
          <w:tcPr>
            <w:tcW w:w="144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C19E5A" w14:textId="77777777" w:rsidR="0076732C" w:rsidRPr="0076732C" w:rsidRDefault="0076732C" w:rsidP="0076732C">
            <w:pPr>
              <w:pStyle w:val="CDITable-RowCentre"/>
            </w:pPr>
            <w:r w:rsidRPr="0076732C">
              <w:t>0</w:t>
            </w:r>
          </w:p>
        </w:tc>
        <w:tc>
          <w:tcPr>
            <w:tcW w:w="14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E4C8FE" w14:textId="77777777" w:rsidR="0076732C" w:rsidRPr="0076732C" w:rsidRDefault="0076732C" w:rsidP="0076732C">
            <w:pPr>
              <w:pStyle w:val="CDITable-RowCentre"/>
            </w:pPr>
            <w:r w:rsidRPr="0076732C">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FF87EC" w14:textId="77777777" w:rsidR="0076732C" w:rsidRPr="0076732C" w:rsidRDefault="0076732C" w:rsidP="0076732C">
            <w:pPr>
              <w:pStyle w:val="CDITable-RowCentre"/>
            </w:pPr>
            <w:r w:rsidRPr="0076732C">
              <w:t>2</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0E45CC" w14:textId="77777777" w:rsidR="0076732C" w:rsidRPr="0076732C" w:rsidRDefault="0076732C" w:rsidP="0076732C">
            <w:pPr>
              <w:pStyle w:val="CDITable-RowCentre"/>
            </w:pPr>
            <w:r w:rsidRPr="0076732C">
              <w:t>6</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986D84" w14:textId="77777777" w:rsidR="0076732C" w:rsidRPr="0076732C" w:rsidRDefault="0076732C" w:rsidP="0076732C">
            <w:pPr>
              <w:pStyle w:val="CDITable-RowCentre"/>
            </w:pPr>
            <w:r w:rsidRPr="0076732C">
              <w:t>22</w:t>
            </w:r>
          </w:p>
        </w:tc>
      </w:tr>
      <w:tr w:rsidR="0076732C" w:rsidRPr="0076732C" w14:paraId="40406F83" w14:textId="77777777" w:rsidTr="00D601DD">
        <w:trPr>
          <w:trHeight w:val="60"/>
        </w:trPr>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71D931" w14:textId="77777777" w:rsidR="0076732C" w:rsidRPr="0076732C" w:rsidRDefault="0076732C" w:rsidP="0076732C">
            <w:pPr>
              <w:pStyle w:val="CDITable-RowLeft"/>
            </w:pPr>
            <w:r w:rsidRPr="0076732C">
              <w:t>30–39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A5FAA8" w14:textId="77777777" w:rsidR="0076732C" w:rsidRPr="0076732C" w:rsidRDefault="0076732C" w:rsidP="0076732C">
            <w:pPr>
              <w:pStyle w:val="CDITable-RowCentre"/>
            </w:pPr>
            <w:r w:rsidRPr="0076732C">
              <w:t>7</w:t>
            </w:r>
          </w:p>
        </w:tc>
        <w:tc>
          <w:tcPr>
            <w:tcW w:w="144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8DA7F1" w14:textId="77777777" w:rsidR="0076732C" w:rsidRPr="0076732C" w:rsidRDefault="0076732C" w:rsidP="0076732C">
            <w:pPr>
              <w:pStyle w:val="CDITable-RowCentre"/>
            </w:pPr>
            <w:r w:rsidRPr="0076732C">
              <w:t>0</w:t>
            </w:r>
          </w:p>
        </w:tc>
        <w:tc>
          <w:tcPr>
            <w:tcW w:w="14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70A921" w14:textId="77777777" w:rsidR="0076732C" w:rsidRPr="0076732C" w:rsidRDefault="0076732C" w:rsidP="0076732C">
            <w:pPr>
              <w:pStyle w:val="CDITable-RowCentre"/>
            </w:pPr>
            <w:r w:rsidRPr="0076732C">
              <w:t>1</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155C6F" w14:textId="77777777" w:rsidR="0076732C" w:rsidRPr="0076732C" w:rsidRDefault="0076732C" w:rsidP="0076732C">
            <w:pPr>
              <w:pStyle w:val="CDITable-RowCentre"/>
            </w:pPr>
            <w:r w:rsidRPr="0076732C">
              <w:t>11</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87FB7F" w14:textId="77777777" w:rsidR="0076732C" w:rsidRPr="0076732C" w:rsidRDefault="0076732C" w:rsidP="0076732C">
            <w:pPr>
              <w:pStyle w:val="CDITable-RowCentre"/>
            </w:pPr>
            <w:r w:rsidRPr="0076732C">
              <w:t>14</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C803A4" w14:textId="77777777" w:rsidR="0076732C" w:rsidRPr="0076732C" w:rsidRDefault="0076732C" w:rsidP="0076732C">
            <w:pPr>
              <w:pStyle w:val="CDITable-RowCentre"/>
            </w:pPr>
            <w:r w:rsidRPr="0076732C">
              <w:t>33</w:t>
            </w:r>
          </w:p>
        </w:tc>
      </w:tr>
      <w:tr w:rsidR="0076732C" w:rsidRPr="0076732C" w14:paraId="2A2F3F66" w14:textId="77777777" w:rsidTr="00D601DD">
        <w:trPr>
          <w:trHeight w:val="60"/>
        </w:trPr>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02D2A1" w14:textId="77777777" w:rsidR="0076732C" w:rsidRPr="0076732C" w:rsidRDefault="0076732C" w:rsidP="0076732C">
            <w:pPr>
              <w:pStyle w:val="CDITable-RowLeft"/>
            </w:pPr>
            <w:r w:rsidRPr="0076732C">
              <w:t>40–49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571C65" w14:textId="77777777" w:rsidR="0076732C" w:rsidRPr="0076732C" w:rsidRDefault="0076732C" w:rsidP="0076732C">
            <w:pPr>
              <w:pStyle w:val="CDITable-RowCentre"/>
            </w:pPr>
            <w:r w:rsidRPr="0076732C">
              <w:t>5</w:t>
            </w:r>
          </w:p>
        </w:tc>
        <w:tc>
          <w:tcPr>
            <w:tcW w:w="144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E90120" w14:textId="77777777" w:rsidR="0076732C" w:rsidRPr="0076732C" w:rsidRDefault="0076732C" w:rsidP="0076732C">
            <w:pPr>
              <w:pStyle w:val="CDITable-RowCentre"/>
            </w:pPr>
            <w:r w:rsidRPr="0076732C">
              <w:t>0</w:t>
            </w:r>
          </w:p>
        </w:tc>
        <w:tc>
          <w:tcPr>
            <w:tcW w:w="14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DCD61C" w14:textId="77777777" w:rsidR="0076732C" w:rsidRPr="0076732C" w:rsidRDefault="0076732C" w:rsidP="0076732C">
            <w:pPr>
              <w:pStyle w:val="CDITable-RowCentre"/>
            </w:pPr>
            <w:r w:rsidRPr="0076732C">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0EAD78" w14:textId="77777777" w:rsidR="0076732C" w:rsidRPr="0076732C" w:rsidRDefault="0076732C" w:rsidP="0076732C">
            <w:pPr>
              <w:pStyle w:val="CDITable-RowCentre"/>
            </w:pPr>
            <w:r w:rsidRPr="0076732C">
              <w:t>1</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21780A" w14:textId="77777777" w:rsidR="0076732C" w:rsidRPr="0076732C" w:rsidRDefault="0076732C" w:rsidP="0076732C">
            <w:pPr>
              <w:pStyle w:val="CDITable-RowCentre"/>
            </w:pPr>
            <w:r w:rsidRPr="0076732C">
              <w:t>2</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06C7E5" w14:textId="77777777" w:rsidR="0076732C" w:rsidRPr="0076732C" w:rsidRDefault="0076732C" w:rsidP="0076732C">
            <w:pPr>
              <w:pStyle w:val="CDITable-RowCentre"/>
            </w:pPr>
            <w:r w:rsidRPr="0076732C">
              <w:t>8</w:t>
            </w:r>
          </w:p>
        </w:tc>
      </w:tr>
      <w:tr w:rsidR="0076732C" w:rsidRPr="0076732C" w14:paraId="04BEE4CE" w14:textId="77777777" w:rsidTr="00D601DD">
        <w:trPr>
          <w:trHeight w:val="60"/>
        </w:trPr>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A004DF" w14:textId="77777777" w:rsidR="0076732C" w:rsidRPr="0076732C" w:rsidRDefault="0076732C" w:rsidP="0076732C">
            <w:pPr>
              <w:pStyle w:val="CDITable-RowLeft"/>
            </w:pPr>
            <w:r w:rsidRPr="0076732C">
              <w:t>50–59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E7C9A3" w14:textId="77777777" w:rsidR="0076732C" w:rsidRPr="0076732C" w:rsidRDefault="0076732C" w:rsidP="0076732C">
            <w:pPr>
              <w:pStyle w:val="CDITable-RowCentre"/>
            </w:pPr>
            <w:r w:rsidRPr="0076732C">
              <w:t>3</w:t>
            </w:r>
          </w:p>
        </w:tc>
        <w:tc>
          <w:tcPr>
            <w:tcW w:w="144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2F37F9" w14:textId="77777777" w:rsidR="0076732C" w:rsidRPr="0076732C" w:rsidRDefault="0076732C" w:rsidP="0076732C">
            <w:pPr>
              <w:pStyle w:val="CDITable-RowCentre"/>
            </w:pPr>
            <w:r w:rsidRPr="0076732C">
              <w:t>0</w:t>
            </w:r>
          </w:p>
        </w:tc>
        <w:tc>
          <w:tcPr>
            <w:tcW w:w="14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83296A" w14:textId="77777777" w:rsidR="0076732C" w:rsidRPr="0076732C" w:rsidRDefault="0076732C" w:rsidP="0076732C">
            <w:pPr>
              <w:pStyle w:val="CDITable-RowCentre"/>
            </w:pPr>
            <w:r w:rsidRPr="0076732C">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D8BF2A" w14:textId="77777777" w:rsidR="0076732C" w:rsidRPr="0076732C" w:rsidRDefault="0076732C" w:rsidP="0076732C">
            <w:pPr>
              <w:pStyle w:val="CDITable-RowCentre"/>
            </w:pPr>
            <w:r w:rsidRPr="0076732C">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2AB19C" w14:textId="77777777" w:rsidR="0076732C" w:rsidRPr="0076732C" w:rsidRDefault="0076732C" w:rsidP="0076732C">
            <w:pPr>
              <w:pStyle w:val="CDITable-RowCentre"/>
            </w:pPr>
            <w:r w:rsidRPr="0076732C">
              <w:t>4</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EC712F" w14:textId="77777777" w:rsidR="0076732C" w:rsidRPr="0076732C" w:rsidRDefault="0076732C" w:rsidP="0076732C">
            <w:pPr>
              <w:pStyle w:val="CDITable-RowCentre"/>
            </w:pPr>
            <w:r w:rsidRPr="0076732C">
              <w:t>7</w:t>
            </w:r>
          </w:p>
        </w:tc>
      </w:tr>
      <w:tr w:rsidR="0076732C" w:rsidRPr="0076732C" w14:paraId="3D5DABDC" w14:textId="77777777" w:rsidTr="00D601DD">
        <w:trPr>
          <w:trHeight w:val="60"/>
        </w:trPr>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5C6650" w14:textId="77777777" w:rsidR="0076732C" w:rsidRPr="0076732C" w:rsidRDefault="0076732C" w:rsidP="0076732C">
            <w:pPr>
              <w:pStyle w:val="CDITable-RowLeft"/>
            </w:pPr>
            <w:r w:rsidRPr="0076732C">
              <w:t>60–69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CDDCBC" w14:textId="77777777" w:rsidR="0076732C" w:rsidRPr="0076732C" w:rsidRDefault="0076732C" w:rsidP="0076732C">
            <w:pPr>
              <w:pStyle w:val="CDITable-RowCentre"/>
            </w:pPr>
            <w:r w:rsidRPr="0076732C">
              <w:t>1</w:t>
            </w:r>
          </w:p>
        </w:tc>
        <w:tc>
          <w:tcPr>
            <w:tcW w:w="144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99F1B0" w14:textId="77777777" w:rsidR="0076732C" w:rsidRPr="0076732C" w:rsidRDefault="0076732C" w:rsidP="0076732C">
            <w:pPr>
              <w:pStyle w:val="CDITable-RowCentre"/>
            </w:pPr>
            <w:r w:rsidRPr="0076732C">
              <w:t>1</w:t>
            </w:r>
          </w:p>
        </w:tc>
        <w:tc>
          <w:tcPr>
            <w:tcW w:w="14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D9BB29" w14:textId="77777777" w:rsidR="0076732C" w:rsidRPr="0076732C" w:rsidRDefault="0076732C" w:rsidP="0076732C">
            <w:pPr>
              <w:pStyle w:val="CDITable-RowCentre"/>
            </w:pPr>
            <w:r w:rsidRPr="0076732C">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EE0602" w14:textId="77777777" w:rsidR="0076732C" w:rsidRPr="0076732C" w:rsidRDefault="0076732C" w:rsidP="0076732C">
            <w:pPr>
              <w:pStyle w:val="CDITable-RowCentre"/>
            </w:pPr>
            <w:r w:rsidRPr="0076732C">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696D24" w14:textId="77777777" w:rsidR="0076732C" w:rsidRPr="0076732C" w:rsidRDefault="0076732C" w:rsidP="0076732C">
            <w:pPr>
              <w:pStyle w:val="CDITable-RowCentre"/>
            </w:pPr>
            <w:r w:rsidRPr="0076732C">
              <w:t>3</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8CE5EE" w14:textId="77777777" w:rsidR="0076732C" w:rsidRPr="0076732C" w:rsidRDefault="0076732C" w:rsidP="0076732C">
            <w:pPr>
              <w:pStyle w:val="CDITable-RowCentre"/>
            </w:pPr>
            <w:r w:rsidRPr="0076732C">
              <w:t>5</w:t>
            </w:r>
          </w:p>
        </w:tc>
      </w:tr>
      <w:tr w:rsidR="0076732C" w:rsidRPr="0076732C" w14:paraId="73FEA752" w14:textId="77777777" w:rsidTr="00D601DD">
        <w:trPr>
          <w:trHeight w:val="60"/>
        </w:trPr>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96ECF0" w14:textId="77777777" w:rsidR="0076732C" w:rsidRPr="0076732C" w:rsidRDefault="0076732C" w:rsidP="0076732C">
            <w:pPr>
              <w:pStyle w:val="CDITable-RowLeft"/>
            </w:pPr>
            <w:r w:rsidRPr="0076732C">
              <w:t>70–79</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0CA11C" w14:textId="77777777" w:rsidR="0076732C" w:rsidRPr="0076732C" w:rsidRDefault="0076732C" w:rsidP="0076732C">
            <w:pPr>
              <w:pStyle w:val="CDITable-RowCentre"/>
            </w:pPr>
            <w:r w:rsidRPr="0076732C">
              <w:t>2</w:t>
            </w:r>
          </w:p>
        </w:tc>
        <w:tc>
          <w:tcPr>
            <w:tcW w:w="144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8D748F" w14:textId="77777777" w:rsidR="0076732C" w:rsidRPr="0076732C" w:rsidRDefault="0076732C" w:rsidP="0076732C">
            <w:pPr>
              <w:pStyle w:val="CDITable-RowCentre"/>
            </w:pPr>
            <w:r w:rsidRPr="0076732C">
              <w:t>0</w:t>
            </w:r>
          </w:p>
        </w:tc>
        <w:tc>
          <w:tcPr>
            <w:tcW w:w="14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BD4D12" w14:textId="77777777" w:rsidR="0076732C" w:rsidRPr="0076732C" w:rsidRDefault="0076732C" w:rsidP="0076732C">
            <w:pPr>
              <w:pStyle w:val="CDITable-RowCentre"/>
            </w:pPr>
            <w:r w:rsidRPr="0076732C">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426B15" w14:textId="77777777" w:rsidR="0076732C" w:rsidRPr="0076732C" w:rsidRDefault="0076732C" w:rsidP="0076732C">
            <w:pPr>
              <w:pStyle w:val="CDITable-RowCentre"/>
            </w:pPr>
            <w:r w:rsidRPr="0076732C">
              <w:t>0</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12B94E" w14:textId="77777777" w:rsidR="0076732C" w:rsidRPr="0076732C" w:rsidRDefault="0076732C" w:rsidP="0076732C">
            <w:pPr>
              <w:pStyle w:val="CDITable-RowCentre"/>
            </w:pPr>
            <w:r w:rsidRPr="0076732C">
              <w:t>2</w:t>
            </w:r>
          </w:p>
        </w:tc>
        <w:tc>
          <w:tcPr>
            <w:tcW w:w="13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5BB369" w14:textId="77777777" w:rsidR="0076732C" w:rsidRPr="0076732C" w:rsidRDefault="0076732C" w:rsidP="0076732C">
            <w:pPr>
              <w:pStyle w:val="CDITable-RowCentre"/>
            </w:pPr>
            <w:r w:rsidRPr="0076732C">
              <w:t>4</w:t>
            </w:r>
          </w:p>
        </w:tc>
      </w:tr>
    </w:tbl>
    <w:p w14:paraId="16E4BFCD" w14:textId="14CF046E" w:rsidR="0076732C" w:rsidRDefault="00D601DD" w:rsidP="00D601DD">
      <w:pPr>
        <w:pStyle w:val="Heading2"/>
        <w:rPr>
          <w:lang w:val="en-GB"/>
        </w:rPr>
      </w:pPr>
      <w:bookmarkStart w:id="28" w:name="_Toc207030748"/>
      <w:r w:rsidRPr="00D601DD">
        <w:rPr>
          <w:lang w:val="en-GB"/>
        </w:rPr>
        <w:lastRenderedPageBreak/>
        <w:t>Laboratory confirmed cases</w:t>
      </w:r>
      <w:bookmarkEnd w:id="28"/>
    </w:p>
    <w:p w14:paraId="78BF8430" w14:textId="07C10FCE" w:rsidR="00D601DD" w:rsidRDefault="00D601DD" w:rsidP="00D601DD">
      <w:pPr>
        <w:rPr>
          <w:lang w:val="en-GB"/>
        </w:rPr>
      </w:pPr>
      <w:r w:rsidRPr="00D601DD">
        <w:rPr>
          <w:lang w:val="en-GB"/>
        </w:rPr>
        <w:t>There were 51 confirmed shigellosis cases. MSM cases were more likely to be confirmed with culture compared to the cases associated with travel overseas, which were predominately diagnosed by PCR (χ</w:t>
      </w:r>
      <w:r w:rsidRPr="00D601DD">
        <w:rPr>
          <w:vertAlign w:val="superscript"/>
          <w:lang w:val="en-GB"/>
        </w:rPr>
        <w:t>2</w:t>
      </w:r>
      <w:r w:rsidRPr="00D601DD">
        <w:rPr>
          <w:lang w:val="en-GB"/>
        </w:rPr>
        <w:t xml:space="preserve"> = 3.841; </w:t>
      </w:r>
      <w:r w:rsidRPr="00D601DD">
        <w:rPr>
          <w:i/>
          <w:iCs/>
          <w:lang w:val="en-GB"/>
        </w:rPr>
        <w:t>p</w:t>
      </w:r>
      <w:r w:rsidRPr="00D601DD">
        <w:rPr>
          <w:lang w:val="en-GB"/>
        </w:rPr>
        <w:t xml:space="preserve"> &lt; 0.05) (Figure 4a). From the total cases, 29 were identified as associated with a high-risk occupation; of these, 18/29 (62%) were probable cases and 11/29 (38%) were confirmed cases. Thirty-four of the total confirmed cases (67%) were identified as </w:t>
      </w:r>
      <w:r w:rsidRPr="00D601DD">
        <w:rPr>
          <w:i/>
          <w:iCs/>
          <w:lang w:val="en-GB"/>
        </w:rPr>
        <w:t>Shigella sonnei</w:t>
      </w:r>
      <w:r w:rsidRPr="00D601DD">
        <w:rPr>
          <w:lang w:val="en-GB"/>
        </w:rPr>
        <w:t xml:space="preserve"> (Figure 4b). The single case of </w:t>
      </w:r>
      <w:r w:rsidRPr="00D601DD">
        <w:rPr>
          <w:i/>
          <w:iCs/>
          <w:lang w:val="en-GB"/>
        </w:rPr>
        <w:t>S. dysenteriae</w:t>
      </w:r>
      <w:r w:rsidRPr="00D601DD">
        <w:rPr>
          <w:lang w:val="en-GB"/>
        </w:rPr>
        <w:t xml:space="preserve"> was in a returned traveller from India. </w:t>
      </w:r>
      <w:proofErr w:type="gramStart"/>
      <w:r w:rsidRPr="00D601DD">
        <w:rPr>
          <w:lang w:val="en-GB"/>
        </w:rPr>
        <w:t>The majority of</w:t>
      </w:r>
      <w:proofErr w:type="gramEnd"/>
      <w:r w:rsidRPr="00D601DD">
        <w:rPr>
          <w:lang w:val="en-GB"/>
        </w:rPr>
        <w:t xml:space="preserve"> confirmed cases (31/51; 61%) met the criteria for classification as a critical antibiotic resistance (CAR);</w:t>
      </w:r>
      <w:r w:rsidRPr="00D601DD">
        <w:rPr>
          <w:vertAlign w:val="superscript"/>
          <w:lang w:val="en-GB"/>
        </w:rPr>
        <w:t>21</w:t>
      </w:r>
      <w:r w:rsidRPr="00D601DD">
        <w:rPr>
          <w:lang w:val="en-GB"/>
        </w:rPr>
        <w:t xml:space="preserve"> 18 confirmed cases did not, while two were not listed. </w:t>
      </w:r>
      <w:proofErr w:type="gramStart"/>
      <w:r w:rsidRPr="00D601DD">
        <w:rPr>
          <w:lang w:val="en-GB"/>
        </w:rPr>
        <w:t>The majority of</w:t>
      </w:r>
      <w:proofErr w:type="gramEnd"/>
      <w:r w:rsidRPr="00D601DD">
        <w:rPr>
          <w:lang w:val="en-GB"/>
        </w:rPr>
        <w:t xml:space="preserve"> cases identified as CAR shigellosis were in </w:t>
      </w:r>
      <w:r w:rsidRPr="00D601DD">
        <w:rPr>
          <w:i/>
          <w:iCs/>
          <w:lang w:val="en-GB"/>
        </w:rPr>
        <w:t>S. sonnei</w:t>
      </w:r>
      <w:r w:rsidRPr="00D601DD">
        <w:rPr>
          <w:lang w:val="en-GB"/>
        </w:rPr>
        <w:t xml:space="preserve"> species (26/31; 84%) with the remaining instances identified in </w:t>
      </w:r>
      <w:r w:rsidRPr="00D601DD">
        <w:rPr>
          <w:i/>
          <w:iCs/>
          <w:lang w:val="en-GB"/>
        </w:rPr>
        <w:t>S. flexneri</w:t>
      </w:r>
      <w:r w:rsidRPr="00D601DD">
        <w:rPr>
          <w:lang w:val="en-GB"/>
        </w:rPr>
        <w:t xml:space="preserve"> cases. As seen in Figure 4c, rates of CAR shigellosis differed depending on the associated primary risk factor. The highest proportion of CAR cases occurred amongst the MSM group, with 11 of the 12 confirmed MSM cases (92%) identified as CAR shigellosis. </w:t>
      </w:r>
      <w:r>
        <w:rPr>
          <w:lang w:val="en-GB"/>
        </w:rPr>
        <w:br w:type="page"/>
      </w:r>
    </w:p>
    <w:p w14:paraId="4B9DA219" w14:textId="585A0EA9" w:rsidR="0076732C" w:rsidRDefault="00631773" w:rsidP="00D601DD">
      <w:pPr>
        <w:pStyle w:val="CDIFigure-Title"/>
        <w:rPr>
          <w:lang w:val="en-GB"/>
        </w:rPr>
      </w:pPr>
      <w:r w:rsidRPr="00631773">
        <w:rPr>
          <w:lang w:val="en-GB"/>
        </w:rPr>
        <w:lastRenderedPageBreak/>
        <w:t>Figure 4: Attributes of shigellosis cases in SEPHU catchment area, 1 January 2022 – 31</w:t>
      </w:r>
      <w:r>
        <w:rPr>
          <w:lang w:val="en-GB"/>
        </w:rPr>
        <w:t> </w:t>
      </w:r>
      <w:r w:rsidRPr="00631773">
        <w:rPr>
          <w:lang w:val="en-GB"/>
        </w:rPr>
        <w:t xml:space="preserve">March 2023, showing (a) the number of confirmed and probable cases (N = 127) for the primary risk factors; (b) the number of confirmed cases (N = 51) by isolated </w:t>
      </w:r>
      <w:r w:rsidRPr="00631773">
        <w:rPr>
          <w:i/>
          <w:iCs/>
          <w:lang w:val="en-GB"/>
        </w:rPr>
        <w:t>Shigella</w:t>
      </w:r>
      <w:r w:rsidRPr="00631773">
        <w:rPr>
          <w:lang w:val="en-GB"/>
        </w:rPr>
        <w:t xml:space="preserve"> species and presence/absence of CAR shigellosis; (c) categorisation of CAR shigellosis cases (N = 31) by isolated </w:t>
      </w:r>
      <w:r w:rsidRPr="00631773">
        <w:rPr>
          <w:i/>
          <w:iCs/>
          <w:lang w:val="en-GB"/>
        </w:rPr>
        <w:t>Shigella</w:t>
      </w:r>
      <w:r w:rsidRPr="00631773">
        <w:rPr>
          <w:lang w:val="en-GB"/>
        </w:rPr>
        <w:t xml:space="preserve"> species and primary risk factor</w:t>
      </w:r>
    </w:p>
    <w:p w14:paraId="058A0960" w14:textId="79CEE11F" w:rsidR="0076732C" w:rsidRDefault="00D601DD" w:rsidP="00D601DD">
      <w:pPr>
        <w:pStyle w:val="CDIFigure-Placeholder"/>
        <w:rPr>
          <w:lang w:val="en-GB"/>
        </w:rPr>
      </w:pPr>
      <w:r>
        <w:rPr>
          <w:noProof/>
          <w:lang w:val="en-GB"/>
          <w14:ligatures w14:val="none"/>
        </w:rPr>
        <w:drawing>
          <wp:inline distT="0" distB="0" distL="0" distR="0" wp14:anchorId="109F4AB7" wp14:editId="51152B27">
            <wp:extent cx="6062400" cy="8121600"/>
            <wp:effectExtent l="0" t="0" r="0" b="0"/>
            <wp:docPr id="1625017846" name="Picture 4" descr="a) Column graph with number of confirmed and probable cases plotted side-by-side for each primary risk factor. Travel overseas has significantly more probable cases than confirmed cases while MSM has more confirmed cases compared to probable. &#10;b) Column graph showing the number of particular shigella species isolated as well as the number of Critical Antibiotic Resistance (CAR) alerts. The four species of S.sonnei, S.boydeii, S.flexneri and S.dysenteriae are represented. S.Sonnei was isolated in 34 cases, with 26 CAR alerts, S.boydeii in four, S.flexneri in ten with 5 CAR alerts and S.dysenteriae in one. Two confirmed cases which did not have corresponding species recorded are also accounted for. &#10;c) Column graph depicting the number of CAR alert cases associated with each primary risk factor. The species isolated is also shown with S.Flexneri in grey and S.Sonnei in blue. MSM accounts for the greatest number of CAR alerts and are predominately S.Sonnei spec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17846" name="Picture 4" descr="a) Column graph with number of confirmed and probable cases plotted side-by-side for each primary risk factor. Travel overseas has significantly more probable cases than confirmed cases while MSM has more confirmed cases compared to probable. &#10;b) Column graph showing the number of particular shigella species isolated as well as the number of Critical Antibiotic Resistance (CAR) alerts. The four species of S.sonnei, S.boydeii, S.flexneri and S.dysenteriae are represented. S.Sonnei was isolated in 34 cases, with 26 CAR alerts, S.boydeii in four, S.flexneri in ten with 5 CAR alerts and S.dysenteriae in one. Two confirmed cases which did not have corresponding species recorded are also accounted for. &#10;c) Column graph depicting the number of CAR alert cases associated with each primary risk factor. The species isolated is also shown with S.Flexneri in grey and S.Sonnei in blue. MSM accounts for the greatest number of CAR alerts and are predominately S.Sonnei species. "/>
                    <pic:cNvPicPr/>
                  </pic:nvPicPr>
                  <pic:blipFill>
                    <a:blip r:embed="rId21">
                      <a:extLst>
                        <a:ext uri="{28A0092B-C50C-407E-A947-70E740481C1C}">
                          <a14:useLocalDpi xmlns:a14="http://schemas.microsoft.com/office/drawing/2010/main" val="0"/>
                        </a:ext>
                      </a:extLst>
                    </a:blip>
                    <a:stretch>
                      <a:fillRect/>
                    </a:stretch>
                  </pic:blipFill>
                  <pic:spPr>
                    <a:xfrm>
                      <a:off x="0" y="0"/>
                      <a:ext cx="6062400" cy="8121600"/>
                    </a:xfrm>
                    <a:prstGeom prst="rect">
                      <a:avLst/>
                    </a:prstGeom>
                  </pic:spPr>
                </pic:pic>
              </a:graphicData>
            </a:graphic>
          </wp:inline>
        </w:drawing>
      </w:r>
    </w:p>
    <w:p w14:paraId="4D65DF3E" w14:textId="77777777" w:rsidR="006E0B0E" w:rsidRDefault="008017B6" w:rsidP="008017B6">
      <w:pPr>
        <w:pStyle w:val="Heading1"/>
      </w:pPr>
      <w:bookmarkStart w:id="29" w:name="_Toc207030749"/>
      <w:bookmarkStart w:id="30" w:name="_Toc195519590"/>
      <w:bookmarkStart w:id="31" w:name="_Toc195522359"/>
      <w:r>
        <w:lastRenderedPageBreak/>
        <w:t>Discussion</w:t>
      </w:r>
      <w:bookmarkEnd w:id="29"/>
    </w:p>
    <w:p w14:paraId="54CA7192" w14:textId="77777777" w:rsidR="00D601DD" w:rsidRPr="00D601DD" w:rsidRDefault="00D601DD" w:rsidP="00D601DD">
      <w:pPr>
        <w:rPr>
          <w:lang w:val="en-GB"/>
        </w:rPr>
      </w:pPr>
      <w:r w:rsidRPr="00D601DD">
        <w:rPr>
          <w:lang w:val="en-GB"/>
        </w:rPr>
        <w:t xml:space="preserve">In the SEPHU catchment, the highest number of </w:t>
      </w:r>
      <w:r w:rsidRPr="00D601DD">
        <w:rPr>
          <w:i/>
          <w:iCs/>
          <w:lang w:val="en-GB"/>
        </w:rPr>
        <w:t>Shigella</w:t>
      </w:r>
      <w:r w:rsidRPr="00D601DD">
        <w:rPr>
          <w:lang w:val="en-GB"/>
        </w:rPr>
        <w:t xml:space="preserve"> cases occurred in the LGAs of Stonnington and Casey, with MSM contact and travel overseas documented as the main risk factors respectively. We found the highest case rates occurred in the Stonnington LGA. As an area with a vibrant LGBTIQA+ community,</w:t>
      </w:r>
      <w:r w:rsidRPr="00D601DD">
        <w:rPr>
          <w:vertAlign w:val="superscript"/>
          <w:lang w:val="en-GB"/>
        </w:rPr>
        <w:t>22</w:t>
      </w:r>
      <w:r w:rsidRPr="00D601DD">
        <w:rPr>
          <w:lang w:val="en-GB"/>
        </w:rPr>
        <w:t xml:space="preserve"> the most common risk factor recorded was MSM. Greater Dandenong had the second highest case rate, with </w:t>
      </w:r>
      <w:proofErr w:type="gramStart"/>
      <w:r w:rsidRPr="00D601DD">
        <w:rPr>
          <w:lang w:val="en-GB"/>
        </w:rPr>
        <w:t>a majority of</w:t>
      </w:r>
      <w:proofErr w:type="gramEnd"/>
      <w:r w:rsidRPr="00D601DD">
        <w:rPr>
          <w:lang w:val="en-GB"/>
        </w:rPr>
        <w:t xml:space="preserve"> cases of unknown risk factor, followed by Casey, which had the highest total number of cases. Within the LGA of Casey, with many families from culturally and linguistically diverse backgrounds,</w:t>
      </w:r>
      <w:r w:rsidRPr="00D601DD">
        <w:rPr>
          <w:vertAlign w:val="superscript"/>
          <w:lang w:val="en-GB"/>
        </w:rPr>
        <w:t>23</w:t>
      </w:r>
      <w:r w:rsidRPr="00D601DD">
        <w:rPr>
          <w:lang w:val="en-GB"/>
        </w:rPr>
        <w:t xml:space="preserve"> the most significant risk factor was overseas travel. </w:t>
      </w:r>
    </w:p>
    <w:p w14:paraId="7573D80F" w14:textId="77777777" w:rsidR="00D601DD" w:rsidRPr="00D601DD" w:rsidRDefault="00D601DD" w:rsidP="00D601DD">
      <w:pPr>
        <w:rPr>
          <w:lang w:val="en-GB"/>
        </w:rPr>
      </w:pPr>
      <w:r w:rsidRPr="00D601DD">
        <w:rPr>
          <w:lang w:val="en-GB"/>
        </w:rPr>
        <w:t xml:space="preserve">Despite the knowledge that </w:t>
      </w:r>
      <w:r w:rsidRPr="00D601DD">
        <w:rPr>
          <w:i/>
          <w:iCs/>
          <w:lang w:val="en-GB"/>
        </w:rPr>
        <w:t>Shigella</w:t>
      </w:r>
      <w:r w:rsidRPr="00D601DD">
        <w:rPr>
          <w:lang w:val="en-GB"/>
        </w:rPr>
        <w:t xml:space="preserve"> can be transmitted through contaminated water or food, the collection of three-day food histories conducted did not identify any common sources between these cases. Public Health England’s questionnaire incorporates a week-long food history but similarly rarely finds a food source.</w:t>
      </w:r>
      <w:r w:rsidRPr="00D601DD">
        <w:rPr>
          <w:vertAlign w:val="superscript"/>
          <w:lang w:val="en-GB"/>
        </w:rPr>
        <w:t>24,25</w:t>
      </w:r>
      <w:r w:rsidRPr="00D601DD">
        <w:rPr>
          <w:lang w:val="en-GB"/>
        </w:rPr>
        <w:t xml:space="preserve"> In 2015, there were two perceived foodborne outbreaks in hospital and take-away settings within the UK but no food sources were identified.</w:t>
      </w:r>
      <w:r w:rsidRPr="00D601DD">
        <w:rPr>
          <w:vertAlign w:val="superscript"/>
          <w:lang w:val="en-GB"/>
        </w:rPr>
        <w:t>25</w:t>
      </w:r>
      <w:r w:rsidRPr="00D601DD">
        <w:rPr>
          <w:lang w:val="en-GB"/>
        </w:rPr>
        <w:t xml:space="preserve"> However, a United Kingdom (UK) outbreak in 2022, linked to spring onions from Egypt, shows that food histories can aid in source identification and control in rare circumstances.</w:t>
      </w:r>
      <w:r w:rsidRPr="00D601DD">
        <w:rPr>
          <w:vertAlign w:val="superscript"/>
          <w:lang w:val="en-GB"/>
        </w:rPr>
        <w:t>26</w:t>
      </w:r>
    </w:p>
    <w:p w14:paraId="7834B879" w14:textId="77777777" w:rsidR="00D601DD" w:rsidRPr="00D601DD" w:rsidRDefault="00D601DD" w:rsidP="00D601DD">
      <w:pPr>
        <w:rPr>
          <w:lang w:val="en-GB"/>
        </w:rPr>
      </w:pPr>
      <w:r w:rsidRPr="00D601DD">
        <w:rPr>
          <w:lang w:val="en-GB"/>
        </w:rPr>
        <w:t xml:space="preserve">The highest rates of CAR shigellosis were seen amongst MSM cases. This is consistent with research findings within and outside Victoria. An epidemiological study conducted in the UK highlighted the rapid spread of extensively drug-resistant, extended spectrum beta-lactamase producing </w:t>
      </w:r>
      <w:r w:rsidRPr="00D601DD">
        <w:rPr>
          <w:i/>
          <w:iCs/>
          <w:lang w:val="en-GB"/>
        </w:rPr>
        <w:t>S. sonnei</w:t>
      </w:r>
      <w:r w:rsidRPr="00D601DD">
        <w:rPr>
          <w:lang w:val="en-GB"/>
        </w:rPr>
        <w:t xml:space="preserve"> amongst MSM.</w:t>
      </w:r>
      <w:r w:rsidRPr="00D601DD">
        <w:rPr>
          <w:vertAlign w:val="superscript"/>
          <w:lang w:val="en-GB"/>
        </w:rPr>
        <w:t>27</w:t>
      </w:r>
      <w:r w:rsidRPr="00D601DD">
        <w:rPr>
          <w:lang w:val="en-GB"/>
        </w:rPr>
        <w:t xml:space="preserve"> Similarly, reduced susceptibility to azithromycin, trimethoprim-sulfamethoxazole and ciprofloxacin were found amongst MSM-associated </w:t>
      </w:r>
      <w:r w:rsidRPr="00D601DD">
        <w:rPr>
          <w:i/>
          <w:iCs/>
          <w:lang w:val="en-GB"/>
        </w:rPr>
        <w:t>S. sonnei</w:t>
      </w:r>
      <w:r w:rsidRPr="00D601DD">
        <w:rPr>
          <w:lang w:val="en-GB"/>
        </w:rPr>
        <w:t xml:space="preserve"> isolates in Victoria from 2016 to 2018 and in Australia from 2019 to 2020.</w:t>
      </w:r>
      <w:r w:rsidRPr="00D601DD">
        <w:rPr>
          <w:vertAlign w:val="superscript"/>
          <w:lang w:val="en-GB"/>
        </w:rPr>
        <w:t>10,16</w:t>
      </w:r>
      <w:r w:rsidRPr="00D601DD">
        <w:rPr>
          <w:lang w:val="en-GB"/>
        </w:rPr>
        <w:t xml:space="preserve"> While bacterial culture is recognised as the gold standard for the detection of </w:t>
      </w:r>
      <w:r w:rsidRPr="00D601DD">
        <w:rPr>
          <w:i/>
          <w:iCs/>
          <w:lang w:val="en-GB"/>
        </w:rPr>
        <w:t>Shigella</w:t>
      </w:r>
      <w:r w:rsidRPr="00D601DD">
        <w:rPr>
          <w:lang w:val="en-GB"/>
        </w:rPr>
        <w:t xml:space="preserve"> and analysis of antimicrobial resistance,</w:t>
      </w:r>
      <w:r w:rsidRPr="00D601DD">
        <w:rPr>
          <w:vertAlign w:val="superscript"/>
          <w:lang w:val="en-GB"/>
        </w:rPr>
        <w:t>3</w:t>
      </w:r>
      <w:r w:rsidRPr="00D601DD">
        <w:rPr>
          <w:lang w:val="en-GB"/>
        </w:rPr>
        <w:t xml:space="preserve"> laboratories more commonly perform faecal PCR rather than an initial culture. There also seem to be trends of culture requests according to primary risk factors. The MSM population had faecal culture requested for most cases, allowing for identification of resistant species requiring CAR alerts. Cases who had travelled overseas, in contrast, rarely had a culture performed. Potentially, MSM-associated cases in Stonnington are visiting high-caseload general practitioners (GPs) who are more aware of the risk of </w:t>
      </w:r>
      <w:r w:rsidRPr="00D601DD">
        <w:rPr>
          <w:i/>
          <w:iCs/>
          <w:lang w:val="en-GB"/>
        </w:rPr>
        <w:t>Shigella</w:t>
      </w:r>
      <w:r w:rsidRPr="00D601DD">
        <w:rPr>
          <w:lang w:val="en-GB"/>
        </w:rPr>
        <w:t xml:space="preserve"> and associated antimicrobial resistance in MSM and therefore specifically request culture. The single </w:t>
      </w:r>
      <w:r w:rsidRPr="00D601DD">
        <w:rPr>
          <w:i/>
          <w:iCs/>
          <w:lang w:val="en-GB"/>
        </w:rPr>
        <w:t>S. dysenteriae</w:t>
      </w:r>
      <w:r w:rsidRPr="00D601DD">
        <w:rPr>
          <w:lang w:val="en-GB"/>
        </w:rPr>
        <w:t xml:space="preserve"> case was associated with travel overseas to India. This emphasises the importance of ordering cultures for patients who return from overseas with diarrhoeal illnesses to prevent the spread of a potentially severe infection. Patients who return from overseas with a diarrhoeal illness should have a faecal culture ordered to ensure that both the bacterial species such as </w:t>
      </w:r>
      <w:r w:rsidRPr="00D601DD">
        <w:rPr>
          <w:i/>
          <w:iCs/>
          <w:lang w:val="en-GB"/>
        </w:rPr>
        <w:t>Shigella</w:t>
      </w:r>
      <w:r w:rsidRPr="00D601DD">
        <w:rPr>
          <w:lang w:val="en-GB"/>
        </w:rPr>
        <w:t xml:space="preserve">, as well as any antimicrobial resistance, can be promptly identified. </w:t>
      </w:r>
    </w:p>
    <w:p w14:paraId="1995F212" w14:textId="33784D40" w:rsidR="00D601DD" w:rsidRPr="00D601DD" w:rsidRDefault="00D601DD" w:rsidP="00D601DD">
      <w:pPr>
        <w:rPr>
          <w:lang w:val="en-GB"/>
        </w:rPr>
      </w:pPr>
      <w:r w:rsidRPr="00D601DD">
        <w:rPr>
          <w:lang w:val="en-GB"/>
        </w:rPr>
        <w:t xml:space="preserve">The finding that a lower proportion of cases notified from 24 October 2022, when SEPHU commenced follow-up of shigellosis cases, had an unknown primary risk factor may reflect the fact that there is now increased capacity across the Victorian public health system for case interviews and investigation as part of the new networked approach. Local public health units were established to help enhance a local response and these results support the idea that there have been small but meaningful steps in this direction. There is limited research on the benefit of determining sources of local acquisitions </w:t>
      </w:r>
      <w:proofErr w:type="gramStart"/>
      <w:r w:rsidRPr="00D601DD">
        <w:rPr>
          <w:lang w:val="en-GB"/>
        </w:rPr>
        <w:t>in order to</w:t>
      </w:r>
      <w:proofErr w:type="gramEnd"/>
      <w:r w:rsidRPr="00D601DD">
        <w:rPr>
          <w:lang w:val="en-GB"/>
        </w:rPr>
        <w:t xml:space="preserve"> prevent outbreaks. A case series in a Victorian child-care centre shows that outbreak control is possible without determining the source.</w:t>
      </w:r>
      <w:r w:rsidRPr="00D601DD">
        <w:rPr>
          <w:vertAlign w:val="superscript"/>
          <w:lang w:val="en-GB"/>
        </w:rPr>
        <w:t>9</w:t>
      </w:r>
      <w:r w:rsidRPr="00D601DD">
        <w:rPr>
          <w:lang w:val="en-GB"/>
        </w:rPr>
        <w:t xml:space="preserve"> The finding that four cases were acquired from contact with a known infected individual suggests that outbreaks within the SEPHU catchment are minimal. However, due to the high number of cases with no determined primary risk factor, we would be hesitant to definitively draw this conclusion.</w:t>
      </w:r>
    </w:p>
    <w:p w14:paraId="2874569C" w14:textId="77777777" w:rsidR="00D601DD" w:rsidRPr="00D601DD" w:rsidRDefault="00D601DD" w:rsidP="00D601DD">
      <w:pPr>
        <w:rPr>
          <w:lang w:val="en-GB"/>
        </w:rPr>
      </w:pPr>
      <w:r w:rsidRPr="00D601DD">
        <w:rPr>
          <w:lang w:val="en-GB"/>
        </w:rPr>
        <w:lastRenderedPageBreak/>
        <w:t>Victoria’s guidelines for isolation and clearance have emphasis on high-risk settings. Case clearance in Victoria, for those in high-risk occupations, requires two negative stool samples 24 hours apart, taken not less than 48 hours after symptoms or antibiotic treatments have ceased. Following publication of a 2010 study showing that absence of Shigella in the first stool culture appears sufficient, the UK changed their guidelines to cases being cleared after only one negative stool sample 48 hours post symptoms/ treatment ceasing.</w:t>
      </w:r>
      <w:r w:rsidRPr="00D601DD">
        <w:rPr>
          <w:vertAlign w:val="superscript"/>
          <w:lang w:val="en-GB"/>
        </w:rPr>
        <w:t>24,28</w:t>
      </w:r>
      <w:r w:rsidRPr="00D601DD">
        <w:rPr>
          <w:lang w:val="en-GB"/>
        </w:rPr>
        <w:t xml:space="preserve"> New South Wales guidelines state that those in high-risk occupations can return to work after 48 hours of being symptom free.</w:t>
      </w:r>
      <w:r w:rsidRPr="00D601DD">
        <w:rPr>
          <w:vertAlign w:val="superscript"/>
          <w:lang w:val="en-GB"/>
        </w:rPr>
        <w:t>29</w:t>
      </w:r>
      <w:r w:rsidRPr="00D601DD">
        <w:rPr>
          <w:lang w:val="en-GB"/>
        </w:rPr>
        <w:t xml:space="preserve"> Our review found that cases from high-risk occupations were not found to be associated with a higher rate of antibiotic resistance than cases overall. The percentage of high-risk confirmed cases having CAR shigellosis (45%) is slightly lower than the total percentage of CAR shigellosis in confirmed cases (61%). These considerations suggest that Victorian guidelines could be reviewed to adopt an approach requiring a single negative sample and a 48-hour symptom-free period. </w:t>
      </w:r>
    </w:p>
    <w:p w14:paraId="122B6FBF" w14:textId="77777777" w:rsidR="00D601DD" w:rsidRPr="00D601DD" w:rsidRDefault="00D601DD" w:rsidP="00D601DD">
      <w:pPr>
        <w:rPr>
          <w:lang w:val="en-GB"/>
        </w:rPr>
      </w:pPr>
      <w:r w:rsidRPr="00D601DD">
        <w:rPr>
          <w:lang w:val="en-GB"/>
        </w:rPr>
        <w:t xml:space="preserve">This study contains inherent limitations due to its retrospective nature. We were reliant on case information recorded in PHESS, which at times may have been incomplete. Incomplete data on demographics and risk factors affected analysis of this dataset, particularly within Greater Dandenong. This makes it difficult to gain a true perspective on risk factor profile; however, risk factor analysis was able to occur in </w:t>
      </w:r>
      <w:proofErr w:type="gramStart"/>
      <w:r w:rsidRPr="00D601DD">
        <w:rPr>
          <w:lang w:val="en-GB"/>
        </w:rPr>
        <w:t>the majority of</w:t>
      </w:r>
      <w:proofErr w:type="gramEnd"/>
      <w:r w:rsidRPr="00D601DD">
        <w:rPr>
          <w:lang w:val="en-GB"/>
        </w:rPr>
        <w:t xml:space="preserve"> cases (62%). It should also be noted that nucleic acid testing is not 100% accurate, as other pathogens can cause false positive </w:t>
      </w:r>
      <w:r w:rsidRPr="00D601DD">
        <w:rPr>
          <w:i/>
          <w:iCs/>
          <w:lang w:val="en-GB"/>
        </w:rPr>
        <w:t>Shigella</w:t>
      </w:r>
      <w:r w:rsidRPr="00D601DD">
        <w:rPr>
          <w:lang w:val="en-GB"/>
        </w:rPr>
        <w:t xml:space="preserve"> PCR results.</w:t>
      </w:r>
      <w:r w:rsidRPr="00D601DD">
        <w:rPr>
          <w:vertAlign w:val="superscript"/>
          <w:lang w:val="en-GB"/>
        </w:rPr>
        <w:t>30</w:t>
      </w:r>
      <w:r w:rsidRPr="00D601DD">
        <w:rPr>
          <w:lang w:val="en-GB"/>
        </w:rPr>
        <w:t xml:space="preserve"> This highlights the importance of culture as an adjunct to PCR testing for more accurate diagnosis. </w:t>
      </w:r>
    </w:p>
    <w:p w14:paraId="276ABA65" w14:textId="77777777" w:rsidR="00D601DD" w:rsidRPr="00D601DD" w:rsidRDefault="00D601DD" w:rsidP="00D601DD">
      <w:pPr>
        <w:pStyle w:val="Heading2"/>
        <w:rPr>
          <w:lang w:val="en-GB"/>
        </w:rPr>
      </w:pPr>
      <w:bookmarkStart w:id="32" w:name="_Toc207030750"/>
      <w:r w:rsidRPr="00D601DD">
        <w:rPr>
          <w:lang w:val="en-GB"/>
        </w:rPr>
        <w:t>Future directions</w:t>
      </w:r>
      <w:bookmarkEnd w:id="32"/>
    </w:p>
    <w:p w14:paraId="447D7D86" w14:textId="77777777" w:rsidR="00D601DD" w:rsidRPr="00D601DD" w:rsidRDefault="00D601DD" w:rsidP="00D601DD">
      <w:pPr>
        <w:rPr>
          <w:lang w:val="en-GB"/>
        </w:rPr>
      </w:pPr>
      <w:r w:rsidRPr="00D601DD">
        <w:rPr>
          <w:lang w:val="en-GB"/>
        </w:rPr>
        <w:t xml:space="preserve">SEPHU should continue to work towards completing a full risk factor profile on cases within the catchment due to the high number of unidentified primary risks. However, the benefit of a three-day food history strategy could be reviewed, as this study does not provide any evidence for its benefit. A system of being able to link food histories </w:t>
      </w:r>
      <w:proofErr w:type="gramStart"/>
      <w:r w:rsidRPr="00D601DD">
        <w:rPr>
          <w:lang w:val="en-GB"/>
        </w:rPr>
        <w:t>in order to</w:t>
      </w:r>
      <w:proofErr w:type="gramEnd"/>
      <w:r w:rsidRPr="00D601DD">
        <w:rPr>
          <w:lang w:val="en-GB"/>
        </w:rPr>
        <w:t xml:space="preserve"> effectively find a common source could potentially be developed, providing real utility to this activity. </w:t>
      </w:r>
    </w:p>
    <w:p w14:paraId="583236A6" w14:textId="5741F395" w:rsidR="0001020A" w:rsidRDefault="00D601DD" w:rsidP="00830AEA">
      <w:r w:rsidRPr="00D601DD">
        <w:rPr>
          <w:lang w:val="en-GB"/>
        </w:rPr>
        <w:t xml:space="preserve">We found CAR rates of 61% amongst confirmed cases. It is essential that education is provided to healthcare providers in the SEPHU catchment on antibiotic resistance and the importance of limiting the spread of </w:t>
      </w:r>
      <w:r w:rsidRPr="00D601DD">
        <w:rPr>
          <w:i/>
          <w:iCs/>
          <w:lang w:val="en-GB"/>
        </w:rPr>
        <w:t>Shigella</w:t>
      </w:r>
      <w:r w:rsidRPr="00D601DD">
        <w:rPr>
          <w:lang w:val="en-GB"/>
        </w:rPr>
        <w:t xml:space="preserve">. There are low numbers of faecal cultures performed for returned travellers compared to PCR alone. </w:t>
      </w:r>
      <w:r w:rsidR="002D78B1" w:rsidRPr="002D78B1">
        <w:rPr>
          <w:lang w:val="en-GB"/>
        </w:rPr>
        <w:t>Engagement between SEPHU and GPs might be beneficial, particularly in the LGAs of Casey and Greater Dandenong, to determine the reason for this finding and reiterate the importance of obtaining a culture.</w:t>
      </w:r>
      <w:r w:rsidRPr="00D601DD">
        <w:rPr>
          <w:lang w:val="en-GB"/>
        </w:rPr>
        <w:t xml:space="preserve"> The priority areas within the SEPHU catchment are Stonnington, Casey and Greater Dandenong as they demonstrated the highest case rates. However, the interventions required in these LGAs differ. In Stonnington, emphasis should be on education for the MSM community about the risk of </w:t>
      </w:r>
      <w:r w:rsidRPr="00D601DD">
        <w:rPr>
          <w:i/>
          <w:iCs/>
          <w:lang w:val="en-GB"/>
        </w:rPr>
        <w:t>Shigella</w:t>
      </w:r>
      <w:r w:rsidRPr="00D601DD">
        <w:rPr>
          <w:lang w:val="en-GB"/>
        </w:rPr>
        <w:t xml:space="preserve"> spread through sexual contact and harm minimisation strategies. In Casey (and most likely also in Greater Dandenong), the focus should be on education regarding risk of </w:t>
      </w:r>
      <w:r w:rsidRPr="00D601DD">
        <w:rPr>
          <w:i/>
          <w:iCs/>
          <w:lang w:val="en-GB"/>
        </w:rPr>
        <w:t>Shigella</w:t>
      </w:r>
      <w:r w:rsidRPr="00D601DD">
        <w:rPr>
          <w:lang w:val="en-GB"/>
        </w:rPr>
        <w:t xml:space="preserve"> exposure through overseas travel particularly regarding towards children. This could include education to GPs regarding risk factors for </w:t>
      </w:r>
      <w:r w:rsidRPr="00D601DD">
        <w:rPr>
          <w:i/>
          <w:iCs/>
          <w:lang w:val="en-GB"/>
        </w:rPr>
        <w:t>Shigella</w:t>
      </w:r>
      <w:r w:rsidRPr="00D601DD">
        <w:rPr>
          <w:lang w:val="en-GB"/>
        </w:rPr>
        <w:t xml:space="preserve"> and other bacterial infection acquisition, travel safety education and an emphasis on the importance of stool cultures if symptoms develop after travelling to endemic areas such as India. </w:t>
      </w:r>
    </w:p>
    <w:p w14:paraId="19675214" w14:textId="77777777" w:rsidR="00FE2847" w:rsidRDefault="008017B6" w:rsidP="008017B6">
      <w:pPr>
        <w:pStyle w:val="Heading1"/>
      </w:pPr>
      <w:bookmarkStart w:id="33" w:name="_Toc207030751"/>
      <w:bookmarkEnd w:id="30"/>
      <w:bookmarkEnd w:id="31"/>
      <w:r>
        <w:lastRenderedPageBreak/>
        <w:t>Conclusion</w:t>
      </w:r>
      <w:bookmarkEnd w:id="33"/>
    </w:p>
    <w:p w14:paraId="05DB79FD" w14:textId="77777777" w:rsidR="00D601DD" w:rsidRPr="00D601DD" w:rsidRDefault="00D601DD" w:rsidP="00D601DD">
      <w:pPr>
        <w:rPr>
          <w:lang w:val="en-GB"/>
        </w:rPr>
      </w:pPr>
      <w:r w:rsidRPr="00D601DD">
        <w:rPr>
          <w:lang w:val="en-GB"/>
        </w:rPr>
        <w:t>This review of shigellosis notifications between January 1</w:t>
      </w:r>
      <w:proofErr w:type="gramStart"/>
      <w:r w:rsidRPr="00D601DD">
        <w:rPr>
          <w:lang w:val="en-GB"/>
        </w:rPr>
        <w:t xml:space="preserve"> 2022</w:t>
      </w:r>
      <w:proofErr w:type="gramEnd"/>
      <w:r w:rsidRPr="00D601DD">
        <w:rPr>
          <w:lang w:val="en-GB"/>
        </w:rPr>
        <w:t xml:space="preserve"> and March 31</w:t>
      </w:r>
      <w:proofErr w:type="gramStart"/>
      <w:r w:rsidRPr="00D601DD">
        <w:rPr>
          <w:lang w:val="en-GB"/>
        </w:rPr>
        <w:t xml:space="preserve"> 2023</w:t>
      </w:r>
      <w:proofErr w:type="gramEnd"/>
      <w:r w:rsidRPr="00D601DD">
        <w:rPr>
          <w:lang w:val="en-GB"/>
        </w:rPr>
        <w:t xml:space="preserve"> revealed that the highest case rates by LGA in the SEPHU catchment are driven by quite different risk factors. Within the LGA of Stonnington, the highest known risk factor was MSM contact and for the culturally and linguistically diverse area of Casey it was overseas travel. This information can be used to drive priority areas for awareness campaigns and community engagement. </w:t>
      </w:r>
    </w:p>
    <w:p w14:paraId="4FE39921" w14:textId="77777777" w:rsidR="00D601DD" w:rsidRPr="00D601DD" w:rsidRDefault="00D601DD" w:rsidP="00D601DD">
      <w:pPr>
        <w:pStyle w:val="Normal-morespaceafter"/>
        <w:rPr>
          <w:lang w:val="en-GB"/>
        </w:rPr>
      </w:pPr>
      <w:r w:rsidRPr="00D601DD">
        <w:rPr>
          <w:lang w:val="en-GB"/>
        </w:rPr>
        <w:t xml:space="preserve">Furthermore, cases among MSM were more likely to be identified by culture with the majority of showing critical antibiotic resistance. Culture was much less commonly available in cases with overseas travel as the primary risk factor. SEPHU will work with local clinicians and laboratories to optimise reflex </w:t>
      </w:r>
      <w:proofErr w:type="gramStart"/>
      <w:r w:rsidRPr="00D601DD">
        <w:rPr>
          <w:lang w:val="en-GB"/>
        </w:rPr>
        <w:t>cultures</w:t>
      </w:r>
      <w:proofErr w:type="gramEnd"/>
      <w:r w:rsidRPr="00D601DD">
        <w:rPr>
          <w:lang w:val="en-GB"/>
        </w:rPr>
        <w:t xml:space="preserve"> so all CAR cases are identified and appropriately managed. </w:t>
      </w:r>
    </w:p>
    <w:p w14:paraId="637B4B1D" w14:textId="77777777" w:rsidR="00D601DD" w:rsidRPr="00D601DD" w:rsidRDefault="00D601DD" w:rsidP="00D601DD">
      <w:pPr>
        <w:pStyle w:val="CDIBoxHeading"/>
        <w:spacing w:before="360"/>
        <w:rPr>
          <w:lang w:val="en-GB"/>
        </w:rPr>
      </w:pPr>
      <w:r w:rsidRPr="00D601DD">
        <w:rPr>
          <w:lang w:val="en-GB"/>
        </w:rPr>
        <w:t>Note added in proof</w:t>
      </w:r>
    </w:p>
    <w:p w14:paraId="2BC47F97" w14:textId="0BFD737A" w:rsidR="008017B6" w:rsidRPr="008017B6" w:rsidRDefault="00D601DD" w:rsidP="0084068C">
      <w:pPr>
        <w:pStyle w:val="CDIBoxText"/>
        <w:spacing w:before="120"/>
      </w:pPr>
      <w:proofErr w:type="gramStart"/>
      <w:r w:rsidRPr="00D601DD">
        <w:rPr>
          <w:lang w:val="en-GB"/>
        </w:rPr>
        <w:t>Subsequent to</w:t>
      </w:r>
      <w:proofErr w:type="gramEnd"/>
      <w:r w:rsidRPr="00D601DD">
        <w:rPr>
          <w:lang w:val="en-GB"/>
        </w:rPr>
        <w:t xml:space="preserve"> the drafting of this article, the </w:t>
      </w:r>
      <w:r w:rsidRPr="00D601DD">
        <w:rPr>
          <w:i/>
          <w:iCs/>
          <w:lang w:val="en-GB"/>
        </w:rPr>
        <w:t>Therapeutic Guidelines: Antibiotic</w:t>
      </w:r>
      <w:r w:rsidRPr="00D601DD">
        <w:rPr>
          <w:lang w:val="en-GB"/>
        </w:rPr>
        <w:t xml:space="preserve"> website has been updated (in March 2025) and should be considered as a current and local Australian source of guidance on antimicrobial therapy for cases of </w:t>
      </w:r>
      <w:r w:rsidRPr="00D601DD">
        <w:rPr>
          <w:i/>
          <w:iCs/>
          <w:lang w:val="en-GB"/>
        </w:rPr>
        <w:t>Shigella</w:t>
      </w:r>
      <w:r w:rsidRPr="00D601DD">
        <w:rPr>
          <w:lang w:val="en-GB"/>
        </w:rPr>
        <w:t xml:space="preserve"> enteritis (shigellosis).</w:t>
      </w:r>
    </w:p>
    <w:p w14:paraId="2C5F91C8" w14:textId="77777777" w:rsidR="00F216F0" w:rsidRDefault="00F216F0" w:rsidP="00F216F0">
      <w:pPr>
        <w:pStyle w:val="Heading1"/>
      </w:pPr>
      <w:bookmarkStart w:id="34" w:name="_Toc195530510"/>
      <w:bookmarkStart w:id="35" w:name="_Toc207030752"/>
      <w:bookmarkStart w:id="36" w:name="_Toc195530508"/>
      <w:r>
        <w:lastRenderedPageBreak/>
        <w:t>Acknowledgments</w:t>
      </w:r>
      <w:bookmarkEnd w:id="34"/>
      <w:bookmarkEnd w:id="35"/>
    </w:p>
    <w:p w14:paraId="69687BE6" w14:textId="395DFBF8" w:rsidR="00F216F0" w:rsidRPr="008017B6" w:rsidRDefault="00F36036" w:rsidP="00F216F0">
      <w:r w:rsidRPr="00F36036">
        <w:rPr>
          <w:lang w:val="en-GB"/>
        </w:rPr>
        <w:t xml:space="preserve">The authors wish to acknowledge the medical practitioners &amp; pathology services who diagnosed </w:t>
      </w:r>
      <w:r w:rsidR="003A27BC">
        <w:rPr>
          <w:lang w:val="en-GB"/>
        </w:rPr>
        <w:t>and</w:t>
      </w:r>
      <w:r w:rsidRPr="00F36036">
        <w:rPr>
          <w:lang w:val="en-GB"/>
        </w:rPr>
        <w:t xml:space="preserve"> notified the cases to the Department of Health, Victoria. We also wish to acknowledge the contributions of the public health officers in the Communicable Disease Prevention and Control Unit at the South East Public Health Unit and at the Department of Health who undertook the case follow up for shigella, along with staff of the Communicable Disease Epidemiology and Surveillance Unit who have contributed to the management, response, collection, and curation of this dataset prior to and after integration of the condition to the state’s new network of Local Public Health Units.</w:t>
      </w:r>
    </w:p>
    <w:p w14:paraId="68660304" w14:textId="77777777" w:rsidR="008A0736" w:rsidRDefault="008A0736" w:rsidP="008A0736">
      <w:pPr>
        <w:pStyle w:val="Heading1"/>
      </w:pPr>
      <w:bookmarkStart w:id="37" w:name="_Toc207030753"/>
      <w:r>
        <w:lastRenderedPageBreak/>
        <w:t>Author details</w:t>
      </w:r>
      <w:bookmarkEnd w:id="36"/>
      <w:bookmarkEnd w:id="37"/>
    </w:p>
    <w:p w14:paraId="16F50DA9" w14:textId="77777777" w:rsidR="003A27BC" w:rsidRPr="003A27BC" w:rsidRDefault="003A27BC" w:rsidP="003A27BC">
      <w:pPr>
        <w:rPr>
          <w:lang w:val="en-GB"/>
        </w:rPr>
      </w:pPr>
      <w:r w:rsidRPr="003A27BC">
        <w:rPr>
          <w:lang w:val="en-GB"/>
        </w:rPr>
        <w:t>Dr Emilie A Guy,</w:t>
      </w:r>
      <w:r w:rsidRPr="003A27BC">
        <w:rPr>
          <w:vertAlign w:val="superscript"/>
          <w:lang w:val="en-GB"/>
        </w:rPr>
        <w:t>1</w:t>
      </w:r>
    </w:p>
    <w:p w14:paraId="5219C5CA" w14:textId="77777777" w:rsidR="003A27BC" w:rsidRPr="003A27BC" w:rsidRDefault="003A27BC" w:rsidP="003A27BC">
      <w:pPr>
        <w:rPr>
          <w:lang w:val="en-GB"/>
        </w:rPr>
      </w:pPr>
      <w:r w:rsidRPr="003A27BC">
        <w:rPr>
          <w:lang w:val="en-GB"/>
        </w:rPr>
        <w:t>Dr Lucy O Attwood,</w:t>
      </w:r>
      <w:r w:rsidRPr="003A27BC">
        <w:rPr>
          <w:vertAlign w:val="superscript"/>
          <w:lang w:val="en-GB"/>
        </w:rPr>
        <w:t>1,2</w:t>
      </w:r>
    </w:p>
    <w:p w14:paraId="41C5B578" w14:textId="77777777" w:rsidR="003A27BC" w:rsidRPr="003A27BC" w:rsidRDefault="003A27BC" w:rsidP="003A27BC">
      <w:pPr>
        <w:rPr>
          <w:lang w:val="en-GB"/>
        </w:rPr>
      </w:pPr>
      <w:r w:rsidRPr="003A27BC">
        <w:rPr>
          <w:lang w:val="en-GB"/>
        </w:rPr>
        <w:t>A/Prof. Simon R Crouch,</w:t>
      </w:r>
      <w:r w:rsidRPr="003A27BC">
        <w:rPr>
          <w:vertAlign w:val="superscript"/>
          <w:lang w:val="en-GB"/>
        </w:rPr>
        <w:t>1,2</w:t>
      </w:r>
    </w:p>
    <w:p w14:paraId="58CF8353" w14:textId="77777777" w:rsidR="003A27BC" w:rsidRPr="003A27BC" w:rsidRDefault="003A27BC" w:rsidP="003A27BC">
      <w:pPr>
        <w:rPr>
          <w:lang w:val="en-GB"/>
        </w:rPr>
      </w:pPr>
      <w:r w:rsidRPr="003A27BC">
        <w:rPr>
          <w:lang w:val="en-GB"/>
        </w:rPr>
        <w:t>Ms Mohana Baptista,</w:t>
      </w:r>
      <w:r w:rsidRPr="003A27BC">
        <w:rPr>
          <w:vertAlign w:val="superscript"/>
          <w:lang w:val="en-GB"/>
        </w:rPr>
        <w:t>1,2</w:t>
      </w:r>
    </w:p>
    <w:p w14:paraId="2BEDF2FA" w14:textId="77777777" w:rsidR="003A27BC" w:rsidRPr="003A27BC" w:rsidRDefault="003A27BC" w:rsidP="003A27BC">
      <w:pPr>
        <w:rPr>
          <w:lang w:val="en-GB"/>
        </w:rPr>
      </w:pPr>
      <w:r w:rsidRPr="003A27BC">
        <w:rPr>
          <w:lang w:val="en-GB"/>
        </w:rPr>
        <w:t>Ms Tania Ruz,</w:t>
      </w:r>
      <w:r w:rsidRPr="003A27BC">
        <w:rPr>
          <w:vertAlign w:val="superscript"/>
          <w:lang w:val="en-GB"/>
        </w:rPr>
        <w:t>2</w:t>
      </w:r>
    </w:p>
    <w:p w14:paraId="628F22E8" w14:textId="77777777" w:rsidR="003A27BC" w:rsidRPr="003A27BC" w:rsidRDefault="003A27BC" w:rsidP="003A27BC">
      <w:pPr>
        <w:rPr>
          <w:lang w:val="en-GB"/>
        </w:rPr>
      </w:pPr>
      <w:r w:rsidRPr="003A27BC">
        <w:rPr>
          <w:lang w:val="en-GB"/>
        </w:rPr>
        <w:t>Dr Rhonda L Stuart</w:t>
      </w:r>
      <w:r w:rsidRPr="003A27BC">
        <w:rPr>
          <w:vertAlign w:val="superscript"/>
          <w:lang w:val="en-GB"/>
        </w:rPr>
        <w:t>1,2</w:t>
      </w:r>
    </w:p>
    <w:p w14:paraId="283B0010" w14:textId="77777777" w:rsidR="003A27BC" w:rsidRPr="003A27BC" w:rsidRDefault="003A27BC" w:rsidP="003A27BC">
      <w:pPr>
        <w:pStyle w:val="CDINumberedList1L1"/>
        <w:rPr>
          <w:lang w:val="en-GB"/>
        </w:rPr>
      </w:pPr>
      <w:r w:rsidRPr="003A27BC">
        <w:rPr>
          <w:lang w:val="en-GB"/>
        </w:rPr>
        <w:t>Faculty of Medicine, Nursing and Health Science, Monash University, Victoria</w:t>
      </w:r>
    </w:p>
    <w:p w14:paraId="7A7E4139" w14:textId="77777777" w:rsidR="003A27BC" w:rsidRPr="003A27BC" w:rsidRDefault="003A27BC" w:rsidP="003A27BC">
      <w:pPr>
        <w:pStyle w:val="CDINumberedList1L1"/>
        <w:rPr>
          <w:lang w:val="en-GB"/>
        </w:rPr>
      </w:pPr>
      <w:proofErr w:type="gramStart"/>
      <w:r w:rsidRPr="003A27BC">
        <w:rPr>
          <w:lang w:val="en-GB"/>
        </w:rPr>
        <w:t>South East</w:t>
      </w:r>
      <w:proofErr w:type="gramEnd"/>
      <w:r w:rsidRPr="003A27BC">
        <w:rPr>
          <w:lang w:val="en-GB"/>
        </w:rPr>
        <w:t xml:space="preserve"> Public Health Unit, Monash Health, Victoria</w:t>
      </w:r>
    </w:p>
    <w:p w14:paraId="7430E758" w14:textId="77777777" w:rsidR="00423436" w:rsidRDefault="00423436" w:rsidP="00423436">
      <w:pPr>
        <w:pStyle w:val="CDICorrespondingauthor"/>
      </w:pPr>
      <w:r>
        <w:t>Corresponding author</w:t>
      </w:r>
    </w:p>
    <w:p w14:paraId="42FBF4AB" w14:textId="77777777" w:rsidR="003A27BC" w:rsidRPr="003A27BC" w:rsidRDefault="003A27BC" w:rsidP="003A27BC">
      <w:pPr>
        <w:rPr>
          <w:lang w:val="en-GB"/>
        </w:rPr>
      </w:pPr>
      <w:r w:rsidRPr="003A27BC">
        <w:rPr>
          <w:lang w:val="en-GB"/>
        </w:rPr>
        <w:t>Emilie A Guy</w:t>
      </w:r>
    </w:p>
    <w:p w14:paraId="56E61C76" w14:textId="77777777" w:rsidR="003A27BC" w:rsidRPr="003A27BC" w:rsidRDefault="003A27BC" w:rsidP="003A27BC">
      <w:pPr>
        <w:rPr>
          <w:lang w:val="en-GB"/>
        </w:rPr>
      </w:pPr>
      <w:r w:rsidRPr="003A27BC">
        <w:rPr>
          <w:lang w:val="en-GB"/>
        </w:rPr>
        <w:t xml:space="preserve">Address: Monash University, Wellington Road, Clayton, VIC, 3800 </w:t>
      </w:r>
    </w:p>
    <w:p w14:paraId="54DEBAA0" w14:textId="77777777" w:rsidR="003A27BC" w:rsidRPr="003A27BC" w:rsidRDefault="003A27BC" w:rsidP="003A27BC">
      <w:pPr>
        <w:rPr>
          <w:lang w:val="en-GB"/>
        </w:rPr>
      </w:pPr>
      <w:r w:rsidRPr="003A27BC">
        <w:rPr>
          <w:lang w:val="en-GB"/>
        </w:rPr>
        <w:t>Phone: +61 431 269 822</w:t>
      </w:r>
    </w:p>
    <w:p w14:paraId="13281CAC" w14:textId="2BE20CF8" w:rsidR="008A0736" w:rsidRDefault="003A27BC" w:rsidP="00423436">
      <w:r w:rsidRPr="003A27BC">
        <w:rPr>
          <w:lang w:val="en-GB"/>
        </w:rPr>
        <w:t xml:space="preserve">Email: </w:t>
      </w:r>
      <w:hyperlink r:id="rId22" w:history="1">
        <w:r w:rsidRPr="003A27BC">
          <w:rPr>
            <w:rStyle w:val="Hyperlink"/>
            <w:lang w:val="en-GB"/>
          </w:rPr>
          <w:t>emilieaguy@gmail.com</w:t>
        </w:r>
      </w:hyperlink>
      <w:r>
        <w:rPr>
          <w:lang w:val="en-GB"/>
        </w:rPr>
        <w:t xml:space="preserve"> </w:t>
      </w:r>
    </w:p>
    <w:p w14:paraId="04E0B626" w14:textId="77777777" w:rsidR="008A0736" w:rsidRDefault="008A0736" w:rsidP="00122ADA">
      <w:pPr>
        <w:pStyle w:val="Heading1"/>
      </w:pPr>
      <w:bookmarkStart w:id="38" w:name="_Toc195530511"/>
      <w:bookmarkStart w:id="39" w:name="_Toc207030754"/>
      <w:r>
        <w:lastRenderedPageBreak/>
        <w:t>References</w:t>
      </w:r>
      <w:bookmarkEnd w:id="38"/>
      <w:bookmarkEnd w:id="39"/>
    </w:p>
    <w:p w14:paraId="26857019" w14:textId="69B9CAED" w:rsidR="003A27BC" w:rsidRDefault="003A27BC" w:rsidP="003A27BC">
      <w:pPr>
        <w:pStyle w:val="CDINumberedList1L1"/>
        <w:numPr>
          <w:ilvl w:val="0"/>
          <w:numId w:val="4"/>
        </w:numPr>
      </w:pPr>
      <w:r>
        <w:t xml:space="preserve">Baker S, The HC. Recent insights into </w:t>
      </w:r>
      <w:r w:rsidRPr="003A27BC">
        <w:rPr>
          <w:i/>
          <w:iCs/>
        </w:rPr>
        <w:t>Shigella</w:t>
      </w:r>
      <w:r>
        <w:t xml:space="preserve">. </w:t>
      </w:r>
      <w:r w:rsidRPr="003A27BC">
        <w:rPr>
          <w:i/>
          <w:iCs/>
        </w:rPr>
        <w:t xml:space="preserve">Curr </w:t>
      </w:r>
      <w:proofErr w:type="spellStart"/>
      <w:r w:rsidRPr="003A27BC">
        <w:rPr>
          <w:i/>
          <w:iCs/>
        </w:rPr>
        <w:t>Opin</w:t>
      </w:r>
      <w:proofErr w:type="spellEnd"/>
      <w:r w:rsidRPr="003A27BC">
        <w:rPr>
          <w:i/>
          <w:iCs/>
        </w:rPr>
        <w:t xml:space="preserve"> Infect Dis</w:t>
      </w:r>
      <w:r>
        <w:t>. 2018;31(5):449–54. doi: </w:t>
      </w:r>
      <w:hyperlink r:id="rId23" w:history="1">
        <w:r w:rsidRPr="00027529">
          <w:rPr>
            <w:rStyle w:val="Hyperlink"/>
          </w:rPr>
          <w:t>https://doi.org/10.1097/QCO.0000000000000475</w:t>
        </w:r>
      </w:hyperlink>
      <w:r>
        <w:t xml:space="preserve">. </w:t>
      </w:r>
    </w:p>
    <w:p w14:paraId="682A38F6" w14:textId="51655CCC" w:rsidR="003A27BC" w:rsidRDefault="003A27BC" w:rsidP="003A27BC">
      <w:pPr>
        <w:pStyle w:val="CDINumberedList1L1"/>
        <w:numPr>
          <w:ilvl w:val="0"/>
          <w:numId w:val="4"/>
        </w:numPr>
      </w:pPr>
      <w:r>
        <w:t xml:space="preserve">Mattock E, Blocker AJ. How do the virulence factors of </w:t>
      </w:r>
      <w:r w:rsidRPr="003A27BC">
        <w:rPr>
          <w:i/>
          <w:iCs/>
        </w:rPr>
        <w:t>Shigella</w:t>
      </w:r>
      <w:r>
        <w:t xml:space="preserve"> work together to cause disease? </w:t>
      </w:r>
      <w:r w:rsidRPr="00BA527E">
        <w:rPr>
          <w:i/>
          <w:iCs/>
        </w:rPr>
        <w:t>Front Cell Infect Microbiol</w:t>
      </w:r>
      <w:r>
        <w:t xml:space="preserve">. </w:t>
      </w:r>
      <w:proofErr w:type="gramStart"/>
      <w:r>
        <w:t>2017;7:64</w:t>
      </w:r>
      <w:proofErr w:type="gramEnd"/>
      <w:r>
        <w:t xml:space="preserve">. doi: </w:t>
      </w:r>
      <w:hyperlink r:id="rId24" w:history="1">
        <w:r w:rsidRPr="00027529">
          <w:rPr>
            <w:rStyle w:val="Hyperlink"/>
          </w:rPr>
          <w:t>https://doi.org/10.3389/fcimb.2017.00064</w:t>
        </w:r>
      </w:hyperlink>
      <w:r>
        <w:t xml:space="preserve">. </w:t>
      </w:r>
    </w:p>
    <w:p w14:paraId="36D812F4" w14:textId="20A7F675" w:rsidR="003A27BC" w:rsidRDefault="003A27BC" w:rsidP="003A27BC">
      <w:pPr>
        <w:pStyle w:val="CDINumberedList1L1"/>
        <w:numPr>
          <w:ilvl w:val="0"/>
          <w:numId w:val="4"/>
        </w:numPr>
      </w:pPr>
      <w:r>
        <w:t xml:space="preserve">Ibrahim AF, Glass K, Williamson DA, Polkinghorne BG, Ingle DJ, Wright R et al. The changing epidemiology of shigellosis in Australia, 2001-2019. </w:t>
      </w:r>
      <w:r w:rsidRPr="003A27BC">
        <w:rPr>
          <w:i/>
          <w:iCs/>
        </w:rPr>
        <w:t>PLoS Negl Trop Dis</w:t>
      </w:r>
      <w:r>
        <w:t>. 2023;17(3</w:t>
      </w:r>
      <w:proofErr w:type="gramStart"/>
      <w:r>
        <w:t>):e</w:t>
      </w:r>
      <w:proofErr w:type="gramEnd"/>
      <w:r>
        <w:t xml:space="preserve">0010450. doi: </w:t>
      </w:r>
      <w:hyperlink r:id="rId25" w:history="1">
        <w:r w:rsidRPr="00027529">
          <w:rPr>
            <w:rStyle w:val="Hyperlink"/>
          </w:rPr>
          <w:t>https://doi.org/10.1371/journal.pntd.0010450</w:t>
        </w:r>
      </w:hyperlink>
      <w:r>
        <w:t>.</w:t>
      </w:r>
    </w:p>
    <w:p w14:paraId="1A5BEF76" w14:textId="31364740" w:rsidR="003A27BC" w:rsidRDefault="003A27BC" w:rsidP="003A27BC">
      <w:pPr>
        <w:pStyle w:val="CDINumberedList1L1"/>
        <w:numPr>
          <w:ilvl w:val="0"/>
          <w:numId w:val="4"/>
        </w:numPr>
      </w:pPr>
      <w:proofErr w:type="spellStart"/>
      <w:r>
        <w:t>Boveé</w:t>
      </w:r>
      <w:proofErr w:type="spellEnd"/>
      <w:r>
        <w:t xml:space="preserve"> L, Whelan J, Sonder GJ, van Dam AP, van den Hoek A. Risk factors for secondary transmission of </w:t>
      </w:r>
      <w:r w:rsidRPr="003A27BC">
        <w:rPr>
          <w:i/>
          <w:iCs/>
        </w:rPr>
        <w:t>Shigella</w:t>
      </w:r>
      <w:r>
        <w:t xml:space="preserve"> infection within households: implications for current prevention policy. </w:t>
      </w:r>
      <w:r w:rsidRPr="003A27BC">
        <w:rPr>
          <w:i/>
          <w:iCs/>
        </w:rPr>
        <w:t>BMC Infect Dis</w:t>
      </w:r>
      <w:r>
        <w:t xml:space="preserve">. </w:t>
      </w:r>
      <w:proofErr w:type="gramStart"/>
      <w:r>
        <w:t>2012;12:347</w:t>
      </w:r>
      <w:proofErr w:type="gramEnd"/>
      <w:r>
        <w:t xml:space="preserve">. doi: </w:t>
      </w:r>
      <w:hyperlink r:id="rId26" w:history="1">
        <w:r w:rsidRPr="00027529">
          <w:rPr>
            <w:rStyle w:val="Hyperlink"/>
          </w:rPr>
          <w:t>https://doi.org/10.1186/1471-2334-12-347</w:t>
        </w:r>
      </w:hyperlink>
      <w:r>
        <w:t>.</w:t>
      </w:r>
    </w:p>
    <w:p w14:paraId="53FE4D05" w14:textId="7AA8D91C" w:rsidR="003A27BC" w:rsidRDefault="003A27BC" w:rsidP="003A27BC">
      <w:pPr>
        <w:pStyle w:val="CDINumberedList1L1"/>
        <w:numPr>
          <w:ilvl w:val="0"/>
          <w:numId w:val="4"/>
        </w:numPr>
      </w:pPr>
      <w:r>
        <w:t xml:space="preserve">Victorian State Government Department of Health. Shigellosis. [Internet.] Melbourne: Victorian State Government Department of Health; 29 November 2022. [Accessed on 26 April 2023.] Available from: </w:t>
      </w:r>
      <w:hyperlink r:id="rId27" w:history="1">
        <w:r w:rsidRPr="00027529">
          <w:rPr>
            <w:rStyle w:val="Hyperlink"/>
          </w:rPr>
          <w:t>https://www.health.vic.gov.au/infectious-diseases/shigellosis</w:t>
        </w:r>
      </w:hyperlink>
      <w:r>
        <w:t>.</w:t>
      </w:r>
    </w:p>
    <w:p w14:paraId="5DDD99C6" w14:textId="3BEEF315" w:rsidR="003A27BC" w:rsidRDefault="003A27BC" w:rsidP="003A27BC">
      <w:pPr>
        <w:pStyle w:val="CDINumberedList1L1"/>
        <w:numPr>
          <w:ilvl w:val="0"/>
          <w:numId w:val="4"/>
        </w:numPr>
      </w:pPr>
      <w:r>
        <w:t xml:space="preserve">Wise J. Sixty seconds on... </w:t>
      </w:r>
      <w:r w:rsidRPr="003A27BC">
        <w:rPr>
          <w:i/>
          <w:iCs/>
        </w:rPr>
        <w:t>Shigella</w:t>
      </w:r>
      <w:r>
        <w:t xml:space="preserve">. </w:t>
      </w:r>
      <w:r w:rsidRPr="003A27BC">
        <w:rPr>
          <w:i/>
          <w:iCs/>
        </w:rPr>
        <w:t>BMJ</w:t>
      </w:r>
      <w:r>
        <w:t>. 2022;</w:t>
      </w:r>
      <w:proofErr w:type="gramStart"/>
      <w:r>
        <w:t>376:o</w:t>
      </w:r>
      <w:proofErr w:type="gramEnd"/>
      <w:r>
        <w:t>253. doi: </w:t>
      </w:r>
      <w:hyperlink r:id="rId28" w:history="1">
        <w:r w:rsidRPr="00027529">
          <w:rPr>
            <w:rStyle w:val="Hyperlink"/>
          </w:rPr>
          <w:t>https://doi.org/10.1136/bmj.o253</w:t>
        </w:r>
      </w:hyperlink>
      <w:r>
        <w:t xml:space="preserve">. </w:t>
      </w:r>
    </w:p>
    <w:p w14:paraId="19611C6B" w14:textId="77777777" w:rsidR="003A27BC" w:rsidRDefault="003A27BC" w:rsidP="003A27BC">
      <w:pPr>
        <w:pStyle w:val="CDINumberedList1L1"/>
        <w:numPr>
          <w:ilvl w:val="0"/>
          <w:numId w:val="4"/>
        </w:numPr>
      </w:pPr>
      <w:proofErr w:type="spellStart"/>
      <w:r>
        <w:t>Cheftel</w:t>
      </w:r>
      <w:proofErr w:type="spellEnd"/>
      <w:r>
        <w:t xml:space="preserve"> E, Spiegel A, </w:t>
      </w:r>
      <w:proofErr w:type="spellStart"/>
      <w:r>
        <w:t>Bornert</w:t>
      </w:r>
      <w:proofErr w:type="spellEnd"/>
      <w:r>
        <w:t xml:space="preserve"> G, Morell E, Michel A, Buisson Y. [Toxic food infection caused by </w:t>
      </w:r>
      <w:r w:rsidRPr="003A27BC">
        <w:rPr>
          <w:i/>
          <w:iCs/>
        </w:rPr>
        <w:t>Shigella flexneri</w:t>
      </w:r>
      <w:r>
        <w:t xml:space="preserve"> in a military unit]. </w:t>
      </w:r>
      <w:r w:rsidRPr="003A27BC">
        <w:rPr>
          <w:i/>
          <w:iCs/>
        </w:rPr>
        <w:t>Sante</w:t>
      </w:r>
      <w:r>
        <w:t>. 1997;7(5):295–9.</w:t>
      </w:r>
    </w:p>
    <w:p w14:paraId="3D8C0665" w14:textId="240345CA" w:rsidR="003A27BC" w:rsidRDefault="003A27BC" w:rsidP="003A27BC">
      <w:pPr>
        <w:pStyle w:val="CDINumberedList1L1"/>
        <w:numPr>
          <w:ilvl w:val="0"/>
          <w:numId w:val="4"/>
        </w:numPr>
      </w:pPr>
      <w:proofErr w:type="spellStart"/>
      <w:r>
        <w:t>Kotloff</w:t>
      </w:r>
      <w:proofErr w:type="spellEnd"/>
      <w:r>
        <w:t xml:space="preserve"> KL, Riddle MS, Platts-Mills JA, </w:t>
      </w:r>
      <w:proofErr w:type="spellStart"/>
      <w:r>
        <w:t>Pavlinac</w:t>
      </w:r>
      <w:proofErr w:type="spellEnd"/>
      <w:r>
        <w:t xml:space="preserve"> P, Zaidi AKM. Shigellosis. </w:t>
      </w:r>
      <w:r w:rsidRPr="003A27BC">
        <w:rPr>
          <w:i/>
          <w:iCs/>
        </w:rPr>
        <w:t>Lancet</w:t>
      </w:r>
      <w:r>
        <w:t xml:space="preserve">. 2018;391(10122):801–12. doi: </w:t>
      </w:r>
      <w:hyperlink r:id="rId29" w:history="1">
        <w:r w:rsidRPr="00027529">
          <w:rPr>
            <w:rStyle w:val="Hyperlink"/>
          </w:rPr>
          <w:t>https://doi.org/10.1016/S0140-6736(17)33296-8</w:t>
        </w:r>
      </w:hyperlink>
      <w:r>
        <w:t>.</w:t>
      </w:r>
    </w:p>
    <w:p w14:paraId="3FDE1C25" w14:textId="77777777" w:rsidR="003A27BC" w:rsidRDefault="003A27BC" w:rsidP="003A27BC">
      <w:pPr>
        <w:pStyle w:val="CDINumberedList1L1"/>
        <w:numPr>
          <w:ilvl w:val="0"/>
          <w:numId w:val="4"/>
        </w:numPr>
      </w:pPr>
      <w:proofErr w:type="spellStart"/>
      <w:r>
        <w:t>Genobile</w:t>
      </w:r>
      <w:proofErr w:type="spellEnd"/>
      <w:r>
        <w:t xml:space="preserve"> D, Gaston J, Tallis GF, Gregory JE, Griffith JM, </w:t>
      </w:r>
      <w:proofErr w:type="spellStart"/>
      <w:r>
        <w:t>Valcanis</w:t>
      </w:r>
      <w:proofErr w:type="spellEnd"/>
      <w:r>
        <w:t xml:space="preserve"> M et al. An outbreak of shigellosis in a </w:t>
      </w:r>
      <w:proofErr w:type="gramStart"/>
      <w:r>
        <w:t>child care</w:t>
      </w:r>
      <w:proofErr w:type="gramEnd"/>
      <w:r>
        <w:t xml:space="preserve"> centre. </w:t>
      </w:r>
      <w:r w:rsidRPr="003A27BC">
        <w:rPr>
          <w:i/>
          <w:iCs/>
        </w:rPr>
        <w:t>Commun Dis Intell Q Rep</w:t>
      </w:r>
      <w:r>
        <w:t>. 2004;28(2):225–9.</w:t>
      </w:r>
    </w:p>
    <w:p w14:paraId="46EA8DE9" w14:textId="4E4DB896" w:rsidR="003A27BC" w:rsidRDefault="003A27BC" w:rsidP="003A27BC">
      <w:pPr>
        <w:pStyle w:val="CDINumberedList1L1"/>
        <w:numPr>
          <w:ilvl w:val="0"/>
          <w:numId w:val="4"/>
        </w:numPr>
      </w:pPr>
      <w:r>
        <w:t xml:space="preserve">Ingle DJ, Easton M, </w:t>
      </w:r>
      <w:proofErr w:type="spellStart"/>
      <w:r>
        <w:t>Valcanis</w:t>
      </w:r>
      <w:proofErr w:type="spellEnd"/>
      <w:r>
        <w:t xml:space="preserve"> M, Seemann T, Kwong JC, Stephens N et al. Co-circulation of multidrug-resistant </w:t>
      </w:r>
      <w:r w:rsidRPr="003A27BC">
        <w:rPr>
          <w:i/>
          <w:iCs/>
        </w:rPr>
        <w:t>Shigella</w:t>
      </w:r>
      <w:r>
        <w:t xml:space="preserve"> among men who have sex with men in Australia. </w:t>
      </w:r>
      <w:r w:rsidRPr="003A27BC">
        <w:rPr>
          <w:i/>
          <w:iCs/>
        </w:rPr>
        <w:t>Clin Infect Dis</w:t>
      </w:r>
      <w:r>
        <w:t xml:space="preserve">. 2019;69(9):1535–44. doi: </w:t>
      </w:r>
      <w:hyperlink r:id="rId30" w:history="1">
        <w:r w:rsidRPr="00027529">
          <w:rPr>
            <w:rStyle w:val="Hyperlink"/>
          </w:rPr>
          <w:t>https://doi.org/10.1093/cid/ciz005</w:t>
        </w:r>
      </w:hyperlink>
      <w:r>
        <w:t>.</w:t>
      </w:r>
    </w:p>
    <w:p w14:paraId="2F52EEA6" w14:textId="7D5757A3" w:rsidR="003A27BC" w:rsidRDefault="003A27BC" w:rsidP="003A27BC">
      <w:pPr>
        <w:pStyle w:val="CDINumberedList1L1"/>
        <w:numPr>
          <w:ilvl w:val="0"/>
          <w:numId w:val="4"/>
        </w:numPr>
      </w:pPr>
      <w:r>
        <w:t xml:space="preserve">Lane CR, Sutton B, </w:t>
      </w:r>
      <w:proofErr w:type="spellStart"/>
      <w:r>
        <w:t>Valcanis</w:t>
      </w:r>
      <w:proofErr w:type="spellEnd"/>
      <w:r>
        <w:t xml:space="preserve"> M, Kirk M, Walker C, Lalor K, et al. Travel destinations and sexual </w:t>
      </w:r>
      <w:proofErr w:type="spellStart"/>
      <w:r>
        <w:t>behavior</w:t>
      </w:r>
      <w:proofErr w:type="spellEnd"/>
      <w:r>
        <w:t xml:space="preserve"> as indicators of antibiotic resistant </w:t>
      </w:r>
      <w:r w:rsidRPr="003A27BC">
        <w:rPr>
          <w:i/>
          <w:iCs/>
        </w:rPr>
        <w:t>Shigella</w:t>
      </w:r>
      <w:r>
        <w:t xml:space="preserve"> strains–Victoria, Australia. </w:t>
      </w:r>
      <w:r w:rsidRPr="003A27BC">
        <w:rPr>
          <w:i/>
          <w:iCs/>
        </w:rPr>
        <w:t>Clin Infect Dis</w:t>
      </w:r>
      <w:r>
        <w:t xml:space="preserve">. 2016;62(6):722–9. doi: </w:t>
      </w:r>
      <w:hyperlink r:id="rId31" w:history="1">
        <w:r w:rsidRPr="00027529">
          <w:rPr>
            <w:rStyle w:val="Hyperlink"/>
          </w:rPr>
          <w:t>https://doi.org/10.1093/cid/civ1018</w:t>
        </w:r>
      </w:hyperlink>
      <w:r>
        <w:t>.</w:t>
      </w:r>
    </w:p>
    <w:p w14:paraId="1B9A2954" w14:textId="5C300762" w:rsidR="003A27BC" w:rsidRDefault="003A27BC" w:rsidP="003A27BC">
      <w:pPr>
        <w:pStyle w:val="CDINumberedList1L1"/>
        <w:numPr>
          <w:ilvl w:val="0"/>
          <w:numId w:val="4"/>
        </w:numPr>
      </w:pPr>
      <w:r>
        <w:t xml:space="preserve">Australian Bureau of Statistics (ABS). Overseas Arrivals and Departures, Australia. [Internet.] Canberra: ABS; 2023. [Accessed on 15 May 2023.] Available from: </w:t>
      </w:r>
      <w:hyperlink r:id="rId32" w:history="1">
        <w:r w:rsidRPr="00027529">
          <w:rPr>
            <w:rStyle w:val="Hyperlink"/>
          </w:rPr>
          <w:t>https://www.abs.gov.au/statistics/industry/tourism-and-transport/overseas-arrivals-and-departures-australia/latest-release</w:t>
        </w:r>
      </w:hyperlink>
      <w:r>
        <w:t>.</w:t>
      </w:r>
    </w:p>
    <w:p w14:paraId="043038E3" w14:textId="30117F56" w:rsidR="003A27BC" w:rsidRDefault="003A27BC" w:rsidP="003A27BC">
      <w:pPr>
        <w:pStyle w:val="CDINumberedList1L1"/>
        <w:numPr>
          <w:ilvl w:val="0"/>
          <w:numId w:val="4"/>
        </w:numPr>
      </w:pPr>
      <w:r>
        <w:t xml:space="preserve">Martín-Sánchez M, Case R, Fairley C, Hocking JS, Bradshaw C, Ong J et al. Trends and differences in sexual practices and sexually transmitted infections in men who have sex with men only (MSMO) and men who have sex with men and women (MSMW): a repeated cross-sectional study in Melbourne, Australia. </w:t>
      </w:r>
      <w:r w:rsidRPr="003A27BC">
        <w:rPr>
          <w:i/>
          <w:iCs/>
        </w:rPr>
        <w:t>BMJ Open</w:t>
      </w:r>
      <w:r>
        <w:t>. 2020;10(11</w:t>
      </w:r>
      <w:proofErr w:type="gramStart"/>
      <w:r>
        <w:t>):e</w:t>
      </w:r>
      <w:proofErr w:type="gramEnd"/>
      <w:r>
        <w:t>037608. doi: </w:t>
      </w:r>
      <w:hyperlink r:id="rId33" w:history="1">
        <w:r w:rsidRPr="00027529">
          <w:rPr>
            <w:rStyle w:val="Hyperlink"/>
          </w:rPr>
          <w:t>https://doi.org/10.1136/bmjopen-2020-037608</w:t>
        </w:r>
      </w:hyperlink>
      <w:r>
        <w:t>.</w:t>
      </w:r>
    </w:p>
    <w:p w14:paraId="490306E0" w14:textId="571B0F77" w:rsidR="003A27BC" w:rsidRDefault="003A27BC" w:rsidP="003A27BC">
      <w:pPr>
        <w:pStyle w:val="CDINumberedList1L1"/>
        <w:numPr>
          <w:ilvl w:val="0"/>
          <w:numId w:val="4"/>
        </w:numPr>
      </w:pPr>
      <w:proofErr w:type="spellStart"/>
      <w:r>
        <w:lastRenderedPageBreak/>
        <w:t>Lolekha</w:t>
      </w:r>
      <w:proofErr w:type="spellEnd"/>
      <w:r>
        <w:t xml:space="preserve"> S, </w:t>
      </w:r>
      <w:proofErr w:type="spellStart"/>
      <w:r>
        <w:t>Vibulbandhitkit</w:t>
      </w:r>
      <w:proofErr w:type="spellEnd"/>
      <w:r>
        <w:t xml:space="preserve"> S, </w:t>
      </w:r>
      <w:proofErr w:type="spellStart"/>
      <w:r>
        <w:t>Poonyarit</w:t>
      </w:r>
      <w:proofErr w:type="spellEnd"/>
      <w:r>
        <w:t xml:space="preserve"> P. Response to antimicrobial therapy for shigellosis in Thailand. </w:t>
      </w:r>
      <w:r w:rsidRPr="003A27BC">
        <w:rPr>
          <w:i/>
          <w:iCs/>
        </w:rPr>
        <w:t>Rev Infect Dis</w:t>
      </w:r>
      <w:r>
        <w:t>. 1991;13(Suppl 4</w:t>
      </w:r>
      <w:proofErr w:type="gramStart"/>
      <w:r>
        <w:t>):S</w:t>
      </w:r>
      <w:proofErr w:type="gramEnd"/>
      <w:r>
        <w:t>342–6. doi: </w:t>
      </w:r>
      <w:hyperlink r:id="rId34" w:history="1">
        <w:r w:rsidR="00BA527E" w:rsidRPr="00027529">
          <w:rPr>
            <w:rStyle w:val="Hyperlink"/>
          </w:rPr>
          <w:t>https://doi.org/10.1093/clinids/13.supplement_4.s342</w:t>
        </w:r>
      </w:hyperlink>
      <w:r>
        <w:t xml:space="preserve">. </w:t>
      </w:r>
    </w:p>
    <w:p w14:paraId="142B91E0" w14:textId="5BEEB4D4" w:rsidR="003A27BC" w:rsidRDefault="003A27BC" w:rsidP="003A27BC">
      <w:pPr>
        <w:pStyle w:val="CDINumberedList1L1"/>
        <w:numPr>
          <w:ilvl w:val="0"/>
          <w:numId w:val="4"/>
        </w:numPr>
      </w:pPr>
      <w:r>
        <w:t xml:space="preserve">Williams PCM, Berkley JA. Guidelines for the treatment of dysentery (shigellosis): a systematic review of the evidence. </w:t>
      </w:r>
      <w:proofErr w:type="spellStart"/>
      <w:r w:rsidRPr="003A27BC">
        <w:rPr>
          <w:i/>
          <w:iCs/>
        </w:rPr>
        <w:t>Paediatr</w:t>
      </w:r>
      <w:proofErr w:type="spellEnd"/>
      <w:r w:rsidRPr="003A27BC">
        <w:rPr>
          <w:i/>
          <w:iCs/>
        </w:rPr>
        <w:t xml:space="preserve"> Int Child Health</w:t>
      </w:r>
      <w:r>
        <w:t>. 2018;38(sup1</w:t>
      </w:r>
      <w:proofErr w:type="gramStart"/>
      <w:r>
        <w:t>):S</w:t>
      </w:r>
      <w:proofErr w:type="gramEnd"/>
      <w:r>
        <w:t>50–65. doi:</w:t>
      </w:r>
      <w:r w:rsidR="00BA527E">
        <w:t> </w:t>
      </w:r>
      <w:hyperlink r:id="rId35" w:history="1">
        <w:r w:rsidR="00BA527E" w:rsidRPr="00027529">
          <w:rPr>
            <w:rStyle w:val="Hyperlink"/>
          </w:rPr>
          <w:t>https://doi.org/10.1080/20469047.2017.1409454</w:t>
        </w:r>
      </w:hyperlink>
      <w:r>
        <w:t>.</w:t>
      </w:r>
    </w:p>
    <w:p w14:paraId="6687F153" w14:textId="1B57AF85" w:rsidR="003A27BC" w:rsidRDefault="003A27BC" w:rsidP="003A27BC">
      <w:pPr>
        <w:pStyle w:val="CDINumberedList1L1"/>
        <w:numPr>
          <w:ilvl w:val="0"/>
          <w:numId w:val="4"/>
        </w:numPr>
      </w:pPr>
      <w:r>
        <w:t xml:space="preserve">Ingle DJ, Andersson P, </w:t>
      </w:r>
      <w:proofErr w:type="spellStart"/>
      <w:r>
        <w:t>Valcanis</w:t>
      </w:r>
      <w:proofErr w:type="spellEnd"/>
      <w:r>
        <w:t xml:space="preserve"> M, </w:t>
      </w:r>
      <w:proofErr w:type="spellStart"/>
      <w:r>
        <w:t>Barnden</w:t>
      </w:r>
      <w:proofErr w:type="spellEnd"/>
      <w:r>
        <w:t xml:space="preserve"> J, da Silva AG, Horan KA et al. Prolonged outbreak of multidrug-resistant </w:t>
      </w:r>
      <w:r w:rsidRPr="003A27BC">
        <w:rPr>
          <w:i/>
          <w:iCs/>
        </w:rPr>
        <w:t>Shigella sonnei</w:t>
      </w:r>
      <w:r>
        <w:t xml:space="preserve"> </w:t>
      </w:r>
      <w:proofErr w:type="spellStart"/>
      <w:r>
        <w:t>harboring</w:t>
      </w:r>
      <w:proofErr w:type="spellEnd"/>
      <w:r>
        <w:t xml:space="preserve"> blaCTX-M-27 in Victoria, Australia. </w:t>
      </w:r>
      <w:r w:rsidRPr="003A27BC">
        <w:rPr>
          <w:i/>
          <w:iCs/>
        </w:rPr>
        <w:t xml:space="preserve">Antimicrob Agents </w:t>
      </w:r>
      <w:proofErr w:type="spellStart"/>
      <w:r w:rsidRPr="003A27BC">
        <w:rPr>
          <w:i/>
          <w:iCs/>
        </w:rPr>
        <w:t>Chemother</w:t>
      </w:r>
      <w:proofErr w:type="spellEnd"/>
      <w:r>
        <w:t xml:space="preserve">. 2020;64(12). doi: </w:t>
      </w:r>
      <w:hyperlink r:id="rId36" w:history="1">
        <w:r w:rsidR="00BA527E" w:rsidRPr="00027529">
          <w:rPr>
            <w:rStyle w:val="Hyperlink"/>
          </w:rPr>
          <w:t>https://doi.org/10.1128/AAC.01518-20</w:t>
        </w:r>
      </w:hyperlink>
      <w:r>
        <w:t>.</w:t>
      </w:r>
    </w:p>
    <w:p w14:paraId="0841EAC7" w14:textId="1ED4429C" w:rsidR="003A27BC" w:rsidRDefault="003A27BC" w:rsidP="003A27BC">
      <w:pPr>
        <w:pStyle w:val="CDINumberedList1L1"/>
        <w:numPr>
          <w:ilvl w:val="0"/>
          <w:numId w:val="4"/>
        </w:numPr>
      </w:pPr>
      <w:r>
        <w:t xml:space="preserve">World Health Organization (WHO). </w:t>
      </w:r>
      <w:r w:rsidRPr="003A27BC">
        <w:rPr>
          <w:i/>
          <w:iCs/>
        </w:rPr>
        <w:t>Global priority list of antibiotic-resistant bacteria to guide research, discovery and development of new antibiotics</w:t>
      </w:r>
      <w:r>
        <w:t xml:space="preserve">. Geneva: WHO; 27 February 2017. [Accessed on 19 April 2023.] Available from: </w:t>
      </w:r>
      <w:hyperlink r:id="rId37" w:history="1">
        <w:r w:rsidR="00BA527E" w:rsidRPr="00027529">
          <w:rPr>
            <w:rStyle w:val="Hyperlink"/>
          </w:rPr>
          <w:t>http://www.who.int/medicines/publications/global-priority-list-antibiotic-resistant-bacteria/en/</w:t>
        </w:r>
      </w:hyperlink>
      <w:r>
        <w:t>.</w:t>
      </w:r>
    </w:p>
    <w:p w14:paraId="63D87DCD" w14:textId="318DA215" w:rsidR="003A27BC" w:rsidRDefault="003A27BC" w:rsidP="003A27BC">
      <w:pPr>
        <w:pStyle w:val="CDINumberedList1L1"/>
        <w:numPr>
          <w:ilvl w:val="0"/>
          <w:numId w:val="4"/>
        </w:numPr>
      </w:pPr>
      <w:r>
        <w:t xml:space="preserve">Chen T, Leung RK, Zhou Z, Liu R, Zhang X, Zhang L. Investigation of key interventions for shigellosis outbreak control in China. </w:t>
      </w:r>
      <w:r w:rsidRPr="003A27BC">
        <w:rPr>
          <w:i/>
          <w:iCs/>
        </w:rPr>
        <w:t>PLoS One</w:t>
      </w:r>
      <w:r>
        <w:t>. 2014;9(4</w:t>
      </w:r>
      <w:proofErr w:type="gramStart"/>
      <w:r>
        <w:t>):e</w:t>
      </w:r>
      <w:proofErr w:type="gramEnd"/>
      <w:r>
        <w:t>95006. doi:</w:t>
      </w:r>
      <w:r w:rsidR="00BA527E">
        <w:t> </w:t>
      </w:r>
      <w:hyperlink r:id="rId38" w:history="1">
        <w:r w:rsidR="00BA527E" w:rsidRPr="00027529">
          <w:rPr>
            <w:rStyle w:val="Hyperlink"/>
          </w:rPr>
          <w:t>https://doi.org/10.1371/journal.pone.0095006</w:t>
        </w:r>
      </w:hyperlink>
      <w:r>
        <w:t xml:space="preserve">. </w:t>
      </w:r>
    </w:p>
    <w:p w14:paraId="035F1371" w14:textId="70AD23FA" w:rsidR="003A27BC" w:rsidRDefault="003A27BC" w:rsidP="003A27BC">
      <w:pPr>
        <w:pStyle w:val="CDINumberedList1L1"/>
        <w:numPr>
          <w:ilvl w:val="0"/>
          <w:numId w:val="4"/>
        </w:numPr>
      </w:pPr>
      <w:r>
        <w:t xml:space="preserve">Ranjbar R, Farahani A. </w:t>
      </w:r>
      <w:r w:rsidRPr="003A27BC">
        <w:rPr>
          <w:i/>
          <w:iCs/>
        </w:rPr>
        <w:t>Shigella</w:t>
      </w:r>
      <w:r>
        <w:t xml:space="preserve">: antibiotic-resistance mechanisms and new horizons for treatment. </w:t>
      </w:r>
      <w:r w:rsidRPr="003A27BC">
        <w:rPr>
          <w:i/>
          <w:iCs/>
        </w:rPr>
        <w:t>Infect Drug Resist</w:t>
      </w:r>
      <w:r>
        <w:t xml:space="preserve">. </w:t>
      </w:r>
      <w:proofErr w:type="gramStart"/>
      <w:r>
        <w:t>2019;12:3137</w:t>
      </w:r>
      <w:proofErr w:type="gramEnd"/>
      <w:r>
        <w:t xml:space="preserve">–67. doi: </w:t>
      </w:r>
      <w:hyperlink r:id="rId39" w:history="1">
        <w:r w:rsidR="00BA527E" w:rsidRPr="00027529">
          <w:rPr>
            <w:rStyle w:val="Hyperlink"/>
          </w:rPr>
          <w:t>https://doi.org/10.2147/IDR.S219755</w:t>
        </w:r>
      </w:hyperlink>
      <w:r>
        <w:t xml:space="preserve">. </w:t>
      </w:r>
    </w:p>
    <w:p w14:paraId="71799417" w14:textId="1FFC2DFC" w:rsidR="003A27BC" w:rsidRDefault="003A27BC" w:rsidP="003A27BC">
      <w:pPr>
        <w:pStyle w:val="CDINumberedList1L1"/>
        <w:numPr>
          <w:ilvl w:val="0"/>
          <w:numId w:val="4"/>
        </w:numPr>
      </w:pPr>
      <w:r>
        <w:t xml:space="preserve">Australian Government Department of Health and Aged Care, Communicable Diseases Network Australia (CDNA). </w:t>
      </w:r>
      <w:r w:rsidRPr="003A27BC">
        <w:rPr>
          <w:i/>
          <w:iCs/>
        </w:rPr>
        <w:t>Shigellosis: Australian national notifiable diseases case definition</w:t>
      </w:r>
      <w:r>
        <w:t xml:space="preserve">. Canberra: Australian Government Department of Health and Aged Care; 1 July 2018. Available from: </w:t>
      </w:r>
      <w:hyperlink r:id="rId40" w:history="1">
        <w:r w:rsidR="00BA527E" w:rsidRPr="00027529">
          <w:rPr>
            <w:rStyle w:val="Hyperlink"/>
          </w:rPr>
          <w:t>https://www.health.gov.au/sites/default/files/documents/2022/06/shigellosis-surveillance-case-definition.pdf</w:t>
        </w:r>
      </w:hyperlink>
      <w:r>
        <w:t>.</w:t>
      </w:r>
    </w:p>
    <w:p w14:paraId="60331F7A" w14:textId="4B47A64D" w:rsidR="003A27BC" w:rsidRDefault="003A27BC" w:rsidP="003A27BC">
      <w:pPr>
        <w:pStyle w:val="CDINumberedList1L1"/>
        <w:numPr>
          <w:ilvl w:val="0"/>
          <w:numId w:val="4"/>
        </w:numPr>
      </w:pPr>
      <w:r>
        <w:t>Australian Commission on Quality and Safety of Healthcare (ACSQHC). National Alert System for Critical Antimicrobial Resistances (CARAlert). [Internet.] Sydney: ACSQHC; 2023. [Accessed on May 1</w:t>
      </w:r>
      <w:proofErr w:type="gramStart"/>
      <w:r>
        <w:t xml:space="preserve"> 2023</w:t>
      </w:r>
      <w:proofErr w:type="gramEnd"/>
      <w:r>
        <w:t xml:space="preserve">.] Available from: </w:t>
      </w:r>
      <w:hyperlink r:id="rId41" w:history="1">
        <w:r w:rsidR="00BA527E" w:rsidRPr="00027529">
          <w:rPr>
            <w:rStyle w:val="Hyperlink"/>
          </w:rPr>
          <w:t>https://www.safetyandquality.gov.au/our-work/antimicrobial-resistance/antimicrobial-use-and-resistance-australia-surveillance-system/national-alert-system-critical-antimicrobial-resistances-caralert</w:t>
        </w:r>
      </w:hyperlink>
      <w:r>
        <w:t>.</w:t>
      </w:r>
    </w:p>
    <w:p w14:paraId="244B8588" w14:textId="0A2CC6EE" w:rsidR="003A27BC" w:rsidRDefault="003A27BC" w:rsidP="003A27BC">
      <w:pPr>
        <w:pStyle w:val="CDINumberedList1L1"/>
        <w:numPr>
          <w:ilvl w:val="0"/>
          <w:numId w:val="4"/>
        </w:numPr>
      </w:pPr>
      <w:r>
        <w:t xml:space="preserve">ABS. Stonnington: 2021 Census All persons </w:t>
      </w:r>
      <w:proofErr w:type="spellStart"/>
      <w:r>
        <w:t>QuickStats</w:t>
      </w:r>
      <w:proofErr w:type="spellEnd"/>
      <w:r>
        <w:t xml:space="preserve">. [Webpage.] Canberra: ABS; 2021. [Accessed on 15 May 2023.] Available from: </w:t>
      </w:r>
      <w:hyperlink r:id="rId42" w:history="1">
        <w:r w:rsidR="00BA527E" w:rsidRPr="00027529">
          <w:rPr>
            <w:rStyle w:val="Hyperlink"/>
          </w:rPr>
          <w:t>https://abs.gov.au/census/find-census-data/quickstats/2021/LGA26350</w:t>
        </w:r>
      </w:hyperlink>
      <w:r>
        <w:t xml:space="preserve">. </w:t>
      </w:r>
    </w:p>
    <w:p w14:paraId="004E6FB4" w14:textId="55E483A6" w:rsidR="003A27BC" w:rsidRDefault="003A27BC" w:rsidP="003A27BC">
      <w:pPr>
        <w:pStyle w:val="CDINumberedList1L1"/>
        <w:numPr>
          <w:ilvl w:val="0"/>
          <w:numId w:val="4"/>
        </w:numPr>
      </w:pPr>
      <w:r>
        <w:t xml:space="preserve">ABS. Casey: 2021 Census Aboriginal and/or Torres Strait Islander people </w:t>
      </w:r>
      <w:proofErr w:type="spellStart"/>
      <w:r>
        <w:t>QuickStats</w:t>
      </w:r>
      <w:proofErr w:type="spellEnd"/>
      <w:r>
        <w:t xml:space="preserve">. [Webpage.] Canberra: ABS; 2021. [Accessed on 15 May 2023.] Available from: </w:t>
      </w:r>
      <w:hyperlink r:id="rId43" w:history="1">
        <w:r w:rsidR="00BA527E" w:rsidRPr="00027529">
          <w:rPr>
            <w:rStyle w:val="Hyperlink"/>
          </w:rPr>
          <w:t>https://abs.gov.au/census/find-census-data/quickstats/2021/IQSLGA21610</w:t>
        </w:r>
      </w:hyperlink>
      <w:r>
        <w:t>.</w:t>
      </w:r>
    </w:p>
    <w:p w14:paraId="5C1FEFD5" w14:textId="012BA665" w:rsidR="003A27BC" w:rsidRDefault="003A27BC" w:rsidP="003A27BC">
      <w:pPr>
        <w:pStyle w:val="CDINumberedList1L1"/>
        <w:numPr>
          <w:ilvl w:val="0"/>
          <w:numId w:val="4"/>
        </w:numPr>
      </w:pPr>
      <w:r>
        <w:t xml:space="preserve">Public Health England (PHE). Shigellosis: public health management and questionnaire. [Webpage.] London: Government of the United Kingdom, PHE; 30 November 2017. Available from: </w:t>
      </w:r>
      <w:hyperlink r:id="rId44" w:history="1">
        <w:r w:rsidR="00BA527E" w:rsidRPr="00027529">
          <w:rPr>
            <w:rStyle w:val="Hyperlink"/>
          </w:rPr>
          <w:t>https://www.gov.uk/government/publications/shigellosis-public-health-management-and-questionnaire</w:t>
        </w:r>
      </w:hyperlink>
      <w:r>
        <w:t>.</w:t>
      </w:r>
    </w:p>
    <w:p w14:paraId="504094FF" w14:textId="12020F6B" w:rsidR="003A27BC" w:rsidRDefault="003A27BC" w:rsidP="003A27BC">
      <w:pPr>
        <w:pStyle w:val="CDINumberedList1L1"/>
        <w:numPr>
          <w:ilvl w:val="0"/>
          <w:numId w:val="4"/>
        </w:numPr>
      </w:pPr>
      <w:r>
        <w:t xml:space="preserve">PHE. </w:t>
      </w:r>
      <w:r w:rsidRPr="003A27BC">
        <w:rPr>
          <w:i/>
          <w:iCs/>
        </w:rPr>
        <w:t>Shigella</w:t>
      </w:r>
      <w:r>
        <w:t xml:space="preserve"> data 2006 to 2015: November 2016. London: Government of the United Kingdom, PHE; 30 November 2017. Available from: </w:t>
      </w:r>
      <w:hyperlink r:id="rId45" w:history="1">
        <w:r w:rsidR="00BA527E" w:rsidRPr="00027529">
          <w:rPr>
            <w:rStyle w:val="Hyperlink"/>
          </w:rPr>
          <w:t>https://assets.publishing.service.gov.uk/media/5a816f53ed915d74e33fe317/Shigella_2016_Data.pdf</w:t>
        </w:r>
      </w:hyperlink>
      <w:r>
        <w:t>.</w:t>
      </w:r>
    </w:p>
    <w:p w14:paraId="58A0E1F6" w14:textId="0E974586" w:rsidR="003A27BC" w:rsidRDefault="003A27BC" w:rsidP="003A27BC">
      <w:pPr>
        <w:pStyle w:val="CDINumberedList1L1"/>
        <w:numPr>
          <w:ilvl w:val="0"/>
          <w:numId w:val="4"/>
        </w:numPr>
      </w:pPr>
      <w:r>
        <w:lastRenderedPageBreak/>
        <w:t xml:space="preserve">Jenkins C, Griffith P, Hoban A, Brown C, Garner J, Bardsley M et al. Foodborne outbreak of extended spectrum beta-lactamase producing </w:t>
      </w:r>
      <w:r w:rsidRPr="003A27BC">
        <w:rPr>
          <w:i/>
          <w:iCs/>
        </w:rPr>
        <w:t>Shigella sonnei</w:t>
      </w:r>
      <w:r>
        <w:t xml:space="preserve"> associated with contaminated spring onions in the United Kingdom. </w:t>
      </w:r>
      <w:r w:rsidRPr="003A27BC">
        <w:rPr>
          <w:i/>
          <w:iCs/>
        </w:rPr>
        <w:t>J Food Prot</w:t>
      </w:r>
      <w:r>
        <w:t>. 2023;86(6):100074. doi:</w:t>
      </w:r>
      <w:r w:rsidR="00BA527E">
        <w:t> </w:t>
      </w:r>
      <w:hyperlink r:id="rId46" w:history="1">
        <w:r w:rsidR="00BA527E" w:rsidRPr="00027529">
          <w:rPr>
            <w:rStyle w:val="Hyperlink"/>
          </w:rPr>
          <w:t>https://doi.org/10.1016/j.jfp.2023.100074</w:t>
        </w:r>
      </w:hyperlink>
      <w:r>
        <w:t>.</w:t>
      </w:r>
    </w:p>
    <w:p w14:paraId="2F0986B7" w14:textId="74CF5C4D" w:rsidR="003A27BC" w:rsidRDefault="003A27BC" w:rsidP="003A27BC">
      <w:pPr>
        <w:pStyle w:val="CDINumberedList1L1"/>
        <w:numPr>
          <w:ilvl w:val="0"/>
          <w:numId w:val="4"/>
        </w:numPr>
      </w:pPr>
      <w:r>
        <w:t xml:space="preserve">Charles H, Prochazka M, Thorley K, Crewdson A, Greig DR, Jenkins C et al. Outbreak of sexually transmitted, extensively drug-resistant </w:t>
      </w:r>
      <w:r w:rsidRPr="003A27BC">
        <w:rPr>
          <w:i/>
          <w:iCs/>
        </w:rPr>
        <w:t>Shigella sonnei</w:t>
      </w:r>
      <w:r>
        <w:t xml:space="preserve"> in the UK, 2021–22: a descriptive epidemiological study. </w:t>
      </w:r>
      <w:r w:rsidRPr="003A27BC">
        <w:rPr>
          <w:i/>
          <w:iCs/>
        </w:rPr>
        <w:t>Lancet Infect Dis</w:t>
      </w:r>
      <w:r>
        <w:t>. 2022;22(10):1503–10. doi:</w:t>
      </w:r>
      <w:r w:rsidR="00BA527E">
        <w:t> </w:t>
      </w:r>
      <w:hyperlink r:id="rId47" w:history="1">
        <w:r w:rsidR="00BA527E" w:rsidRPr="00027529">
          <w:rPr>
            <w:rStyle w:val="Hyperlink"/>
          </w:rPr>
          <w:t>https://doi.org/0.1016/S1473-3099(22)00370-X</w:t>
        </w:r>
      </w:hyperlink>
      <w:r>
        <w:t>.</w:t>
      </w:r>
    </w:p>
    <w:p w14:paraId="1B81E6FC" w14:textId="4A22CC3E" w:rsidR="003A27BC" w:rsidRDefault="003A27BC" w:rsidP="003A27BC">
      <w:pPr>
        <w:pStyle w:val="CDINumberedList1L1"/>
        <w:numPr>
          <w:ilvl w:val="0"/>
          <w:numId w:val="4"/>
        </w:numPr>
      </w:pPr>
      <w:proofErr w:type="spellStart"/>
      <w:r>
        <w:t>Turabelidze</w:t>
      </w:r>
      <w:proofErr w:type="spellEnd"/>
      <w:r>
        <w:t xml:space="preserve"> G, Bowen A, Lin M, Tucker A, Butler C, Fick F. Convalescent cultures for control of shigellosis outbreaks. </w:t>
      </w:r>
      <w:proofErr w:type="spellStart"/>
      <w:r w:rsidRPr="003A27BC">
        <w:rPr>
          <w:i/>
          <w:iCs/>
        </w:rPr>
        <w:t>Pediatr</w:t>
      </w:r>
      <w:proofErr w:type="spellEnd"/>
      <w:r w:rsidRPr="003A27BC">
        <w:rPr>
          <w:i/>
          <w:iCs/>
        </w:rPr>
        <w:t xml:space="preserve"> Infect Dis J</w:t>
      </w:r>
      <w:r>
        <w:t>. 2010;29(8):728–30. doi:</w:t>
      </w:r>
      <w:r w:rsidR="00BA527E">
        <w:t> </w:t>
      </w:r>
      <w:hyperlink r:id="rId48" w:history="1">
        <w:r w:rsidR="00BA527E" w:rsidRPr="00027529">
          <w:rPr>
            <w:rStyle w:val="Hyperlink"/>
          </w:rPr>
          <w:t>https://doi.org/10.1097/INF.0b013e3181e4ee6e</w:t>
        </w:r>
      </w:hyperlink>
      <w:r>
        <w:t>.</w:t>
      </w:r>
    </w:p>
    <w:p w14:paraId="6187167B" w14:textId="1EE47E40" w:rsidR="003A27BC" w:rsidRDefault="003A27BC" w:rsidP="003A27BC">
      <w:pPr>
        <w:pStyle w:val="CDINumberedList1L1"/>
        <w:numPr>
          <w:ilvl w:val="0"/>
          <w:numId w:val="4"/>
        </w:numPr>
      </w:pPr>
      <w:r>
        <w:t xml:space="preserve">New South Wales Government Department of Health (NSW Health). </w:t>
      </w:r>
      <w:r w:rsidRPr="003A27BC">
        <w:rPr>
          <w:i/>
          <w:iCs/>
        </w:rPr>
        <w:t>Shigellosis: NSW Control Guideline for Public Health Units</w:t>
      </w:r>
      <w:r>
        <w:t xml:space="preserve">. Sydney: NSW Health; July 2018. Available from: </w:t>
      </w:r>
      <w:hyperlink r:id="rId49" w:history="1">
        <w:r w:rsidR="00BA527E" w:rsidRPr="00027529">
          <w:rPr>
            <w:rStyle w:val="Hyperlink"/>
          </w:rPr>
          <w:t>https://www.health.nsw.gov.au/Infectious/controlguideline/Documents/shigellosis.pdf</w:t>
        </w:r>
      </w:hyperlink>
      <w:r>
        <w:t>.</w:t>
      </w:r>
    </w:p>
    <w:p w14:paraId="3BB8841B" w14:textId="4332FB57" w:rsidR="0058264F" w:rsidRPr="001E3ECB" w:rsidRDefault="003A27BC" w:rsidP="00825140">
      <w:pPr>
        <w:pStyle w:val="CDINumberedList1L1"/>
        <w:numPr>
          <w:ilvl w:val="0"/>
          <w:numId w:val="4"/>
        </w:numPr>
      </w:pPr>
      <w:proofErr w:type="spellStart"/>
      <w:r>
        <w:t>Devanga</w:t>
      </w:r>
      <w:proofErr w:type="spellEnd"/>
      <w:r>
        <w:t xml:space="preserve"> Ragupathi NK, </w:t>
      </w:r>
      <w:proofErr w:type="spellStart"/>
      <w:r>
        <w:t>Muthuirulandi</w:t>
      </w:r>
      <w:proofErr w:type="spellEnd"/>
      <w:r>
        <w:t xml:space="preserve"> </w:t>
      </w:r>
      <w:proofErr w:type="spellStart"/>
      <w:r>
        <w:t>Sethuvel</w:t>
      </w:r>
      <w:proofErr w:type="spellEnd"/>
      <w:r>
        <w:t xml:space="preserve"> DP, Inbanathan FY, Veeraraghavan B. Accurate differentiation of </w:t>
      </w:r>
      <w:r w:rsidRPr="003A27BC">
        <w:rPr>
          <w:i/>
          <w:iCs/>
        </w:rPr>
        <w:t>Escherichia coli</w:t>
      </w:r>
      <w:r>
        <w:t xml:space="preserve"> and </w:t>
      </w:r>
      <w:r w:rsidRPr="003A27BC">
        <w:rPr>
          <w:i/>
          <w:iCs/>
        </w:rPr>
        <w:t>Shigella</w:t>
      </w:r>
      <w:r>
        <w:t xml:space="preserve"> serogroups: challenges and strategies. </w:t>
      </w:r>
      <w:r w:rsidRPr="003A27BC">
        <w:rPr>
          <w:i/>
          <w:iCs/>
        </w:rPr>
        <w:t>New Microbes New Infect</w:t>
      </w:r>
      <w:r>
        <w:t xml:space="preserve">. </w:t>
      </w:r>
      <w:proofErr w:type="gramStart"/>
      <w:r>
        <w:t>2018;21:58</w:t>
      </w:r>
      <w:proofErr w:type="gramEnd"/>
      <w:r>
        <w:t xml:space="preserve">–62. doi: </w:t>
      </w:r>
      <w:hyperlink r:id="rId50" w:history="1">
        <w:r w:rsidR="00BA527E" w:rsidRPr="00027529">
          <w:rPr>
            <w:rStyle w:val="Hyperlink"/>
          </w:rPr>
          <w:t>https://doi.org/10.1016/j.nmni.2017.09.003</w:t>
        </w:r>
      </w:hyperlink>
      <w:r>
        <w:t>.</w:t>
      </w:r>
    </w:p>
    <w:p w14:paraId="30B0D168" w14:textId="77777777" w:rsidR="004973B4" w:rsidRDefault="004973B4" w:rsidP="004973B4">
      <w:pPr>
        <w:pStyle w:val="Heading1-nospacebefore"/>
      </w:pPr>
      <w:bookmarkStart w:id="40" w:name="_Toc207030755"/>
      <w:r>
        <w:lastRenderedPageBreak/>
        <w:t>Appendix A</w:t>
      </w:r>
      <w:bookmarkEnd w:id="40"/>
    </w:p>
    <w:p w14:paraId="0A5E5535" w14:textId="4EDD7A7C" w:rsidR="004973B4" w:rsidRDefault="00BA527E" w:rsidP="00BA527E">
      <w:pPr>
        <w:pStyle w:val="CDITable-Title"/>
        <w:spacing w:before="240"/>
      </w:pPr>
      <w:r w:rsidRPr="00BA527E">
        <w:t>Table A.1: Categorisation of cases with unknown primary risk factor</w:t>
      </w:r>
    </w:p>
    <w:tbl>
      <w:tblPr>
        <w:tblW w:w="0" w:type="auto"/>
        <w:tblLayout w:type="fixed"/>
        <w:tblCellMar>
          <w:left w:w="0" w:type="dxa"/>
          <w:right w:w="0" w:type="dxa"/>
        </w:tblCellMar>
        <w:tblLook w:val="0000" w:firstRow="0" w:lastRow="0" w:firstColumn="0" w:lastColumn="0" w:noHBand="0" w:noVBand="0"/>
        <w:tblCaption w:val="Table A.1: Categorisation of cases with unknown primary risk factor"/>
        <w:tblDescription w:val="Table A.1 compares the categorisation of cases with unknown primary risk factor, for cases having even dates within the range handled by the Victorian Department of Health (DH, 1 January – 23 October 2022) versus those having event dates within the range handled by the South East Public Health Unit (SEPHU, 24 October onwards) Of 59 cases handled by DH, 34 had no stated primary risk factor, with half of these (17/34) marked as having an incomplete or non-received enhanced surveillance form (ESF). In contrast, of 68 cases handled by SEPHU, 14 had no stated primary risk factor, but none were marked with incomplete or non-received ESF."/>
      </w:tblPr>
      <w:tblGrid>
        <w:gridCol w:w="3685"/>
        <w:gridCol w:w="2976"/>
        <w:gridCol w:w="2977"/>
      </w:tblGrid>
      <w:tr w:rsidR="00BA527E" w:rsidRPr="00BA527E" w14:paraId="423BB20F" w14:textId="77777777" w:rsidTr="00BA527E">
        <w:trPr>
          <w:trHeight w:val="60"/>
          <w:tblHeader/>
        </w:trPr>
        <w:tc>
          <w:tcPr>
            <w:tcW w:w="3685" w:type="dxa"/>
            <w:vMerge w:val="restart"/>
            <w:shd w:val="clear" w:color="auto" w:fill="1E4496" w:themeFill="text2"/>
            <w:tcMar>
              <w:top w:w="113" w:type="dxa"/>
              <w:left w:w="113" w:type="dxa"/>
              <w:bottom w:w="113" w:type="dxa"/>
              <w:right w:w="113" w:type="dxa"/>
            </w:tcMar>
            <w:vAlign w:val="bottom"/>
          </w:tcPr>
          <w:p w14:paraId="1607030A" w14:textId="77777777" w:rsidR="00BA527E" w:rsidRPr="00BA527E" w:rsidRDefault="00BA527E" w:rsidP="00BA527E">
            <w:pPr>
              <w:pStyle w:val="CDITable-HeaderRowLeft"/>
            </w:pPr>
            <w:r w:rsidRPr="00BA527E">
              <w:t>Category</w:t>
            </w:r>
          </w:p>
        </w:tc>
        <w:tc>
          <w:tcPr>
            <w:tcW w:w="5953"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260C5593" w14:textId="77777777" w:rsidR="00BA527E" w:rsidRPr="00BA527E" w:rsidRDefault="00BA527E" w:rsidP="00BA527E">
            <w:pPr>
              <w:pStyle w:val="CDITable-HeaderRowCentre"/>
            </w:pPr>
            <w:r w:rsidRPr="00BA527E">
              <w:t xml:space="preserve">Cases with no stated primary risk </w:t>
            </w:r>
            <w:proofErr w:type="spellStart"/>
            <w:r w:rsidRPr="00BA527E">
              <w:t>factor</w:t>
            </w:r>
            <w:r w:rsidRPr="00BA527E">
              <w:rPr>
                <w:vertAlign w:val="superscript"/>
              </w:rPr>
              <w:t>a</w:t>
            </w:r>
            <w:proofErr w:type="spellEnd"/>
          </w:p>
        </w:tc>
      </w:tr>
      <w:tr w:rsidR="00BA527E" w:rsidRPr="00BA527E" w14:paraId="5D4F1D9C" w14:textId="77777777" w:rsidTr="00BA527E">
        <w:trPr>
          <w:trHeight w:val="60"/>
          <w:tblHeader/>
        </w:trPr>
        <w:tc>
          <w:tcPr>
            <w:tcW w:w="3685" w:type="dxa"/>
            <w:vMerge/>
            <w:shd w:val="clear" w:color="auto" w:fill="1E4496" w:themeFill="text2"/>
          </w:tcPr>
          <w:p w14:paraId="072AB222" w14:textId="77777777" w:rsidR="00BA527E" w:rsidRPr="00BA527E" w:rsidRDefault="00BA527E" w:rsidP="00BA527E">
            <w:pPr>
              <w:pStyle w:val="CDITable-HeaderRowCentre"/>
            </w:pPr>
          </w:p>
        </w:tc>
        <w:tc>
          <w:tcPr>
            <w:tcW w:w="297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C007D2C" w14:textId="77777777" w:rsidR="00BA527E" w:rsidRPr="00BA527E" w:rsidRDefault="00BA527E" w:rsidP="00BA527E">
            <w:pPr>
              <w:pStyle w:val="CDITable-HeaderRowCentre"/>
            </w:pPr>
            <w:r w:rsidRPr="00BA527E">
              <w:t>handled by DH</w:t>
            </w:r>
          </w:p>
        </w:tc>
        <w:tc>
          <w:tcPr>
            <w:tcW w:w="297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9CECB04" w14:textId="77777777" w:rsidR="00BA527E" w:rsidRPr="00BA527E" w:rsidRDefault="00BA527E" w:rsidP="00BA527E">
            <w:pPr>
              <w:pStyle w:val="CDITable-HeaderRowCentre"/>
            </w:pPr>
            <w:r w:rsidRPr="00BA527E">
              <w:t>handled by SEPHU</w:t>
            </w:r>
          </w:p>
        </w:tc>
      </w:tr>
      <w:tr w:rsidR="00BA527E" w:rsidRPr="00BA527E" w14:paraId="7CB05915" w14:textId="77777777" w:rsidTr="00BA527E">
        <w:trPr>
          <w:trHeight w:val="60"/>
        </w:trPr>
        <w:tc>
          <w:tcPr>
            <w:tcW w:w="3685" w:type="dxa"/>
            <w:tcBorders>
              <w:bottom w:val="single" w:sz="6" w:space="0" w:color="1E4496" w:themeColor="text2"/>
            </w:tcBorders>
            <w:tcMar>
              <w:top w:w="113" w:type="dxa"/>
              <w:left w:w="113" w:type="dxa"/>
              <w:bottom w:w="113" w:type="dxa"/>
              <w:right w:w="113" w:type="dxa"/>
            </w:tcMar>
            <w:vAlign w:val="center"/>
          </w:tcPr>
          <w:p w14:paraId="3F2FDC9D" w14:textId="77777777" w:rsidR="00BA527E" w:rsidRPr="00BA527E" w:rsidRDefault="00BA527E" w:rsidP="00BA527E">
            <w:pPr>
              <w:pStyle w:val="CDITable-RowLeft"/>
            </w:pPr>
            <w:r w:rsidRPr="00BA527E">
              <w:t>Event date range</w:t>
            </w:r>
          </w:p>
        </w:tc>
        <w:tc>
          <w:tcPr>
            <w:tcW w:w="2976" w:type="dxa"/>
            <w:tcBorders>
              <w:bottom w:val="single" w:sz="6" w:space="0" w:color="1E4496" w:themeColor="text2"/>
            </w:tcBorders>
            <w:tcMar>
              <w:top w:w="113" w:type="dxa"/>
              <w:left w:w="113" w:type="dxa"/>
              <w:bottom w:w="113" w:type="dxa"/>
              <w:right w:w="113" w:type="dxa"/>
            </w:tcMar>
            <w:vAlign w:val="center"/>
          </w:tcPr>
          <w:p w14:paraId="2A2F3EF0" w14:textId="77777777" w:rsidR="00BA527E" w:rsidRPr="00BA527E" w:rsidRDefault="00BA527E" w:rsidP="00BA527E">
            <w:pPr>
              <w:pStyle w:val="CDITable-RowCentre"/>
            </w:pPr>
            <w:r w:rsidRPr="00BA527E">
              <w:t>1 January – 23 October 2022</w:t>
            </w:r>
          </w:p>
        </w:tc>
        <w:tc>
          <w:tcPr>
            <w:tcW w:w="2977" w:type="dxa"/>
            <w:tcBorders>
              <w:bottom w:val="single" w:sz="6" w:space="0" w:color="1E4496" w:themeColor="text2"/>
            </w:tcBorders>
            <w:tcMar>
              <w:top w:w="113" w:type="dxa"/>
              <w:left w:w="113" w:type="dxa"/>
              <w:bottom w:w="113" w:type="dxa"/>
              <w:right w:w="113" w:type="dxa"/>
            </w:tcMar>
            <w:vAlign w:val="center"/>
          </w:tcPr>
          <w:p w14:paraId="718E5719" w14:textId="77777777" w:rsidR="00BA527E" w:rsidRPr="00BA527E" w:rsidRDefault="00BA527E" w:rsidP="00BA527E">
            <w:pPr>
              <w:pStyle w:val="CDITable-RowCentre"/>
            </w:pPr>
            <w:r w:rsidRPr="00BA527E">
              <w:t>24 October 2022 – 31 March 2023</w:t>
            </w:r>
          </w:p>
        </w:tc>
      </w:tr>
      <w:tr w:rsidR="00BA527E" w:rsidRPr="00BA527E" w14:paraId="2DC6A77D" w14:textId="77777777" w:rsidTr="00BA527E">
        <w:trPr>
          <w:trHeight w:val="6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567657" w14:textId="77777777" w:rsidR="00BA527E" w:rsidRPr="00BA527E" w:rsidRDefault="00BA527E" w:rsidP="00BA527E">
            <w:pPr>
              <w:pStyle w:val="CDITable-RowLeft"/>
            </w:pPr>
            <w:r w:rsidRPr="00BA527E">
              <w:t>Cases with unknown risk factor / total</w:t>
            </w:r>
          </w:p>
        </w:tc>
        <w:tc>
          <w:tcPr>
            <w:tcW w:w="29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0696E2" w14:textId="77777777" w:rsidR="00BA527E" w:rsidRPr="00BA527E" w:rsidRDefault="00BA527E" w:rsidP="00BA527E">
            <w:pPr>
              <w:pStyle w:val="CDITable-RowCentre"/>
            </w:pPr>
            <w:r w:rsidRPr="00BA527E">
              <w:t>34/59</w:t>
            </w:r>
          </w:p>
        </w:tc>
        <w:tc>
          <w:tcPr>
            <w:tcW w:w="29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D74D8C" w14:textId="77777777" w:rsidR="00BA527E" w:rsidRPr="00BA527E" w:rsidRDefault="00BA527E" w:rsidP="00BA527E">
            <w:pPr>
              <w:pStyle w:val="CDITable-RowCentre"/>
            </w:pPr>
            <w:r w:rsidRPr="00BA527E">
              <w:t>14/68</w:t>
            </w:r>
          </w:p>
        </w:tc>
      </w:tr>
      <w:tr w:rsidR="00BA527E" w:rsidRPr="00BA527E" w14:paraId="1FD834A6" w14:textId="77777777" w:rsidTr="00BA527E">
        <w:trPr>
          <w:trHeight w:val="6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141FA8" w14:textId="77777777" w:rsidR="00BA527E" w:rsidRPr="00BA527E" w:rsidRDefault="00BA527E" w:rsidP="00BA527E">
            <w:pPr>
              <w:pStyle w:val="CDITable-RowLeft"/>
            </w:pPr>
            <w:proofErr w:type="spellStart"/>
            <w:r w:rsidRPr="00BA527E">
              <w:t>ESF</w:t>
            </w:r>
            <w:r w:rsidRPr="00BA527E">
              <w:rPr>
                <w:vertAlign w:val="superscript"/>
              </w:rPr>
              <w:t>b</w:t>
            </w:r>
            <w:proofErr w:type="spellEnd"/>
            <w:r w:rsidRPr="00BA527E">
              <w:t xml:space="preserve"> not received / incomplete </w:t>
            </w:r>
          </w:p>
        </w:tc>
        <w:tc>
          <w:tcPr>
            <w:tcW w:w="29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0F412D" w14:textId="77777777" w:rsidR="00BA527E" w:rsidRPr="00BA527E" w:rsidRDefault="00BA527E" w:rsidP="00BA527E">
            <w:pPr>
              <w:pStyle w:val="CDITable-RowCentre"/>
            </w:pPr>
            <w:r w:rsidRPr="00BA527E">
              <w:t>17</w:t>
            </w:r>
          </w:p>
        </w:tc>
        <w:tc>
          <w:tcPr>
            <w:tcW w:w="29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4450AF" w14:textId="77777777" w:rsidR="00BA527E" w:rsidRPr="00BA527E" w:rsidRDefault="00BA527E" w:rsidP="00BA527E">
            <w:pPr>
              <w:pStyle w:val="CDITable-RowCentre"/>
            </w:pPr>
            <w:r w:rsidRPr="00BA527E">
              <w:t>0</w:t>
            </w:r>
          </w:p>
        </w:tc>
      </w:tr>
      <w:tr w:rsidR="00BA527E" w:rsidRPr="00BA527E" w14:paraId="1CCA5D42" w14:textId="77777777" w:rsidTr="00BA527E">
        <w:trPr>
          <w:trHeight w:val="6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688D6F" w14:textId="77777777" w:rsidR="00BA527E" w:rsidRPr="00BA527E" w:rsidRDefault="00BA527E" w:rsidP="00BA527E">
            <w:pPr>
              <w:pStyle w:val="CDITable-RowLeft"/>
            </w:pPr>
            <w:r w:rsidRPr="00BA527E">
              <w:t>No risk factors identified / determinable</w:t>
            </w:r>
          </w:p>
        </w:tc>
        <w:tc>
          <w:tcPr>
            <w:tcW w:w="29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06BFF3" w14:textId="77777777" w:rsidR="00BA527E" w:rsidRPr="00BA527E" w:rsidRDefault="00BA527E" w:rsidP="00BA527E">
            <w:pPr>
              <w:pStyle w:val="CDITable-RowCentre"/>
            </w:pPr>
            <w:r w:rsidRPr="00BA527E">
              <w:t>12</w:t>
            </w:r>
          </w:p>
        </w:tc>
        <w:tc>
          <w:tcPr>
            <w:tcW w:w="29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FECB4E" w14:textId="77777777" w:rsidR="00BA527E" w:rsidRPr="00BA527E" w:rsidRDefault="00BA527E" w:rsidP="00BA527E">
            <w:pPr>
              <w:pStyle w:val="CDITable-RowCentre"/>
            </w:pPr>
            <w:r w:rsidRPr="00BA527E">
              <w:t>11</w:t>
            </w:r>
          </w:p>
        </w:tc>
      </w:tr>
      <w:tr w:rsidR="00BA527E" w:rsidRPr="00BA527E" w14:paraId="6CB8EE87" w14:textId="77777777" w:rsidTr="00BA527E">
        <w:trPr>
          <w:trHeight w:val="6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687270" w14:textId="77777777" w:rsidR="00BA527E" w:rsidRPr="00BA527E" w:rsidRDefault="00BA527E" w:rsidP="00BA527E">
            <w:pPr>
              <w:pStyle w:val="CDITable-RowLeft"/>
            </w:pPr>
            <w:proofErr w:type="spellStart"/>
            <w:r w:rsidRPr="00BA527E">
              <w:t>Other</w:t>
            </w:r>
            <w:r w:rsidRPr="00BA527E">
              <w:rPr>
                <w:vertAlign w:val="superscript"/>
              </w:rPr>
              <w:t>c</w:t>
            </w:r>
            <w:proofErr w:type="spellEnd"/>
          </w:p>
        </w:tc>
        <w:tc>
          <w:tcPr>
            <w:tcW w:w="29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FAF4C6" w14:textId="77777777" w:rsidR="00BA527E" w:rsidRPr="00BA527E" w:rsidRDefault="00BA527E" w:rsidP="00BA527E">
            <w:pPr>
              <w:pStyle w:val="CDITable-RowCentre"/>
            </w:pPr>
            <w:r w:rsidRPr="00BA527E">
              <w:t>5</w:t>
            </w:r>
          </w:p>
        </w:tc>
        <w:tc>
          <w:tcPr>
            <w:tcW w:w="29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8D31B6" w14:textId="77777777" w:rsidR="00BA527E" w:rsidRPr="00BA527E" w:rsidRDefault="00BA527E" w:rsidP="00BA527E">
            <w:pPr>
              <w:pStyle w:val="CDITable-RowCentre"/>
            </w:pPr>
            <w:r w:rsidRPr="00BA527E">
              <w:t>3</w:t>
            </w:r>
          </w:p>
        </w:tc>
      </w:tr>
    </w:tbl>
    <w:p w14:paraId="3CFD1177" w14:textId="77777777" w:rsidR="00BA527E" w:rsidRDefault="00BA527E" w:rsidP="00BA527E">
      <w:pPr>
        <w:pStyle w:val="CDITable-FirstFootnote"/>
      </w:pPr>
      <w:r>
        <w:t>a</w:t>
      </w:r>
      <w:r>
        <w:tab/>
        <w:t xml:space="preserve">DH: Victorian State Government Department of Health; SEPHU: </w:t>
      </w:r>
      <w:proofErr w:type="gramStart"/>
      <w:r>
        <w:t>South East</w:t>
      </w:r>
      <w:proofErr w:type="gramEnd"/>
      <w:r>
        <w:t xml:space="preserve"> Public Health Unit.</w:t>
      </w:r>
    </w:p>
    <w:p w14:paraId="5393D639" w14:textId="77777777" w:rsidR="00BA527E" w:rsidRDefault="00BA527E" w:rsidP="00BA527E">
      <w:pPr>
        <w:pStyle w:val="CDITable-Footnote"/>
      </w:pPr>
      <w:r>
        <w:t>b</w:t>
      </w:r>
      <w:r>
        <w:tab/>
        <w:t>ESF: enhanced surveillance form.</w:t>
      </w:r>
    </w:p>
    <w:p w14:paraId="5BD7B2EC" w14:textId="698E3A4C" w:rsidR="00BA527E" w:rsidRPr="0058264F" w:rsidRDefault="00BA527E" w:rsidP="00BA527E">
      <w:pPr>
        <w:pStyle w:val="CDITable-Footnote"/>
      </w:pPr>
      <w:r>
        <w:t>c</w:t>
      </w:r>
      <w:r>
        <w:tab/>
        <w:t>Risk factors noted but not definitively identified as the primary risk factor included possible contact; cluster case; possible MSM; and travel overseas to South Asia or within two weeks prior to illness onset.</w:t>
      </w:r>
    </w:p>
    <w:sectPr w:rsidR="00BA527E" w:rsidRPr="0058264F" w:rsidSect="001E3ECB">
      <w:headerReference w:type="even" r:id="rId51"/>
      <w:headerReference w:type="default" r:id="rId52"/>
      <w:footerReference w:type="even" r:id="rId53"/>
      <w:footerReference w:type="default" r:id="rId54"/>
      <w:headerReference w:type="first" r:id="rId55"/>
      <w:footerReference w:type="first" r:id="rId56"/>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E0EB" w14:textId="77777777" w:rsidR="00E80F6F" w:rsidRDefault="00E80F6F" w:rsidP="00E54DBA">
      <w:r>
        <w:separator/>
      </w:r>
    </w:p>
    <w:p w14:paraId="7C4B94A6" w14:textId="77777777" w:rsidR="00E80F6F" w:rsidRDefault="00E80F6F"/>
    <w:p w14:paraId="7A92991D" w14:textId="77777777" w:rsidR="00E80F6F" w:rsidRDefault="00E80F6F" w:rsidP="008714B0"/>
  </w:endnote>
  <w:endnote w:type="continuationSeparator" w:id="0">
    <w:p w14:paraId="239DB183" w14:textId="77777777" w:rsidR="00E80F6F" w:rsidRDefault="00E80F6F" w:rsidP="00E54DBA">
      <w:r>
        <w:continuationSeparator/>
      </w:r>
    </w:p>
    <w:p w14:paraId="73AFAD14" w14:textId="77777777" w:rsidR="00E80F6F" w:rsidRDefault="00E80F6F"/>
    <w:p w14:paraId="358FC4D6" w14:textId="77777777" w:rsidR="00E80F6F" w:rsidRDefault="00E80F6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4668"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7CEA5B5E" wp14:editId="45C02F3E">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81C7CB6"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EA5B5E"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581C7CB6"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E1F0" w14:textId="592CC7D9"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E80F6F">
        <w:t>2025</w:t>
      </w:r>
    </w:fldSimple>
    <w:r w:rsidR="009B78A9">
      <w:t>;</w:t>
    </w:r>
    <w:fldSimple w:instr=" DOCPROPERTY  Vol  \* MERGEFORMAT ">
      <w:r w:rsidR="00E80F6F">
        <w:t>49</w:t>
      </w:r>
    </w:fldSimple>
    <w:r w:rsidR="00385655" w:rsidRPr="001D0612">
      <w:t xml:space="preserve"> </w:t>
    </w:r>
    <w:r w:rsidR="00385655" w:rsidRPr="00B85B74">
      <w:t>•</w:t>
    </w:r>
    <w:r w:rsidR="00385655">
      <w:t xml:space="preserve"> </w:t>
    </w:r>
    <w:fldSimple w:instr=" DOCPROPERTY  DOI  \* MERGEFORMAT ">
      <w:r w:rsidR="00783EFA">
        <w:t>doi.org/10.33321/cdi.2025.49.034</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DE7FD0">
        <w:t>10.09.2025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FF48"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72EA0B29" wp14:editId="17BB1FE7">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8F37A8F"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A0B29"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28F37A8F"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9878" w14:textId="77777777" w:rsidR="00E80F6F" w:rsidRPr="00B91FB5" w:rsidRDefault="00E80F6F" w:rsidP="00B91FB5">
      <w:pPr>
        <w:spacing w:line="240" w:lineRule="auto"/>
        <w:rPr>
          <w:sz w:val="18"/>
          <w:szCs w:val="18"/>
        </w:rPr>
      </w:pPr>
      <w:r w:rsidRPr="00B91FB5">
        <w:rPr>
          <w:sz w:val="18"/>
          <w:szCs w:val="18"/>
        </w:rPr>
        <w:separator/>
      </w:r>
    </w:p>
  </w:footnote>
  <w:footnote w:type="continuationSeparator" w:id="0">
    <w:p w14:paraId="11B2F811" w14:textId="77777777" w:rsidR="00E80F6F" w:rsidRDefault="00E80F6F" w:rsidP="00E54DBA">
      <w:r>
        <w:continuationSeparator/>
      </w:r>
    </w:p>
  </w:footnote>
  <w:footnote w:type="continuationNotice" w:id="1">
    <w:p w14:paraId="4044E33F" w14:textId="77777777" w:rsidR="00E80F6F" w:rsidRPr="00224EFF" w:rsidRDefault="00E80F6F" w:rsidP="00224EFF"/>
  </w:footnote>
  <w:footnote w:id="2">
    <w:p w14:paraId="1607F1B3" w14:textId="419C9507" w:rsidR="00EB5DBD" w:rsidRDefault="00EB5DBD" w:rsidP="00EB5DBD">
      <w:pPr>
        <w:pStyle w:val="FootnoteText"/>
      </w:pPr>
      <w:r w:rsidRPr="00EB5DBD">
        <w:footnoteRef/>
      </w:r>
      <w:r>
        <w:tab/>
      </w:r>
      <w:hyperlink r:id="rId1" w:history="1">
        <w:r w:rsidRPr="00027529">
          <w:rPr>
            <w:rStyle w:val="Hyperlink"/>
          </w:rPr>
          <w:t>https://www.nhmrc.gov.au/about-us/resources/ethical-considerations-quality-assurance-and-evaluation-activities</w:t>
        </w:r>
      </w:hyperlink>
      <w:r>
        <w:t>.</w:t>
      </w:r>
    </w:p>
  </w:footnote>
  <w:footnote w:id="3">
    <w:p w14:paraId="68BACB68" w14:textId="2AAFCB72" w:rsidR="00AD1D3C" w:rsidRDefault="00AD1D3C" w:rsidP="00AD1D3C">
      <w:pPr>
        <w:pStyle w:val="FootnoteText"/>
      </w:pPr>
      <w:r w:rsidRPr="00AD1D3C">
        <w:footnoteRef/>
      </w:r>
      <w:r>
        <w:tab/>
        <w:t>Data were extracted from the Victorian Public Health Event Surveillance System on 21 April 2023. The data reported are only of events that have been notified to the Department of Health, Victoria, and therefore do not represent a true incidence of the condition. Data are correct at the time of writing and are subject to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9B9D"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1D2D4595" wp14:editId="6CD33021">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33856A1"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D4595"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233856A1"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3632"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581C"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78E12E5E" wp14:editId="71BCCBF9">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8C95659"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E12E5E"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28C95659"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6F"/>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D78B1"/>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27BC"/>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1773"/>
    <w:rsid w:val="006324FF"/>
    <w:rsid w:val="00632787"/>
    <w:rsid w:val="00632B07"/>
    <w:rsid w:val="006351D6"/>
    <w:rsid w:val="00636E0D"/>
    <w:rsid w:val="0064142F"/>
    <w:rsid w:val="00643CB4"/>
    <w:rsid w:val="00644B9D"/>
    <w:rsid w:val="00647DEA"/>
    <w:rsid w:val="00656427"/>
    <w:rsid w:val="00656FDA"/>
    <w:rsid w:val="00660255"/>
    <w:rsid w:val="00661FE1"/>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1923"/>
    <w:rsid w:val="006F24EA"/>
    <w:rsid w:val="006F5FEC"/>
    <w:rsid w:val="00700338"/>
    <w:rsid w:val="0070113C"/>
    <w:rsid w:val="00702D05"/>
    <w:rsid w:val="00703009"/>
    <w:rsid w:val="00704CA9"/>
    <w:rsid w:val="0071048D"/>
    <w:rsid w:val="00710F86"/>
    <w:rsid w:val="007111A8"/>
    <w:rsid w:val="007114BA"/>
    <w:rsid w:val="00714CD2"/>
    <w:rsid w:val="00723B5F"/>
    <w:rsid w:val="00725C33"/>
    <w:rsid w:val="00726C6A"/>
    <w:rsid w:val="00731BC3"/>
    <w:rsid w:val="00731FF7"/>
    <w:rsid w:val="00733216"/>
    <w:rsid w:val="00734159"/>
    <w:rsid w:val="007401FD"/>
    <w:rsid w:val="00741192"/>
    <w:rsid w:val="007430BF"/>
    <w:rsid w:val="00743A33"/>
    <w:rsid w:val="00743DF3"/>
    <w:rsid w:val="00745AE2"/>
    <w:rsid w:val="00746080"/>
    <w:rsid w:val="0075144A"/>
    <w:rsid w:val="00760A97"/>
    <w:rsid w:val="0076543B"/>
    <w:rsid w:val="0076732C"/>
    <w:rsid w:val="00771313"/>
    <w:rsid w:val="00774BA6"/>
    <w:rsid w:val="00775C3B"/>
    <w:rsid w:val="007804A4"/>
    <w:rsid w:val="00780C3D"/>
    <w:rsid w:val="00781AEF"/>
    <w:rsid w:val="00781C54"/>
    <w:rsid w:val="007828D7"/>
    <w:rsid w:val="00783EFA"/>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068C"/>
    <w:rsid w:val="00845F68"/>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2FDA"/>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1D3C"/>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27E"/>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1476"/>
    <w:rsid w:val="00BF42FE"/>
    <w:rsid w:val="00C02B29"/>
    <w:rsid w:val="00C06DA4"/>
    <w:rsid w:val="00C07606"/>
    <w:rsid w:val="00C12542"/>
    <w:rsid w:val="00C130EE"/>
    <w:rsid w:val="00C230DA"/>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A22"/>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01DD"/>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E7FD0"/>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6F"/>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DBD"/>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4A66"/>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036"/>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E747"/>
  <w15:docId w15:val="{E010D7EE-6471-4E8B-8DA0-94766191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1DD"/>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84068C"/>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84068C"/>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BF1476"/>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BF1476"/>
    <w:pPr>
      <w:spacing w:after="240"/>
    </w:pPr>
  </w:style>
  <w:style w:type="paragraph" w:customStyle="1" w:styleId="NumberedList1L1">
    <w:name w:val="Numbered List (1.) L1"/>
    <w:basedOn w:val="BodyText"/>
    <w:uiPriority w:val="99"/>
    <w:rsid w:val="003A27BC"/>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character" w:customStyle="1" w:styleId="Superscript">
    <w:name w:val="Superscript"/>
    <w:uiPriority w:val="99"/>
    <w:rsid w:val="00BA52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topics/communicable-diseases/cdi/eab" TargetMode="External"/><Relationship Id="rId18" Type="http://schemas.openxmlformats.org/officeDocument/2006/relationships/image" Target="media/image2.jpg"/><Relationship Id="rId26" Type="http://schemas.openxmlformats.org/officeDocument/2006/relationships/hyperlink" Target="https://doi.org/10.1186/1471-2334-12-347" TargetMode="External"/><Relationship Id="rId39" Type="http://schemas.openxmlformats.org/officeDocument/2006/relationships/hyperlink" Target="https://doi.org/10.2147/IDR.S219755" TargetMode="External"/><Relationship Id="rId21" Type="http://schemas.openxmlformats.org/officeDocument/2006/relationships/image" Target="media/image5.jpg"/><Relationship Id="rId34" Type="http://schemas.openxmlformats.org/officeDocument/2006/relationships/hyperlink" Target="https://doi.org/10.1093/clinids/13.supplement_4.s342" TargetMode="External"/><Relationship Id="rId42" Type="http://schemas.openxmlformats.org/officeDocument/2006/relationships/hyperlink" Target="https://abs.gov.au/census/find-census-data/quickstats/2021/LGA26350" TargetMode="External"/><Relationship Id="rId47" Type="http://schemas.openxmlformats.org/officeDocument/2006/relationships/hyperlink" Target="https://doi.org/0.1016/S1473-3099(22)00370-X" TargetMode="External"/><Relationship Id="rId50" Type="http://schemas.openxmlformats.org/officeDocument/2006/relationships/hyperlink" Target="https://doi.org/10.1016/j.nmni.2017.09.003" TargetMode="External"/><Relationship Id="rId55"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9" Type="http://schemas.openxmlformats.org/officeDocument/2006/relationships/hyperlink" Target="https://doi.org/10.1016/S0140-6736(17)33296-8" TargetMode="External"/><Relationship Id="rId11" Type="http://schemas.openxmlformats.org/officeDocument/2006/relationships/hyperlink" Target="https://creativecommons.org/licenses/by-nc-nd/4.0/legalcode" TargetMode="External"/><Relationship Id="rId24" Type="http://schemas.openxmlformats.org/officeDocument/2006/relationships/hyperlink" Target="https://doi.org/10.3389/fcimb.2017.00064" TargetMode="External"/><Relationship Id="rId32" Type="http://schemas.openxmlformats.org/officeDocument/2006/relationships/hyperlink" Target="https://www.abs.gov.au/statistics/industry/tourism-and-transport/overseas-arrivals-and-departures-australia/latest-release" TargetMode="External"/><Relationship Id="rId37" Type="http://schemas.openxmlformats.org/officeDocument/2006/relationships/hyperlink" Target="http://www.who.int/medicines/publications/global-priority-list-antibiotic-resistant-bacteria/en/" TargetMode="External"/><Relationship Id="rId40" Type="http://schemas.openxmlformats.org/officeDocument/2006/relationships/hyperlink" Target="https://www.health.gov.au/sites/default/files/documents/2022/06/shigellosis-surveillance-case-definition.pdf" TargetMode="External"/><Relationship Id="rId45" Type="http://schemas.openxmlformats.org/officeDocument/2006/relationships/hyperlink" Target="https://assets.publishing.service.gov.uk/media/5a816f53ed915d74e33fe317/Shigella_2016_Data.pdf"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image" Target="media/image3.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au/topics/communicable-diseases/cdi/authors" TargetMode="External"/><Relationship Id="rId22" Type="http://schemas.openxmlformats.org/officeDocument/2006/relationships/hyperlink" Target="mailto:emilieaguy@gmail.com" TargetMode="External"/><Relationship Id="rId27" Type="http://schemas.openxmlformats.org/officeDocument/2006/relationships/hyperlink" Target="https://www.health.vic.gov.au/infectious-diseases/shigellosis" TargetMode="External"/><Relationship Id="rId30" Type="http://schemas.openxmlformats.org/officeDocument/2006/relationships/hyperlink" Target="https://doi.org/10.1093/cid/ciz005" TargetMode="External"/><Relationship Id="rId35" Type="http://schemas.openxmlformats.org/officeDocument/2006/relationships/hyperlink" Target="https://doi.org/10.1080/20469047.2017.1409454" TargetMode="External"/><Relationship Id="rId43" Type="http://schemas.openxmlformats.org/officeDocument/2006/relationships/hyperlink" Target="https://abs.gov.au/census/find-census-data/quickstats/2021/IQSLGA21610" TargetMode="External"/><Relationship Id="rId48" Type="http://schemas.openxmlformats.org/officeDocument/2006/relationships/hyperlink" Target="https://doi.org/10.1097/INF.0b013e3181e4ee6e" TargetMode="External"/><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hyperlink" Target="https://doi.org/10.1371/journal.pntd.0010450" TargetMode="External"/><Relationship Id="rId33" Type="http://schemas.openxmlformats.org/officeDocument/2006/relationships/hyperlink" Target="https://doi.org/10.1136/bmjopen-2020-037608" TargetMode="External"/><Relationship Id="rId38" Type="http://schemas.openxmlformats.org/officeDocument/2006/relationships/hyperlink" Target="https://doi.org/10.1371/journal.pone.0095006" TargetMode="External"/><Relationship Id="rId46" Type="http://schemas.openxmlformats.org/officeDocument/2006/relationships/hyperlink" Target="https://doi.org/10.1016/j.jfp.2023.100074" TargetMode="External"/><Relationship Id="rId20" Type="http://schemas.openxmlformats.org/officeDocument/2006/relationships/image" Target="media/image4.jpg"/><Relationship Id="rId41" Type="http://schemas.openxmlformats.org/officeDocument/2006/relationships/hyperlink" Target="https://www.safetyandquality.gov.au/our-work/antimicrobial-resistance/antimicrobial-use-and-resistance-australia-surveillance-system/national-alert-system-critical-antimicrobial-resistances-caralert"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health.gov.au" TargetMode="External"/><Relationship Id="rId23" Type="http://schemas.openxmlformats.org/officeDocument/2006/relationships/hyperlink" Target="https://doi.org/10.1097/QCO.0000000000000475" TargetMode="External"/><Relationship Id="rId28" Type="http://schemas.openxmlformats.org/officeDocument/2006/relationships/hyperlink" Target="https://doi.org/10.1136/bmj.o253" TargetMode="External"/><Relationship Id="rId36" Type="http://schemas.openxmlformats.org/officeDocument/2006/relationships/hyperlink" Target="https://doi.org/10.1128/AAC.01518-20" TargetMode="External"/><Relationship Id="rId49" Type="http://schemas.openxmlformats.org/officeDocument/2006/relationships/hyperlink" Target="https://www.health.nsw.gov.au/Infectious/controlguideline/Documents/shigellosis.pdf" TargetMode="External"/><Relationship Id="rId57" Type="http://schemas.openxmlformats.org/officeDocument/2006/relationships/fontTable" Target="fontTable.xml"/><Relationship Id="rId10" Type="http://schemas.openxmlformats.org/officeDocument/2006/relationships/hyperlink" Target="https://www.cdc.gov.au/topics/communicable-diseases/cdi" TargetMode="External"/><Relationship Id="rId31" Type="http://schemas.openxmlformats.org/officeDocument/2006/relationships/hyperlink" Target="https://doi.org/10.1093/cid/civ1018" TargetMode="External"/><Relationship Id="rId44" Type="http://schemas.openxmlformats.org/officeDocument/2006/relationships/hyperlink" Target="https://www.gov.uk/government/publications/shigellosis-public-health-management-and-questionnaire" TargetMode="External"/><Relationship Id="rId5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hmrc.gov.au/about-us/resources/ethical-considerations-quality-assurance-and-evaluation-activ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101</TotalTime>
  <Pages>21</Pages>
  <Words>5411</Words>
  <Characters>36423</Characters>
  <Application>Microsoft Office Word</Application>
  <DocSecurity>0</DocSecurity>
  <Lines>607</Lines>
  <Paragraphs>300</Paragraphs>
  <ScaleCrop>false</ScaleCrop>
  <HeadingPairs>
    <vt:vector size="2" baseType="variant">
      <vt:variant>
        <vt:lpstr>Title</vt:lpstr>
      </vt:variant>
      <vt:variant>
        <vt:i4>1</vt:i4>
      </vt:variant>
    </vt:vector>
  </HeadingPairs>
  <TitlesOfParts>
    <vt:vector size="1" baseType="lpstr">
      <vt:lpstr>Communicable Diseases Intelligence - Shigellosis in South East Metropolitan Melbourne, 1 January 2022 – 31 March 2023</vt:lpstr>
    </vt:vector>
  </TitlesOfParts>
  <Company>interim Australian Centre for Disease Control within the Department of Health, Disability and Ageing</Company>
  <LinksUpToDate>false</LinksUpToDate>
  <CharactersWithSpaces>41534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Shigellosis in South East Metropolitan Melbourne, 1 January 2022 – 31 March 2023</dc:title>
  <dc:subject>Shigella is a notifiable condition under the Public Health and Wellbeing Act and the South East Public Health Unit (SEPHU) manages these notifications for the diverse south east region of Melbourne having taken over from the Department of Health in October 2022. This report presents data for Shigella notifications within south east metropolitan Melbourne from January 2022 to March 2023 to determine the demographics and risk factors of Shigella cases in the SEPHU catchment.</dc:subject>
  <dc:creator>Emilie Guy; Lucy O Attwood; Tania Ruz; Mohana Baptista; Simon R Crouch;  Rhonda Stuart</dc:creator>
  <cp:keywords>Shigella; shigellosis; antimicrobial resistance; incidence; Victoria</cp:keywords>
  <dc:description>© 2025 Commonwealth of Australia as represented by the Department of Health, Disability and Ageing. This publication is licenced under a CC BY-NC-ND licence.</dc:description>
  <cp:revision>6</cp:revision>
  <cp:lastPrinted>2024-03-07T01:06:00Z</cp:lastPrinted>
  <dcterms:created xsi:type="dcterms:W3CDTF">2025-08-25T06:18:00Z</dcterms:created>
  <dcterms:modified xsi:type="dcterms:W3CDTF">2025-09-01T04:53:00Z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10.09.2025</vt:lpwstr>
  </property>
  <property fmtid="{D5CDD505-2E9C-101B-9397-08002B2CF9AE}" pid="5" name="DOI">
    <vt:lpwstr>doi.org/10.33321/cdi.2025.49.034</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