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4D" w:rsidRDefault="000C314D" w:rsidP="000C314D">
      <w:pPr>
        <w:pStyle w:val="Title"/>
        <w:rPr>
          <w:sz w:val="24"/>
          <w:szCs w:val="24"/>
        </w:rPr>
      </w:pPr>
      <w:r>
        <w:t xml:space="preserve">COVID-19 Australia: Epidemiology Report 35 </w:t>
      </w:r>
    </w:p>
    <w:p w:rsidR="000C314D" w:rsidRDefault="000C314D" w:rsidP="000C314D">
      <w:pPr>
        <w:rPr>
          <w:rFonts w:eastAsia="Times New Roman"/>
        </w:rPr>
      </w:pPr>
      <w:r>
        <w:rPr>
          <w:rFonts w:eastAsia="Times New Roman"/>
        </w:rPr>
        <w:t xml:space="preserve">Reporting period ending 14 February 2021 </w:t>
      </w:r>
    </w:p>
    <w:p w:rsidR="000C314D" w:rsidRDefault="000C314D" w:rsidP="000C314D">
      <w:r>
        <w:t xml:space="preserve">COVID-19 National Incident Room Surveillance Team </w:t>
      </w:r>
    </w:p>
    <w:p w:rsidR="000C314D" w:rsidRPr="000C314D" w:rsidRDefault="000C314D" w:rsidP="000C314D">
      <w:pPr>
        <w:pStyle w:val="Heading1"/>
      </w:pPr>
      <w:r w:rsidRPr="000C314D">
        <w:t>Summary</w:t>
      </w:r>
    </w:p>
    <w:p w:rsidR="000C314D" w:rsidRDefault="00F16025" w:rsidP="00F16025">
      <w:pPr>
        <w:pStyle w:val="NormalWeb"/>
      </w:pPr>
      <w:r w:rsidRPr="00F16025">
        <w:rPr>
          <w:rStyle w:val="Strong"/>
          <w:noProof/>
        </w:rPr>
        <mc:AlternateContent>
          <mc:Choice Requires="wps">
            <w:drawing>
              <wp:inline distT="0" distB="0" distL="0" distR="0">
                <wp:extent cx="6625424" cy="4256930"/>
                <wp:effectExtent l="0" t="0" r="23495"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4256930"/>
                        </a:xfrm>
                        <a:prstGeom prst="rect">
                          <a:avLst/>
                        </a:prstGeom>
                        <a:solidFill>
                          <a:srgbClr val="FFFBF7"/>
                        </a:solidFill>
                        <a:ln w="3175">
                          <a:solidFill>
                            <a:srgbClr val="000000"/>
                          </a:solidFill>
                          <a:miter lim="800000"/>
                          <a:headEnd/>
                          <a:tailEnd/>
                        </a:ln>
                      </wps:spPr>
                      <wps:txbx>
                        <w:txbxContent>
                          <w:p w:rsidR="00F16025" w:rsidRDefault="00F16025" w:rsidP="00F16025">
                            <w:pPr>
                              <w:pStyle w:val="NormalWeb"/>
                            </w:pPr>
                            <w:r>
                              <w:rPr>
                                <w:rStyle w:val="Strong"/>
                              </w:rPr>
                              <w:t>Trends –</w:t>
                            </w:r>
                            <w:r>
                              <w:t xml:space="preserve"> Australia continues to report low numbers of COVID-19 cases. The daily average number of cases for this reporting period was five compared to an average of six cases per day in the previous fortnight. There were 69 cases of COVID-19 and no deaths this fortnight, bringing the cumulative case count to 28,868 with 909 deaths. </w:t>
                            </w:r>
                          </w:p>
                          <w:p w:rsidR="00F16025" w:rsidRDefault="00F16025" w:rsidP="00F16025">
                            <w:pPr>
                              <w:pStyle w:val="NormalWeb"/>
                            </w:pPr>
                            <w:r>
                              <w:rPr>
                                <w:rStyle w:val="Strong"/>
                              </w:rPr>
                              <w:t>Demographics –</w:t>
                            </w:r>
                            <w:r>
                              <w:t xml:space="preserve"> Demographic trends have remained consistent this reporting period: persons aged ≥ 90 years have the highest cumulative rate of infection; children aged 0–9 years have the lowest rate of infection; and cases in Aboriginal and Torres Strait Islander persons account for less than 1% of all confirmed cases. </w:t>
                            </w:r>
                          </w:p>
                          <w:p w:rsidR="00F16025" w:rsidRDefault="00F16025" w:rsidP="00F16025">
                            <w:pPr>
                              <w:pStyle w:val="NormalWeb"/>
                            </w:pPr>
                            <w:r>
                              <w:rPr>
                                <w:rStyle w:val="Strong"/>
                              </w:rPr>
                              <w:t>Local cases –</w:t>
                            </w:r>
                            <w:r>
                              <w:t xml:space="preserve"> There were 14 locally-acquired cases reported in Australia this fortnight, all of which were reported in Victoria. These cases were linked to a cluster of cases associated with hotel quarantine settings. One further case in Victoria was reported as under investigation. </w:t>
                            </w:r>
                          </w:p>
                          <w:p w:rsidR="00F16025" w:rsidRDefault="00F16025" w:rsidP="00F16025">
                            <w:pPr>
                              <w:pStyle w:val="NormalWeb"/>
                            </w:pPr>
                            <w:r>
                              <w:rPr>
                                <w:rStyle w:val="Strong"/>
                              </w:rPr>
                              <w:t>Overseas cases –</w:t>
                            </w:r>
                            <w:r>
                              <w:t xml:space="preserve"> There were 54 overseas-acquired cases this reporting period. Of these, 39% (21/54) were from New South Wales, with the remainder dispersed across all jurisdictions. </w:t>
                            </w:r>
                          </w:p>
                          <w:p w:rsidR="00F16025" w:rsidRDefault="00F16025" w:rsidP="00F16025">
                            <w:pPr>
                              <w:pStyle w:val="NormalWeb"/>
                            </w:pPr>
                            <w:r>
                              <w:rPr>
                                <w:rStyle w:val="Strong"/>
                              </w:rPr>
                              <w:t xml:space="preserve">Testing – </w:t>
                            </w:r>
                            <w:r>
                              <w:t xml:space="preserve">Testing rates increased by 26% compared to the previous fortnight, likely in response to the increase in locally-acquired cases. The cumulative positivity rate remains low at 0.2%. </w:t>
                            </w:r>
                          </w:p>
                          <w:p w:rsidR="00F16025" w:rsidRDefault="00F16025" w:rsidP="00F16025">
                            <w:pPr>
                              <w:pStyle w:val="NormalWeb"/>
                            </w:pPr>
                            <w:r>
                              <w:rPr>
                                <w:rStyle w:val="Strong"/>
                              </w:rPr>
                              <w:t>Virology –</w:t>
                            </w:r>
                            <w:r>
                              <w:t xml:space="preserve"> Since 30 November 2020, there have been 93 sequences of the UK variant of concern (B.1.1.7 lineage), 18 sequences of the South African variant (B.1.351 lineage) and no cases of the Brazilian variant (P.1 lineage) uploaded to GISAID in Australia as at the end of the reporting period.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1.7pt;height:3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9VKQIAAEcEAAAOAAAAZHJzL2Uyb0RvYy54bWysU9tu2zAMfR+wfxD0vjh2naQ14hRtOg8D&#10;ugvQ7gNkWY6FSaInKbG7ry8lp1nQbS/D9CCIInVEnkOur0etyEFYJ8GUNJ3NKRGGQyPNrqTfHqt3&#10;l5Q4z0zDFBhR0ifh6PXm7Zv10Bcigw5UIyxBEOOKoS9p531fJInjndDMzaAXBp0tWM08mnaXNJYN&#10;iK5Vks3ny2QA2/QWuHAOb+8mJ91E/LYV3H9pWyc8USXF3HzcbdzrsCebNSt2lvWd5Mc02D9koZk0&#10;+OkJ6o55RvZW/galJbfgoPUzDjqBtpVcxBqwmnT+qpqHjvUi1oLkuP5Ek/t/sPzz4aslsilplq4o&#10;MUyjSI9i9OQWRpIFfobeFRj20GOgH/EadY61uv4e+HdHDGw7ZnbixloYOsEazC8NL5OzpxOOCyD1&#10;8Aka/IbtPUSgsbU6kId0EERHnZ5O2oRUOF4ul9kiz3JKOPrybLG8uojqJax4ed5b5z8I0CQcSmpR&#10;/AjPDvfOh3RY8RISfnOgZFNJpaJhd/VWWXJg2ChVVd1Wq1jBqzBlyFDSi3S1mBj4K8Q8rj9BaOmx&#10;45XUJb08BbEi8PbeNLEfPZNqOmPKyhyJDNxNLPqxHo/C1NA8IaUWps7GScRDB/YnJQN2dUndjz2z&#10;ghL10aAsV2mehzGIRr5YZWjYc0997mGGI1RJPSXTcevj6ATCDNygfK2MxAadp0yOuWK3Rr6PkxXG&#10;4dyOUb/mf/MMAAD//wMAUEsDBBQABgAIAAAAIQDHkH8i2gAAAAYBAAAPAAAAZHJzL2Rvd25yZXYu&#10;eG1sTI/NTsMwEITvSLyDtUhcEF0DUYtCNhVC4sSphUO5ufGSRMTrKHbz8/a4XOCy0mhGM98W29l1&#10;auQhtF4I7lYaFEvlbSs1wcf76+0jqBCNWNN5YYKFA2zLy4vC5NZPsuNxH2uVSiTkhqCJsc8RQ9Ww&#10;M2Hle5bkffnBmZjkUKMdzJTKXYf3Wq/RmVbSQmN6fmm4+t6fHMHbOB7acHNYZNpY/Ym463GZia6v&#10;5ucnUJHn+BeGM35ChzIxHf1JbFAdQXok/t6zp7OHDNSRYL3RGWBZ4H/88gcAAP//AwBQSwECLQAU&#10;AAYACAAAACEAtoM4kv4AAADhAQAAEwAAAAAAAAAAAAAAAAAAAAAAW0NvbnRlbnRfVHlwZXNdLnht&#10;bFBLAQItABQABgAIAAAAIQA4/SH/1gAAAJQBAAALAAAAAAAAAAAAAAAAAC8BAABfcmVscy8ucmVs&#10;c1BLAQItABQABgAIAAAAIQDT169VKQIAAEcEAAAOAAAAAAAAAAAAAAAAAC4CAABkcnMvZTJvRG9j&#10;LnhtbFBLAQItABQABgAIAAAAIQDHkH8i2gAAAAYBAAAPAAAAAAAAAAAAAAAAAIMEAABkcnMvZG93&#10;bnJldi54bWxQSwUGAAAAAAQABADzAAAAigUAAAAA&#10;" fillcolor="#fffbf7" strokeweight=".25pt">
                <v:textbox>
                  <w:txbxContent>
                    <w:p w:rsidR="00F16025" w:rsidRDefault="00F16025" w:rsidP="00F16025">
                      <w:pPr>
                        <w:pStyle w:val="NormalWeb"/>
                      </w:pPr>
                      <w:r>
                        <w:rPr>
                          <w:rStyle w:val="Strong"/>
                        </w:rPr>
                        <w:t>Trends –</w:t>
                      </w:r>
                      <w:r>
                        <w:t xml:space="preserve"> Australia continues to report low numbers of COVID-19 cases. The daily average number of cases for this reporting period was five compared to an average of six cases per day in the previous fortnight. There were 69 cases of COVID-19 and no deaths this fortnight, bringing the cumulative case count to 28,868 with 909 deaths. </w:t>
                      </w:r>
                    </w:p>
                    <w:p w:rsidR="00F16025" w:rsidRDefault="00F16025" w:rsidP="00F16025">
                      <w:pPr>
                        <w:pStyle w:val="NormalWeb"/>
                      </w:pPr>
                      <w:r>
                        <w:rPr>
                          <w:rStyle w:val="Strong"/>
                        </w:rPr>
                        <w:t>Demographics –</w:t>
                      </w:r>
                      <w:r>
                        <w:t xml:space="preserve"> Demographic trends have remained consistent this reporting period: persons aged ≥ 90 years have the highest cumulative rate of infection; children aged 0–9 years have the lowest rate of infection; and cases in Aboriginal and Torres Strait Islander persons account for less than 1% of all confirmed cases. </w:t>
                      </w:r>
                    </w:p>
                    <w:p w:rsidR="00F16025" w:rsidRDefault="00F16025" w:rsidP="00F16025">
                      <w:pPr>
                        <w:pStyle w:val="NormalWeb"/>
                      </w:pPr>
                      <w:r>
                        <w:rPr>
                          <w:rStyle w:val="Strong"/>
                        </w:rPr>
                        <w:t>Local cases –</w:t>
                      </w:r>
                      <w:r>
                        <w:t xml:space="preserve"> There were 14 </w:t>
                      </w:r>
                      <w:proofErr w:type="gramStart"/>
                      <w:r>
                        <w:t>locally-acquired</w:t>
                      </w:r>
                      <w:proofErr w:type="gramEnd"/>
                      <w:r>
                        <w:t xml:space="preserve"> cases reported in Australia this fortnight, all of which were reported in Victoria. These cases were linked to a cluster of cases associated with hotel quarantine settings. One further case in Victoria was reported as under investigation. </w:t>
                      </w:r>
                    </w:p>
                    <w:p w:rsidR="00F16025" w:rsidRDefault="00F16025" w:rsidP="00F16025">
                      <w:pPr>
                        <w:pStyle w:val="NormalWeb"/>
                      </w:pPr>
                      <w:r>
                        <w:rPr>
                          <w:rStyle w:val="Strong"/>
                        </w:rPr>
                        <w:t>Overseas cases –</w:t>
                      </w:r>
                      <w:r>
                        <w:t xml:space="preserve"> There were 54 overseas-acquired cases this reporting period. Of these, 39% (21/54) were from New South Wales, with the remainder dispersed across all jurisdictions. </w:t>
                      </w:r>
                    </w:p>
                    <w:p w:rsidR="00F16025" w:rsidRDefault="00F16025" w:rsidP="00F16025">
                      <w:pPr>
                        <w:pStyle w:val="NormalWeb"/>
                      </w:pPr>
                      <w:r>
                        <w:rPr>
                          <w:rStyle w:val="Strong"/>
                        </w:rPr>
                        <w:t xml:space="preserve">Testing – </w:t>
                      </w:r>
                      <w:r>
                        <w:t xml:space="preserve">Testing rates increased by 26% compared to the previous fortnight, likely in response to the increase in </w:t>
                      </w:r>
                      <w:proofErr w:type="gramStart"/>
                      <w:r>
                        <w:t>locally-acquired</w:t>
                      </w:r>
                      <w:proofErr w:type="gramEnd"/>
                      <w:r>
                        <w:t xml:space="preserve"> cases. The cumulative positivity rate remains low at 0.2%. </w:t>
                      </w:r>
                    </w:p>
                    <w:p w:rsidR="00F16025" w:rsidRDefault="00F16025" w:rsidP="00F16025">
                      <w:pPr>
                        <w:pStyle w:val="NormalWeb"/>
                      </w:pPr>
                      <w:r>
                        <w:rPr>
                          <w:rStyle w:val="Strong"/>
                        </w:rPr>
                        <w:t>Virology –</w:t>
                      </w:r>
                      <w:r>
                        <w:t xml:space="preserve"> Since 30 November 2020, there have been 93 sequences of the UK variant of concern (B.1.1.7 lineage), 18 sequences of the South African variant (B.1.351 lineage) and no cases of the Brazilian variant (P.1 lineage) uploaded to GISAID in Australia as at the end of the reporting period.</w:t>
                      </w:r>
                    </w:p>
                  </w:txbxContent>
                </v:textbox>
                <w10:anchorlock/>
              </v:shape>
            </w:pict>
          </mc:Fallback>
        </mc:AlternateContent>
      </w:r>
    </w:p>
    <w:p w:rsidR="000C314D" w:rsidRDefault="000C314D">
      <w:pPr>
        <w:pStyle w:val="NormalWeb"/>
      </w:pPr>
      <w:r>
        <w:t>This reporting period covers the last two weeks (1–14 February 2021). The previous reporting period is the preceding two weeks (18–31 January 2021). As Australia continues to experience low numbers of COVID-19 cases, this report is transitioning to a brief update on case numbers each fortnight and a more detailed analysis every four weeks. Acute respiratory illness, severity, clusters and outbreaks, public health response measures and the international situation are reported in detail on a four-weekly basis and are not included in this report. The latest information on these topics can be found in Epidemiology Report 34,</w:t>
      </w:r>
      <w:r>
        <w:rPr>
          <w:vertAlign w:val="superscript"/>
        </w:rPr>
        <w:t>1</w:t>
      </w:r>
      <w:r>
        <w:t xml:space="preserve"> state and territory health websites, the World Health Organization’s weekly situation reports and the Department of Health’s current situation and case numbers webpage.</w:t>
      </w:r>
      <w:r>
        <w:rPr>
          <w:vertAlign w:val="superscript"/>
        </w:rPr>
        <w:t xml:space="preserve"> </w:t>
      </w:r>
    </w:p>
    <w:p w:rsidR="000C314D" w:rsidRPr="00B1635E" w:rsidRDefault="000C314D" w:rsidP="00B1635E">
      <w:pPr>
        <w:rPr>
          <w:b/>
        </w:rPr>
      </w:pPr>
      <w:r w:rsidRPr="00B1635E">
        <w:rPr>
          <w:rStyle w:val="Emphasis"/>
          <w:b w:val="0"/>
        </w:rPr>
        <w:t>Keywords: SARS-CoV-2; novel coronavirus; 2019-nCoV; coronavirus disease 2019; COVID-19; acute respiratory disease; epidemiology; Australia</w:t>
      </w:r>
      <w:r w:rsidRPr="00B1635E">
        <w:rPr>
          <w:b/>
        </w:rPr>
        <w:t xml:space="preserve"> </w:t>
      </w:r>
    </w:p>
    <w:p w:rsidR="004422F2" w:rsidRDefault="004422F2">
      <w:pPr>
        <w:rPr>
          <w:rFonts w:asciiTheme="majorHAnsi" w:eastAsia="Times New Roman" w:hAnsiTheme="majorHAnsi" w:cstheme="majorBidi"/>
          <w:b/>
          <w:bCs/>
          <w:sz w:val="32"/>
          <w:szCs w:val="28"/>
        </w:rPr>
      </w:pPr>
      <w:r>
        <w:rPr>
          <w:rFonts w:eastAsia="Times New Roman"/>
        </w:rPr>
        <w:br w:type="page"/>
      </w:r>
      <w:bookmarkStart w:id="0" w:name="_GoBack"/>
      <w:bookmarkEnd w:id="0"/>
    </w:p>
    <w:p w:rsidR="000C314D" w:rsidRDefault="000C314D">
      <w:pPr>
        <w:pStyle w:val="Heading1"/>
        <w:rPr>
          <w:rFonts w:eastAsia="Times New Roman"/>
        </w:rPr>
      </w:pPr>
      <w:r>
        <w:rPr>
          <w:rFonts w:eastAsia="Times New Roman"/>
        </w:rPr>
        <w:lastRenderedPageBreak/>
        <w:t xml:space="preserve">Background and data sources </w:t>
      </w:r>
    </w:p>
    <w:p w:rsidR="000C314D" w:rsidRDefault="000C314D">
      <w:pPr>
        <w:pStyle w:val="NormalWeb"/>
      </w:pPr>
      <w:r>
        <w:t>See the Technical Supplement for information on coronavirus disease 19 (COVID-19) including modes of transmission, common symptoms and severity.</w:t>
      </w:r>
      <w:r>
        <w:rPr>
          <w:vertAlign w:val="superscript"/>
        </w:rPr>
        <w:t xml:space="preserve">2 </w:t>
      </w:r>
    </w:p>
    <w:p w:rsidR="000C314D" w:rsidRDefault="000C314D">
      <w:pPr>
        <w:pStyle w:val="Heading1"/>
        <w:rPr>
          <w:rFonts w:eastAsia="Times New Roman"/>
        </w:rPr>
      </w:pPr>
      <w:r>
        <w:rPr>
          <w:rFonts w:eastAsia="Times New Roman"/>
        </w:rPr>
        <w:t xml:space="preserve">Activity </w:t>
      </w:r>
    </w:p>
    <w:p w:rsidR="0009753D" w:rsidRDefault="000C314D" w:rsidP="0009753D">
      <w:pPr>
        <w:pStyle w:val="Heading2"/>
        <w:rPr>
          <w:rFonts w:eastAsia="Times New Roman"/>
        </w:rPr>
      </w:pPr>
      <w:r>
        <w:rPr>
          <w:rFonts w:eastAsia="Times New Roman"/>
        </w:rPr>
        <w:t xml:space="preserve">Transmission trends of confirmed COVID-19 </w:t>
      </w:r>
    </w:p>
    <w:p w:rsidR="000C314D" w:rsidRPr="00EE7449" w:rsidRDefault="000C314D" w:rsidP="0009753D">
      <w:pPr>
        <w:pStyle w:val="Heading3"/>
        <w:rPr>
          <w:rFonts w:eastAsia="Times New Roman"/>
          <w:b w:val="0"/>
          <w:i/>
        </w:rPr>
      </w:pPr>
      <w:r w:rsidRPr="00EE7449">
        <w:rPr>
          <w:rFonts w:eastAsia="Times New Roman"/>
          <w:b w:val="0"/>
          <w:i/>
        </w:rPr>
        <w:t xml:space="preserve">(NNDSS and jurisdictional reporting to NIR) </w:t>
      </w:r>
    </w:p>
    <w:p w:rsidR="000C314D" w:rsidRDefault="000C314D">
      <w:pPr>
        <w:pStyle w:val="NormalWeb"/>
      </w:pPr>
      <w:r>
        <w:t xml:space="preserve">As at 14 February 2021, there were 28,868 COVID-19 cases including 909 deaths reported nationally, with two distinct peaks in March and July (Figure 1). In this reporting period, there were 69 cases and no deaths reported. On average, five cases were notified each day over this reporting period, a decrease from the average of six cases reported per day over the previous reporting period. The largest number of cases diagnosed this fortnight was from Victoria (33%; 23/69), followed by New South Wales (30%; 21/69) (Table 1). </w:t>
      </w:r>
    </w:p>
    <w:p w:rsidR="000C314D" w:rsidRDefault="000C314D" w:rsidP="00C3230D">
      <w:pPr>
        <w:pStyle w:val="CDIFigures"/>
      </w:pPr>
      <w:r>
        <w:t>Figure 1: COVID-19 notified cases by source of acquisition and diagnos</w:t>
      </w:r>
      <w:r w:rsidR="00DA6A0F">
        <w:t xml:space="preserve">is date, Australia, week ending </w:t>
      </w:r>
      <w:r>
        <w:t>14 February 2021</w:t>
      </w:r>
      <w:r w:rsidRPr="00BA72BE">
        <w:rPr>
          <w:vertAlign w:val="superscript"/>
        </w:rPr>
        <w:t>a</w:t>
      </w:r>
    </w:p>
    <w:p w:rsidR="000C314D" w:rsidRDefault="000C314D">
      <w:pPr>
        <w:pStyle w:val="NormalWeb"/>
      </w:pPr>
      <w:r>
        <w:rPr>
          <w:noProof/>
        </w:rPr>
        <w:drawing>
          <wp:inline distT="0" distB="0" distL="0" distR="0">
            <wp:extent cx="6625424" cy="4115744"/>
            <wp:effectExtent l="0" t="0" r="4445" b="0"/>
            <wp:docPr id="5" name="Picture 5" descr="A bar chart of new case notifications in Australia, by week of illness diagnosis and source of acquisition.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increased again in mid-December, though as of 14 February 2021, the numbers of new locally-acquired cases are again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chart of new case notifications in Australia, by week of illness diagnosis and source of acquisition.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increased again in mid-December, though as of 14 February 2021, the numbers of new locally-acquired cases are again lo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1633" cy="4119601"/>
                    </a:xfrm>
                    <a:prstGeom prst="rect">
                      <a:avLst/>
                    </a:prstGeom>
                  </pic:spPr>
                </pic:pic>
              </a:graphicData>
            </a:graphic>
          </wp:inline>
        </w:drawing>
      </w:r>
    </w:p>
    <w:p w:rsidR="000C314D" w:rsidRDefault="000C314D" w:rsidP="00C3230D">
      <w:r>
        <w:t>a</w:t>
      </w:r>
      <w:r>
        <w:tab/>
        <w:t>Source: NNDSS.</w:t>
      </w:r>
    </w:p>
    <w:p w:rsidR="00C3230D" w:rsidRDefault="00C3230D">
      <w:pPr>
        <w:rPr>
          <w:rFonts w:eastAsia="Times New Roman"/>
        </w:rPr>
      </w:pPr>
      <w:r>
        <w:rPr>
          <w:rFonts w:eastAsia="Times New Roman"/>
        </w:rPr>
        <w:br w:type="page"/>
      </w:r>
    </w:p>
    <w:p w:rsidR="00D216C6" w:rsidRDefault="00D216C6" w:rsidP="00D216C6">
      <w:pPr>
        <w:pStyle w:val="Heading2"/>
        <w:rPr>
          <w:rFonts w:eastAsia="Times New Roman"/>
        </w:rPr>
      </w:pPr>
      <w:r>
        <w:rPr>
          <w:rFonts w:eastAsia="Times New Roman"/>
        </w:rPr>
        <w:lastRenderedPageBreak/>
        <w:t>Source of acquisition</w:t>
      </w:r>
    </w:p>
    <w:p w:rsidR="000C314D" w:rsidRPr="00EE7449" w:rsidRDefault="000C314D" w:rsidP="00D216C6">
      <w:pPr>
        <w:pStyle w:val="Heading3"/>
        <w:rPr>
          <w:rFonts w:eastAsia="Times New Roman"/>
          <w:b w:val="0"/>
          <w:i/>
        </w:rPr>
      </w:pPr>
      <w:r w:rsidRPr="00EE7449">
        <w:rPr>
          <w:rFonts w:eastAsia="Times New Roman"/>
          <w:b w:val="0"/>
          <w:i/>
        </w:rPr>
        <w:t xml:space="preserve">(NNDSS) </w:t>
      </w:r>
    </w:p>
    <w:p w:rsidR="000C314D" w:rsidRDefault="000C314D" w:rsidP="00C3230D">
      <w:r>
        <w:t>In this reporting period, the majority of cases were reported as overseas acquired (78%; 54/69). Locally-acquired cases accounted for 20% (14/69) of cases this fortnight, an increase from the previous reporting period. At the end of this reporting period, one case linked to a hotel quarantine setting in Victoria was under investigation (Table 1).</w:t>
      </w:r>
    </w:p>
    <w:p w:rsidR="000C314D" w:rsidRDefault="000C314D" w:rsidP="00C3230D">
      <w:pPr>
        <w:pStyle w:val="CDIFigures"/>
      </w:pPr>
      <w:r>
        <w:t>Table 1: COVID-19 notifications by jurisdiction and source of acquisition, Australia, 1–14 February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for the current fortnightly reporting period. The largest number of new COVID-19 notifications (23/69) has been reported in Victoria,  eight of which were acquired overseas, 14 locally acquired with known source and one under investigation.  New South Wales reported 21 cases, all overseas acquired. Other jurisdictions reporting cases (all overseas acquired) this fortnight were South Australia (10), Queensland (7), Western Australia (4) and the Northern Territory (4). Tasmania and the Australian Capital Territory did not report any cases in this reporting period.&#10;"/>
      </w:tblPr>
      <w:tblGrid>
        <w:gridCol w:w="2353"/>
        <w:gridCol w:w="857"/>
        <w:gridCol w:w="858"/>
        <w:gridCol w:w="857"/>
        <w:gridCol w:w="858"/>
        <w:gridCol w:w="858"/>
        <w:gridCol w:w="857"/>
        <w:gridCol w:w="858"/>
        <w:gridCol w:w="858"/>
        <w:gridCol w:w="1226"/>
      </w:tblGrid>
      <w:tr w:rsidR="00F5662E" w:rsidRPr="00F5662E" w:rsidTr="00C3327E">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rsidR="000C314D" w:rsidRPr="00F5662E" w:rsidRDefault="000C314D">
            <w:pPr>
              <w:pStyle w:val="NormalWeb"/>
              <w:rPr>
                <w:color w:val="FFFFFF" w:themeColor="background1"/>
              </w:rPr>
            </w:pPr>
            <w:r w:rsidRPr="00F5662E">
              <w:rPr>
                <w:color w:val="FFFFFF" w:themeColor="background1"/>
              </w:rPr>
              <w:t>Source</w:t>
            </w:r>
          </w:p>
        </w:tc>
        <w:tc>
          <w:tcPr>
            <w:tcW w:w="857"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NSW</w:t>
            </w:r>
          </w:p>
        </w:tc>
        <w:tc>
          <w:tcPr>
            <w:tcW w:w="858"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Vic.</w:t>
            </w:r>
          </w:p>
        </w:tc>
        <w:tc>
          <w:tcPr>
            <w:tcW w:w="857"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Qld</w:t>
            </w:r>
          </w:p>
        </w:tc>
        <w:tc>
          <w:tcPr>
            <w:tcW w:w="858"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WA</w:t>
            </w:r>
          </w:p>
        </w:tc>
        <w:tc>
          <w:tcPr>
            <w:tcW w:w="858"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SA</w:t>
            </w:r>
          </w:p>
        </w:tc>
        <w:tc>
          <w:tcPr>
            <w:tcW w:w="857"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Tas.</w:t>
            </w:r>
          </w:p>
        </w:tc>
        <w:tc>
          <w:tcPr>
            <w:tcW w:w="858"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NT</w:t>
            </w:r>
          </w:p>
        </w:tc>
        <w:tc>
          <w:tcPr>
            <w:tcW w:w="858" w:type="dxa"/>
            <w:tcBorders>
              <w:left w:val="single" w:sz="2" w:space="0" w:color="FFFFFF" w:themeColor="background1"/>
              <w:righ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ACT</w:t>
            </w:r>
          </w:p>
        </w:tc>
        <w:tc>
          <w:tcPr>
            <w:tcW w:w="1226" w:type="dxa"/>
            <w:tcBorders>
              <w:left w:val="single" w:sz="2" w:space="0" w:color="FFFFFF" w:themeColor="background1"/>
            </w:tcBorders>
            <w:hideMark/>
          </w:tcPr>
          <w:p w:rsidR="000C314D" w:rsidRPr="00F5662E" w:rsidRDefault="000C314D" w:rsidP="00F5662E">
            <w:pPr>
              <w:pStyle w:val="NormalWeb"/>
              <w:jc w:val="center"/>
              <w:rPr>
                <w:color w:val="FFFFFF" w:themeColor="background1"/>
              </w:rPr>
            </w:pPr>
            <w:r w:rsidRPr="00F5662E">
              <w:rPr>
                <w:color w:val="FFFFFF" w:themeColor="background1"/>
              </w:rPr>
              <w:t>Australia</w:t>
            </w:r>
          </w:p>
        </w:tc>
      </w:tr>
      <w:tr w:rsidR="000C314D" w:rsidTr="00F5662E">
        <w:tc>
          <w:tcPr>
            <w:tcW w:w="0" w:type="auto"/>
            <w:hideMark/>
          </w:tcPr>
          <w:p w:rsidR="000C314D" w:rsidRDefault="000C314D">
            <w:pPr>
              <w:pStyle w:val="NormalWeb"/>
            </w:pPr>
            <w:r>
              <w:t>Overseas</w:t>
            </w:r>
          </w:p>
        </w:tc>
        <w:tc>
          <w:tcPr>
            <w:tcW w:w="857" w:type="dxa"/>
            <w:hideMark/>
          </w:tcPr>
          <w:p w:rsidR="000C314D" w:rsidRDefault="000C314D" w:rsidP="00F5662E">
            <w:pPr>
              <w:pStyle w:val="NormalWeb"/>
              <w:jc w:val="center"/>
            </w:pPr>
            <w:r>
              <w:t>21</w:t>
            </w:r>
          </w:p>
        </w:tc>
        <w:tc>
          <w:tcPr>
            <w:tcW w:w="858" w:type="dxa"/>
            <w:hideMark/>
          </w:tcPr>
          <w:p w:rsidR="000C314D" w:rsidRDefault="000C314D" w:rsidP="00F5662E">
            <w:pPr>
              <w:pStyle w:val="NormalWeb"/>
              <w:jc w:val="center"/>
            </w:pPr>
            <w:r>
              <w:t>8</w:t>
            </w:r>
          </w:p>
        </w:tc>
        <w:tc>
          <w:tcPr>
            <w:tcW w:w="857" w:type="dxa"/>
            <w:hideMark/>
          </w:tcPr>
          <w:p w:rsidR="000C314D" w:rsidRDefault="000C314D" w:rsidP="00F5662E">
            <w:pPr>
              <w:pStyle w:val="NormalWeb"/>
              <w:jc w:val="center"/>
            </w:pPr>
            <w:r>
              <w:t>7</w:t>
            </w:r>
          </w:p>
        </w:tc>
        <w:tc>
          <w:tcPr>
            <w:tcW w:w="858" w:type="dxa"/>
            <w:hideMark/>
          </w:tcPr>
          <w:p w:rsidR="000C314D" w:rsidRDefault="000C314D" w:rsidP="00F5662E">
            <w:pPr>
              <w:pStyle w:val="NormalWeb"/>
              <w:jc w:val="center"/>
            </w:pPr>
            <w:r>
              <w:t>4</w:t>
            </w:r>
          </w:p>
        </w:tc>
        <w:tc>
          <w:tcPr>
            <w:tcW w:w="858" w:type="dxa"/>
            <w:hideMark/>
          </w:tcPr>
          <w:p w:rsidR="000C314D" w:rsidRDefault="000C314D" w:rsidP="00F5662E">
            <w:pPr>
              <w:pStyle w:val="NormalWeb"/>
              <w:jc w:val="center"/>
            </w:pPr>
            <w:r>
              <w:t>10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4</w:t>
            </w:r>
          </w:p>
        </w:tc>
        <w:tc>
          <w:tcPr>
            <w:tcW w:w="858" w:type="dxa"/>
            <w:hideMark/>
          </w:tcPr>
          <w:p w:rsidR="000C314D" w:rsidRDefault="000C314D" w:rsidP="00F5662E">
            <w:pPr>
              <w:pStyle w:val="NormalWeb"/>
              <w:jc w:val="center"/>
            </w:pPr>
            <w:r>
              <w:t>0</w:t>
            </w:r>
          </w:p>
        </w:tc>
        <w:tc>
          <w:tcPr>
            <w:tcW w:w="1226" w:type="dxa"/>
            <w:hideMark/>
          </w:tcPr>
          <w:p w:rsidR="000C314D" w:rsidRDefault="000C314D" w:rsidP="00F5662E">
            <w:pPr>
              <w:pStyle w:val="NormalWeb"/>
              <w:jc w:val="center"/>
            </w:pPr>
            <w:r>
              <w:t>54</w:t>
            </w:r>
          </w:p>
        </w:tc>
      </w:tr>
      <w:tr w:rsidR="00F5662E" w:rsidTr="00F5662E">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Local — source known</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14</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1226" w:type="dxa"/>
            <w:hideMark/>
          </w:tcPr>
          <w:p w:rsidR="000C314D" w:rsidRDefault="000C314D" w:rsidP="00F5662E">
            <w:pPr>
              <w:pStyle w:val="NormalWeb"/>
              <w:jc w:val="center"/>
            </w:pPr>
            <w:r>
              <w:t>14</w:t>
            </w:r>
          </w:p>
        </w:tc>
      </w:tr>
      <w:tr w:rsidR="000C314D" w:rsidTr="00F5662E">
        <w:tc>
          <w:tcPr>
            <w:tcW w:w="0" w:type="auto"/>
            <w:hideMark/>
          </w:tcPr>
          <w:p w:rsidR="000C314D" w:rsidRDefault="000C314D">
            <w:pPr>
              <w:pStyle w:val="NormalWeb"/>
            </w:pPr>
            <w:r>
              <w:t>Local — source unknown</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1226" w:type="dxa"/>
            <w:hideMark/>
          </w:tcPr>
          <w:p w:rsidR="000C314D" w:rsidRDefault="000C314D" w:rsidP="00F5662E">
            <w:pPr>
              <w:pStyle w:val="NormalWeb"/>
              <w:jc w:val="center"/>
            </w:pPr>
            <w:r>
              <w:t>0</w:t>
            </w:r>
          </w:p>
        </w:tc>
      </w:tr>
      <w:tr w:rsidR="00F5662E" w:rsidTr="00F5662E">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Local — interstate</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1226" w:type="dxa"/>
            <w:hideMark/>
          </w:tcPr>
          <w:p w:rsidR="000C314D" w:rsidRDefault="000C314D" w:rsidP="00F5662E">
            <w:pPr>
              <w:pStyle w:val="NormalWeb"/>
              <w:jc w:val="center"/>
            </w:pPr>
            <w:r>
              <w:t>0</w:t>
            </w:r>
          </w:p>
        </w:tc>
      </w:tr>
      <w:tr w:rsidR="000C314D" w:rsidTr="00F5662E">
        <w:tc>
          <w:tcPr>
            <w:tcW w:w="0" w:type="auto"/>
            <w:hideMark/>
          </w:tcPr>
          <w:p w:rsidR="000C314D" w:rsidRDefault="000C314D">
            <w:pPr>
              <w:pStyle w:val="NormalWeb"/>
            </w:pPr>
            <w:r>
              <w:t>Under investigation</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1</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7"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858" w:type="dxa"/>
            <w:hideMark/>
          </w:tcPr>
          <w:p w:rsidR="000C314D" w:rsidRDefault="000C314D" w:rsidP="00F5662E">
            <w:pPr>
              <w:pStyle w:val="NormalWeb"/>
              <w:jc w:val="center"/>
            </w:pPr>
            <w:r>
              <w:t>0</w:t>
            </w:r>
          </w:p>
        </w:tc>
        <w:tc>
          <w:tcPr>
            <w:tcW w:w="1226" w:type="dxa"/>
            <w:hideMark/>
          </w:tcPr>
          <w:p w:rsidR="000C314D" w:rsidRDefault="000C314D" w:rsidP="00F5662E">
            <w:pPr>
              <w:pStyle w:val="NormalWeb"/>
              <w:jc w:val="center"/>
            </w:pPr>
            <w:r>
              <w:t>1</w:t>
            </w:r>
          </w:p>
        </w:tc>
      </w:tr>
      <w:tr w:rsidR="00F5662E" w:rsidRPr="00907D81" w:rsidTr="00907D81">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0C314D" w:rsidRPr="00907D81" w:rsidRDefault="000C314D">
            <w:pPr>
              <w:pStyle w:val="NormalWeb"/>
              <w:rPr>
                <w:b/>
              </w:rPr>
            </w:pPr>
            <w:r w:rsidRPr="00907D81">
              <w:rPr>
                <w:b/>
              </w:rPr>
              <w:t>Total</w:t>
            </w:r>
          </w:p>
        </w:tc>
        <w:tc>
          <w:tcPr>
            <w:tcW w:w="857" w:type="dxa"/>
            <w:shd w:val="clear" w:color="auto" w:fill="FDE9D9" w:themeFill="accent6" w:themeFillTint="33"/>
            <w:hideMark/>
          </w:tcPr>
          <w:p w:rsidR="000C314D" w:rsidRPr="00907D81" w:rsidRDefault="000C314D" w:rsidP="00F5662E">
            <w:pPr>
              <w:pStyle w:val="NormalWeb"/>
              <w:jc w:val="center"/>
              <w:rPr>
                <w:b/>
              </w:rPr>
            </w:pPr>
            <w:r w:rsidRPr="00907D81">
              <w:rPr>
                <w:b/>
              </w:rPr>
              <w:t>21</w:t>
            </w:r>
          </w:p>
        </w:tc>
        <w:tc>
          <w:tcPr>
            <w:tcW w:w="858" w:type="dxa"/>
            <w:shd w:val="clear" w:color="auto" w:fill="FDE9D9" w:themeFill="accent6" w:themeFillTint="33"/>
            <w:hideMark/>
          </w:tcPr>
          <w:p w:rsidR="000C314D" w:rsidRPr="00907D81" w:rsidRDefault="000C314D" w:rsidP="00F5662E">
            <w:pPr>
              <w:pStyle w:val="NormalWeb"/>
              <w:jc w:val="center"/>
              <w:rPr>
                <w:b/>
              </w:rPr>
            </w:pPr>
            <w:r w:rsidRPr="00907D81">
              <w:rPr>
                <w:b/>
              </w:rPr>
              <w:t>23</w:t>
            </w:r>
          </w:p>
        </w:tc>
        <w:tc>
          <w:tcPr>
            <w:tcW w:w="857" w:type="dxa"/>
            <w:shd w:val="clear" w:color="auto" w:fill="FDE9D9" w:themeFill="accent6" w:themeFillTint="33"/>
            <w:hideMark/>
          </w:tcPr>
          <w:p w:rsidR="000C314D" w:rsidRPr="00907D81" w:rsidRDefault="000C314D" w:rsidP="00F5662E">
            <w:pPr>
              <w:pStyle w:val="NormalWeb"/>
              <w:jc w:val="center"/>
              <w:rPr>
                <w:b/>
              </w:rPr>
            </w:pPr>
            <w:r w:rsidRPr="00907D81">
              <w:rPr>
                <w:b/>
              </w:rPr>
              <w:t>7</w:t>
            </w:r>
          </w:p>
        </w:tc>
        <w:tc>
          <w:tcPr>
            <w:tcW w:w="858" w:type="dxa"/>
            <w:shd w:val="clear" w:color="auto" w:fill="FDE9D9" w:themeFill="accent6" w:themeFillTint="33"/>
            <w:hideMark/>
          </w:tcPr>
          <w:p w:rsidR="000C314D" w:rsidRPr="00907D81" w:rsidRDefault="000C314D" w:rsidP="00F5662E">
            <w:pPr>
              <w:pStyle w:val="NormalWeb"/>
              <w:jc w:val="center"/>
              <w:rPr>
                <w:b/>
              </w:rPr>
            </w:pPr>
            <w:r w:rsidRPr="00907D81">
              <w:rPr>
                <w:b/>
              </w:rPr>
              <w:t>4</w:t>
            </w:r>
          </w:p>
        </w:tc>
        <w:tc>
          <w:tcPr>
            <w:tcW w:w="858" w:type="dxa"/>
            <w:shd w:val="clear" w:color="auto" w:fill="FDE9D9" w:themeFill="accent6" w:themeFillTint="33"/>
            <w:hideMark/>
          </w:tcPr>
          <w:p w:rsidR="000C314D" w:rsidRPr="00907D81" w:rsidRDefault="000C314D" w:rsidP="00F5662E">
            <w:pPr>
              <w:pStyle w:val="NormalWeb"/>
              <w:jc w:val="center"/>
              <w:rPr>
                <w:b/>
              </w:rPr>
            </w:pPr>
            <w:r w:rsidRPr="00907D81">
              <w:rPr>
                <w:b/>
              </w:rPr>
              <w:t>10</w:t>
            </w:r>
          </w:p>
        </w:tc>
        <w:tc>
          <w:tcPr>
            <w:tcW w:w="857" w:type="dxa"/>
            <w:shd w:val="clear" w:color="auto" w:fill="FDE9D9" w:themeFill="accent6" w:themeFillTint="33"/>
            <w:hideMark/>
          </w:tcPr>
          <w:p w:rsidR="000C314D" w:rsidRPr="00907D81" w:rsidRDefault="000C314D" w:rsidP="00F5662E">
            <w:pPr>
              <w:pStyle w:val="NormalWeb"/>
              <w:jc w:val="center"/>
              <w:rPr>
                <w:b/>
              </w:rPr>
            </w:pPr>
            <w:r w:rsidRPr="00907D81">
              <w:rPr>
                <w:b/>
              </w:rPr>
              <w:t>0</w:t>
            </w:r>
          </w:p>
        </w:tc>
        <w:tc>
          <w:tcPr>
            <w:tcW w:w="858" w:type="dxa"/>
            <w:shd w:val="clear" w:color="auto" w:fill="FDE9D9" w:themeFill="accent6" w:themeFillTint="33"/>
            <w:hideMark/>
          </w:tcPr>
          <w:p w:rsidR="000C314D" w:rsidRPr="00907D81" w:rsidRDefault="000C314D" w:rsidP="00F5662E">
            <w:pPr>
              <w:pStyle w:val="NormalWeb"/>
              <w:jc w:val="center"/>
              <w:rPr>
                <w:b/>
              </w:rPr>
            </w:pPr>
            <w:r w:rsidRPr="00907D81">
              <w:rPr>
                <w:b/>
              </w:rPr>
              <w:t>4</w:t>
            </w:r>
          </w:p>
        </w:tc>
        <w:tc>
          <w:tcPr>
            <w:tcW w:w="858" w:type="dxa"/>
            <w:shd w:val="clear" w:color="auto" w:fill="FDE9D9" w:themeFill="accent6" w:themeFillTint="33"/>
            <w:hideMark/>
          </w:tcPr>
          <w:p w:rsidR="000C314D" w:rsidRPr="00907D81" w:rsidRDefault="000C314D" w:rsidP="00F5662E">
            <w:pPr>
              <w:pStyle w:val="NormalWeb"/>
              <w:jc w:val="center"/>
              <w:rPr>
                <w:b/>
              </w:rPr>
            </w:pPr>
            <w:r w:rsidRPr="00907D81">
              <w:rPr>
                <w:b/>
              </w:rPr>
              <w:t>0</w:t>
            </w:r>
          </w:p>
        </w:tc>
        <w:tc>
          <w:tcPr>
            <w:tcW w:w="1226" w:type="dxa"/>
            <w:shd w:val="clear" w:color="auto" w:fill="FDE9D9" w:themeFill="accent6" w:themeFillTint="33"/>
            <w:hideMark/>
          </w:tcPr>
          <w:p w:rsidR="000C314D" w:rsidRPr="00907D81" w:rsidRDefault="000C314D" w:rsidP="00F5662E">
            <w:pPr>
              <w:pStyle w:val="NormalWeb"/>
              <w:jc w:val="center"/>
              <w:rPr>
                <w:b/>
              </w:rPr>
            </w:pPr>
            <w:r w:rsidRPr="00907D81">
              <w:rPr>
                <w:b/>
              </w:rPr>
              <w:t>69</w:t>
            </w:r>
          </w:p>
        </w:tc>
      </w:tr>
    </w:tbl>
    <w:p w:rsidR="000C314D" w:rsidRDefault="000C314D">
      <w:pPr>
        <w:pStyle w:val="NormalWeb"/>
      </w:pPr>
      <w:r>
        <w:t>Cumulatively, the infection rate for all locally-acquired cases is highest in Victoria with 294 infections per 100,000 population (Table 2). The rate of infection in Tasmania is 27.9 infections per 100,000 population, largely as a result of an outbreak in North West Tasmanian hospitals in April 2020, which represented half of all their cases. Nationally, it has been 30 days since there was a locally-acquired case of unknown source (Table 3).</w:t>
      </w:r>
    </w:p>
    <w:p w:rsidR="000C314D" w:rsidRDefault="000C314D" w:rsidP="002A54B5">
      <w:pPr>
        <w:pStyle w:val="CDIFigures"/>
      </w:pPr>
      <w:r>
        <w:t>Table 2: Locally-acquired COVID-19 case numbers and rates per 100,000 population by jurisdiction and reporting period, Australia, 14 February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the current two-week reporting period, the previous two-week reporting period, and the cumulative case numbers and rates per 100,000 population for each jurisdiction. For this reporting period, there were 14 locally-acquired cases, all in Victoria. This compares with four locally-acquired cases in the previous reporting period, two in Victoria and one each in New South Wales and Western Australia. Victoria has the highest cumulative number of locally-acquired cases (19,404) and the highest cumulative locally-acquired case rate (294.3 cases per 100,000 population). Nationwide, the cumulative locally-acquired case rate is 88.1 cases per 100,000 population.&#10;"/>
      </w:tblPr>
      <w:tblGrid>
        <w:gridCol w:w="1156"/>
        <w:gridCol w:w="2105"/>
        <w:gridCol w:w="1842"/>
        <w:gridCol w:w="2291"/>
        <w:gridCol w:w="3072"/>
      </w:tblGrid>
      <w:tr w:rsidR="000C314D" w:rsidTr="00DA6A0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0C314D" w:rsidRPr="00496E10" w:rsidRDefault="000C314D">
            <w:pPr>
              <w:pStyle w:val="NormalWeb"/>
              <w:rPr>
                <w:color w:val="FFFFFF" w:themeColor="background1"/>
              </w:rPr>
            </w:pPr>
            <w:r w:rsidRPr="00496E10">
              <w:rPr>
                <w:color w:val="FFFFFF" w:themeColor="background1"/>
              </w:rPr>
              <w:t>Jurisdiction</w:t>
            </w:r>
          </w:p>
        </w:tc>
        <w:tc>
          <w:tcPr>
            <w:tcW w:w="3947" w:type="dxa"/>
            <w:gridSpan w:val="2"/>
            <w:tcBorders>
              <w:left w:val="single" w:sz="2" w:space="0" w:color="FFFFFF" w:themeColor="background1"/>
              <w:bottom w:val="single" w:sz="2" w:space="0" w:color="FFFFFF" w:themeColor="background1"/>
              <w:righ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Reporting period</w:t>
            </w:r>
            <w:r w:rsidR="0031219E">
              <w:rPr>
                <w:color w:val="FFFFFF" w:themeColor="background1"/>
              </w:rPr>
              <w:br/>
            </w:r>
            <w:r w:rsidRPr="00496E10">
              <w:rPr>
                <w:color w:val="FFFFFF" w:themeColor="background1"/>
              </w:rPr>
              <w:t>18–31 January 2021</w:t>
            </w:r>
          </w:p>
        </w:tc>
        <w:tc>
          <w:tcPr>
            <w:tcW w:w="2291" w:type="dxa"/>
            <w:tcBorders>
              <w:left w:val="single" w:sz="2" w:space="0" w:color="FFFFFF" w:themeColor="background1"/>
              <w:bottom w:val="single" w:sz="2" w:space="0" w:color="FFFFFF" w:themeColor="background1"/>
              <w:righ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Reporting period</w:t>
            </w:r>
            <w:r w:rsidR="0031219E">
              <w:rPr>
                <w:color w:val="FFFFFF" w:themeColor="background1"/>
              </w:rPr>
              <w:br/>
            </w:r>
            <w:r w:rsidRPr="00496E10">
              <w:rPr>
                <w:color w:val="FFFFFF" w:themeColor="background1"/>
              </w:rPr>
              <w:t>1–14 February 2021</w:t>
            </w:r>
          </w:p>
        </w:tc>
        <w:tc>
          <w:tcPr>
            <w:tcW w:w="3072" w:type="dxa"/>
            <w:tcBorders>
              <w:left w:val="single" w:sz="2" w:space="0" w:color="FFFFFF" w:themeColor="background1"/>
              <w:bottom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Cumulative cases</w:t>
            </w:r>
            <w:r w:rsidR="0031219E">
              <w:rPr>
                <w:color w:val="FFFFFF" w:themeColor="background1"/>
              </w:rPr>
              <w:br/>
            </w:r>
            <w:r w:rsidRPr="00496E10">
              <w:rPr>
                <w:color w:val="FFFFFF" w:themeColor="background1"/>
              </w:rPr>
              <w:t>23 January 2020 – 14 February 2021</w:t>
            </w:r>
          </w:p>
        </w:tc>
      </w:tr>
      <w:tr w:rsidR="00DA6A0F" w:rsidTr="00DA6A0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0C314D" w:rsidRPr="00496E10" w:rsidRDefault="000C314D">
            <w:pPr>
              <w:rPr>
                <w:color w:val="FFFFFF" w:themeColor="background1"/>
                <w:sz w:val="24"/>
                <w:szCs w:val="24"/>
              </w:rPr>
            </w:pPr>
          </w:p>
        </w:tc>
        <w:tc>
          <w:tcPr>
            <w:tcW w:w="2105" w:type="dxa"/>
            <w:tcBorders>
              <w:top w:val="single" w:sz="2" w:space="0" w:color="FFFFFF" w:themeColor="background1"/>
              <w:left w:val="single" w:sz="2" w:space="0" w:color="FFFFFF" w:themeColor="background1"/>
              <w:righ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Number of cases</w:t>
            </w:r>
          </w:p>
        </w:tc>
        <w:tc>
          <w:tcPr>
            <w:tcW w:w="1842" w:type="dxa"/>
            <w:tcBorders>
              <w:top w:val="single" w:sz="2" w:space="0" w:color="FFFFFF" w:themeColor="background1"/>
              <w:left w:val="single" w:sz="2" w:space="0" w:color="FFFFFF" w:themeColor="background1"/>
              <w:righ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Number of cases</w:t>
            </w:r>
          </w:p>
        </w:tc>
        <w:tc>
          <w:tcPr>
            <w:tcW w:w="2291" w:type="dxa"/>
            <w:tcBorders>
              <w:top w:val="single" w:sz="2" w:space="0" w:color="FFFFFF" w:themeColor="background1"/>
              <w:left w:val="single" w:sz="2" w:space="0" w:color="FFFFFF" w:themeColor="background1"/>
              <w:righ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Number of cases</w:t>
            </w:r>
          </w:p>
        </w:tc>
        <w:tc>
          <w:tcPr>
            <w:tcW w:w="3072" w:type="dxa"/>
            <w:tcBorders>
              <w:top w:val="single" w:sz="2" w:space="0" w:color="FFFFFF" w:themeColor="background1"/>
              <w:left w:val="single" w:sz="2" w:space="0" w:color="FFFFFF" w:themeColor="background1"/>
            </w:tcBorders>
            <w:hideMark/>
          </w:tcPr>
          <w:p w:rsidR="000C314D" w:rsidRPr="00496E10" w:rsidRDefault="000C314D" w:rsidP="00496E10">
            <w:pPr>
              <w:pStyle w:val="NormalWeb"/>
              <w:jc w:val="center"/>
              <w:rPr>
                <w:color w:val="FFFFFF" w:themeColor="background1"/>
              </w:rPr>
            </w:pPr>
            <w:r w:rsidRPr="00496E10">
              <w:rPr>
                <w:color w:val="FFFFFF" w:themeColor="background1"/>
              </w:rPr>
              <w:t>Rate per 100,000 population</w:t>
            </w:r>
          </w:p>
        </w:tc>
      </w:tr>
      <w:tr w:rsidR="00DA6A0F" w:rsidTr="00DA6A0F">
        <w:tc>
          <w:tcPr>
            <w:tcW w:w="0" w:type="auto"/>
            <w:hideMark/>
          </w:tcPr>
          <w:p w:rsidR="000C314D" w:rsidRDefault="000C314D">
            <w:pPr>
              <w:pStyle w:val="NormalWeb"/>
            </w:pPr>
            <w:r>
              <w:t>NSW</w:t>
            </w:r>
            <w:r w:rsidRPr="00496E10">
              <w:rPr>
                <w:vertAlign w:val="superscript"/>
              </w:rPr>
              <w:t>a</w:t>
            </w:r>
          </w:p>
        </w:tc>
        <w:tc>
          <w:tcPr>
            <w:tcW w:w="2105" w:type="dxa"/>
            <w:hideMark/>
          </w:tcPr>
          <w:p w:rsidR="000C314D" w:rsidRDefault="000C314D" w:rsidP="00496E10">
            <w:pPr>
              <w:pStyle w:val="NormalWeb"/>
              <w:jc w:val="center"/>
            </w:pPr>
            <w:r>
              <w:t>1</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2,176</w:t>
            </w:r>
          </w:p>
        </w:tc>
        <w:tc>
          <w:tcPr>
            <w:tcW w:w="3072" w:type="dxa"/>
            <w:hideMark/>
          </w:tcPr>
          <w:p w:rsidR="000C314D" w:rsidRDefault="000C314D" w:rsidP="00496E10">
            <w:pPr>
              <w:pStyle w:val="NormalWeb"/>
              <w:jc w:val="center"/>
            </w:pPr>
            <w:r>
              <w:t>26.9</w:t>
            </w:r>
          </w:p>
        </w:tc>
      </w:tr>
      <w:tr w:rsidR="000C314D" w:rsidTr="00DA6A0F">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Vic.</w:t>
            </w:r>
          </w:p>
        </w:tc>
        <w:tc>
          <w:tcPr>
            <w:tcW w:w="2105" w:type="dxa"/>
            <w:hideMark/>
          </w:tcPr>
          <w:p w:rsidR="000C314D" w:rsidRDefault="000C314D" w:rsidP="00496E10">
            <w:pPr>
              <w:pStyle w:val="NormalWeb"/>
              <w:jc w:val="center"/>
            </w:pPr>
            <w:r>
              <w:t>2</w:t>
            </w:r>
          </w:p>
        </w:tc>
        <w:tc>
          <w:tcPr>
            <w:tcW w:w="1842" w:type="dxa"/>
            <w:hideMark/>
          </w:tcPr>
          <w:p w:rsidR="000C314D" w:rsidRDefault="000C314D" w:rsidP="00496E10">
            <w:pPr>
              <w:pStyle w:val="NormalWeb"/>
              <w:jc w:val="center"/>
            </w:pPr>
            <w:r>
              <w:t>14</w:t>
            </w:r>
          </w:p>
        </w:tc>
        <w:tc>
          <w:tcPr>
            <w:tcW w:w="2291" w:type="dxa"/>
            <w:hideMark/>
          </w:tcPr>
          <w:p w:rsidR="000C314D" w:rsidRDefault="000C314D" w:rsidP="00496E10">
            <w:pPr>
              <w:pStyle w:val="NormalWeb"/>
              <w:jc w:val="center"/>
            </w:pPr>
            <w:r>
              <w:t>19,404</w:t>
            </w:r>
          </w:p>
        </w:tc>
        <w:tc>
          <w:tcPr>
            <w:tcW w:w="3072" w:type="dxa"/>
            <w:hideMark/>
          </w:tcPr>
          <w:p w:rsidR="000C314D" w:rsidRDefault="000C314D" w:rsidP="00496E10">
            <w:pPr>
              <w:pStyle w:val="NormalWeb"/>
              <w:jc w:val="center"/>
            </w:pPr>
            <w:r>
              <w:t>294.3</w:t>
            </w:r>
          </w:p>
        </w:tc>
      </w:tr>
      <w:tr w:rsidR="00DA6A0F" w:rsidTr="00DA6A0F">
        <w:tc>
          <w:tcPr>
            <w:tcW w:w="0" w:type="auto"/>
            <w:hideMark/>
          </w:tcPr>
          <w:p w:rsidR="000C314D" w:rsidRDefault="000C314D">
            <w:pPr>
              <w:pStyle w:val="NormalWeb"/>
            </w:pPr>
            <w:r>
              <w:t>Qld</w:t>
            </w:r>
          </w:p>
        </w:tc>
        <w:tc>
          <w:tcPr>
            <w:tcW w:w="2105" w:type="dxa"/>
            <w:hideMark/>
          </w:tcPr>
          <w:p w:rsidR="000C314D" w:rsidRDefault="000C314D" w:rsidP="00496E10">
            <w:pPr>
              <w:pStyle w:val="NormalWeb"/>
              <w:jc w:val="center"/>
            </w:pPr>
            <w:r>
              <w:t>0</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302</w:t>
            </w:r>
          </w:p>
        </w:tc>
        <w:tc>
          <w:tcPr>
            <w:tcW w:w="3072" w:type="dxa"/>
            <w:hideMark/>
          </w:tcPr>
          <w:p w:rsidR="000C314D" w:rsidRDefault="000C314D" w:rsidP="00496E10">
            <w:pPr>
              <w:pStyle w:val="NormalWeb"/>
              <w:jc w:val="center"/>
            </w:pPr>
            <w:r>
              <w:t>5.9</w:t>
            </w:r>
          </w:p>
        </w:tc>
      </w:tr>
      <w:tr w:rsidR="000C314D" w:rsidTr="00DA6A0F">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WA</w:t>
            </w:r>
          </w:p>
        </w:tc>
        <w:tc>
          <w:tcPr>
            <w:tcW w:w="2105" w:type="dxa"/>
            <w:hideMark/>
          </w:tcPr>
          <w:p w:rsidR="000C314D" w:rsidRDefault="000C314D" w:rsidP="00496E10">
            <w:pPr>
              <w:pStyle w:val="NormalWeb"/>
              <w:jc w:val="center"/>
            </w:pPr>
            <w:r>
              <w:t>1</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99</w:t>
            </w:r>
          </w:p>
        </w:tc>
        <w:tc>
          <w:tcPr>
            <w:tcW w:w="3072" w:type="dxa"/>
            <w:hideMark/>
          </w:tcPr>
          <w:p w:rsidR="000C314D" w:rsidRDefault="000C314D" w:rsidP="00496E10">
            <w:pPr>
              <w:pStyle w:val="NormalWeb"/>
              <w:jc w:val="center"/>
            </w:pPr>
            <w:r>
              <w:t>3.8</w:t>
            </w:r>
          </w:p>
        </w:tc>
      </w:tr>
      <w:tr w:rsidR="00DA6A0F" w:rsidTr="00DA6A0F">
        <w:tc>
          <w:tcPr>
            <w:tcW w:w="0" w:type="auto"/>
            <w:hideMark/>
          </w:tcPr>
          <w:p w:rsidR="000C314D" w:rsidRDefault="000C314D">
            <w:pPr>
              <w:pStyle w:val="NormalWeb"/>
            </w:pPr>
            <w:r>
              <w:t>SA</w:t>
            </w:r>
          </w:p>
        </w:tc>
        <w:tc>
          <w:tcPr>
            <w:tcW w:w="2105" w:type="dxa"/>
            <w:hideMark/>
          </w:tcPr>
          <w:p w:rsidR="000C314D" w:rsidRDefault="000C314D" w:rsidP="00496E10">
            <w:pPr>
              <w:pStyle w:val="NormalWeb"/>
              <w:jc w:val="center"/>
            </w:pPr>
            <w:r>
              <w:t>0</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184</w:t>
            </w:r>
          </w:p>
        </w:tc>
        <w:tc>
          <w:tcPr>
            <w:tcW w:w="3072" w:type="dxa"/>
            <w:hideMark/>
          </w:tcPr>
          <w:p w:rsidR="000C314D" w:rsidRDefault="000C314D" w:rsidP="00496E10">
            <w:pPr>
              <w:pStyle w:val="NormalWeb"/>
              <w:jc w:val="center"/>
            </w:pPr>
            <w:r>
              <w:t>10.5</w:t>
            </w:r>
          </w:p>
        </w:tc>
      </w:tr>
      <w:tr w:rsidR="000C314D" w:rsidTr="00DA6A0F">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Tas.</w:t>
            </w:r>
          </w:p>
        </w:tc>
        <w:tc>
          <w:tcPr>
            <w:tcW w:w="2105" w:type="dxa"/>
            <w:hideMark/>
          </w:tcPr>
          <w:p w:rsidR="000C314D" w:rsidRDefault="000C314D" w:rsidP="00496E10">
            <w:pPr>
              <w:pStyle w:val="NormalWeb"/>
              <w:jc w:val="center"/>
            </w:pPr>
            <w:r>
              <w:t>0</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149</w:t>
            </w:r>
          </w:p>
        </w:tc>
        <w:tc>
          <w:tcPr>
            <w:tcW w:w="3072" w:type="dxa"/>
            <w:hideMark/>
          </w:tcPr>
          <w:p w:rsidR="000C314D" w:rsidRDefault="000C314D" w:rsidP="00496E10">
            <w:pPr>
              <w:pStyle w:val="NormalWeb"/>
              <w:jc w:val="center"/>
            </w:pPr>
            <w:r>
              <w:t>27.9</w:t>
            </w:r>
          </w:p>
        </w:tc>
      </w:tr>
      <w:tr w:rsidR="00DA6A0F" w:rsidTr="00DA6A0F">
        <w:tc>
          <w:tcPr>
            <w:tcW w:w="0" w:type="auto"/>
            <w:hideMark/>
          </w:tcPr>
          <w:p w:rsidR="000C314D" w:rsidRDefault="000C314D">
            <w:pPr>
              <w:pStyle w:val="NormalWeb"/>
            </w:pPr>
            <w:r>
              <w:t>NT</w:t>
            </w:r>
          </w:p>
        </w:tc>
        <w:tc>
          <w:tcPr>
            <w:tcW w:w="2105" w:type="dxa"/>
            <w:hideMark/>
          </w:tcPr>
          <w:p w:rsidR="000C314D" w:rsidRDefault="000C314D" w:rsidP="00496E10">
            <w:pPr>
              <w:pStyle w:val="NormalWeb"/>
              <w:jc w:val="center"/>
            </w:pPr>
            <w:r>
              <w:t>0</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4</w:t>
            </w:r>
          </w:p>
        </w:tc>
        <w:tc>
          <w:tcPr>
            <w:tcW w:w="3072" w:type="dxa"/>
            <w:hideMark/>
          </w:tcPr>
          <w:p w:rsidR="000C314D" w:rsidRDefault="000C314D" w:rsidP="00496E10">
            <w:pPr>
              <w:pStyle w:val="NormalWeb"/>
              <w:jc w:val="center"/>
            </w:pPr>
            <w:r>
              <w:t>1.6</w:t>
            </w:r>
          </w:p>
        </w:tc>
      </w:tr>
      <w:tr w:rsidR="000C314D" w:rsidTr="00DA6A0F">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ACT</w:t>
            </w:r>
          </w:p>
        </w:tc>
        <w:tc>
          <w:tcPr>
            <w:tcW w:w="2105" w:type="dxa"/>
            <w:hideMark/>
          </w:tcPr>
          <w:p w:rsidR="000C314D" w:rsidRDefault="000C314D" w:rsidP="00496E10">
            <w:pPr>
              <w:pStyle w:val="NormalWeb"/>
              <w:jc w:val="center"/>
            </w:pPr>
            <w:r>
              <w:t>0</w:t>
            </w:r>
          </w:p>
        </w:tc>
        <w:tc>
          <w:tcPr>
            <w:tcW w:w="1842" w:type="dxa"/>
            <w:hideMark/>
          </w:tcPr>
          <w:p w:rsidR="000C314D" w:rsidRDefault="000C314D" w:rsidP="00496E10">
            <w:pPr>
              <w:pStyle w:val="NormalWeb"/>
              <w:jc w:val="center"/>
            </w:pPr>
            <w:r>
              <w:t>0</w:t>
            </w:r>
          </w:p>
        </w:tc>
        <w:tc>
          <w:tcPr>
            <w:tcW w:w="2291" w:type="dxa"/>
            <w:hideMark/>
          </w:tcPr>
          <w:p w:rsidR="000C314D" w:rsidRDefault="000C314D" w:rsidP="00496E10">
            <w:pPr>
              <w:pStyle w:val="NormalWeb"/>
              <w:jc w:val="center"/>
            </w:pPr>
            <w:r>
              <w:t>29</w:t>
            </w:r>
          </w:p>
        </w:tc>
        <w:tc>
          <w:tcPr>
            <w:tcW w:w="3072" w:type="dxa"/>
            <w:hideMark/>
          </w:tcPr>
          <w:p w:rsidR="000C314D" w:rsidRDefault="000C314D" w:rsidP="00496E10">
            <w:pPr>
              <w:pStyle w:val="NormalWeb"/>
              <w:jc w:val="center"/>
            </w:pPr>
            <w:r>
              <w:t>6.8</w:t>
            </w:r>
          </w:p>
        </w:tc>
      </w:tr>
      <w:tr w:rsidR="00DA6A0F" w:rsidRPr="0031219E" w:rsidTr="00DA6A0F">
        <w:tc>
          <w:tcPr>
            <w:tcW w:w="0" w:type="auto"/>
            <w:shd w:val="clear" w:color="auto" w:fill="FDE9D9" w:themeFill="accent6" w:themeFillTint="33"/>
            <w:hideMark/>
          </w:tcPr>
          <w:p w:rsidR="000C314D" w:rsidRPr="0031219E" w:rsidRDefault="000C314D">
            <w:pPr>
              <w:pStyle w:val="NormalWeb"/>
              <w:rPr>
                <w:b/>
              </w:rPr>
            </w:pPr>
            <w:r w:rsidRPr="0031219E">
              <w:rPr>
                <w:b/>
              </w:rPr>
              <w:t>Australia</w:t>
            </w:r>
          </w:p>
        </w:tc>
        <w:tc>
          <w:tcPr>
            <w:tcW w:w="2105" w:type="dxa"/>
            <w:shd w:val="clear" w:color="auto" w:fill="FDE9D9" w:themeFill="accent6" w:themeFillTint="33"/>
            <w:hideMark/>
          </w:tcPr>
          <w:p w:rsidR="000C314D" w:rsidRPr="0031219E" w:rsidRDefault="000C314D" w:rsidP="00496E10">
            <w:pPr>
              <w:pStyle w:val="NormalWeb"/>
              <w:jc w:val="center"/>
              <w:rPr>
                <w:b/>
              </w:rPr>
            </w:pPr>
            <w:r w:rsidRPr="0031219E">
              <w:rPr>
                <w:b/>
              </w:rPr>
              <w:t>4</w:t>
            </w:r>
          </w:p>
        </w:tc>
        <w:tc>
          <w:tcPr>
            <w:tcW w:w="1842" w:type="dxa"/>
            <w:shd w:val="clear" w:color="auto" w:fill="FDE9D9" w:themeFill="accent6" w:themeFillTint="33"/>
            <w:hideMark/>
          </w:tcPr>
          <w:p w:rsidR="000C314D" w:rsidRPr="0031219E" w:rsidRDefault="000C314D" w:rsidP="00496E10">
            <w:pPr>
              <w:pStyle w:val="NormalWeb"/>
              <w:jc w:val="center"/>
              <w:rPr>
                <w:b/>
              </w:rPr>
            </w:pPr>
            <w:r w:rsidRPr="0031219E">
              <w:rPr>
                <w:b/>
              </w:rPr>
              <w:t>14</w:t>
            </w:r>
          </w:p>
        </w:tc>
        <w:tc>
          <w:tcPr>
            <w:tcW w:w="2291" w:type="dxa"/>
            <w:shd w:val="clear" w:color="auto" w:fill="FDE9D9" w:themeFill="accent6" w:themeFillTint="33"/>
            <w:hideMark/>
          </w:tcPr>
          <w:p w:rsidR="000C314D" w:rsidRPr="0031219E" w:rsidRDefault="000C314D" w:rsidP="00496E10">
            <w:pPr>
              <w:pStyle w:val="NormalWeb"/>
              <w:jc w:val="center"/>
              <w:rPr>
                <w:b/>
              </w:rPr>
            </w:pPr>
            <w:r w:rsidRPr="0031219E">
              <w:rPr>
                <w:b/>
              </w:rPr>
              <w:t>22,347</w:t>
            </w:r>
          </w:p>
        </w:tc>
        <w:tc>
          <w:tcPr>
            <w:tcW w:w="3072" w:type="dxa"/>
            <w:shd w:val="clear" w:color="auto" w:fill="FDE9D9" w:themeFill="accent6" w:themeFillTint="33"/>
            <w:hideMark/>
          </w:tcPr>
          <w:p w:rsidR="000C314D" w:rsidRPr="0031219E" w:rsidRDefault="000C314D" w:rsidP="00496E10">
            <w:pPr>
              <w:pStyle w:val="NormalWeb"/>
              <w:jc w:val="center"/>
              <w:rPr>
                <w:b/>
              </w:rPr>
            </w:pPr>
            <w:r w:rsidRPr="0031219E">
              <w:rPr>
                <w:b/>
              </w:rPr>
              <w:t>88.1</w:t>
            </w:r>
          </w:p>
        </w:tc>
      </w:tr>
    </w:tbl>
    <w:p w:rsidR="000C314D" w:rsidRDefault="000C314D" w:rsidP="002A54B5">
      <w:pPr>
        <w:pStyle w:val="CDIfootnotes"/>
      </w:pPr>
      <w:r>
        <w:t>a</w:t>
      </w:r>
      <w:r>
        <w:tab/>
        <w:t>The most recent NSW locally-acquired case was notified on 11 January 2021, linked to a known cluster of cases at the time. Though notified on 11 January, the case had a true onset date of 18 January 2021 and hence is presented in the previous fortnight’s reporting period.</w:t>
      </w:r>
    </w:p>
    <w:p w:rsidR="000C314D" w:rsidRDefault="000C314D" w:rsidP="00417E0E">
      <w:pPr>
        <w:pStyle w:val="CDIFigures"/>
      </w:pPr>
      <w:r>
        <w:lastRenderedPageBreak/>
        <w:t>Table 3: Days since last locally-acquired COVID-19 case (source known and source unknown), by jurisdiction, reported by notification received date, 14 February 2021</w:t>
      </w:r>
      <w:r w:rsidRPr="005E1F96">
        <w:rPr>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days elapsed since the last locally-acquired COVID-19 case with known source, and with unknown source, by jurisdiction. In Victoria, as of the end of the current reporting period, there have been respectively zero and 40 days since the most recently-notified locally-acquired cases with source known and with source unknown. In New South Wales, the most recently-notified locally-acquired cases with source known and with source unknown were notified respectively nine and 30 days prior to the end of the current reporting period. In Western Australia, Queensland and South Australia, there have been 13 days, 33 days and 77 days elapsed respectively since notification of any locally-acquired cases with known source. Outside of New South Wales and Victoria, no jurisdiction has reported any locally-acquired case with unknown source for more than 170 days, true also of locally-acquired cases with known source in Tasmania, the Northern Territory and the Australian Capital Territory.&#10;"/>
      </w:tblPr>
      <w:tblGrid>
        <w:gridCol w:w="1156"/>
        <w:gridCol w:w="2321"/>
        <w:gridCol w:w="2321"/>
        <w:gridCol w:w="2321"/>
        <w:gridCol w:w="2321"/>
      </w:tblGrid>
      <w:tr w:rsidR="000C314D" w:rsidTr="00203F8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0C314D" w:rsidRPr="00203F88" w:rsidRDefault="000C314D">
            <w:pPr>
              <w:pStyle w:val="NormalWeb"/>
              <w:rPr>
                <w:color w:val="FFFFFF" w:themeColor="background1"/>
              </w:rPr>
            </w:pPr>
            <w:r w:rsidRPr="00203F88">
              <w:rPr>
                <w:color w:val="FFFFFF" w:themeColor="background1"/>
              </w:rPr>
              <w:t>Jurisdiction</w:t>
            </w:r>
          </w:p>
        </w:tc>
        <w:tc>
          <w:tcPr>
            <w:tcW w:w="4642" w:type="dxa"/>
            <w:gridSpan w:val="2"/>
            <w:tcBorders>
              <w:left w:val="single" w:sz="2" w:space="0" w:color="FFFFFF" w:themeColor="background1"/>
              <w:bottom w:val="single" w:sz="2" w:space="0" w:color="FFFFFF" w:themeColor="background1"/>
              <w:right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Locally acquired — source unknown</w:t>
            </w:r>
          </w:p>
        </w:tc>
        <w:tc>
          <w:tcPr>
            <w:tcW w:w="4642" w:type="dxa"/>
            <w:gridSpan w:val="2"/>
            <w:tcBorders>
              <w:left w:val="single" w:sz="2" w:space="0" w:color="FFFFFF" w:themeColor="background1"/>
              <w:bottom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Locally acquired — source known</w:t>
            </w:r>
          </w:p>
        </w:tc>
      </w:tr>
      <w:tr w:rsidR="000C314D" w:rsidTr="00203F8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0C314D" w:rsidRPr="00203F88" w:rsidRDefault="000C314D">
            <w:pPr>
              <w:rPr>
                <w:color w:val="FFFFFF" w:themeColor="background1"/>
                <w:sz w:val="24"/>
                <w:szCs w:val="24"/>
              </w:rPr>
            </w:pP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Date of last case</w:t>
            </w: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Days since last case</w:t>
            </w: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Date of last case</w:t>
            </w:r>
          </w:p>
        </w:tc>
        <w:tc>
          <w:tcPr>
            <w:tcW w:w="2321" w:type="dxa"/>
            <w:tcBorders>
              <w:top w:val="single" w:sz="2" w:space="0" w:color="FFFFFF" w:themeColor="background1"/>
              <w:left w:val="single" w:sz="2" w:space="0" w:color="FFFFFF" w:themeColor="background1"/>
            </w:tcBorders>
            <w:hideMark/>
          </w:tcPr>
          <w:p w:rsidR="000C314D" w:rsidRPr="00203F88" w:rsidRDefault="000C314D" w:rsidP="00203F88">
            <w:pPr>
              <w:pStyle w:val="NormalWeb"/>
              <w:jc w:val="center"/>
              <w:rPr>
                <w:color w:val="FFFFFF" w:themeColor="background1"/>
              </w:rPr>
            </w:pPr>
            <w:r w:rsidRPr="00203F88">
              <w:rPr>
                <w:color w:val="FFFFFF" w:themeColor="background1"/>
              </w:rPr>
              <w:t>Days since last case</w:t>
            </w:r>
          </w:p>
        </w:tc>
      </w:tr>
      <w:tr w:rsidR="000C314D" w:rsidTr="00203F88">
        <w:tc>
          <w:tcPr>
            <w:tcW w:w="0" w:type="auto"/>
            <w:hideMark/>
          </w:tcPr>
          <w:p w:rsidR="000C314D" w:rsidRDefault="000C314D">
            <w:pPr>
              <w:pStyle w:val="NormalWeb"/>
            </w:pPr>
            <w:r>
              <w:t>NSW</w:t>
            </w:r>
          </w:p>
        </w:tc>
        <w:tc>
          <w:tcPr>
            <w:tcW w:w="2321" w:type="dxa"/>
            <w:hideMark/>
          </w:tcPr>
          <w:p w:rsidR="000C314D" w:rsidRDefault="000C314D" w:rsidP="00203F88">
            <w:pPr>
              <w:pStyle w:val="NormalWeb"/>
              <w:jc w:val="center"/>
            </w:pPr>
            <w:r>
              <w:t>15 January 2021</w:t>
            </w:r>
          </w:p>
        </w:tc>
        <w:tc>
          <w:tcPr>
            <w:tcW w:w="2321" w:type="dxa"/>
            <w:hideMark/>
          </w:tcPr>
          <w:p w:rsidR="000C314D" w:rsidRDefault="000C314D" w:rsidP="00203F88">
            <w:pPr>
              <w:pStyle w:val="NormalWeb"/>
              <w:jc w:val="center"/>
            </w:pPr>
            <w:r>
              <w:t>30</w:t>
            </w:r>
          </w:p>
        </w:tc>
        <w:tc>
          <w:tcPr>
            <w:tcW w:w="2321" w:type="dxa"/>
            <w:hideMark/>
          </w:tcPr>
          <w:p w:rsidR="000C314D" w:rsidRDefault="000C314D" w:rsidP="00203F88">
            <w:pPr>
              <w:pStyle w:val="NormalWeb"/>
              <w:jc w:val="center"/>
            </w:pPr>
            <w:r>
              <w:t>5 February 2021</w:t>
            </w:r>
          </w:p>
        </w:tc>
        <w:tc>
          <w:tcPr>
            <w:tcW w:w="2321" w:type="dxa"/>
            <w:hideMark/>
          </w:tcPr>
          <w:p w:rsidR="000C314D" w:rsidRDefault="000C314D" w:rsidP="00203F88">
            <w:pPr>
              <w:pStyle w:val="NormalWeb"/>
              <w:jc w:val="center"/>
            </w:pPr>
            <w:r>
              <w:t>9</w:t>
            </w:r>
          </w:p>
        </w:tc>
      </w:tr>
      <w:tr w:rsidR="000C314D" w:rsidTr="00203F88">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Vic.</w:t>
            </w:r>
          </w:p>
        </w:tc>
        <w:tc>
          <w:tcPr>
            <w:tcW w:w="2321" w:type="dxa"/>
            <w:hideMark/>
          </w:tcPr>
          <w:p w:rsidR="000C314D" w:rsidRDefault="000C314D" w:rsidP="00203F88">
            <w:pPr>
              <w:pStyle w:val="NormalWeb"/>
              <w:jc w:val="center"/>
            </w:pPr>
            <w:r>
              <w:t>5 January 2021</w:t>
            </w:r>
          </w:p>
        </w:tc>
        <w:tc>
          <w:tcPr>
            <w:tcW w:w="2321" w:type="dxa"/>
            <w:hideMark/>
          </w:tcPr>
          <w:p w:rsidR="000C314D" w:rsidRDefault="000C314D" w:rsidP="00203F88">
            <w:pPr>
              <w:pStyle w:val="NormalWeb"/>
              <w:jc w:val="center"/>
            </w:pPr>
            <w:r>
              <w:t>40</w:t>
            </w:r>
          </w:p>
        </w:tc>
        <w:tc>
          <w:tcPr>
            <w:tcW w:w="2321" w:type="dxa"/>
            <w:hideMark/>
          </w:tcPr>
          <w:p w:rsidR="000C314D" w:rsidRDefault="000C314D" w:rsidP="00203F88">
            <w:pPr>
              <w:pStyle w:val="NormalWeb"/>
              <w:jc w:val="center"/>
            </w:pPr>
            <w:r>
              <w:t>14 February 2021</w:t>
            </w:r>
          </w:p>
        </w:tc>
        <w:tc>
          <w:tcPr>
            <w:tcW w:w="2321" w:type="dxa"/>
            <w:hideMark/>
          </w:tcPr>
          <w:p w:rsidR="000C314D" w:rsidRDefault="000C314D" w:rsidP="00203F88">
            <w:pPr>
              <w:pStyle w:val="NormalWeb"/>
              <w:jc w:val="center"/>
            </w:pPr>
            <w:r>
              <w:t>0</w:t>
            </w:r>
          </w:p>
        </w:tc>
      </w:tr>
      <w:tr w:rsidR="000C314D" w:rsidTr="00203F88">
        <w:tc>
          <w:tcPr>
            <w:tcW w:w="0" w:type="auto"/>
            <w:hideMark/>
          </w:tcPr>
          <w:p w:rsidR="000C314D" w:rsidRDefault="000C314D">
            <w:pPr>
              <w:pStyle w:val="NormalWeb"/>
            </w:pPr>
            <w:r>
              <w:t>Qld</w:t>
            </w:r>
          </w:p>
        </w:tc>
        <w:tc>
          <w:tcPr>
            <w:tcW w:w="2321" w:type="dxa"/>
            <w:hideMark/>
          </w:tcPr>
          <w:p w:rsidR="000C314D" w:rsidRDefault="000C314D" w:rsidP="00203F88">
            <w:pPr>
              <w:pStyle w:val="NormalWeb"/>
              <w:jc w:val="center"/>
            </w:pPr>
            <w:r>
              <w:t>26 August 2020</w:t>
            </w:r>
          </w:p>
        </w:tc>
        <w:tc>
          <w:tcPr>
            <w:tcW w:w="2321" w:type="dxa"/>
            <w:hideMark/>
          </w:tcPr>
          <w:p w:rsidR="000C314D" w:rsidRDefault="000C314D" w:rsidP="00203F88">
            <w:pPr>
              <w:pStyle w:val="NormalWeb"/>
              <w:jc w:val="center"/>
            </w:pPr>
            <w:r>
              <w:t>172</w:t>
            </w:r>
          </w:p>
        </w:tc>
        <w:tc>
          <w:tcPr>
            <w:tcW w:w="2321" w:type="dxa"/>
            <w:hideMark/>
          </w:tcPr>
          <w:p w:rsidR="000C314D" w:rsidRDefault="000C314D" w:rsidP="00203F88">
            <w:pPr>
              <w:pStyle w:val="NormalWeb"/>
              <w:jc w:val="center"/>
            </w:pPr>
            <w:r>
              <w:t>12 January 2021</w:t>
            </w:r>
          </w:p>
        </w:tc>
        <w:tc>
          <w:tcPr>
            <w:tcW w:w="2321" w:type="dxa"/>
            <w:hideMark/>
          </w:tcPr>
          <w:p w:rsidR="000C314D" w:rsidRDefault="000C314D" w:rsidP="00203F88">
            <w:pPr>
              <w:pStyle w:val="NormalWeb"/>
              <w:jc w:val="center"/>
            </w:pPr>
            <w:r>
              <w:t>33</w:t>
            </w:r>
          </w:p>
        </w:tc>
      </w:tr>
      <w:tr w:rsidR="000C314D" w:rsidTr="00203F88">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WA</w:t>
            </w:r>
          </w:p>
        </w:tc>
        <w:tc>
          <w:tcPr>
            <w:tcW w:w="2321" w:type="dxa"/>
            <w:hideMark/>
          </w:tcPr>
          <w:p w:rsidR="000C314D" w:rsidRDefault="000C314D" w:rsidP="00203F88">
            <w:pPr>
              <w:pStyle w:val="NormalWeb"/>
              <w:jc w:val="center"/>
            </w:pPr>
            <w:r>
              <w:t>12 April 2020</w:t>
            </w:r>
          </w:p>
        </w:tc>
        <w:tc>
          <w:tcPr>
            <w:tcW w:w="2321" w:type="dxa"/>
            <w:hideMark/>
          </w:tcPr>
          <w:p w:rsidR="000C314D" w:rsidRDefault="000C314D" w:rsidP="00203F88">
            <w:pPr>
              <w:pStyle w:val="NormalWeb"/>
              <w:jc w:val="center"/>
            </w:pPr>
            <w:r>
              <w:t>308</w:t>
            </w:r>
          </w:p>
        </w:tc>
        <w:tc>
          <w:tcPr>
            <w:tcW w:w="2321" w:type="dxa"/>
            <w:hideMark/>
          </w:tcPr>
          <w:p w:rsidR="000C314D" w:rsidRDefault="000C314D" w:rsidP="00203F88">
            <w:pPr>
              <w:pStyle w:val="NormalWeb"/>
              <w:jc w:val="center"/>
            </w:pPr>
            <w:r>
              <w:t>1 February 2021</w:t>
            </w:r>
          </w:p>
        </w:tc>
        <w:tc>
          <w:tcPr>
            <w:tcW w:w="2321" w:type="dxa"/>
            <w:hideMark/>
          </w:tcPr>
          <w:p w:rsidR="000C314D" w:rsidRDefault="000C314D" w:rsidP="00203F88">
            <w:pPr>
              <w:pStyle w:val="NormalWeb"/>
              <w:jc w:val="center"/>
            </w:pPr>
            <w:r>
              <w:t>13</w:t>
            </w:r>
          </w:p>
        </w:tc>
      </w:tr>
      <w:tr w:rsidR="000C314D" w:rsidTr="00203F88">
        <w:tc>
          <w:tcPr>
            <w:tcW w:w="0" w:type="auto"/>
            <w:hideMark/>
          </w:tcPr>
          <w:p w:rsidR="000C314D" w:rsidRDefault="000C314D">
            <w:pPr>
              <w:pStyle w:val="NormalWeb"/>
            </w:pPr>
            <w:r>
              <w:t>SA</w:t>
            </w:r>
          </w:p>
        </w:tc>
        <w:tc>
          <w:tcPr>
            <w:tcW w:w="2321" w:type="dxa"/>
            <w:hideMark/>
          </w:tcPr>
          <w:p w:rsidR="000C314D" w:rsidRDefault="000C314D" w:rsidP="00203F88">
            <w:pPr>
              <w:pStyle w:val="NormalWeb"/>
              <w:jc w:val="center"/>
            </w:pPr>
            <w:r>
              <w:t>15 April 2020</w:t>
            </w:r>
          </w:p>
        </w:tc>
        <w:tc>
          <w:tcPr>
            <w:tcW w:w="2321" w:type="dxa"/>
            <w:hideMark/>
          </w:tcPr>
          <w:p w:rsidR="000C314D" w:rsidRDefault="000C314D" w:rsidP="00203F88">
            <w:pPr>
              <w:pStyle w:val="NormalWeb"/>
              <w:jc w:val="center"/>
            </w:pPr>
            <w:r>
              <w:t>305</w:t>
            </w:r>
          </w:p>
        </w:tc>
        <w:tc>
          <w:tcPr>
            <w:tcW w:w="2321" w:type="dxa"/>
            <w:hideMark/>
          </w:tcPr>
          <w:p w:rsidR="000C314D" w:rsidRDefault="000C314D" w:rsidP="00203F88">
            <w:pPr>
              <w:pStyle w:val="NormalWeb"/>
              <w:jc w:val="center"/>
            </w:pPr>
            <w:r>
              <w:t>29 November 2020</w:t>
            </w:r>
          </w:p>
        </w:tc>
        <w:tc>
          <w:tcPr>
            <w:tcW w:w="2321" w:type="dxa"/>
            <w:hideMark/>
          </w:tcPr>
          <w:p w:rsidR="000C314D" w:rsidRDefault="000C314D" w:rsidP="00203F88">
            <w:pPr>
              <w:pStyle w:val="NormalWeb"/>
              <w:jc w:val="center"/>
            </w:pPr>
            <w:r>
              <w:t>77</w:t>
            </w:r>
          </w:p>
        </w:tc>
      </w:tr>
      <w:tr w:rsidR="000C314D" w:rsidTr="00203F88">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Tas.</w:t>
            </w:r>
          </w:p>
        </w:tc>
        <w:tc>
          <w:tcPr>
            <w:tcW w:w="2321" w:type="dxa"/>
            <w:hideMark/>
          </w:tcPr>
          <w:p w:rsidR="000C314D" w:rsidRDefault="000C314D" w:rsidP="00203F88">
            <w:pPr>
              <w:pStyle w:val="NormalWeb"/>
              <w:jc w:val="center"/>
            </w:pPr>
            <w:r>
              <w:t>11 August 2020</w:t>
            </w:r>
          </w:p>
        </w:tc>
        <w:tc>
          <w:tcPr>
            <w:tcW w:w="2321" w:type="dxa"/>
            <w:hideMark/>
          </w:tcPr>
          <w:p w:rsidR="000C314D" w:rsidRDefault="000C314D" w:rsidP="00203F88">
            <w:pPr>
              <w:pStyle w:val="NormalWeb"/>
              <w:jc w:val="center"/>
            </w:pPr>
            <w:r>
              <w:t>187</w:t>
            </w:r>
          </w:p>
        </w:tc>
        <w:tc>
          <w:tcPr>
            <w:tcW w:w="2321" w:type="dxa"/>
            <w:hideMark/>
          </w:tcPr>
          <w:p w:rsidR="000C314D" w:rsidRDefault="000C314D" w:rsidP="00203F88">
            <w:pPr>
              <w:pStyle w:val="NormalWeb"/>
              <w:jc w:val="center"/>
            </w:pPr>
            <w:r>
              <w:t>6 May 2020</w:t>
            </w:r>
          </w:p>
        </w:tc>
        <w:tc>
          <w:tcPr>
            <w:tcW w:w="2321" w:type="dxa"/>
            <w:hideMark/>
          </w:tcPr>
          <w:p w:rsidR="000C314D" w:rsidRDefault="000C314D" w:rsidP="00203F88">
            <w:pPr>
              <w:pStyle w:val="NormalWeb"/>
              <w:jc w:val="center"/>
            </w:pPr>
            <w:r>
              <w:t>284</w:t>
            </w:r>
          </w:p>
        </w:tc>
      </w:tr>
      <w:tr w:rsidR="000C314D" w:rsidTr="00203F88">
        <w:tc>
          <w:tcPr>
            <w:tcW w:w="0" w:type="auto"/>
            <w:hideMark/>
          </w:tcPr>
          <w:p w:rsidR="000C314D" w:rsidRDefault="000C314D">
            <w:pPr>
              <w:pStyle w:val="NormalWeb"/>
            </w:pPr>
            <w:r>
              <w:t>NT</w:t>
            </w:r>
            <w:r w:rsidRPr="001D50D3">
              <w:rPr>
                <w:vertAlign w:val="superscript"/>
              </w:rPr>
              <w:t>b</w:t>
            </w:r>
          </w:p>
        </w:tc>
        <w:tc>
          <w:tcPr>
            <w:tcW w:w="2321" w:type="dxa"/>
            <w:hideMark/>
          </w:tcPr>
          <w:p w:rsidR="000C314D" w:rsidRDefault="000C314D" w:rsidP="00203F88">
            <w:pPr>
              <w:pStyle w:val="NormalWeb"/>
              <w:jc w:val="center"/>
            </w:pPr>
            <w:r>
              <w:t>NA</w:t>
            </w:r>
          </w:p>
        </w:tc>
        <w:tc>
          <w:tcPr>
            <w:tcW w:w="2321" w:type="dxa"/>
            <w:hideMark/>
          </w:tcPr>
          <w:p w:rsidR="000C314D" w:rsidRDefault="000C314D" w:rsidP="00203F88">
            <w:pPr>
              <w:pStyle w:val="NormalWeb"/>
              <w:jc w:val="center"/>
            </w:pPr>
            <w:r>
              <w:t>NA</w:t>
            </w:r>
          </w:p>
        </w:tc>
        <w:tc>
          <w:tcPr>
            <w:tcW w:w="2321" w:type="dxa"/>
            <w:hideMark/>
          </w:tcPr>
          <w:p w:rsidR="000C314D" w:rsidRDefault="000C314D" w:rsidP="00203F88">
            <w:pPr>
              <w:pStyle w:val="NormalWeb"/>
              <w:jc w:val="center"/>
            </w:pPr>
            <w:r>
              <w:t>4 April 2020</w:t>
            </w:r>
          </w:p>
        </w:tc>
        <w:tc>
          <w:tcPr>
            <w:tcW w:w="2321" w:type="dxa"/>
            <w:hideMark/>
          </w:tcPr>
          <w:p w:rsidR="000C314D" w:rsidRDefault="000C314D" w:rsidP="00203F88">
            <w:pPr>
              <w:pStyle w:val="NormalWeb"/>
              <w:jc w:val="center"/>
            </w:pPr>
            <w:r>
              <w:t>316</w:t>
            </w:r>
          </w:p>
        </w:tc>
      </w:tr>
      <w:tr w:rsidR="000C314D" w:rsidTr="00203F88">
        <w:trPr>
          <w:cnfStyle w:val="000000010000" w:firstRow="0" w:lastRow="0" w:firstColumn="0" w:lastColumn="0" w:oddVBand="0" w:evenVBand="0" w:oddHBand="0" w:evenHBand="1" w:firstRowFirstColumn="0" w:firstRowLastColumn="0" w:lastRowFirstColumn="0" w:lastRowLastColumn="0"/>
        </w:trPr>
        <w:tc>
          <w:tcPr>
            <w:tcW w:w="0" w:type="auto"/>
            <w:hideMark/>
          </w:tcPr>
          <w:p w:rsidR="000C314D" w:rsidRDefault="000C314D">
            <w:pPr>
              <w:pStyle w:val="NormalWeb"/>
            </w:pPr>
            <w:r>
              <w:t>ACT</w:t>
            </w:r>
          </w:p>
        </w:tc>
        <w:tc>
          <w:tcPr>
            <w:tcW w:w="2321" w:type="dxa"/>
            <w:hideMark/>
          </w:tcPr>
          <w:p w:rsidR="000C314D" w:rsidRDefault="000C314D" w:rsidP="00203F88">
            <w:pPr>
              <w:pStyle w:val="NormalWeb"/>
              <w:jc w:val="center"/>
            </w:pPr>
            <w:r>
              <w:t>28 March 2020</w:t>
            </w:r>
          </w:p>
        </w:tc>
        <w:tc>
          <w:tcPr>
            <w:tcW w:w="2321" w:type="dxa"/>
            <w:hideMark/>
          </w:tcPr>
          <w:p w:rsidR="000C314D" w:rsidRDefault="000C314D" w:rsidP="00203F88">
            <w:pPr>
              <w:pStyle w:val="NormalWeb"/>
              <w:jc w:val="center"/>
            </w:pPr>
            <w:r>
              <w:t>323</w:t>
            </w:r>
          </w:p>
        </w:tc>
        <w:tc>
          <w:tcPr>
            <w:tcW w:w="2321" w:type="dxa"/>
            <w:hideMark/>
          </w:tcPr>
          <w:p w:rsidR="000C314D" w:rsidRDefault="000C314D" w:rsidP="00203F88">
            <w:pPr>
              <w:pStyle w:val="NormalWeb"/>
              <w:jc w:val="center"/>
            </w:pPr>
            <w:r>
              <w:t>9 July 2020</w:t>
            </w:r>
          </w:p>
        </w:tc>
        <w:tc>
          <w:tcPr>
            <w:tcW w:w="2321" w:type="dxa"/>
            <w:hideMark/>
          </w:tcPr>
          <w:p w:rsidR="000C314D" w:rsidRDefault="000C314D" w:rsidP="00203F88">
            <w:pPr>
              <w:pStyle w:val="NormalWeb"/>
              <w:jc w:val="center"/>
            </w:pPr>
            <w:r>
              <w:t>220</w:t>
            </w:r>
          </w:p>
        </w:tc>
      </w:tr>
    </w:tbl>
    <w:p w:rsidR="000C314D" w:rsidRDefault="000C314D" w:rsidP="00C53F43">
      <w:pPr>
        <w:pStyle w:val="CDIfootnotes"/>
      </w:pPr>
      <w:r>
        <w:t>a</w:t>
      </w:r>
      <w:r>
        <w:tab/>
        <w:t>Apparent mismatches between case numbers per reporting fortnight in Table 2 and dates of most recent cases in Table 3 can arise through the use of onset dates for Table 2 versus notification received dates in Table 3.</w:t>
      </w:r>
    </w:p>
    <w:p w:rsidR="000C314D" w:rsidRDefault="000C314D" w:rsidP="00C53F43">
      <w:pPr>
        <w:pStyle w:val="CDIfootnotes"/>
      </w:pPr>
      <w:r>
        <w:t>b</w:t>
      </w:r>
      <w:r>
        <w:tab/>
        <w:t>The Northern Territory has not reported any locally-acquired cases with an unknown source of infection.</w:t>
      </w:r>
    </w:p>
    <w:p w:rsidR="000C314D" w:rsidRDefault="000C314D" w:rsidP="001D50D3">
      <w:pPr>
        <w:pStyle w:val="CDIFigures"/>
      </w:pPr>
      <w:r>
        <w:t>Figure 2: Cumulative COVID-19 cases, by age group and sex, Australia, 23 January 2020 to 14 February 2021</w:t>
      </w:r>
    </w:p>
    <w:p w:rsidR="000C314D" w:rsidRDefault="000C314D">
      <w:pPr>
        <w:pStyle w:val="NormalWeb"/>
      </w:pPr>
      <w:r>
        <w:rPr>
          <w:noProof/>
        </w:rPr>
        <w:drawing>
          <wp:inline distT="0" distB="0" distL="0" distR="0">
            <wp:extent cx="6625424" cy="4375155"/>
            <wp:effectExtent l="0" t="0" r="4445" b="6350"/>
            <wp:docPr id="2" name="Picture 2" descr="A bar chart showing the cumulative rates per 100,000 population of confirmed COVID-19 cases as at 14 February 2021 by 10-year age group and sex. Cumulatively, since the outbreak’s onset, the highest notification rates have been in the 90 and over age group, followed by the 20 to 29 and 80 to 89 age groups. In all three of these age groups, females have a higher rate than males. In the 70 to 79 years age group, males have a higher rate than females. Across other age groups, cumulative notification rates show little dependence on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chart showing the cumulative rates per 100,000 population of confirmed COVID-19 cases as at 14 February 2021 by 10-year age group and sex. Cumulatively, since the outbreak’s onset, the highest notification rates have been in the 90 and over age group, followed by the 20 to 29 and 80 to 89 age groups. In all three of these age groups, females have a higher rate than males. In the 70 to 79 years age group, males have a higher rate than females. Across other age groups, cumulative notification rates show little dependence on se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1611" cy="4379241"/>
                    </a:xfrm>
                    <a:prstGeom prst="rect">
                      <a:avLst/>
                    </a:prstGeom>
                  </pic:spPr>
                </pic:pic>
              </a:graphicData>
            </a:graphic>
          </wp:inline>
        </w:drawing>
      </w:r>
    </w:p>
    <w:p w:rsidR="000C314D" w:rsidRDefault="000C314D" w:rsidP="001D50D3">
      <w:r>
        <w:lastRenderedPageBreak/>
        <w:t xml:space="preserve">In this reporting period, the largest number of overseas-acquired cases was reported in New South Wales (39%; 21/54). The higher number of overseas-acquired cases reported in New South Wales reflects the number of managed international arrivals there. </w:t>
      </w:r>
    </w:p>
    <w:p w:rsidR="00307C56" w:rsidRDefault="00307C56" w:rsidP="001D50D3">
      <w:pPr>
        <w:pStyle w:val="Heading2"/>
        <w:rPr>
          <w:rFonts w:eastAsia="Times New Roman"/>
        </w:rPr>
      </w:pPr>
      <w:r>
        <w:rPr>
          <w:rFonts w:eastAsia="Times New Roman"/>
        </w:rPr>
        <w:t>Demographic features</w:t>
      </w:r>
    </w:p>
    <w:p w:rsidR="000C314D" w:rsidRPr="00E323FD" w:rsidRDefault="000C314D" w:rsidP="00E323FD">
      <w:pPr>
        <w:pStyle w:val="Heading3"/>
        <w:rPr>
          <w:i/>
        </w:rPr>
      </w:pPr>
      <w:r w:rsidRPr="00E323FD">
        <w:rPr>
          <w:i/>
        </w:rPr>
        <w:t xml:space="preserve">(NNDSS) </w:t>
      </w:r>
    </w:p>
    <w:p w:rsidR="000C314D" w:rsidRDefault="000C314D" w:rsidP="001D50D3">
      <w:r>
        <w:t xml:space="preserve">In this reporting period, the largest number of cases occurred in those aged 30 to 39 years (23/69 cases). For all notifications to date, the highest rate of infection is in those aged 90 and over with a rate of 386.8 per 100,000 population (Appendix A, Table A.1). Children under 10 years old have the lowest rate of infection (47.4 cases per 100,000 population). </w:t>
      </w:r>
    </w:p>
    <w:p w:rsidR="000C314D" w:rsidRDefault="000C314D" w:rsidP="001D50D3">
      <w:r>
        <w:t xml:space="preserve">Cumulatively, the male-to-female rate ratio of cases is approximately 1:1 in most age groups. Notification rates are higher among females than among males in the 20–29 years age group and those aged ≥ 80 years old, and higher among males than among females in the 70–79 years age group (Figure 2). The largest difference in cumulative rates is in the 90 years and over age group, where the cumulative rate among males is 333.7 cases per 100,000 population and among females 412.6 cases per 100,000 population (Appendix A, Table A.1). </w:t>
      </w:r>
    </w:p>
    <w:p w:rsidR="000C314D" w:rsidRDefault="000C314D" w:rsidP="001D50D3">
      <w:r>
        <w:t xml:space="preserve">Since the beginning of the epidemic in Australia, the median age of all cases is 37 years (interquartile range, IQR: 25–56) which has not changed since the beginning of August. Prior to 1 June 2020, COVID-19 cases were slightly older, with a median age of 46 years (IQR: 29–62), associated with a high proportion of cases having a recent travel history or acquisition on a cruise ship. In cases reported after 1 June 2020, the median age is 34 years (IQR: 23–53) reflecting transmission in the community and across a range of settings, especially in Victoria. The median age of cases in this reporting period was 34 years (IQR: 28–42). </w:t>
      </w:r>
    </w:p>
    <w:p w:rsidR="003152FD" w:rsidRPr="003152FD" w:rsidRDefault="000C314D" w:rsidP="003152FD">
      <w:pPr>
        <w:pStyle w:val="Heading2"/>
      </w:pPr>
      <w:r w:rsidRPr="003152FD">
        <w:t>Aboriginal and</w:t>
      </w:r>
      <w:r w:rsidR="003152FD" w:rsidRPr="003152FD">
        <w:t xml:space="preserve"> Torres Strait Islander persons</w:t>
      </w:r>
    </w:p>
    <w:p w:rsidR="000C314D" w:rsidRPr="00E323FD" w:rsidRDefault="000C314D" w:rsidP="00E323FD">
      <w:pPr>
        <w:pStyle w:val="Heading3"/>
        <w:rPr>
          <w:i/>
        </w:rPr>
      </w:pPr>
      <w:r w:rsidRPr="00E323FD">
        <w:rPr>
          <w:i/>
        </w:rPr>
        <w:t xml:space="preserve">(NNDSS) </w:t>
      </w:r>
    </w:p>
    <w:p w:rsidR="000C314D" w:rsidRDefault="000C314D" w:rsidP="001D50D3">
      <w:r>
        <w:t>There have been 149 confirmed cases of COVID-19 notified in Aboriginal and Torres Strait Islander people since the beginning of the epidemic. This represents approximately 0.5% (149/28,868) of all confirmed cases. Since the last reporting period, two Aboriginal and Torres Strait Islander cases were officially de-notified. Table 4 compares the remoteness of cases in Aboriginal and Torres Strait Islander people with those in the non-Indigenous population.</w:t>
      </w:r>
    </w:p>
    <w:p w:rsidR="000C314D" w:rsidRDefault="000C314D" w:rsidP="001D50D3">
      <w:pPr>
        <w:pStyle w:val="CDIFigures"/>
      </w:pPr>
      <w:r>
        <w:t>Table 4: COVID-19 notifications by Aboriginal and Torres Strait Islander status by jurisdiction, source of acquisition and remoteness classification, Australia, 14 February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COVID-19 notifications among Aboriginal and Torres Strait Islander people and non-Indigenous Australians, by place of acquisition and (for locally-acquired cases) remoteness classification. There have been 150 notifications in Aboriginal and Torres Strait Islander people: 33 of these cases have been overseas acquired; 89 locally acquired in a major city; 14 cases locally acquired in inner regional Australia; six cases acquired in outer regional Australia; one case locally acquired in remote or very remote Australia; two cases interstate acquired; and five cases with unknown source of acquisition. Of 17 cases to date reported in remote or very remote Australia, one is in an Aboriginal or Torres Strait Islander person.&#10;"/>
      </w:tblPr>
      <w:tblGrid>
        <w:gridCol w:w="2127"/>
        <w:gridCol w:w="933"/>
        <w:gridCol w:w="1104"/>
        <w:gridCol w:w="1111"/>
        <w:gridCol w:w="1202"/>
        <w:gridCol w:w="1130"/>
        <w:gridCol w:w="1057"/>
        <w:gridCol w:w="1075"/>
        <w:gridCol w:w="727"/>
      </w:tblGrid>
      <w:tr w:rsidR="00FA5D81" w:rsidRPr="00FA5D81" w:rsidTr="00EB5C9B">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rsidR="000C314D" w:rsidRPr="00FA5D81" w:rsidRDefault="000C314D">
            <w:pPr>
              <w:rPr>
                <w:color w:val="FFFFFF" w:themeColor="background1"/>
              </w:rPr>
            </w:pPr>
          </w:p>
        </w:tc>
        <w:tc>
          <w:tcPr>
            <w:tcW w:w="4204" w:type="dxa"/>
            <w:gridSpan w:val="4"/>
            <w:tcBorders>
              <w:left w:val="single" w:sz="2" w:space="0" w:color="FFFFFF" w:themeColor="background1"/>
              <w:bottom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sz w:val="24"/>
                <w:szCs w:val="24"/>
              </w:rPr>
            </w:pPr>
            <w:r w:rsidRPr="00FA5D81">
              <w:rPr>
                <w:color w:val="FFFFFF" w:themeColor="background1"/>
              </w:rPr>
              <w:t>Locally acquired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Interstate acquired</w:t>
            </w:r>
            <w:r w:rsidRPr="00827CB7">
              <w:rPr>
                <w:color w:val="FFFFFF" w:themeColor="background1"/>
                <w:vertAlign w:val="superscript"/>
              </w:rPr>
              <w:t>a</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Overseas acquired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Unknown</w:t>
            </w:r>
            <w:r w:rsidRPr="00827CB7">
              <w:rPr>
                <w:color w:val="FFFFFF" w:themeColor="background1"/>
                <w:vertAlign w:val="superscript"/>
              </w:rPr>
              <w:t>b</w:t>
            </w:r>
          </w:p>
        </w:tc>
        <w:tc>
          <w:tcPr>
            <w:tcW w:w="0" w:type="auto"/>
            <w:vMerge w:val="restart"/>
            <w:tcBorders>
              <w:left w:val="single" w:sz="2" w:space="0" w:color="FFFFFF" w:themeColor="background1"/>
              <w:bottom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Total</w:t>
            </w:r>
          </w:p>
        </w:tc>
      </w:tr>
      <w:tr w:rsidR="00FA5D81" w:rsidRPr="00FA5D81" w:rsidTr="00EB5C9B">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rsidR="000C314D" w:rsidRPr="00FA5D81" w:rsidRDefault="000C314D">
            <w:pPr>
              <w:rPr>
                <w:color w:val="FFFFFF" w:themeColor="background1"/>
                <w:sz w:val="24"/>
                <w:szCs w:val="24"/>
              </w:rPr>
            </w:pPr>
          </w:p>
        </w:tc>
        <w:tc>
          <w:tcPr>
            <w:tcW w:w="377" w:type="dxa"/>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Major Cities of Australia</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Inner Regional Australia</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Outer Regional Australia</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pStyle w:val="NormalWeb"/>
              <w:jc w:val="center"/>
              <w:rPr>
                <w:color w:val="FFFFFF" w:themeColor="background1"/>
              </w:rPr>
            </w:pPr>
            <w:r w:rsidRPr="00FA5D81">
              <w:rPr>
                <w:color w:val="FFFFFF" w:themeColor="background1"/>
              </w:rPr>
              <w:t>Remote / Very Remote Australia</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rsidR="000C314D" w:rsidRPr="00FA5D81" w:rsidRDefault="000C314D" w:rsidP="00EB5C9B">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tcBorders>
            <w:hideMark/>
          </w:tcPr>
          <w:p w:rsidR="000C314D" w:rsidRPr="00FA5D81" w:rsidRDefault="000C314D" w:rsidP="00EB5C9B">
            <w:pPr>
              <w:jc w:val="center"/>
              <w:rPr>
                <w:color w:val="FFFFFF" w:themeColor="background1"/>
                <w:sz w:val="24"/>
                <w:szCs w:val="24"/>
              </w:rPr>
            </w:pPr>
          </w:p>
        </w:tc>
      </w:tr>
      <w:tr w:rsidR="00641D3B" w:rsidTr="00EB5C9B">
        <w:tc>
          <w:tcPr>
            <w:tcW w:w="2127" w:type="dxa"/>
            <w:hideMark/>
          </w:tcPr>
          <w:p w:rsidR="000C314D" w:rsidRDefault="000C314D">
            <w:pPr>
              <w:pStyle w:val="NormalWeb"/>
            </w:pPr>
            <w:r>
              <w:t>Aboriginal and</w:t>
            </w:r>
            <w:r>
              <w:br/>
              <w:t>Torres Strait Islander</w:t>
            </w:r>
          </w:p>
        </w:tc>
        <w:tc>
          <w:tcPr>
            <w:tcW w:w="377" w:type="dxa"/>
            <w:hideMark/>
          </w:tcPr>
          <w:p w:rsidR="000C314D" w:rsidRDefault="000C314D" w:rsidP="00EB5C9B">
            <w:pPr>
              <w:pStyle w:val="NormalWeb"/>
              <w:jc w:val="center"/>
            </w:pPr>
            <w:r>
              <w:t>88</w:t>
            </w:r>
          </w:p>
        </w:tc>
        <w:tc>
          <w:tcPr>
            <w:tcW w:w="0" w:type="auto"/>
            <w:hideMark/>
          </w:tcPr>
          <w:p w:rsidR="000C314D" w:rsidRDefault="000C314D" w:rsidP="00EB5C9B">
            <w:pPr>
              <w:pStyle w:val="NormalWeb"/>
              <w:jc w:val="center"/>
            </w:pPr>
            <w:r>
              <w:t>14</w:t>
            </w:r>
          </w:p>
        </w:tc>
        <w:tc>
          <w:tcPr>
            <w:tcW w:w="0" w:type="auto"/>
            <w:hideMark/>
          </w:tcPr>
          <w:p w:rsidR="000C314D" w:rsidRDefault="000C314D" w:rsidP="00EB5C9B">
            <w:pPr>
              <w:pStyle w:val="NormalWeb"/>
              <w:jc w:val="center"/>
            </w:pPr>
            <w:r>
              <w:t>6</w:t>
            </w:r>
          </w:p>
        </w:tc>
        <w:tc>
          <w:tcPr>
            <w:tcW w:w="0" w:type="auto"/>
            <w:hideMark/>
          </w:tcPr>
          <w:p w:rsidR="000C314D" w:rsidRDefault="000C314D" w:rsidP="00EB5C9B">
            <w:pPr>
              <w:pStyle w:val="NormalWeb"/>
              <w:jc w:val="center"/>
            </w:pPr>
            <w:r>
              <w:t>1</w:t>
            </w:r>
          </w:p>
        </w:tc>
        <w:tc>
          <w:tcPr>
            <w:tcW w:w="0" w:type="auto"/>
            <w:hideMark/>
          </w:tcPr>
          <w:p w:rsidR="000C314D" w:rsidRDefault="000C314D" w:rsidP="00EB5C9B">
            <w:pPr>
              <w:pStyle w:val="NormalWeb"/>
              <w:jc w:val="center"/>
            </w:pPr>
            <w:r>
              <w:t>2</w:t>
            </w:r>
          </w:p>
        </w:tc>
        <w:tc>
          <w:tcPr>
            <w:tcW w:w="0" w:type="auto"/>
            <w:hideMark/>
          </w:tcPr>
          <w:p w:rsidR="000C314D" w:rsidRDefault="000C314D" w:rsidP="00EB5C9B">
            <w:pPr>
              <w:pStyle w:val="NormalWeb"/>
              <w:jc w:val="center"/>
            </w:pPr>
            <w:r>
              <w:t>33</w:t>
            </w:r>
          </w:p>
        </w:tc>
        <w:tc>
          <w:tcPr>
            <w:tcW w:w="0" w:type="auto"/>
            <w:hideMark/>
          </w:tcPr>
          <w:p w:rsidR="000C314D" w:rsidRDefault="000C314D" w:rsidP="00EB5C9B">
            <w:pPr>
              <w:pStyle w:val="NormalWeb"/>
              <w:jc w:val="center"/>
            </w:pPr>
            <w:r>
              <w:t>5</w:t>
            </w:r>
          </w:p>
        </w:tc>
        <w:tc>
          <w:tcPr>
            <w:tcW w:w="0" w:type="auto"/>
            <w:hideMark/>
          </w:tcPr>
          <w:p w:rsidR="000C314D" w:rsidRDefault="000C314D" w:rsidP="00EB5C9B">
            <w:pPr>
              <w:pStyle w:val="NormalWeb"/>
              <w:jc w:val="center"/>
            </w:pPr>
            <w:r>
              <w:t>149</w:t>
            </w:r>
          </w:p>
        </w:tc>
      </w:tr>
      <w:tr w:rsidR="00EB5C9B" w:rsidTr="00EB5C9B">
        <w:trPr>
          <w:cnfStyle w:val="000000010000" w:firstRow="0" w:lastRow="0" w:firstColumn="0" w:lastColumn="0" w:oddVBand="0" w:evenVBand="0" w:oddHBand="0" w:evenHBand="1" w:firstRowFirstColumn="0" w:firstRowLastColumn="0" w:lastRowFirstColumn="0" w:lastRowLastColumn="0"/>
        </w:trPr>
        <w:tc>
          <w:tcPr>
            <w:tcW w:w="2127" w:type="dxa"/>
            <w:hideMark/>
          </w:tcPr>
          <w:p w:rsidR="000C314D" w:rsidRDefault="000C314D">
            <w:pPr>
              <w:pStyle w:val="NormalWeb"/>
            </w:pPr>
            <w:r>
              <w:t>Non-Indigenous</w:t>
            </w:r>
          </w:p>
        </w:tc>
        <w:tc>
          <w:tcPr>
            <w:tcW w:w="377" w:type="dxa"/>
            <w:hideMark/>
          </w:tcPr>
          <w:p w:rsidR="000C314D" w:rsidRDefault="000C314D" w:rsidP="00EB5C9B">
            <w:pPr>
              <w:pStyle w:val="NormalWeb"/>
              <w:jc w:val="center"/>
            </w:pPr>
            <w:r>
              <w:t>19,574</w:t>
            </w:r>
          </w:p>
        </w:tc>
        <w:tc>
          <w:tcPr>
            <w:tcW w:w="0" w:type="auto"/>
            <w:hideMark/>
          </w:tcPr>
          <w:p w:rsidR="000C314D" w:rsidRDefault="000C314D" w:rsidP="00EB5C9B">
            <w:pPr>
              <w:pStyle w:val="NormalWeb"/>
              <w:jc w:val="center"/>
            </w:pPr>
            <w:r>
              <w:t>859</w:t>
            </w:r>
          </w:p>
        </w:tc>
        <w:tc>
          <w:tcPr>
            <w:tcW w:w="0" w:type="auto"/>
            <w:hideMark/>
          </w:tcPr>
          <w:p w:rsidR="000C314D" w:rsidRDefault="000C314D" w:rsidP="00EB5C9B">
            <w:pPr>
              <w:pStyle w:val="NormalWeb"/>
              <w:jc w:val="center"/>
            </w:pPr>
            <w:r>
              <w:t>214</w:t>
            </w:r>
          </w:p>
        </w:tc>
        <w:tc>
          <w:tcPr>
            <w:tcW w:w="0" w:type="auto"/>
            <w:hideMark/>
          </w:tcPr>
          <w:p w:rsidR="000C314D" w:rsidRDefault="000C314D" w:rsidP="00EB5C9B">
            <w:pPr>
              <w:pStyle w:val="NormalWeb"/>
              <w:jc w:val="center"/>
            </w:pPr>
            <w:r>
              <w:t>16</w:t>
            </w:r>
          </w:p>
        </w:tc>
        <w:tc>
          <w:tcPr>
            <w:tcW w:w="0" w:type="auto"/>
            <w:hideMark/>
          </w:tcPr>
          <w:p w:rsidR="000C314D" w:rsidRDefault="000C314D" w:rsidP="00EB5C9B">
            <w:pPr>
              <w:pStyle w:val="NormalWeb"/>
              <w:jc w:val="center"/>
            </w:pPr>
            <w:r>
              <w:t>147</w:t>
            </w:r>
          </w:p>
        </w:tc>
        <w:tc>
          <w:tcPr>
            <w:tcW w:w="0" w:type="auto"/>
            <w:hideMark/>
          </w:tcPr>
          <w:p w:rsidR="000C314D" w:rsidRDefault="000C314D" w:rsidP="00EB5C9B">
            <w:pPr>
              <w:pStyle w:val="NormalWeb"/>
              <w:jc w:val="center"/>
            </w:pPr>
            <w:r>
              <w:t>6,511</w:t>
            </w:r>
          </w:p>
        </w:tc>
        <w:tc>
          <w:tcPr>
            <w:tcW w:w="0" w:type="auto"/>
            <w:hideMark/>
          </w:tcPr>
          <w:p w:rsidR="000C314D" w:rsidRDefault="000C314D" w:rsidP="00EB5C9B">
            <w:pPr>
              <w:pStyle w:val="NormalWeb"/>
              <w:jc w:val="center"/>
            </w:pPr>
            <w:r>
              <w:t>1,398</w:t>
            </w:r>
          </w:p>
        </w:tc>
        <w:tc>
          <w:tcPr>
            <w:tcW w:w="0" w:type="auto"/>
            <w:hideMark/>
          </w:tcPr>
          <w:p w:rsidR="000C314D" w:rsidRDefault="000C314D" w:rsidP="00EB5C9B">
            <w:pPr>
              <w:pStyle w:val="NormalWeb"/>
              <w:jc w:val="center"/>
            </w:pPr>
            <w:r>
              <w:t>28,719</w:t>
            </w:r>
          </w:p>
        </w:tc>
      </w:tr>
    </w:tbl>
    <w:p w:rsidR="000C314D" w:rsidRDefault="000C314D" w:rsidP="00641D3B">
      <w:pPr>
        <w:pStyle w:val="CDIfootnotes"/>
      </w:pPr>
      <w:r>
        <w:t>a</w:t>
      </w:r>
      <w:r>
        <w:tab/>
        <w:t>This reporting period, two interstate Aboriginal and Torres Strait Islander cases were officially de-notified.</w:t>
      </w:r>
    </w:p>
    <w:p w:rsidR="000C314D" w:rsidRDefault="000C314D" w:rsidP="00641D3B">
      <w:pPr>
        <w:pStyle w:val="CDIfootnotes"/>
      </w:pPr>
      <w:r>
        <w:t>b</w:t>
      </w:r>
      <w:r>
        <w:tab/>
        <w:t>Includes 26 non-Indigenous cases classified as overseas residents who were diagnosed in Australia.</w:t>
      </w:r>
    </w:p>
    <w:p w:rsidR="000C314D" w:rsidRDefault="000C314D">
      <w:pPr>
        <w:pStyle w:val="NormalWeb"/>
      </w:pPr>
      <w:r>
        <w:lastRenderedPageBreak/>
        <w:t xml:space="preserve">The median age of COVID-19 cases in Aboriginal and Torres Strait Islander people is 31 years old (IQR: 21–49), which is younger than for non-Indigenous cases where the median age is 37 years old (IQR: 25–56). </w:t>
      </w:r>
    </w:p>
    <w:p w:rsidR="000C314D" w:rsidRDefault="000C314D">
      <w:pPr>
        <w:pStyle w:val="NormalWeb"/>
      </w:pPr>
      <w:r>
        <w:t>The notification rate across all age groups remains higher in non-Indigenous people than in Aboriginal and Torres Strait Islander people (Figure 3). The age-standardised Aboriginal and Torres Strait Islander:non-Indigenous notification rate ratio is 0.2, indicating that the Aboriginal and Torres Strait Islander population has a lower COVID-19 case rate than the non-Indigenous population after accounting for differences in age structure. Amongst Aboriginal and Torres Strait Islander cases, the highest notification rate is in those aged 70–79 years (36.0 cases per 100,000 population), followed by the 60–69 years age group (34.4 cases per 100,000 population). Similar to non-Indigenous cases, children aged 0–9 years have the lowest notification rate among Aboriginal and Torres Strait Islander cases (6.9 cases per 100,000 population).</w:t>
      </w:r>
    </w:p>
    <w:p w:rsidR="000C314D" w:rsidRDefault="000C314D" w:rsidP="00F96D8B">
      <w:pPr>
        <w:pStyle w:val="CDIFigures"/>
      </w:pPr>
      <w:r>
        <w:t>Figure 3: National COVID-19 notification rate per 100,000 population by age group, Aboriginal and Torres Strait Islander people and non-Indigenous peopl</w:t>
      </w:r>
      <w:r w:rsidR="00FF4FFD">
        <w:t xml:space="preserve">e, Australia, 23 January 2020 – </w:t>
      </w:r>
      <w:r>
        <w:t>14 February 2021</w:t>
      </w:r>
    </w:p>
    <w:p w:rsidR="000C314D" w:rsidRDefault="000C314D">
      <w:pPr>
        <w:pStyle w:val="NormalWeb"/>
      </w:pPr>
      <w:r>
        <w:rPr>
          <w:noProof/>
        </w:rPr>
        <w:drawing>
          <wp:inline distT="0" distB="0" distL="0" distR="0">
            <wp:extent cx="6558196" cy="4350357"/>
            <wp:effectExtent l="0" t="0" r="0" b="0"/>
            <wp:docPr id="3" name="Picture 3" descr="A bar chart showing the notification rate of confirmed COVID-19 cases by 10-year age group and Aboriginal and Torres Strait Islander status. Notification rates per 100,000 population are consistently higher among non-Indigenous persons than among Aboriginal and Torres Strait Islander persons, regardless of age group. Among Aboriginal and Torres Strait Islander persons, rates are highest among those in the 70 to 79 age group, followed by the 60 to 69 age group; among non-Indigenous persons, rates are highest in the 80 and over age group, followed by the 20 to 29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hart showing the notification rate of confirmed COVID-19 cases by 10-year age group and Aboriginal and Torres Strait Islander status. Notification rates per 100,000 population are consistently higher among non-Indigenous persons than among Aboriginal and Torres Strait Islander persons, regardless of age group. Among Aboriginal and Torres Strait Islander persons, rates are highest among those in the 70 to 79 age group, followed by the 60 to 69 age group; among non-Indigenous persons, rates are highest in the 80 and over age group, followed by the 20 to 29 age grou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62852" cy="4353445"/>
                    </a:xfrm>
                    <a:prstGeom prst="rect">
                      <a:avLst/>
                    </a:prstGeom>
                  </pic:spPr>
                </pic:pic>
              </a:graphicData>
            </a:graphic>
          </wp:inline>
        </w:drawing>
      </w:r>
    </w:p>
    <w:p w:rsidR="00487A21" w:rsidRPr="00487A21" w:rsidRDefault="000C314D" w:rsidP="00487A21">
      <w:pPr>
        <w:pStyle w:val="Heading2"/>
      </w:pPr>
      <w:r w:rsidRPr="00487A21">
        <w:t>Testi</w:t>
      </w:r>
      <w:r w:rsidR="00487A21" w:rsidRPr="00487A21">
        <w:t>ng</w:t>
      </w:r>
    </w:p>
    <w:p w:rsidR="000C314D" w:rsidRPr="00E323FD" w:rsidRDefault="000C314D" w:rsidP="00E323FD">
      <w:pPr>
        <w:pStyle w:val="Heading3"/>
        <w:rPr>
          <w:i/>
        </w:rPr>
      </w:pPr>
      <w:r w:rsidRPr="00E323FD">
        <w:rPr>
          <w:i/>
        </w:rPr>
        <w:t xml:space="preserve">(State and territory reporting) </w:t>
      </w:r>
    </w:p>
    <w:p w:rsidR="000C314D" w:rsidRDefault="000C314D" w:rsidP="008F0D45">
      <w:r>
        <w:t>As at 14 February 2021, a cumulative total of 13,638,907 tests have been conducted in Australia. The cumulative nationwide proportion of positive tests remains low at 0.2% (Table 5). With the exception of Victoria, the cumulative testing positivity in individual jurisdictions is &lt; 0.2%.</w:t>
      </w:r>
    </w:p>
    <w:p w:rsidR="00F43E5C" w:rsidRDefault="00F43E5C" w:rsidP="008F0D45">
      <w:pPr>
        <w:pStyle w:val="CDIFigures"/>
        <w:sectPr w:rsidR="00F43E5C"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rsidR="000C314D" w:rsidRDefault="000C314D" w:rsidP="008F0D45">
      <w:pPr>
        <w:pStyle w:val="CDIFigures"/>
      </w:pPr>
      <w:r>
        <w:lastRenderedPageBreak/>
        <w:t xml:space="preserve">Table 5: Diagnostic tests performed, by jurisdiction, Australia, 14 February 2021 </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5 shows the cumulative number of SARS-CoV-2 diagnostic nucleic acid tests performed (and the percentage of such tests positive) within each jurisdiction by the end of this fortnightly reporting period, as well as at the end of the previous two-week period and cumulatively. Nationwide, for this reporting period there have been 687,131 tests performed, with a positivity rate of 0.01%. This is a slightly higher testing rate and a lower positivity than in the previous two-week period (545,822 tests nationwide, with 0.02% positivity). Of all tests performed in Australia since 13 January 2020 (13,638,907 tests), the cumulative testing rate is 537.9 tests per 1,000 population and the positivity rate is 0.21%.&#10;"/>
      </w:tblPr>
      <w:tblGrid>
        <w:gridCol w:w="1418"/>
        <w:gridCol w:w="1258"/>
        <w:gridCol w:w="1533"/>
        <w:gridCol w:w="1533"/>
        <w:gridCol w:w="1533"/>
        <w:gridCol w:w="1533"/>
        <w:gridCol w:w="1533"/>
        <w:gridCol w:w="1533"/>
        <w:gridCol w:w="1533"/>
        <w:gridCol w:w="1533"/>
      </w:tblGrid>
      <w:tr w:rsidR="000C314D" w:rsidTr="00F14585">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hideMark/>
          </w:tcPr>
          <w:p w:rsidR="000C314D" w:rsidRPr="00122F11" w:rsidRDefault="000C314D">
            <w:pPr>
              <w:pStyle w:val="NormalWeb"/>
              <w:rPr>
                <w:color w:val="FFFFFF" w:themeColor="background1"/>
              </w:rPr>
            </w:pPr>
            <w:r w:rsidRPr="00122F11">
              <w:rPr>
                <w:color w:val="FFFFFF" w:themeColor="background1"/>
              </w:rPr>
              <w:t>Jurisdiction</w:t>
            </w:r>
          </w:p>
        </w:tc>
        <w:tc>
          <w:tcPr>
            <w:tcW w:w="4324"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Tests performed</w:t>
            </w:r>
            <w:r w:rsidRPr="00122F11">
              <w:rPr>
                <w:color w:val="FFFFFF" w:themeColor="background1"/>
              </w:rPr>
              <w:br/>
              <w:t>18–31 January</w:t>
            </w:r>
          </w:p>
        </w:tc>
        <w:tc>
          <w:tcPr>
            <w:tcW w:w="4599"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Tests performed</w:t>
            </w:r>
            <w:r w:rsidRPr="00122F11">
              <w:rPr>
                <w:color w:val="FFFFFF" w:themeColor="background1"/>
              </w:rPr>
              <w:br/>
              <w:t>1–14 February</w:t>
            </w:r>
          </w:p>
        </w:tc>
        <w:tc>
          <w:tcPr>
            <w:tcW w:w="4599" w:type="dxa"/>
            <w:gridSpan w:val="3"/>
            <w:tcBorders>
              <w:left w:val="single" w:sz="2" w:space="0" w:color="FFFFFF" w:themeColor="background1"/>
              <w:bottom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Cumulative tests performed</w:t>
            </w:r>
            <w:r w:rsidRPr="00122F11">
              <w:rPr>
                <w:color w:val="FFFFFF" w:themeColor="background1"/>
              </w:rPr>
              <w:br/>
              <w:t>to 14 February</w:t>
            </w:r>
          </w:p>
        </w:tc>
      </w:tr>
      <w:tr w:rsidR="00122F11" w:rsidTr="00F14585">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rsidR="000C314D" w:rsidRPr="00122F11" w:rsidRDefault="000C314D">
            <w:pPr>
              <w:rPr>
                <w:color w:val="FFFFFF" w:themeColor="background1"/>
                <w:sz w:val="24"/>
                <w:szCs w:val="24"/>
              </w:rPr>
            </w:pPr>
          </w:p>
        </w:tc>
        <w:tc>
          <w:tcPr>
            <w:tcW w:w="1258"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n</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Positivity (%)</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Per 1,000 population</w:t>
            </w:r>
            <w:r w:rsidRPr="00F043B0">
              <w:rPr>
                <w:color w:val="FFFFFF" w:themeColor="background1"/>
                <w:vertAlign w:val="superscript"/>
              </w:rPr>
              <w:t>a</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n</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Positivity (%)</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Per 1,000 population</w:t>
            </w:r>
            <w:r w:rsidRPr="00F043B0">
              <w:rPr>
                <w:color w:val="FFFFFF" w:themeColor="background1"/>
                <w:vertAlign w:val="superscript"/>
              </w:rPr>
              <w:t>a</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n</w:t>
            </w:r>
          </w:p>
        </w:tc>
        <w:tc>
          <w:tcPr>
            <w:tcW w:w="1533" w:type="dxa"/>
            <w:tcBorders>
              <w:top w:val="single" w:sz="2" w:space="0" w:color="FFFFFF" w:themeColor="background1"/>
              <w:left w:val="single" w:sz="2" w:space="0" w:color="FFFFFF" w:themeColor="background1"/>
              <w:righ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Positivity (%)</w:t>
            </w:r>
          </w:p>
        </w:tc>
        <w:tc>
          <w:tcPr>
            <w:tcW w:w="1533" w:type="dxa"/>
            <w:tcBorders>
              <w:top w:val="single" w:sz="2" w:space="0" w:color="FFFFFF" w:themeColor="background1"/>
              <w:left w:val="single" w:sz="2" w:space="0" w:color="FFFFFF" w:themeColor="background1"/>
            </w:tcBorders>
            <w:vAlign w:val="center"/>
            <w:hideMark/>
          </w:tcPr>
          <w:p w:rsidR="000C314D" w:rsidRPr="00122F11" w:rsidRDefault="000C314D" w:rsidP="00F14585">
            <w:pPr>
              <w:pStyle w:val="NormalWeb"/>
              <w:jc w:val="center"/>
              <w:rPr>
                <w:color w:val="FFFFFF" w:themeColor="background1"/>
              </w:rPr>
            </w:pPr>
            <w:r w:rsidRPr="00122F11">
              <w:rPr>
                <w:color w:val="FFFFFF" w:themeColor="background1"/>
              </w:rPr>
              <w:t>Per 1,000 population</w:t>
            </w:r>
            <w:r w:rsidRPr="00A67C05">
              <w:rPr>
                <w:color w:val="FFFFFF" w:themeColor="background1"/>
                <w:vertAlign w:val="superscript"/>
              </w:rPr>
              <w:t>a</w:t>
            </w:r>
          </w:p>
        </w:tc>
      </w:tr>
      <w:tr w:rsidR="00122F11" w:rsidTr="00745793">
        <w:tc>
          <w:tcPr>
            <w:tcW w:w="1418" w:type="dxa"/>
            <w:hideMark/>
          </w:tcPr>
          <w:p w:rsidR="000C314D" w:rsidRDefault="000C314D">
            <w:pPr>
              <w:pStyle w:val="NormalWeb"/>
            </w:pPr>
            <w:r>
              <w:t>NSW</w:t>
            </w:r>
          </w:p>
        </w:tc>
        <w:tc>
          <w:tcPr>
            <w:tcW w:w="1258" w:type="dxa"/>
            <w:hideMark/>
          </w:tcPr>
          <w:p w:rsidR="000C314D" w:rsidRDefault="000C314D" w:rsidP="00122F11">
            <w:pPr>
              <w:pStyle w:val="NormalWeb"/>
              <w:jc w:val="center"/>
            </w:pPr>
            <w:r>
              <w:t>156,936</w:t>
            </w:r>
          </w:p>
        </w:tc>
        <w:tc>
          <w:tcPr>
            <w:tcW w:w="1533" w:type="dxa"/>
            <w:hideMark/>
          </w:tcPr>
          <w:p w:rsidR="000C314D" w:rsidRDefault="000C314D" w:rsidP="00122F11">
            <w:pPr>
              <w:pStyle w:val="NormalWeb"/>
              <w:jc w:val="center"/>
            </w:pPr>
            <w:r>
              <w:t>0.03</w:t>
            </w:r>
          </w:p>
        </w:tc>
        <w:tc>
          <w:tcPr>
            <w:tcW w:w="1533" w:type="dxa"/>
            <w:hideMark/>
          </w:tcPr>
          <w:p w:rsidR="000C314D" w:rsidRDefault="000C314D" w:rsidP="00122F11">
            <w:pPr>
              <w:pStyle w:val="NormalWeb"/>
              <w:jc w:val="center"/>
            </w:pPr>
            <w:r>
              <w:t>19.4</w:t>
            </w:r>
          </w:p>
        </w:tc>
        <w:tc>
          <w:tcPr>
            <w:tcW w:w="1533" w:type="dxa"/>
            <w:hideMark/>
          </w:tcPr>
          <w:p w:rsidR="000C314D" w:rsidRDefault="000C314D" w:rsidP="00122F11">
            <w:pPr>
              <w:pStyle w:val="NormalWeb"/>
              <w:jc w:val="center"/>
            </w:pPr>
            <w:r>
              <w:t>164,862</w:t>
            </w:r>
          </w:p>
        </w:tc>
        <w:tc>
          <w:tcPr>
            <w:tcW w:w="1533" w:type="dxa"/>
            <w:hideMark/>
          </w:tcPr>
          <w:p w:rsidR="000C314D" w:rsidRDefault="000C314D" w:rsidP="00122F11">
            <w:pPr>
              <w:pStyle w:val="NormalWeb"/>
              <w:jc w:val="center"/>
            </w:pPr>
            <w:r>
              <w:t>0.02</w:t>
            </w:r>
          </w:p>
        </w:tc>
        <w:tc>
          <w:tcPr>
            <w:tcW w:w="1533" w:type="dxa"/>
            <w:hideMark/>
          </w:tcPr>
          <w:p w:rsidR="000C314D" w:rsidRDefault="000C314D" w:rsidP="00122F11">
            <w:pPr>
              <w:pStyle w:val="NormalWeb"/>
              <w:jc w:val="center"/>
            </w:pPr>
            <w:r>
              <w:t>20.4</w:t>
            </w:r>
          </w:p>
        </w:tc>
        <w:tc>
          <w:tcPr>
            <w:tcW w:w="1533" w:type="dxa"/>
            <w:hideMark/>
          </w:tcPr>
          <w:p w:rsidR="000C314D" w:rsidRDefault="000C314D" w:rsidP="00122F11">
            <w:pPr>
              <w:pStyle w:val="NormalWeb"/>
              <w:jc w:val="center"/>
            </w:pPr>
            <w:r>
              <w:t>4,794,714</w:t>
            </w:r>
          </w:p>
        </w:tc>
        <w:tc>
          <w:tcPr>
            <w:tcW w:w="1533" w:type="dxa"/>
            <w:hideMark/>
          </w:tcPr>
          <w:p w:rsidR="000C314D" w:rsidRDefault="000C314D" w:rsidP="00122F11">
            <w:pPr>
              <w:pStyle w:val="NormalWeb"/>
              <w:jc w:val="center"/>
            </w:pPr>
            <w:r>
              <w:t>0.11</w:t>
            </w:r>
          </w:p>
        </w:tc>
        <w:tc>
          <w:tcPr>
            <w:tcW w:w="1533" w:type="dxa"/>
            <w:hideMark/>
          </w:tcPr>
          <w:p w:rsidR="000C314D" w:rsidRDefault="000C314D" w:rsidP="00122F11">
            <w:pPr>
              <w:pStyle w:val="NormalWeb"/>
              <w:jc w:val="center"/>
            </w:pPr>
            <w:r>
              <w:t>593.0</w:t>
            </w:r>
          </w:p>
        </w:tc>
      </w:tr>
      <w:tr w:rsidR="00122F11" w:rsidTr="00745793">
        <w:trPr>
          <w:cnfStyle w:val="000000010000" w:firstRow="0" w:lastRow="0" w:firstColumn="0" w:lastColumn="0" w:oddVBand="0" w:evenVBand="0" w:oddHBand="0" w:evenHBand="1" w:firstRowFirstColumn="0" w:firstRowLastColumn="0" w:lastRowFirstColumn="0" w:lastRowLastColumn="0"/>
        </w:trPr>
        <w:tc>
          <w:tcPr>
            <w:tcW w:w="1418" w:type="dxa"/>
            <w:hideMark/>
          </w:tcPr>
          <w:p w:rsidR="000C314D" w:rsidRDefault="000C314D">
            <w:pPr>
              <w:pStyle w:val="NormalWeb"/>
            </w:pPr>
            <w:r>
              <w:t>Vic</w:t>
            </w:r>
          </w:p>
        </w:tc>
        <w:tc>
          <w:tcPr>
            <w:tcW w:w="1258" w:type="dxa"/>
            <w:hideMark/>
          </w:tcPr>
          <w:p w:rsidR="000C314D" w:rsidRDefault="000C314D" w:rsidP="00122F11">
            <w:pPr>
              <w:pStyle w:val="NormalWeb"/>
              <w:jc w:val="center"/>
            </w:pPr>
            <w:r>
              <w:t>205,001</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31.1</w:t>
            </w:r>
          </w:p>
        </w:tc>
        <w:tc>
          <w:tcPr>
            <w:tcW w:w="1533" w:type="dxa"/>
            <w:hideMark/>
          </w:tcPr>
          <w:p w:rsidR="000C314D" w:rsidRDefault="000C314D" w:rsidP="00122F11">
            <w:pPr>
              <w:pStyle w:val="NormalWeb"/>
              <w:jc w:val="center"/>
            </w:pPr>
            <w:r>
              <w:t>236,997</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35.9</w:t>
            </w:r>
          </w:p>
        </w:tc>
        <w:tc>
          <w:tcPr>
            <w:tcW w:w="1533" w:type="dxa"/>
            <w:hideMark/>
          </w:tcPr>
          <w:p w:rsidR="000C314D" w:rsidRDefault="000C314D" w:rsidP="00122F11">
            <w:pPr>
              <w:pStyle w:val="NormalWeb"/>
              <w:jc w:val="center"/>
            </w:pPr>
            <w:r>
              <w:t>4,694,136</w:t>
            </w:r>
          </w:p>
        </w:tc>
        <w:tc>
          <w:tcPr>
            <w:tcW w:w="1533" w:type="dxa"/>
            <w:hideMark/>
          </w:tcPr>
          <w:p w:rsidR="000C314D" w:rsidRDefault="000C314D" w:rsidP="00122F11">
            <w:pPr>
              <w:pStyle w:val="NormalWeb"/>
              <w:jc w:val="center"/>
            </w:pPr>
            <w:r>
              <w:t>0.44</w:t>
            </w:r>
          </w:p>
        </w:tc>
        <w:tc>
          <w:tcPr>
            <w:tcW w:w="1533" w:type="dxa"/>
            <w:hideMark/>
          </w:tcPr>
          <w:p w:rsidR="000C314D" w:rsidRDefault="000C314D" w:rsidP="00122F11">
            <w:pPr>
              <w:pStyle w:val="NormalWeb"/>
              <w:jc w:val="center"/>
            </w:pPr>
            <w:r>
              <w:t>711.9</w:t>
            </w:r>
          </w:p>
        </w:tc>
      </w:tr>
      <w:tr w:rsidR="00122F11" w:rsidTr="00745793">
        <w:tc>
          <w:tcPr>
            <w:tcW w:w="1418" w:type="dxa"/>
            <w:hideMark/>
          </w:tcPr>
          <w:p w:rsidR="000C314D" w:rsidRDefault="000C314D">
            <w:pPr>
              <w:pStyle w:val="NormalWeb"/>
            </w:pPr>
            <w:r>
              <w:t>Qld</w:t>
            </w:r>
          </w:p>
        </w:tc>
        <w:tc>
          <w:tcPr>
            <w:tcW w:w="1258" w:type="dxa"/>
            <w:hideMark/>
          </w:tcPr>
          <w:p w:rsidR="000C314D" w:rsidRDefault="000C314D" w:rsidP="00122F11">
            <w:pPr>
              <w:pStyle w:val="NormalWeb"/>
              <w:jc w:val="center"/>
            </w:pPr>
            <w:r>
              <w:t>83,079</w:t>
            </w:r>
          </w:p>
        </w:tc>
        <w:tc>
          <w:tcPr>
            <w:tcW w:w="1533" w:type="dxa"/>
            <w:hideMark/>
          </w:tcPr>
          <w:p w:rsidR="000C314D" w:rsidRDefault="000C314D" w:rsidP="00122F11">
            <w:pPr>
              <w:pStyle w:val="NormalWeb"/>
              <w:jc w:val="center"/>
            </w:pPr>
            <w:r>
              <w:t>0.02</w:t>
            </w:r>
          </w:p>
        </w:tc>
        <w:tc>
          <w:tcPr>
            <w:tcW w:w="1533" w:type="dxa"/>
            <w:hideMark/>
          </w:tcPr>
          <w:p w:rsidR="000C314D" w:rsidRDefault="000C314D" w:rsidP="00122F11">
            <w:pPr>
              <w:pStyle w:val="NormalWeb"/>
              <w:jc w:val="center"/>
            </w:pPr>
            <w:r>
              <w:t>16.3</w:t>
            </w:r>
          </w:p>
        </w:tc>
        <w:tc>
          <w:tcPr>
            <w:tcW w:w="1533" w:type="dxa"/>
            <w:hideMark/>
          </w:tcPr>
          <w:p w:rsidR="000C314D" w:rsidRDefault="000C314D" w:rsidP="00122F11">
            <w:pPr>
              <w:pStyle w:val="NormalWeb"/>
              <w:jc w:val="center"/>
            </w:pPr>
            <w:r>
              <w:t>90,811</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17.8</w:t>
            </w:r>
          </w:p>
        </w:tc>
        <w:tc>
          <w:tcPr>
            <w:tcW w:w="1533" w:type="dxa"/>
            <w:hideMark/>
          </w:tcPr>
          <w:p w:rsidR="000C314D" w:rsidRDefault="000C314D" w:rsidP="00122F11">
            <w:pPr>
              <w:pStyle w:val="NormalWeb"/>
              <w:jc w:val="center"/>
            </w:pPr>
            <w:r>
              <w:t>1,855,311</w:t>
            </w:r>
          </w:p>
        </w:tc>
        <w:tc>
          <w:tcPr>
            <w:tcW w:w="1533" w:type="dxa"/>
            <w:hideMark/>
          </w:tcPr>
          <w:p w:rsidR="000C314D" w:rsidRDefault="000C314D" w:rsidP="00122F11">
            <w:pPr>
              <w:pStyle w:val="NormalWeb"/>
              <w:jc w:val="center"/>
            </w:pPr>
            <w:r>
              <w:t>0.07</w:t>
            </w:r>
          </w:p>
        </w:tc>
        <w:tc>
          <w:tcPr>
            <w:tcW w:w="1533" w:type="dxa"/>
            <w:hideMark/>
          </w:tcPr>
          <w:p w:rsidR="000C314D" w:rsidRDefault="000C314D" w:rsidP="00122F11">
            <w:pPr>
              <w:pStyle w:val="NormalWeb"/>
              <w:jc w:val="center"/>
            </w:pPr>
            <w:r>
              <w:t>364.3</w:t>
            </w:r>
          </w:p>
        </w:tc>
      </w:tr>
      <w:tr w:rsidR="00122F11" w:rsidTr="00745793">
        <w:trPr>
          <w:cnfStyle w:val="000000010000" w:firstRow="0" w:lastRow="0" w:firstColumn="0" w:lastColumn="0" w:oddVBand="0" w:evenVBand="0" w:oddHBand="0" w:evenHBand="1" w:firstRowFirstColumn="0" w:firstRowLastColumn="0" w:lastRowFirstColumn="0" w:lastRowLastColumn="0"/>
        </w:trPr>
        <w:tc>
          <w:tcPr>
            <w:tcW w:w="1418" w:type="dxa"/>
            <w:hideMark/>
          </w:tcPr>
          <w:p w:rsidR="000C314D" w:rsidRDefault="000C314D">
            <w:pPr>
              <w:pStyle w:val="NormalWeb"/>
            </w:pPr>
            <w:r>
              <w:t>WA</w:t>
            </w:r>
          </w:p>
        </w:tc>
        <w:tc>
          <w:tcPr>
            <w:tcW w:w="1258" w:type="dxa"/>
            <w:hideMark/>
          </w:tcPr>
          <w:p w:rsidR="000C314D" w:rsidRDefault="000C314D" w:rsidP="00122F11">
            <w:pPr>
              <w:pStyle w:val="NormalWeb"/>
              <w:jc w:val="center"/>
            </w:pPr>
            <w:r>
              <w:t>38,637</w:t>
            </w:r>
          </w:p>
        </w:tc>
        <w:tc>
          <w:tcPr>
            <w:tcW w:w="1533" w:type="dxa"/>
            <w:hideMark/>
          </w:tcPr>
          <w:p w:rsidR="000C314D" w:rsidRDefault="000C314D" w:rsidP="00122F11">
            <w:pPr>
              <w:pStyle w:val="NormalWeb"/>
              <w:jc w:val="center"/>
            </w:pPr>
            <w:r>
              <w:t>0.04</w:t>
            </w:r>
          </w:p>
        </w:tc>
        <w:tc>
          <w:tcPr>
            <w:tcW w:w="1533" w:type="dxa"/>
            <w:hideMark/>
          </w:tcPr>
          <w:p w:rsidR="000C314D" w:rsidRDefault="000C314D" w:rsidP="00122F11">
            <w:pPr>
              <w:pStyle w:val="NormalWeb"/>
              <w:jc w:val="center"/>
            </w:pPr>
            <w:r>
              <w:t>14.7</w:t>
            </w:r>
          </w:p>
        </w:tc>
        <w:tc>
          <w:tcPr>
            <w:tcW w:w="1533" w:type="dxa"/>
            <w:hideMark/>
          </w:tcPr>
          <w:p w:rsidR="000C314D" w:rsidRDefault="000C314D" w:rsidP="00122F11">
            <w:pPr>
              <w:pStyle w:val="NormalWeb"/>
              <w:jc w:val="center"/>
            </w:pPr>
            <w:r>
              <w:t>101,015</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38.5</w:t>
            </w:r>
          </w:p>
        </w:tc>
        <w:tc>
          <w:tcPr>
            <w:tcW w:w="1533" w:type="dxa"/>
            <w:hideMark/>
          </w:tcPr>
          <w:p w:rsidR="000C314D" w:rsidRDefault="000C314D" w:rsidP="00122F11">
            <w:pPr>
              <w:pStyle w:val="NormalWeb"/>
              <w:jc w:val="center"/>
            </w:pPr>
            <w:r>
              <w:t>822,974</w:t>
            </w:r>
          </w:p>
        </w:tc>
        <w:tc>
          <w:tcPr>
            <w:tcW w:w="1533" w:type="dxa"/>
            <w:hideMark/>
          </w:tcPr>
          <w:p w:rsidR="000C314D" w:rsidRDefault="000C314D" w:rsidP="00122F11">
            <w:pPr>
              <w:pStyle w:val="NormalWeb"/>
              <w:jc w:val="center"/>
            </w:pPr>
            <w:r>
              <w:t>0.11</w:t>
            </w:r>
          </w:p>
        </w:tc>
        <w:tc>
          <w:tcPr>
            <w:tcW w:w="1533" w:type="dxa"/>
            <w:hideMark/>
          </w:tcPr>
          <w:p w:rsidR="000C314D" w:rsidRDefault="000C314D" w:rsidP="00122F11">
            <w:pPr>
              <w:pStyle w:val="NormalWeb"/>
              <w:jc w:val="center"/>
            </w:pPr>
            <w:r>
              <w:t>313.9</w:t>
            </w:r>
          </w:p>
        </w:tc>
      </w:tr>
      <w:tr w:rsidR="00122F11" w:rsidTr="00745793">
        <w:tc>
          <w:tcPr>
            <w:tcW w:w="1418" w:type="dxa"/>
            <w:hideMark/>
          </w:tcPr>
          <w:p w:rsidR="000C314D" w:rsidRDefault="000C314D">
            <w:pPr>
              <w:pStyle w:val="NormalWeb"/>
            </w:pPr>
            <w:r>
              <w:t>SA</w:t>
            </w:r>
          </w:p>
        </w:tc>
        <w:tc>
          <w:tcPr>
            <w:tcW w:w="1258" w:type="dxa"/>
            <w:hideMark/>
          </w:tcPr>
          <w:p w:rsidR="000C314D" w:rsidRDefault="000C314D" w:rsidP="00122F11">
            <w:pPr>
              <w:pStyle w:val="NormalWeb"/>
              <w:jc w:val="center"/>
            </w:pPr>
            <w:r>
              <w:t>43,451</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24.8</w:t>
            </w:r>
          </w:p>
        </w:tc>
        <w:tc>
          <w:tcPr>
            <w:tcW w:w="1533" w:type="dxa"/>
            <w:hideMark/>
          </w:tcPr>
          <w:p w:rsidR="000C314D" w:rsidRDefault="000C314D" w:rsidP="00122F11">
            <w:pPr>
              <w:pStyle w:val="NormalWeb"/>
              <w:jc w:val="center"/>
            </w:pPr>
            <w:r>
              <w:t>69,911</w:t>
            </w:r>
          </w:p>
        </w:tc>
        <w:tc>
          <w:tcPr>
            <w:tcW w:w="1533" w:type="dxa"/>
            <w:hideMark/>
          </w:tcPr>
          <w:p w:rsidR="000C314D" w:rsidRDefault="000C314D" w:rsidP="00122F11">
            <w:pPr>
              <w:pStyle w:val="NormalWeb"/>
              <w:jc w:val="center"/>
            </w:pPr>
            <w:r>
              <w:t>0.01</w:t>
            </w:r>
          </w:p>
        </w:tc>
        <w:tc>
          <w:tcPr>
            <w:tcW w:w="1533" w:type="dxa"/>
            <w:hideMark/>
          </w:tcPr>
          <w:p w:rsidR="000C314D" w:rsidRDefault="000C314D" w:rsidP="00122F11">
            <w:pPr>
              <w:pStyle w:val="NormalWeb"/>
              <w:jc w:val="center"/>
            </w:pPr>
            <w:r>
              <w:t>39.9</w:t>
            </w:r>
          </w:p>
        </w:tc>
        <w:tc>
          <w:tcPr>
            <w:tcW w:w="1533" w:type="dxa"/>
            <w:hideMark/>
          </w:tcPr>
          <w:p w:rsidR="000C314D" w:rsidRDefault="000C314D" w:rsidP="00122F11">
            <w:pPr>
              <w:pStyle w:val="NormalWeb"/>
              <w:jc w:val="center"/>
            </w:pPr>
            <w:r>
              <w:t>1,031,611</w:t>
            </w:r>
          </w:p>
        </w:tc>
        <w:tc>
          <w:tcPr>
            <w:tcW w:w="1533" w:type="dxa"/>
            <w:hideMark/>
          </w:tcPr>
          <w:p w:rsidR="000C314D" w:rsidRDefault="000C314D" w:rsidP="00122F11">
            <w:pPr>
              <w:pStyle w:val="NormalWeb"/>
              <w:jc w:val="center"/>
            </w:pPr>
            <w:r>
              <w:t>0.06</w:t>
            </w:r>
          </w:p>
        </w:tc>
        <w:tc>
          <w:tcPr>
            <w:tcW w:w="1533" w:type="dxa"/>
            <w:hideMark/>
          </w:tcPr>
          <w:p w:rsidR="000C314D" w:rsidRDefault="000C314D" w:rsidP="00122F11">
            <w:pPr>
              <w:pStyle w:val="NormalWeb"/>
              <w:jc w:val="center"/>
            </w:pPr>
            <w:r>
              <w:t>588.7</w:t>
            </w:r>
          </w:p>
        </w:tc>
      </w:tr>
      <w:tr w:rsidR="00122F11" w:rsidTr="00745793">
        <w:trPr>
          <w:cnfStyle w:val="000000010000" w:firstRow="0" w:lastRow="0" w:firstColumn="0" w:lastColumn="0" w:oddVBand="0" w:evenVBand="0" w:oddHBand="0" w:evenHBand="1" w:firstRowFirstColumn="0" w:firstRowLastColumn="0" w:lastRowFirstColumn="0" w:lastRowLastColumn="0"/>
        </w:trPr>
        <w:tc>
          <w:tcPr>
            <w:tcW w:w="1418" w:type="dxa"/>
            <w:hideMark/>
          </w:tcPr>
          <w:p w:rsidR="000C314D" w:rsidRDefault="000C314D">
            <w:pPr>
              <w:pStyle w:val="NormalWeb"/>
            </w:pPr>
            <w:r>
              <w:t>Tas</w:t>
            </w:r>
          </w:p>
        </w:tc>
        <w:tc>
          <w:tcPr>
            <w:tcW w:w="1258" w:type="dxa"/>
            <w:hideMark/>
          </w:tcPr>
          <w:p w:rsidR="000C314D" w:rsidRDefault="000C314D" w:rsidP="00122F11">
            <w:pPr>
              <w:pStyle w:val="NormalWeb"/>
              <w:jc w:val="center"/>
            </w:pPr>
            <w:r>
              <w:t>5,648</w:t>
            </w:r>
          </w:p>
        </w:tc>
        <w:tc>
          <w:tcPr>
            <w:tcW w:w="1533" w:type="dxa"/>
            <w:hideMark/>
          </w:tcPr>
          <w:p w:rsidR="000C314D" w:rsidRDefault="000C314D" w:rsidP="00122F11">
            <w:pPr>
              <w:pStyle w:val="NormalWeb"/>
              <w:jc w:val="center"/>
            </w:pPr>
            <w:r>
              <w:t>0.00</w:t>
            </w:r>
          </w:p>
        </w:tc>
        <w:tc>
          <w:tcPr>
            <w:tcW w:w="1533" w:type="dxa"/>
            <w:hideMark/>
          </w:tcPr>
          <w:p w:rsidR="000C314D" w:rsidRDefault="000C314D" w:rsidP="00122F11">
            <w:pPr>
              <w:pStyle w:val="NormalWeb"/>
              <w:jc w:val="center"/>
            </w:pPr>
            <w:r>
              <w:t>10.6</w:t>
            </w:r>
          </w:p>
        </w:tc>
        <w:tc>
          <w:tcPr>
            <w:tcW w:w="1533" w:type="dxa"/>
            <w:hideMark/>
          </w:tcPr>
          <w:p w:rsidR="000C314D" w:rsidRDefault="000C314D" w:rsidP="00122F11">
            <w:pPr>
              <w:pStyle w:val="NormalWeb"/>
              <w:jc w:val="center"/>
            </w:pPr>
            <w:r>
              <w:t>6,313</w:t>
            </w:r>
          </w:p>
        </w:tc>
        <w:tc>
          <w:tcPr>
            <w:tcW w:w="1533" w:type="dxa"/>
            <w:hideMark/>
          </w:tcPr>
          <w:p w:rsidR="000C314D" w:rsidRDefault="000C314D" w:rsidP="00122F11">
            <w:pPr>
              <w:pStyle w:val="NormalWeb"/>
              <w:jc w:val="center"/>
            </w:pPr>
            <w:r>
              <w:t>0.00</w:t>
            </w:r>
          </w:p>
        </w:tc>
        <w:tc>
          <w:tcPr>
            <w:tcW w:w="1533" w:type="dxa"/>
            <w:hideMark/>
          </w:tcPr>
          <w:p w:rsidR="000C314D" w:rsidRDefault="000C314D" w:rsidP="00122F11">
            <w:pPr>
              <w:pStyle w:val="NormalWeb"/>
              <w:jc w:val="center"/>
            </w:pPr>
            <w:r>
              <w:t>11.8</w:t>
            </w:r>
          </w:p>
        </w:tc>
        <w:tc>
          <w:tcPr>
            <w:tcW w:w="1533" w:type="dxa"/>
            <w:hideMark/>
          </w:tcPr>
          <w:p w:rsidR="000C314D" w:rsidRDefault="000C314D" w:rsidP="00122F11">
            <w:pPr>
              <w:pStyle w:val="NormalWeb"/>
              <w:jc w:val="center"/>
            </w:pPr>
            <w:r>
              <w:t>165,399</w:t>
            </w:r>
          </w:p>
        </w:tc>
        <w:tc>
          <w:tcPr>
            <w:tcW w:w="1533" w:type="dxa"/>
            <w:hideMark/>
          </w:tcPr>
          <w:p w:rsidR="000C314D" w:rsidRDefault="000C314D" w:rsidP="00122F11">
            <w:pPr>
              <w:pStyle w:val="NormalWeb"/>
              <w:jc w:val="center"/>
            </w:pPr>
            <w:r>
              <w:t>0.14</w:t>
            </w:r>
          </w:p>
        </w:tc>
        <w:tc>
          <w:tcPr>
            <w:tcW w:w="1533" w:type="dxa"/>
            <w:hideMark/>
          </w:tcPr>
          <w:p w:rsidR="000C314D" w:rsidRDefault="000C314D" w:rsidP="00122F11">
            <w:pPr>
              <w:pStyle w:val="NormalWeb"/>
              <w:jc w:val="center"/>
            </w:pPr>
            <w:r>
              <w:t>309.4</w:t>
            </w:r>
          </w:p>
        </w:tc>
      </w:tr>
      <w:tr w:rsidR="00122F11" w:rsidTr="00745793">
        <w:tc>
          <w:tcPr>
            <w:tcW w:w="1418" w:type="dxa"/>
            <w:hideMark/>
          </w:tcPr>
          <w:p w:rsidR="000C314D" w:rsidRDefault="000C314D">
            <w:pPr>
              <w:pStyle w:val="NormalWeb"/>
            </w:pPr>
            <w:r>
              <w:t>NT</w:t>
            </w:r>
          </w:p>
        </w:tc>
        <w:tc>
          <w:tcPr>
            <w:tcW w:w="1258" w:type="dxa"/>
            <w:hideMark/>
          </w:tcPr>
          <w:p w:rsidR="000C314D" w:rsidRDefault="000C314D" w:rsidP="00122F11">
            <w:pPr>
              <w:pStyle w:val="NormalWeb"/>
              <w:jc w:val="center"/>
            </w:pPr>
            <w:r>
              <w:t>8,498</w:t>
            </w:r>
          </w:p>
        </w:tc>
        <w:tc>
          <w:tcPr>
            <w:tcW w:w="1533" w:type="dxa"/>
            <w:hideMark/>
          </w:tcPr>
          <w:p w:rsidR="000C314D" w:rsidRDefault="000C314D" w:rsidP="00122F11">
            <w:pPr>
              <w:pStyle w:val="NormalWeb"/>
              <w:jc w:val="center"/>
            </w:pPr>
            <w:r>
              <w:t>0.06</w:t>
            </w:r>
          </w:p>
        </w:tc>
        <w:tc>
          <w:tcPr>
            <w:tcW w:w="1533" w:type="dxa"/>
            <w:hideMark/>
          </w:tcPr>
          <w:p w:rsidR="000C314D" w:rsidRDefault="000C314D" w:rsidP="00122F11">
            <w:pPr>
              <w:pStyle w:val="NormalWeb"/>
              <w:jc w:val="center"/>
            </w:pPr>
            <w:r>
              <w:t>34.5</w:t>
            </w:r>
          </w:p>
        </w:tc>
        <w:tc>
          <w:tcPr>
            <w:tcW w:w="1533" w:type="dxa"/>
            <w:hideMark/>
          </w:tcPr>
          <w:p w:rsidR="000C314D" w:rsidRDefault="000C314D" w:rsidP="00122F11">
            <w:pPr>
              <w:pStyle w:val="NormalWeb"/>
              <w:jc w:val="center"/>
            </w:pPr>
            <w:r>
              <w:t>9,818</w:t>
            </w:r>
          </w:p>
        </w:tc>
        <w:tc>
          <w:tcPr>
            <w:tcW w:w="1533" w:type="dxa"/>
            <w:hideMark/>
          </w:tcPr>
          <w:p w:rsidR="000C314D" w:rsidRDefault="000C314D" w:rsidP="00122F11">
            <w:pPr>
              <w:pStyle w:val="NormalWeb"/>
              <w:jc w:val="center"/>
            </w:pPr>
            <w:r>
              <w:t>0.05</w:t>
            </w:r>
          </w:p>
        </w:tc>
        <w:tc>
          <w:tcPr>
            <w:tcW w:w="1533" w:type="dxa"/>
            <w:hideMark/>
          </w:tcPr>
          <w:p w:rsidR="000C314D" w:rsidRDefault="000C314D" w:rsidP="00122F11">
            <w:pPr>
              <w:pStyle w:val="NormalWeb"/>
              <w:jc w:val="center"/>
            </w:pPr>
            <w:r>
              <w:t>39.9</w:t>
            </w:r>
          </w:p>
        </w:tc>
        <w:tc>
          <w:tcPr>
            <w:tcW w:w="1533" w:type="dxa"/>
            <w:hideMark/>
          </w:tcPr>
          <w:p w:rsidR="000C314D" w:rsidRDefault="000C314D" w:rsidP="00122F11">
            <w:pPr>
              <w:pStyle w:val="NormalWeb"/>
              <w:jc w:val="center"/>
            </w:pPr>
            <w:r>
              <w:t>111,590</w:t>
            </w:r>
          </w:p>
        </w:tc>
        <w:tc>
          <w:tcPr>
            <w:tcW w:w="1533" w:type="dxa"/>
            <w:hideMark/>
          </w:tcPr>
          <w:p w:rsidR="000C314D" w:rsidRDefault="000C314D" w:rsidP="00122F11">
            <w:pPr>
              <w:pStyle w:val="NormalWeb"/>
              <w:jc w:val="center"/>
            </w:pPr>
            <w:r>
              <w:t>0.09</w:t>
            </w:r>
          </w:p>
        </w:tc>
        <w:tc>
          <w:tcPr>
            <w:tcW w:w="1533" w:type="dxa"/>
            <w:hideMark/>
          </w:tcPr>
          <w:p w:rsidR="000C314D" w:rsidRDefault="000C314D" w:rsidP="00122F11">
            <w:pPr>
              <w:pStyle w:val="NormalWeb"/>
              <w:jc w:val="center"/>
            </w:pPr>
            <w:r>
              <w:t>453.4</w:t>
            </w:r>
          </w:p>
        </w:tc>
      </w:tr>
      <w:tr w:rsidR="00122F11" w:rsidTr="00745793">
        <w:trPr>
          <w:cnfStyle w:val="000000010000" w:firstRow="0" w:lastRow="0" w:firstColumn="0" w:lastColumn="0" w:oddVBand="0" w:evenVBand="0" w:oddHBand="0" w:evenHBand="1" w:firstRowFirstColumn="0" w:firstRowLastColumn="0" w:lastRowFirstColumn="0" w:lastRowLastColumn="0"/>
        </w:trPr>
        <w:tc>
          <w:tcPr>
            <w:tcW w:w="1418" w:type="dxa"/>
            <w:hideMark/>
          </w:tcPr>
          <w:p w:rsidR="000C314D" w:rsidRDefault="000C314D">
            <w:pPr>
              <w:pStyle w:val="NormalWeb"/>
            </w:pPr>
            <w:r>
              <w:t>ACT</w:t>
            </w:r>
          </w:p>
        </w:tc>
        <w:tc>
          <w:tcPr>
            <w:tcW w:w="1258" w:type="dxa"/>
            <w:hideMark/>
          </w:tcPr>
          <w:p w:rsidR="000C314D" w:rsidRDefault="000C314D" w:rsidP="00122F11">
            <w:pPr>
              <w:pStyle w:val="NormalWeb"/>
              <w:jc w:val="center"/>
            </w:pPr>
            <w:r>
              <w:t>4,572</w:t>
            </w:r>
          </w:p>
        </w:tc>
        <w:tc>
          <w:tcPr>
            <w:tcW w:w="1533" w:type="dxa"/>
            <w:hideMark/>
          </w:tcPr>
          <w:p w:rsidR="000C314D" w:rsidRDefault="000C314D" w:rsidP="00122F11">
            <w:pPr>
              <w:pStyle w:val="NormalWeb"/>
              <w:jc w:val="center"/>
            </w:pPr>
            <w:r>
              <w:t>0.00</w:t>
            </w:r>
          </w:p>
        </w:tc>
        <w:tc>
          <w:tcPr>
            <w:tcW w:w="1533" w:type="dxa"/>
            <w:hideMark/>
          </w:tcPr>
          <w:p w:rsidR="000C314D" w:rsidRDefault="000C314D" w:rsidP="00122F11">
            <w:pPr>
              <w:pStyle w:val="NormalWeb"/>
              <w:jc w:val="center"/>
            </w:pPr>
            <w:r>
              <w:t>10.7</w:t>
            </w:r>
          </w:p>
        </w:tc>
        <w:tc>
          <w:tcPr>
            <w:tcW w:w="1533" w:type="dxa"/>
            <w:hideMark/>
          </w:tcPr>
          <w:p w:rsidR="000C314D" w:rsidRDefault="000C314D" w:rsidP="00122F11">
            <w:pPr>
              <w:pStyle w:val="NormalWeb"/>
              <w:jc w:val="center"/>
            </w:pPr>
            <w:r>
              <w:t>7,404</w:t>
            </w:r>
          </w:p>
        </w:tc>
        <w:tc>
          <w:tcPr>
            <w:tcW w:w="1533" w:type="dxa"/>
            <w:hideMark/>
          </w:tcPr>
          <w:p w:rsidR="000C314D" w:rsidRDefault="000C314D" w:rsidP="00122F11">
            <w:pPr>
              <w:pStyle w:val="NormalWeb"/>
              <w:jc w:val="center"/>
            </w:pPr>
            <w:r>
              <w:t>0.00</w:t>
            </w:r>
          </w:p>
        </w:tc>
        <w:tc>
          <w:tcPr>
            <w:tcW w:w="1533" w:type="dxa"/>
            <w:hideMark/>
          </w:tcPr>
          <w:p w:rsidR="000C314D" w:rsidRDefault="000C314D" w:rsidP="00122F11">
            <w:pPr>
              <w:pStyle w:val="NormalWeb"/>
              <w:jc w:val="center"/>
            </w:pPr>
            <w:r>
              <w:t>17.4</w:t>
            </w:r>
          </w:p>
        </w:tc>
        <w:tc>
          <w:tcPr>
            <w:tcW w:w="1533" w:type="dxa"/>
            <w:hideMark/>
          </w:tcPr>
          <w:p w:rsidR="000C314D" w:rsidRDefault="000C314D" w:rsidP="00122F11">
            <w:pPr>
              <w:pStyle w:val="NormalWeb"/>
              <w:jc w:val="center"/>
            </w:pPr>
            <w:r>
              <w:t>163,172</w:t>
            </w:r>
          </w:p>
        </w:tc>
        <w:tc>
          <w:tcPr>
            <w:tcW w:w="1533" w:type="dxa"/>
            <w:hideMark/>
          </w:tcPr>
          <w:p w:rsidR="000C314D" w:rsidRDefault="000C314D" w:rsidP="00122F11">
            <w:pPr>
              <w:pStyle w:val="NormalWeb"/>
              <w:jc w:val="center"/>
            </w:pPr>
            <w:r>
              <w:t>0.07</w:t>
            </w:r>
          </w:p>
        </w:tc>
        <w:tc>
          <w:tcPr>
            <w:tcW w:w="1533" w:type="dxa"/>
            <w:hideMark/>
          </w:tcPr>
          <w:p w:rsidR="000C314D" w:rsidRDefault="000C314D" w:rsidP="00122F11">
            <w:pPr>
              <w:pStyle w:val="NormalWeb"/>
              <w:jc w:val="center"/>
            </w:pPr>
            <w:r>
              <w:t>382.9</w:t>
            </w:r>
          </w:p>
        </w:tc>
      </w:tr>
      <w:tr w:rsidR="00122F11" w:rsidRPr="00745793" w:rsidTr="00745793">
        <w:tc>
          <w:tcPr>
            <w:tcW w:w="1418" w:type="dxa"/>
            <w:shd w:val="clear" w:color="auto" w:fill="FDE9D9" w:themeFill="accent6" w:themeFillTint="33"/>
            <w:hideMark/>
          </w:tcPr>
          <w:p w:rsidR="000C314D" w:rsidRPr="00745793" w:rsidRDefault="000C314D">
            <w:pPr>
              <w:pStyle w:val="NormalWeb"/>
              <w:rPr>
                <w:b/>
              </w:rPr>
            </w:pPr>
            <w:r w:rsidRPr="00745793">
              <w:rPr>
                <w:b/>
              </w:rPr>
              <w:t>Australia</w:t>
            </w:r>
          </w:p>
        </w:tc>
        <w:tc>
          <w:tcPr>
            <w:tcW w:w="1258" w:type="dxa"/>
            <w:shd w:val="clear" w:color="auto" w:fill="FDE9D9" w:themeFill="accent6" w:themeFillTint="33"/>
            <w:hideMark/>
          </w:tcPr>
          <w:p w:rsidR="000C314D" w:rsidRPr="00745793" w:rsidRDefault="000C314D" w:rsidP="00122F11">
            <w:pPr>
              <w:pStyle w:val="NormalWeb"/>
              <w:jc w:val="center"/>
              <w:rPr>
                <w:b/>
              </w:rPr>
            </w:pPr>
            <w:r w:rsidRPr="00745793">
              <w:rPr>
                <w:b/>
              </w:rPr>
              <w:t>545,822</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0.02</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21.5</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687,131</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0.01</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27.1</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13,638,907</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0.21</w:t>
            </w:r>
          </w:p>
        </w:tc>
        <w:tc>
          <w:tcPr>
            <w:tcW w:w="1533" w:type="dxa"/>
            <w:shd w:val="clear" w:color="auto" w:fill="FDE9D9" w:themeFill="accent6" w:themeFillTint="33"/>
            <w:hideMark/>
          </w:tcPr>
          <w:p w:rsidR="000C314D" w:rsidRPr="00745793" w:rsidRDefault="000C314D" w:rsidP="00122F11">
            <w:pPr>
              <w:pStyle w:val="NormalWeb"/>
              <w:jc w:val="center"/>
              <w:rPr>
                <w:b/>
              </w:rPr>
            </w:pPr>
            <w:r w:rsidRPr="00745793">
              <w:rPr>
                <w:b/>
              </w:rPr>
              <w:t>537.9</w:t>
            </w:r>
          </w:p>
        </w:tc>
      </w:tr>
    </w:tbl>
    <w:p w:rsidR="00F43E5C" w:rsidRDefault="000C314D" w:rsidP="00EB7AE1">
      <w:pPr>
        <w:pStyle w:val="CDIfootnotes"/>
        <w:sectPr w:rsidR="00F43E5C" w:rsidSect="00A67C05">
          <w:pgSz w:w="16838" w:h="11906" w:orient="landscape"/>
          <w:pgMar w:top="720" w:right="720" w:bottom="720" w:left="1134" w:header="709" w:footer="284" w:gutter="0"/>
          <w:cols w:space="708"/>
          <w:titlePg/>
          <w:docGrid w:linePitch="360"/>
        </w:sectPr>
      </w:pPr>
      <w:r>
        <w:t>a</w:t>
      </w:r>
      <w:r>
        <w:tab/>
        <w:t>Population data based on Australian Bureau of Statistics (ABS) Estimated Resident Population (ERP) as at 30 December 2019.</w:t>
      </w:r>
    </w:p>
    <w:p w:rsidR="000C314D" w:rsidRDefault="000C314D" w:rsidP="00EB7AE1">
      <w:pPr>
        <w:pStyle w:val="CDIfootnotes"/>
      </w:pPr>
    </w:p>
    <w:p w:rsidR="000C314D" w:rsidRDefault="000C314D" w:rsidP="006A0C7F">
      <w:r>
        <w:t xml:space="preserve">During this reporting period, 687,131 tests were conducted nationally, with a positivity rate of 0.01%. This represented a 26% increase in tests conducted compared to the previous two-week reporting period; this increase was consistent across all jurisdictions. Testing rates increased to an average of 27.1 tests per 1,000 population per week during this reporting period, consistent with an increase in locally-acquired cases this period. Jurisdictional testing rates are driven by both current case numbers and numbers of people experiencing symptoms. All states reported a positivity rate of &lt; 0.1% in this reporting period. The low national positivity rate, along with high rates of testing, indicates a low prevalence of COVID-19 nationally. </w:t>
      </w:r>
    </w:p>
    <w:p w:rsidR="000C314D" w:rsidRDefault="000C314D" w:rsidP="006A0C7F">
      <w:r>
        <w:t>For the two-week period ending 14 February 2021, testing rates increased in the most recent week among all age groups (Figure 4). Testing rates were highest in major cities and urban areas of Australia; lower testing rates, with little variation between classification areas, were seen across regional and remote areas across Australia.</w:t>
      </w:r>
    </w:p>
    <w:p w:rsidR="000C314D" w:rsidRDefault="000C314D" w:rsidP="006A0C7F">
      <w:pPr>
        <w:pStyle w:val="CDIFigures"/>
      </w:pPr>
      <w:r>
        <w:t>Figure 4: SARS-CoV-2 polymerase chain reaction (PCR) testing rates per 1,000 population per week by age group, Australia, 1 May 2020 – 12 February 2021</w:t>
      </w:r>
      <w:r w:rsidRPr="006A0C7F">
        <w:rPr>
          <w:vertAlign w:val="superscript"/>
        </w:rPr>
        <w:t>a,b</w:t>
      </w:r>
    </w:p>
    <w:p w:rsidR="000C314D" w:rsidRDefault="000C314D">
      <w:pPr>
        <w:pStyle w:val="NormalWeb"/>
      </w:pPr>
      <w:r>
        <w:rPr>
          <w:noProof/>
        </w:rPr>
        <w:drawing>
          <wp:inline distT="0" distB="0" distL="0" distR="0">
            <wp:extent cx="6659714" cy="4365554"/>
            <wp:effectExtent l="0" t="0" r="8255" b="0"/>
            <wp:docPr id="4" name="Picture 4" descr="A line graph showing the reported SARS-CoV-2 PCR testing rate per 1,000 population each week by age group. Weekly testing rates for all age groups have risen overall from 1 May 2020 to 12 February 2021, though rates of testing have fluctuated significantly across this period, with a broad peak in testing during July and August and a pronounced spike in testing in the week ending 25 December 2020. Throughout the second half of 2020 and the start of 2021, the highest testing rate has been seen in the 20–59 year age group, peaking at approximately 27 tests per 1,000 population in the week ending 8 Jan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ine graph showing the reported SARS-CoV-2 PCR testing rate per 1,000 population each week by age group. Weekly testing rates for all age groups have risen overall from 1 May 2020 to 12 February 2021, though rates of testing have fluctuated significantly across this period, with a broad peak in testing during July and August and a pronounced spike in testing in the week ending 25 December 2020. Throughout the second half of 2020 and the start of 2021, the highest testing rate has been seen in the 20–59 year age group, peaking at approximately 27 tests per 1,000 population in the week ending 8 January 202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666473" cy="4369985"/>
                    </a:xfrm>
                    <a:prstGeom prst="rect">
                      <a:avLst/>
                    </a:prstGeom>
                  </pic:spPr>
                </pic:pic>
              </a:graphicData>
            </a:graphic>
          </wp:inline>
        </w:drawing>
      </w:r>
    </w:p>
    <w:p w:rsidR="000C314D" w:rsidRDefault="000C314D" w:rsidP="008F0166">
      <w:pPr>
        <w:pStyle w:val="CDIfootnotes"/>
      </w:pPr>
      <w:r>
        <w:t>a</w:t>
      </w:r>
      <w:r>
        <w:tab/>
        <w:t>Data provided by jurisdictions to the NIR weekly.</w:t>
      </w:r>
    </w:p>
    <w:p w:rsidR="000C314D" w:rsidRDefault="000C314D" w:rsidP="008F0166">
      <w:pPr>
        <w:pStyle w:val="CDIfootnotes"/>
      </w:pPr>
      <w:r>
        <w:t>b</w:t>
      </w:r>
      <w:r>
        <w:tab/>
        <w:t>The jurisdictions reporting each week (i.e. the denominator population) may vary.</w:t>
      </w:r>
    </w:p>
    <w:p w:rsidR="003D5B8F" w:rsidRPr="003D5B8F" w:rsidRDefault="003D5B8F" w:rsidP="003D5B8F">
      <w:pPr>
        <w:pStyle w:val="Heading2"/>
      </w:pPr>
      <w:r w:rsidRPr="003D5B8F">
        <w:t>Virology</w:t>
      </w:r>
    </w:p>
    <w:p w:rsidR="000C314D" w:rsidRPr="00E323FD" w:rsidRDefault="000C314D" w:rsidP="00E323FD">
      <w:pPr>
        <w:pStyle w:val="Heading3"/>
        <w:rPr>
          <w:i/>
        </w:rPr>
      </w:pPr>
      <w:r w:rsidRPr="00E323FD">
        <w:rPr>
          <w:i/>
        </w:rPr>
        <w:t xml:space="preserve">(GISAID) </w:t>
      </w:r>
    </w:p>
    <w:p w:rsidR="000C314D" w:rsidRDefault="000C314D" w:rsidP="00CB6A6F">
      <w:r>
        <w:t>At the time of this report, there were 17,368 SARS-CoV-2 genome sequences available from Australian cases on the global sequence repository, GISAID.</w:t>
      </w:r>
      <w:r>
        <w:rPr>
          <w:vertAlign w:val="superscript"/>
        </w:rPr>
        <w:t>3</w:t>
      </w:r>
      <w:r>
        <w:t xml:space="preserve"> These sequences were dispersed throughout the global lineages, reflecting multiple concurrent introductions into Australia.</w:t>
      </w:r>
      <w:r>
        <w:rPr>
          <w:vertAlign w:val="superscript"/>
        </w:rPr>
        <w:t>4–6</w:t>
      </w:r>
      <w:r>
        <w:t xml:space="preserve"> In this fortnight, there were 11 new Australian sequences uploaded to GISAID, which was a decrease from the previous fortnight (64), noting that sequences are uploaded </w:t>
      </w:r>
      <w:r>
        <w:lastRenderedPageBreak/>
        <w:t xml:space="preserve">retrospectively. Uploads to GISAID this fortnight were from Victoria (6), with the remaining 5 sequences not classified by jurisdiction. Around 73% (8/11) of all sequences on GISAID this fortnight were of the United Kingdom (UK) variant of concern (B.1.1.7 lineage). </w:t>
      </w:r>
    </w:p>
    <w:p w:rsidR="000C314D" w:rsidRDefault="000C314D" w:rsidP="00CB6A6F">
      <w:r>
        <w:t xml:space="preserve">Since variants of concern were first identified on 30 November 2020, there have been 93 sequences of this lineage uploaded to GISAID. There have been 18 sequences of the South African variant of concern (B.1.351) uploaded to GISAID since 30 November. It is important to note that there may be delays between jurisdictional reporting and uploads. All cases of these variants of concern have been linked to overseas arrivals in mandatory hotel quarantine. Australia has reported no cases of the P.1 Brazilian variant of concern. National genomic surveillance of SARS-CoV-2 has been implemented and laboratories across Australia are routinely monitoring sequences for variant strains. </w:t>
      </w:r>
    </w:p>
    <w:p w:rsidR="000C314D" w:rsidRPr="00CB6A6F" w:rsidRDefault="000C314D" w:rsidP="00CB6A6F">
      <w:pPr>
        <w:pStyle w:val="Heading1"/>
      </w:pPr>
      <w:r w:rsidRPr="00CB6A6F">
        <w:t xml:space="preserve">Acknowledgements </w:t>
      </w:r>
    </w:p>
    <w:p w:rsidR="000C314D" w:rsidRDefault="000C314D" w:rsidP="00CB6A6F">
      <w:r>
        <w:t xml:space="preserve">We thank public health staff from incident emergency operations centres and public health units in state and territory health departments, and the Australian Government Department of Health, along with state and territory public health laboratories. We thank those who have provided data from surveillance systems, such as Commonwealth respiratory clinics, Flutracking, and FluCAN. </w:t>
      </w:r>
    </w:p>
    <w:p w:rsidR="000C314D" w:rsidRPr="00CB6A6F" w:rsidRDefault="000C314D" w:rsidP="00CB6A6F">
      <w:pPr>
        <w:pStyle w:val="Heading1"/>
      </w:pPr>
      <w:r w:rsidRPr="00CB6A6F">
        <w:t xml:space="preserve">Author details </w:t>
      </w:r>
    </w:p>
    <w:p w:rsidR="000C314D" w:rsidRPr="00CB6A6F" w:rsidRDefault="000C314D" w:rsidP="00CB6A6F">
      <w:pPr>
        <w:pStyle w:val="Heading2"/>
      </w:pPr>
      <w:r w:rsidRPr="00CB6A6F">
        <w:t xml:space="preserve">Corresponding author </w:t>
      </w:r>
    </w:p>
    <w:p w:rsidR="000C314D" w:rsidRDefault="000C314D" w:rsidP="00CB6A6F">
      <w:r>
        <w:t>COVID-19 National Incident Room Surveillance Team Australian Government Department of Health, GPO Box 94</w:t>
      </w:r>
      <w:r w:rsidR="00E32C61">
        <w:t>84, MDP 14, Canberra, ACT 2601.</w:t>
      </w:r>
      <w:r w:rsidR="00E32C61">
        <w:br/>
      </w:r>
      <w:r>
        <w:t xml:space="preserve">Email: epi.coronavirus@health.gov.au </w:t>
      </w:r>
    </w:p>
    <w:p w:rsidR="000C314D" w:rsidRPr="00CB6A6F" w:rsidRDefault="000C314D" w:rsidP="00CB6A6F">
      <w:pPr>
        <w:pStyle w:val="Heading1"/>
      </w:pPr>
      <w:r w:rsidRPr="00CB6A6F">
        <w:t xml:space="preserve">References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COVID-19 National Incident Room Surveillance Team. COVID-19 Australia: Epidemiology Report 34: Fortnightly reporting period ending 31 January 2021. </w:t>
      </w:r>
      <w:r w:rsidRPr="00EE7449">
        <w:rPr>
          <w:rStyle w:val="Emphasis"/>
          <w:rFonts w:eastAsia="Times New Roman"/>
          <w:b w:val="0"/>
        </w:rPr>
        <w:t>Commun Dis Intell (2018)</w:t>
      </w:r>
      <w:r w:rsidRPr="00CB6A6F">
        <w:rPr>
          <w:rFonts w:eastAsia="Times New Roman"/>
        </w:rPr>
        <w:t xml:space="preserve">. 2021;45. doi: https://doi.org/10.33321/cdi.2021.45.8.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COVID-19 National Incident Room Surveillance Team. Technical supplement: COVID-19 Australia: epidemiology reporting. </w:t>
      </w:r>
      <w:r w:rsidRPr="00EE7449">
        <w:rPr>
          <w:rStyle w:val="Emphasis"/>
          <w:rFonts w:eastAsia="Times New Roman"/>
          <w:b w:val="0"/>
        </w:rPr>
        <w:t>Commun Dis Intell (2018)</w:t>
      </w:r>
      <w:r w:rsidRPr="00CB6A6F">
        <w:rPr>
          <w:rFonts w:eastAsia="Times New Roman"/>
        </w:rPr>
        <w:t xml:space="preserve">. 2021;45. doi: https://doi.org/10.33321/cdi.2021.45.2.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Global Initiative on Sharing All Influenza Data (GISAID). [Website.] Berlin: Federal Republic of Germany, Freunde von GISAID e.V.; 2020. [Accessed on 20 January 2021.] Available from: https://www.gisaid.org/.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Rockett RJ, Arnott A, Lam C, Sadsad R, Timms V, Gray KA et al. Revealing COVID-19 transmission in Australia by SARS-CoV-2 genome sequencing and agent-based modeling. </w:t>
      </w:r>
      <w:r w:rsidRPr="00EE7449">
        <w:rPr>
          <w:rStyle w:val="Emphasis"/>
          <w:rFonts w:eastAsia="Times New Roman"/>
          <w:b w:val="0"/>
        </w:rPr>
        <w:t>Nat Med</w:t>
      </w:r>
      <w:r w:rsidRPr="00CB6A6F">
        <w:rPr>
          <w:rFonts w:eastAsia="Times New Roman"/>
        </w:rPr>
        <w:t xml:space="preserve">. 2020. doi: https://doi.org/10.1038/s41591-020-1000-7.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Seemann T, Lane CR, Sherry NL, Duchene S, Goncalves da Silva A, Caly L et al. Tracking the COVID-19 pandemic in Australia using genomics. </w:t>
      </w:r>
      <w:r w:rsidRPr="00EE7449">
        <w:rPr>
          <w:rStyle w:val="Emphasis"/>
          <w:rFonts w:eastAsia="Times New Roman"/>
          <w:b w:val="0"/>
        </w:rPr>
        <w:t>Nat</w:t>
      </w:r>
      <w:r w:rsidRPr="00CB6A6F">
        <w:rPr>
          <w:rFonts w:eastAsia="Times New Roman"/>
        </w:rPr>
        <w:t xml:space="preserve"> </w:t>
      </w:r>
      <w:r w:rsidRPr="00EE7449">
        <w:rPr>
          <w:rStyle w:val="Emphasis"/>
          <w:rFonts w:eastAsia="Times New Roman"/>
          <w:b w:val="0"/>
        </w:rPr>
        <w:t>Commun</w:t>
      </w:r>
      <w:r w:rsidRPr="00CB6A6F">
        <w:rPr>
          <w:rFonts w:eastAsia="Times New Roman"/>
        </w:rPr>
        <w:t xml:space="preserve">. 2020;11(1):4376. doi: https://doi.org/10.1038/s41467-020-18314-x. </w:t>
      </w:r>
    </w:p>
    <w:p w:rsidR="000C314D" w:rsidRPr="00CB6A6F" w:rsidRDefault="000C314D" w:rsidP="00CB6A6F">
      <w:pPr>
        <w:pStyle w:val="ListParagraph"/>
        <w:numPr>
          <w:ilvl w:val="0"/>
          <w:numId w:val="8"/>
        </w:numPr>
        <w:rPr>
          <w:rFonts w:eastAsia="Times New Roman"/>
        </w:rPr>
      </w:pPr>
      <w:r w:rsidRPr="00CB6A6F">
        <w:rPr>
          <w:rFonts w:eastAsia="Times New Roman"/>
        </w:rPr>
        <w:t xml:space="preserve">Eden JS, Rockett R, Carter I, Rahman H, de Ligt J, Hadfield J et al. An emergent clade of SARS-CoV-2 linked to returned travellers from Iran. </w:t>
      </w:r>
      <w:r w:rsidRPr="00EE7449">
        <w:rPr>
          <w:rStyle w:val="Emphasis"/>
          <w:rFonts w:eastAsia="Times New Roman"/>
          <w:b w:val="0"/>
        </w:rPr>
        <w:t>Virus Evol</w:t>
      </w:r>
      <w:r w:rsidRPr="00CB6A6F">
        <w:rPr>
          <w:rFonts w:eastAsia="Times New Roman"/>
        </w:rPr>
        <w:t>. 2020;6(1):veaa027. doi: https://doi.org/10.1093/ve/veaa027.</w:t>
      </w:r>
    </w:p>
    <w:p w:rsidR="0019424B" w:rsidRDefault="0019424B" w:rsidP="00CB6A6F">
      <w:pPr>
        <w:pStyle w:val="Heading1"/>
        <w:sectPr w:rsidR="0019424B" w:rsidSect="00A30C37">
          <w:pgSz w:w="11906" w:h="16838"/>
          <w:pgMar w:top="720" w:right="720" w:bottom="1134" w:left="720" w:header="709" w:footer="284" w:gutter="0"/>
          <w:cols w:space="708"/>
          <w:titlePg/>
          <w:docGrid w:linePitch="360"/>
        </w:sectPr>
      </w:pPr>
    </w:p>
    <w:p w:rsidR="0019424B" w:rsidRPr="00CB6A6F" w:rsidRDefault="0019424B" w:rsidP="0019424B">
      <w:pPr>
        <w:pStyle w:val="Heading1"/>
      </w:pPr>
      <w:r w:rsidRPr="00CB6A6F">
        <w:lastRenderedPageBreak/>
        <w:t>Appendix A: Supplementary figures and tables</w:t>
      </w:r>
    </w:p>
    <w:p w:rsidR="0019424B" w:rsidRDefault="0019424B" w:rsidP="0019424B">
      <w:pPr>
        <w:pStyle w:val="CDIFigures"/>
      </w:pPr>
      <w:r>
        <w:t>Table A.1: COVID-19 case notifications and rates per 100,000 population, by age group and sex, Australia, 14 February 2021</w:t>
      </w:r>
    </w:p>
    <w:tbl>
      <w:tblPr>
        <w:tblStyle w:val="CDI-StandardTable"/>
        <w:tblW w:w="14940" w:type="dxa"/>
        <w:tblCellMar>
          <w:top w:w="113" w:type="dxa"/>
          <w:left w:w="57" w:type="dxa"/>
          <w:bottom w:w="113" w:type="dxa"/>
          <w:right w:w="57" w:type="dxa"/>
        </w:tblCellMar>
        <w:tblLook w:val="04A0" w:firstRow="1" w:lastRow="0" w:firstColumn="1" w:lastColumn="0" w:noHBand="0" w:noVBand="1"/>
        <w:tblDescription w:val="This table summarises cumulative and fortnightly confirmed cases and rates per 100,000 population, as a function of age group and sex."/>
      </w:tblPr>
      <w:tblGrid>
        <w:gridCol w:w="1318"/>
        <w:gridCol w:w="1135"/>
        <w:gridCol w:w="1135"/>
        <w:gridCol w:w="1135"/>
        <w:gridCol w:w="1135"/>
        <w:gridCol w:w="1135"/>
        <w:gridCol w:w="1136"/>
        <w:gridCol w:w="1135"/>
        <w:gridCol w:w="1135"/>
        <w:gridCol w:w="1135"/>
        <w:gridCol w:w="1135"/>
        <w:gridCol w:w="1135"/>
        <w:gridCol w:w="1136"/>
      </w:tblGrid>
      <w:tr w:rsidR="0019424B" w:rsidRPr="00B35630" w:rsidTr="00985988">
        <w:trPr>
          <w:cnfStyle w:val="100000000000" w:firstRow="1" w:lastRow="0" w:firstColumn="0" w:lastColumn="0" w:oddVBand="0" w:evenVBand="0" w:oddHBand="0" w:evenHBand="0" w:firstRowFirstColumn="0" w:firstRowLastColumn="0" w:lastRowFirstColumn="0" w:lastRowLastColumn="0"/>
          <w:tblHeader/>
        </w:trPr>
        <w:tc>
          <w:tcPr>
            <w:tcW w:w="1318" w:type="dxa"/>
            <w:vMerge w:val="restart"/>
            <w:tcBorders>
              <w:bottom w:val="single" w:sz="2" w:space="0" w:color="FFFFFF" w:themeColor="background1"/>
              <w:right w:val="single" w:sz="2" w:space="0" w:color="FFFFFF" w:themeColor="background1"/>
            </w:tcBorders>
            <w:hideMark/>
          </w:tcPr>
          <w:p w:rsidR="0019424B" w:rsidRPr="00B35630" w:rsidRDefault="0019424B" w:rsidP="0086398C">
            <w:pPr>
              <w:pStyle w:val="NormalWeb"/>
              <w:rPr>
                <w:color w:val="FFFFFF" w:themeColor="background1"/>
                <w:sz w:val="18"/>
                <w:szCs w:val="18"/>
              </w:rPr>
            </w:pPr>
            <w:r w:rsidRPr="00B35630">
              <w:rPr>
                <w:color w:val="FFFFFF" w:themeColor="background1"/>
                <w:sz w:val="18"/>
                <w:szCs w:val="18"/>
              </w:rPr>
              <w:t>Age group</w:t>
            </w:r>
          </w:p>
        </w:tc>
        <w:tc>
          <w:tcPr>
            <w:tcW w:w="6811" w:type="dxa"/>
            <w:gridSpan w:val="6"/>
            <w:tcBorders>
              <w:left w:val="single" w:sz="2" w:space="0" w:color="FFFFFF" w:themeColor="background1"/>
              <w:bottom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This reporting period</w:t>
            </w:r>
            <w:r w:rsidRPr="00B35630">
              <w:rPr>
                <w:color w:val="FFFFFF" w:themeColor="background1"/>
                <w:sz w:val="18"/>
                <w:szCs w:val="18"/>
              </w:rPr>
              <w:br/>
              <w:t>1–14 February 2021</w:t>
            </w:r>
          </w:p>
        </w:tc>
        <w:tc>
          <w:tcPr>
            <w:tcW w:w="6811" w:type="dxa"/>
            <w:gridSpan w:val="6"/>
            <w:tcBorders>
              <w:left w:val="single" w:sz="2" w:space="0" w:color="FFFFFF" w:themeColor="background1"/>
              <w:bottom w:val="single" w:sz="2" w:space="0" w:color="FFFFFF" w:themeColor="background1"/>
            </w:tcBorders>
            <w:hideMark/>
          </w:tcPr>
          <w:p w:rsidR="0019424B" w:rsidRPr="00B35630" w:rsidRDefault="0019424B" w:rsidP="0019424B">
            <w:pPr>
              <w:pStyle w:val="NormalWeb"/>
              <w:jc w:val="center"/>
              <w:rPr>
                <w:color w:val="FFFFFF" w:themeColor="background1"/>
                <w:sz w:val="18"/>
                <w:szCs w:val="18"/>
              </w:rPr>
            </w:pPr>
            <w:r w:rsidRPr="00B35630">
              <w:rPr>
                <w:color w:val="FFFFFF" w:themeColor="background1"/>
                <w:sz w:val="18"/>
                <w:szCs w:val="18"/>
              </w:rPr>
              <w:t>Cumulative</w:t>
            </w:r>
            <w:r w:rsidRPr="00B35630">
              <w:rPr>
                <w:color w:val="FFFFFF" w:themeColor="background1"/>
                <w:sz w:val="18"/>
                <w:szCs w:val="18"/>
              </w:rPr>
              <w:br/>
              <w:t>23 January 2020 – 14 February 2021</w:t>
            </w:r>
          </w:p>
        </w:tc>
      </w:tr>
      <w:tr w:rsidR="0019424B" w:rsidRPr="00B35630" w:rsidTr="00985988">
        <w:trPr>
          <w:cnfStyle w:val="100000000000" w:firstRow="1" w:lastRow="0" w:firstColumn="0" w:lastColumn="0" w:oddVBand="0" w:evenVBand="0" w:oddHBand="0" w:evenHBand="0" w:firstRowFirstColumn="0" w:firstRowLastColumn="0" w:lastRowFirstColumn="0" w:lastRowLastColumn="0"/>
          <w:tblHeader/>
        </w:trPr>
        <w:tc>
          <w:tcPr>
            <w:tcW w:w="1318" w:type="dxa"/>
            <w:vMerge/>
            <w:tcBorders>
              <w:top w:val="single" w:sz="2" w:space="0" w:color="FFFFFF" w:themeColor="background1"/>
              <w:bottom w:val="single" w:sz="2" w:space="0" w:color="FFFFFF" w:themeColor="background1"/>
              <w:right w:val="single" w:sz="2" w:space="0" w:color="FFFFFF" w:themeColor="background1"/>
            </w:tcBorders>
            <w:hideMark/>
          </w:tcPr>
          <w:p w:rsidR="0019424B" w:rsidRPr="00B35630" w:rsidRDefault="0019424B" w:rsidP="0086398C">
            <w:pPr>
              <w:rPr>
                <w:color w:val="FFFFFF" w:themeColor="background1"/>
                <w:sz w:val="18"/>
                <w:szCs w:val="18"/>
              </w:rPr>
            </w:pPr>
          </w:p>
        </w:tc>
        <w:tc>
          <w:tcPr>
            <w:tcW w:w="34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Cases</w:t>
            </w:r>
          </w:p>
        </w:tc>
        <w:tc>
          <w:tcPr>
            <w:tcW w:w="340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Rate per 100,000 population</w:t>
            </w:r>
          </w:p>
        </w:tc>
        <w:tc>
          <w:tcPr>
            <w:tcW w:w="34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Cases</w:t>
            </w:r>
          </w:p>
        </w:tc>
        <w:tc>
          <w:tcPr>
            <w:tcW w:w="3406" w:type="dxa"/>
            <w:gridSpan w:val="3"/>
            <w:tcBorders>
              <w:top w:val="single" w:sz="2" w:space="0" w:color="FFFFFF" w:themeColor="background1"/>
              <w:left w:val="single" w:sz="2" w:space="0" w:color="FFFFFF" w:themeColor="background1"/>
              <w:bottom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Rate per 100,000 population</w:t>
            </w:r>
          </w:p>
        </w:tc>
      </w:tr>
      <w:tr w:rsidR="0019424B" w:rsidRPr="00B35630" w:rsidTr="00985988">
        <w:trPr>
          <w:cnfStyle w:val="100000000000" w:firstRow="1" w:lastRow="0" w:firstColumn="0" w:lastColumn="0" w:oddVBand="0" w:evenVBand="0" w:oddHBand="0" w:evenHBand="0" w:firstRowFirstColumn="0" w:firstRowLastColumn="0" w:lastRowFirstColumn="0" w:lastRowLastColumn="0"/>
          <w:tblHeader/>
        </w:trPr>
        <w:tc>
          <w:tcPr>
            <w:tcW w:w="1318" w:type="dxa"/>
            <w:vMerge/>
            <w:tcBorders>
              <w:top w:val="single" w:sz="2" w:space="0" w:color="FFFFFF" w:themeColor="background1"/>
              <w:right w:val="single" w:sz="2" w:space="0" w:color="FFFFFF" w:themeColor="background1"/>
            </w:tcBorders>
            <w:hideMark/>
          </w:tcPr>
          <w:p w:rsidR="0019424B" w:rsidRPr="00B35630" w:rsidRDefault="0019424B" w:rsidP="0086398C">
            <w:pPr>
              <w:rPr>
                <w:color w:val="FFFFFF" w:themeColor="background1"/>
                <w:sz w:val="18"/>
                <w:szCs w:val="18"/>
              </w:rPr>
            </w:pP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Female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People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Female</w:t>
            </w:r>
          </w:p>
        </w:tc>
        <w:tc>
          <w:tcPr>
            <w:tcW w:w="1136"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People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Female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People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Female</w:t>
            </w:r>
          </w:p>
        </w:tc>
        <w:tc>
          <w:tcPr>
            <w:tcW w:w="1136" w:type="dxa"/>
            <w:tcBorders>
              <w:top w:val="single" w:sz="2" w:space="0" w:color="FFFFFF" w:themeColor="background1"/>
              <w:left w:val="single" w:sz="2" w:space="0" w:color="FFFFFF" w:themeColor="background1"/>
            </w:tcBorders>
            <w:hideMark/>
          </w:tcPr>
          <w:p w:rsidR="0019424B" w:rsidRPr="00B35630" w:rsidRDefault="0019424B" w:rsidP="0086398C">
            <w:pPr>
              <w:pStyle w:val="NormalWeb"/>
              <w:jc w:val="center"/>
              <w:rPr>
                <w:color w:val="FFFFFF" w:themeColor="background1"/>
                <w:sz w:val="18"/>
                <w:szCs w:val="18"/>
              </w:rPr>
            </w:pPr>
            <w:r w:rsidRPr="00B35630">
              <w:rPr>
                <w:color w:val="FFFFFF" w:themeColor="background1"/>
                <w:sz w:val="18"/>
                <w:szCs w:val="18"/>
              </w:rPr>
              <w:t>People</w:t>
            </w:r>
          </w:p>
        </w:tc>
      </w:tr>
      <w:tr w:rsidR="0019424B" w:rsidRPr="00B35630" w:rsidTr="00985988">
        <w:tc>
          <w:tcPr>
            <w:tcW w:w="1318" w:type="dxa"/>
            <w:hideMark/>
          </w:tcPr>
          <w:p w:rsidR="0019424B" w:rsidRPr="00B35630" w:rsidRDefault="0019424B" w:rsidP="0086398C">
            <w:pPr>
              <w:pStyle w:val="NormalWeb"/>
              <w:rPr>
                <w:sz w:val="18"/>
                <w:szCs w:val="18"/>
              </w:rPr>
            </w:pPr>
            <w:r w:rsidRPr="00B35630">
              <w:rPr>
                <w:sz w:val="18"/>
                <w:szCs w:val="18"/>
              </w:rPr>
              <w:t>0 to 9</w:t>
            </w:r>
          </w:p>
        </w:tc>
        <w:tc>
          <w:tcPr>
            <w:tcW w:w="1135" w:type="dxa"/>
            <w:hideMark/>
          </w:tcPr>
          <w:p w:rsidR="0019424B" w:rsidRPr="00B35630" w:rsidRDefault="0019424B" w:rsidP="0086398C">
            <w:pPr>
              <w:pStyle w:val="NormalWeb"/>
              <w:jc w:val="center"/>
              <w:rPr>
                <w:sz w:val="18"/>
                <w:szCs w:val="18"/>
              </w:rPr>
            </w:pPr>
            <w:r w:rsidRPr="00B35630">
              <w:rPr>
                <w:sz w:val="18"/>
                <w:szCs w:val="18"/>
              </w:rPr>
              <w:t>4</w:t>
            </w:r>
          </w:p>
        </w:tc>
        <w:tc>
          <w:tcPr>
            <w:tcW w:w="1135" w:type="dxa"/>
            <w:hideMark/>
          </w:tcPr>
          <w:p w:rsidR="0019424B" w:rsidRPr="00B35630" w:rsidRDefault="0019424B" w:rsidP="0086398C">
            <w:pPr>
              <w:pStyle w:val="NormalWeb"/>
              <w:jc w:val="center"/>
              <w:rPr>
                <w:sz w:val="18"/>
                <w:szCs w:val="18"/>
              </w:rPr>
            </w:pPr>
            <w:r w:rsidRPr="00B35630">
              <w:rPr>
                <w:sz w:val="18"/>
                <w:szCs w:val="18"/>
              </w:rPr>
              <w:t>3</w:t>
            </w:r>
          </w:p>
        </w:tc>
        <w:tc>
          <w:tcPr>
            <w:tcW w:w="1135" w:type="dxa"/>
            <w:hideMark/>
          </w:tcPr>
          <w:p w:rsidR="0019424B" w:rsidRPr="00B35630" w:rsidRDefault="0019424B" w:rsidP="0086398C">
            <w:pPr>
              <w:pStyle w:val="NormalWeb"/>
              <w:jc w:val="center"/>
              <w:rPr>
                <w:sz w:val="18"/>
                <w:szCs w:val="18"/>
              </w:rPr>
            </w:pPr>
            <w:r w:rsidRPr="00B35630">
              <w:rPr>
                <w:sz w:val="18"/>
                <w:szCs w:val="18"/>
              </w:rPr>
              <w:t>7</w:t>
            </w:r>
          </w:p>
        </w:tc>
        <w:tc>
          <w:tcPr>
            <w:tcW w:w="1135" w:type="dxa"/>
            <w:hideMark/>
          </w:tcPr>
          <w:p w:rsidR="0019424B" w:rsidRPr="00B35630" w:rsidRDefault="0019424B" w:rsidP="0086398C">
            <w:pPr>
              <w:pStyle w:val="NormalWeb"/>
              <w:jc w:val="center"/>
              <w:rPr>
                <w:sz w:val="18"/>
                <w:szCs w:val="18"/>
              </w:rPr>
            </w:pPr>
            <w:r w:rsidRPr="00B35630">
              <w:rPr>
                <w:sz w:val="18"/>
                <w:szCs w:val="18"/>
              </w:rPr>
              <w:t>0.2</w:t>
            </w:r>
          </w:p>
        </w:tc>
        <w:tc>
          <w:tcPr>
            <w:tcW w:w="1135" w:type="dxa"/>
            <w:hideMark/>
          </w:tcPr>
          <w:p w:rsidR="0019424B" w:rsidRPr="00B35630" w:rsidRDefault="0019424B" w:rsidP="0086398C">
            <w:pPr>
              <w:pStyle w:val="NormalWeb"/>
              <w:jc w:val="center"/>
              <w:rPr>
                <w:sz w:val="18"/>
                <w:szCs w:val="18"/>
              </w:rPr>
            </w:pPr>
            <w:r w:rsidRPr="00B35630">
              <w:rPr>
                <w:sz w:val="18"/>
                <w:szCs w:val="18"/>
              </w:rPr>
              <w:t>0.2</w:t>
            </w:r>
          </w:p>
        </w:tc>
        <w:tc>
          <w:tcPr>
            <w:tcW w:w="1136" w:type="dxa"/>
            <w:hideMark/>
          </w:tcPr>
          <w:p w:rsidR="0019424B" w:rsidRPr="00B35630" w:rsidRDefault="0019424B" w:rsidP="0086398C">
            <w:pPr>
              <w:pStyle w:val="NormalWeb"/>
              <w:jc w:val="center"/>
              <w:rPr>
                <w:sz w:val="18"/>
                <w:szCs w:val="18"/>
              </w:rPr>
            </w:pPr>
            <w:r w:rsidRPr="00B35630">
              <w:rPr>
                <w:sz w:val="18"/>
                <w:szCs w:val="18"/>
              </w:rPr>
              <w:t>0.2</w:t>
            </w:r>
          </w:p>
        </w:tc>
        <w:tc>
          <w:tcPr>
            <w:tcW w:w="1135" w:type="dxa"/>
            <w:hideMark/>
          </w:tcPr>
          <w:p w:rsidR="0019424B" w:rsidRPr="00B35630" w:rsidRDefault="0019424B" w:rsidP="0086398C">
            <w:pPr>
              <w:pStyle w:val="NormalWeb"/>
              <w:jc w:val="center"/>
              <w:rPr>
                <w:sz w:val="18"/>
                <w:szCs w:val="18"/>
              </w:rPr>
            </w:pPr>
            <w:r w:rsidRPr="00B35630">
              <w:rPr>
                <w:sz w:val="18"/>
                <w:szCs w:val="18"/>
              </w:rPr>
              <w:t>798</w:t>
            </w:r>
          </w:p>
        </w:tc>
        <w:tc>
          <w:tcPr>
            <w:tcW w:w="1135" w:type="dxa"/>
            <w:hideMark/>
          </w:tcPr>
          <w:p w:rsidR="0019424B" w:rsidRPr="00B35630" w:rsidRDefault="0019424B" w:rsidP="0086398C">
            <w:pPr>
              <w:pStyle w:val="NormalWeb"/>
              <w:jc w:val="center"/>
              <w:rPr>
                <w:sz w:val="18"/>
                <w:szCs w:val="18"/>
              </w:rPr>
            </w:pPr>
            <w:r w:rsidRPr="00B35630">
              <w:rPr>
                <w:sz w:val="18"/>
                <w:szCs w:val="18"/>
              </w:rPr>
              <w:t>719</w:t>
            </w:r>
          </w:p>
        </w:tc>
        <w:tc>
          <w:tcPr>
            <w:tcW w:w="1135" w:type="dxa"/>
            <w:hideMark/>
          </w:tcPr>
          <w:p w:rsidR="0019424B" w:rsidRPr="00B35630" w:rsidRDefault="0019424B" w:rsidP="0086398C">
            <w:pPr>
              <w:pStyle w:val="NormalWeb"/>
              <w:jc w:val="center"/>
              <w:rPr>
                <w:sz w:val="18"/>
                <w:szCs w:val="18"/>
              </w:rPr>
            </w:pPr>
            <w:r w:rsidRPr="00B35630">
              <w:rPr>
                <w:sz w:val="18"/>
                <w:szCs w:val="18"/>
              </w:rPr>
              <w:t>1,517</w:t>
            </w:r>
          </w:p>
        </w:tc>
        <w:tc>
          <w:tcPr>
            <w:tcW w:w="1135" w:type="dxa"/>
            <w:hideMark/>
          </w:tcPr>
          <w:p w:rsidR="0019424B" w:rsidRPr="00B35630" w:rsidRDefault="0019424B" w:rsidP="0086398C">
            <w:pPr>
              <w:pStyle w:val="NormalWeb"/>
              <w:jc w:val="center"/>
              <w:rPr>
                <w:sz w:val="18"/>
                <w:szCs w:val="18"/>
              </w:rPr>
            </w:pPr>
            <w:r w:rsidRPr="00B35630">
              <w:rPr>
                <w:sz w:val="18"/>
                <w:szCs w:val="18"/>
              </w:rPr>
              <w:t>48.8</w:t>
            </w:r>
          </w:p>
        </w:tc>
        <w:tc>
          <w:tcPr>
            <w:tcW w:w="1135" w:type="dxa"/>
            <w:hideMark/>
          </w:tcPr>
          <w:p w:rsidR="0019424B" w:rsidRPr="00B35630" w:rsidRDefault="0019424B" w:rsidP="0086398C">
            <w:pPr>
              <w:pStyle w:val="NormalWeb"/>
              <w:jc w:val="center"/>
              <w:rPr>
                <w:sz w:val="18"/>
                <w:szCs w:val="18"/>
              </w:rPr>
            </w:pPr>
            <w:r w:rsidRPr="00B35630">
              <w:rPr>
                <w:sz w:val="18"/>
                <w:szCs w:val="18"/>
              </w:rPr>
              <w:t>46.4</w:t>
            </w:r>
          </w:p>
        </w:tc>
        <w:tc>
          <w:tcPr>
            <w:tcW w:w="1136" w:type="dxa"/>
            <w:hideMark/>
          </w:tcPr>
          <w:p w:rsidR="0019424B" w:rsidRPr="00B35630" w:rsidRDefault="0019424B" w:rsidP="0086398C">
            <w:pPr>
              <w:pStyle w:val="NormalWeb"/>
              <w:jc w:val="center"/>
              <w:rPr>
                <w:sz w:val="18"/>
                <w:szCs w:val="18"/>
              </w:rPr>
            </w:pPr>
            <w:r w:rsidRPr="00B35630">
              <w:rPr>
                <w:sz w:val="18"/>
                <w:szCs w:val="18"/>
              </w:rPr>
              <w:t>47.6</w:t>
            </w:r>
          </w:p>
        </w:tc>
      </w:tr>
      <w:tr w:rsidR="0019424B" w:rsidRPr="00B35630" w:rsidTr="00985988">
        <w:trPr>
          <w:cnfStyle w:val="000000010000" w:firstRow="0" w:lastRow="0" w:firstColumn="0" w:lastColumn="0" w:oddVBand="0" w:evenVBand="0" w:oddHBand="0" w:evenHBand="1" w:firstRowFirstColumn="0" w:firstRowLastColumn="0" w:lastRowFirstColumn="0" w:lastRowLastColumn="0"/>
        </w:trPr>
        <w:tc>
          <w:tcPr>
            <w:tcW w:w="1318" w:type="dxa"/>
            <w:hideMark/>
          </w:tcPr>
          <w:p w:rsidR="0019424B" w:rsidRPr="00B35630" w:rsidRDefault="0019424B" w:rsidP="0086398C">
            <w:pPr>
              <w:pStyle w:val="NormalWeb"/>
              <w:rPr>
                <w:sz w:val="18"/>
                <w:szCs w:val="18"/>
              </w:rPr>
            </w:pPr>
            <w:r w:rsidRPr="00B35630">
              <w:rPr>
                <w:sz w:val="18"/>
                <w:szCs w:val="18"/>
              </w:rPr>
              <w:t>10 to 19</w:t>
            </w:r>
          </w:p>
        </w:tc>
        <w:tc>
          <w:tcPr>
            <w:tcW w:w="1135" w:type="dxa"/>
            <w:hideMark/>
          </w:tcPr>
          <w:p w:rsidR="0019424B" w:rsidRPr="00B35630" w:rsidRDefault="0019424B" w:rsidP="0086398C">
            <w:pPr>
              <w:pStyle w:val="NormalWeb"/>
              <w:jc w:val="center"/>
              <w:rPr>
                <w:sz w:val="18"/>
                <w:szCs w:val="18"/>
              </w:rPr>
            </w:pPr>
            <w:r w:rsidRPr="00B35630">
              <w:rPr>
                <w:sz w:val="18"/>
                <w:szCs w:val="18"/>
              </w:rPr>
              <w:t>2</w:t>
            </w:r>
          </w:p>
        </w:tc>
        <w:tc>
          <w:tcPr>
            <w:tcW w:w="1135" w:type="dxa"/>
            <w:hideMark/>
          </w:tcPr>
          <w:p w:rsidR="0019424B" w:rsidRPr="00B35630" w:rsidRDefault="0019424B" w:rsidP="0086398C">
            <w:pPr>
              <w:pStyle w:val="NormalWeb"/>
              <w:jc w:val="center"/>
              <w:rPr>
                <w:sz w:val="18"/>
                <w:szCs w:val="18"/>
              </w:rPr>
            </w:pPr>
            <w:r w:rsidRPr="00B35630">
              <w:rPr>
                <w:sz w:val="18"/>
                <w:szCs w:val="18"/>
              </w:rPr>
              <w:t>1</w:t>
            </w:r>
          </w:p>
        </w:tc>
        <w:tc>
          <w:tcPr>
            <w:tcW w:w="1135" w:type="dxa"/>
            <w:hideMark/>
          </w:tcPr>
          <w:p w:rsidR="0019424B" w:rsidRPr="00B35630" w:rsidRDefault="0019424B" w:rsidP="0086398C">
            <w:pPr>
              <w:pStyle w:val="NormalWeb"/>
              <w:jc w:val="center"/>
              <w:rPr>
                <w:sz w:val="18"/>
                <w:szCs w:val="18"/>
              </w:rPr>
            </w:pPr>
            <w:r w:rsidRPr="00B35630">
              <w:rPr>
                <w:sz w:val="18"/>
                <w:szCs w:val="18"/>
              </w:rPr>
              <w:t>3</w:t>
            </w:r>
          </w:p>
        </w:tc>
        <w:tc>
          <w:tcPr>
            <w:tcW w:w="1135" w:type="dxa"/>
            <w:hideMark/>
          </w:tcPr>
          <w:p w:rsidR="0019424B" w:rsidRPr="00B35630" w:rsidRDefault="0019424B" w:rsidP="0086398C">
            <w:pPr>
              <w:pStyle w:val="NormalWeb"/>
              <w:jc w:val="center"/>
              <w:rPr>
                <w:sz w:val="18"/>
                <w:szCs w:val="18"/>
              </w:rPr>
            </w:pPr>
            <w:r w:rsidRPr="00B35630">
              <w:rPr>
                <w:sz w:val="18"/>
                <w:szCs w:val="18"/>
              </w:rPr>
              <w:t>0.1</w:t>
            </w:r>
          </w:p>
        </w:tc>
        <w:tc>
          <w:tcPr>
            <w:tcW w:w="1135" w:type="dxa"/>
            <w:hideMark/>
          </w:tcPr>
          <w:p w:rsidR="0019424B" w:rsidRPr="00B35630" w:rsidRDefault="0019424B" w:rsidP="0086398C">
            <w:pPr>
              <w:pStyle w:val="NormalWeb"/>
              <w:jc w:val="center"/>
              <w:rPr>
                <w:sz w:val="18"/>
                <w:szCs w:val="18"/>
              </w:rPr>
            </w:pPr>
            <w:r w:rsidRPr="00B35630">
              <w:rPr>
                <w:sz w:val="18"/>
                <w:szCs w:val="18"/>
              </w:rPr>
              <w:t>0.1</w:t>
            </w:r>
          </w:p>
        </w:tc>
        <w:tc>
          <w:tcPr>
            <w:tcW w:w="1136" w:type="dxa"/>
            <w:hideMark/>
          </w:tcPr>
          <w:p w:rsidR="0019424B" w:rsidRPr="00B35630" w:rsidRDefault="0019424B" w:rsidP="0086398C">
            <w:pPr>
              <w:pStyle w:val="NormalWeb"/>
              <w:jc w:val="center"/>
              <w:rPr>
                <w:sz w:val="18"/>
                <w:szCs w:val="18"/>
              </w:rPr>
            </w:pPr>
            <w:r w:rsidRPr="00B35630">
              <w:rPr>
                <w:sz w:val="18"/>
                <w:szCs w:val="18"/>
              </w:rPr>
              <w:t>0.1</w:t>
            </w:r>
          </w:p>
        </w:tc>
        <w:tc>
          <w:tcPr>
            <w:tcW w:w="1135" w:type="dxa"/>
            <w:hideMark/>
          </w:tcPr>
          <w:p w:rsidR="0019424B" w:rsidRPr="00B35630" w:rsidRDefault="0019424B" w:rsidP="0086398C">
            <w:pPr>
              <w:pStyle w:val="NormalWeb"/>
              <w:jc w:val="center"/>
              <w:rPr>
                <w:sz w:val="18"/>
                <w:szCs w:val="18"/>
              </w:rPr>
            </w:pPr>
            <w:r w:rsidRPr="00B35630">
              <w:rPr>
                <w:sz w:val="18"/>
                <w:szCs w:val="18"/>
              </w:rPr>
              <w:t>1,262</w:t>
            </w:r>
          </w:p>
        </w:tc>
        <w:tc>
          <w:tcPr>
            <w:tcW w:w="1135" w:type="dxa"/>
            <w:hideMark/>
          </w:tcPr>
          <w:p w:rsidR="0019424B" w:rsidRPr="00B35630" w:rsidRDefault="0019424B" w:rsidP="0086398C">
            <w:pPr>
              <w:pStyle w:val="NormalWeb"/>
              <w:jc w:val="center"/>
              <w:rPr>
                <w:sz w:val="18"/>
                <w:szCs w:val="18"/>
              </w:rPr>
            </w:pPr>
            <w:r w:rsidRPr="00B35630">
              <w:rPr>
                <w:sz w:val="18"/>
                <w:szCs w:val="18"/>
              </w:rPr>
              <w:t>1,207</w:t>
            </w:r>
          </w:p>
        </w:tc>
        <w:tc>
          <w:tcPr>
            <w:tcW w:w="1135" w:type="dxa"/>
            <w:hideMark/>
          </w:tcPr>
          <w:p w:rsidR="0019424B" w:rsidRPr="00B35630" w:rsidRDefault="0019424B" w:rsidP="0086398C">
            <w:pPr>
              <w:pStyle w:val="NormalWeb"/>
              <w:jc w:val="center"/>
              <w:rPr>
                <w:sz w:val="18"/>
                <w:szCs w:val="18"/>
              </w:rPr>
            </w:pPr>
            <w:r w:rsidRPr="00B35630">
              <w:rPr>
                <w:sz w:val="18"/>
                <w:szCs w:val="18"/>
              </w:rPr>
              <w:t>2,469</w:t>
            </w:r>
          </w:p>
        </w:tc>
        <w:tc>
          <w:tcPr>
            <w:tcW w:w="1135" w:type="dxa"/>
            <w:hideMark/>
          </w:tcPr>
          <w:p w:rsidR="0019424B" w:rsidRPr="00B35630" w:rsidRDefault="0019424B" w:rsidP="0086398C">
            <w:pPr>
              <w:pStyle w:val="NormalWeb"/>
              <w:jc w:val="center"/>
              <w:rPr>
                <w:sz w:val="18"/>
                <w:szCs w:val="18"/>
              </w:rPr>
            </w:pPr>
            <w:r w:rsidRPr="00B35630">
              <w:rPr>
                <w:sz w:val="18"/>
                <w:szCs w:val="18"/>
              </w:rPr>
              <w:t>80.4</w:t>
            </w:r>
          </w:p>
        </w:tc>
        <w:tc>
          <w:tcPr>
            <w:tcW w:w="1135" w:type="dxa"/>
            <w:hideMark/>
          </w:tcPr>
          <w:p w:rsidR="0019424B" w:rsidRPr="00B35630" w:rsidRDefault="0019424B" w:rsidP="0086398C">
            <w:pPr>
              <w:pStyle w:val="NormalWeb"/>
              <w:jc w:val="center"/>
              <w:rPr>
                <w:sz w:val="18"/>
                <w:szCs w:val="18"/>
              </w:rPr>
            </w:pPr>
            <w:r w:rsidRPr="00B35630">
              <w:rPr>
                <w:sz w:val="18"/>
                <w:szCs w:val="18"/>
              </w:rPr>
              <w:t>81.3</w:t>
            </w:r>
          </w:p>
        </w:tc>
        <w:tc>
          <w:tcPr>
            <w:tcW w:w="1136" w:type="dxa"/>
            <w:hideMark/>
          </w:tcPr>
          <w:p w:rsidR="0019424B" w:rsidRPr="00B35630" w:rsidRDefault="0019424B" w:rsidP="0086398C">
            <w:pPr>
              <w:pStyle w:val="NormalWeb"/>
              <w:jc w:val="center"/>
              <w:rPr>
                <w:sz w:val="18"/>
                <w:szCs w:val="18"/>
              </w:rPr>
            </w:pPr>
            <w:r w:rsidRPr="00B35630">
              <w:rPr>
                <w:sz w:val="18"/>
                <w:szCs w:val="18"/>
              </w:rPr>
              <w:t>80.8</w:t>
            </w:r>
          </w:p>
        </w:tc>
      </w:tr>
      <w:tr w:rsidR="0019424B" w:rsidRPr="00B35630" w:rsidTr="00985988">
        <w:tc>
          <w:tcPr>
            <w:tcW w:w="1318" w:type="dxa"/>
            <w:hideMark/>
          </w:tcPr>
          <w:p w:rsidR="0019424B" w:rsidRPr="00B35630" w:rsidRDefault="0019424B" w:rsidP="0086398C">
            <w:pPr>
              <w:pStyle w:val="NormalWeb"/>
              <w:rPr>
                <w:sz w:val="18"/>
                <w:szCs w:val="18"/>
              </w:rPr>
            </w:pPr>
            <w:r w:rsidRPr="00B35630">
              <w:rPr>
                <w:sz w:val="18"/>
                <w:szCs w:val="18"/>
              </w:rPr>
              <w:t>20 to 29</w:t>
            </w:r>
          </w:p>
        </w:tc>
        <w:tc>
          <w:tcPr>
            <w:tcW w:w="1135" w:type="dxa"/>
            <w:hideMark/>
          </w:tcPr>
          <w:p w:rsidR="0019424B" w:rsidRPr="00B35630" w:rsidRDefault="0019424B" w:rsidP="0086398C">
            <w:pPr>
              <w:pStyle w:val="NormalWeb"/>
              <w:jc w:val="center"/>
              <w:rPr>
                <w:sz w:val="18"/>
                <w:szCs w:val="18"/>
              </w:rPr>
            </w:pPr>
            <w:r w:rsidRPr="00B35630">
              <w:rPr>
                <w:sz w:val="18"/>
                <w:szCs w:val="18"/>
              </w:rPr>
              <w:t>7</w:t>
            </w:r>
          </w:p>
        </w:tc>
        <w:tc>
          <w:tcPr>
            <w:tcW w:w="1135" w:type="dxa"/>
            <w:hideMark/>
          </w:tcPr>
          <w:p w:rsidR="0019424B" w:rsidRPr="00B35630" w:rsidRDefault="0019424B" w:rsidP="0086398C">
            <w:pPr>
              <w:pStyle w:val="NormalWeb"/>
              <w:jc w:val="center"/>
              <w:rPr>
                <w:sz w:val="18"/>
                <w:szCs w:val="18"/>
              </w:rPr>
            </w:pPr>
            <w:r w:rsidRPr="00B35630">
              <w:rPr>
                <w:sz w:val="18"/>
                <w:szCs w:val="18"/>
              </w:rPr>
              <w:t>9</w:t>
            </w:r>
          </w:p>
        </w:tc>
        <w:tc>
          <w:tcPr>
            <w:tcW w:w="1135" w:type="dxa"/>
            <w:hideMark/>
          </w:tcPr>
          <w:p w:rsidR="0019424B" w:rsidRPr="00B35630" w:rsidRDefault="0019424B" w:rsidP="0086398C">
            <w:pPr>
              <w:pStyle w:val="NormalWeb"/>
              <w:jc w:val="center"/>
              <w:rPr>
                <w:sz w:val="18"/>
                <w:szCs w:val="18"/>
              </w:rPr>
            </w:pPr>
            <w:r w:rsidRPr="00B35630">
              <w:rPr>
                <w:sz w:val="18"/>
                <w:szCs w:val="18"/>
              </w:rPr>
              <w:t>16</w:t>
            </w:r>
          </w:p>
        </w:tc>
        <w:tc>
          <w:tcPr>
            <w:tcW w:w="1135" w:type="dxa"/>
            <w:hideMark/>
          </w:tcPr>
          <w:p w:rsidR="0019424B" w:rsidRPr="00B35630" w:rsidRDefault="0019424B" w:rsidP="0086398C">
            <w:pPr>
              <w:pStyle w:val="NormalWeb"/>
              <w:jc w:val="center"/>
              <w:rPr>
                <w:sz w:val="18"/>
                <w:szCs w:val="18"/>
              </w:rPr>
            </w:pPr>
            <w:r w:rsidRPr="00B35630">
              <w:rPr>
                <w:sz w:val="18"/>
                <w:szCs w:val="18"/>
              </w:rPr>
              <w:t>0.4</w:t>
            </w:r>
          </w:p>
        </w:tc>
        <w:tc>
          <w:tcPr>
            <w:tcW w:w="1135" w:type="dxa"/>
            <w:hideMark/>
          </w:tcPr>
          <w:p w:rsidR="0019424B" w:rsidRPr="00B35630" w:rsidRDefault="0019424B" w:rsidP="0086398C">
            <w:pPr>
              <w:pStyle w:val="NormalWeb"/>
              <w:jc w:val="center"/>
              <w:rPr>
                <w:sz w:val="18"/>
                <w:szCs w:val="18"/>
              </w:rPr>
            </w:pPr>
            <w:r w:rsidRPr="00B35630">
              <w:rPr>
                <w:sz w:val="18"/>
                <w:szCs w:val="18"/>
              </w:rPr>
              <w:t>0.5</w:t>
            </w:r>
          </w:p>
        </w:tc>
        <w:tc>
          <w:tcPr>
            <w:tcW w:w="1136" w:type="dxa"/>
            <w:hideMark/>
          </w:tcPr>
          <w:p w:rsidR="0019424B" w:rsidRPr="00B35630" w:rsidRDefault="0019424B" w:rsidP="0086398C">
            <w:pPr>
              <w:pStyle w:val="NormalWeb"/>
              <w:jc w:val="center"/>
              <w:rPr>
                <w:sz w:val="18"/>
                <w:szCs w:val="18"/>
              </w:rPr>
            </w:pPr>
            <w:r w:rsidRPr="00B35630">
              <w:rPr>
                <w:sz w:val="18"/>
                <w:szCs w:val="18"/>
              </w:rPr>
              <w:t>0.4</w:t>
            </w:r>
          </w:p>
        </w:tc>
        <w:tc>
          <w:tcPr>
            <w:tcW w:w="1135" w:type="dxa"/>
            <w:hideMark/>
          </w:tcPr>
          <w:p w:rsidR="0019424B" w:rsidRPr="00B35630" w:rsidRDefault="0019424B" w:rsidP="0086398C">
            <w:pPr>
              <w:pStyle w:val="NormalWeb"/>
              <w:jc w:val="center"/>
              <w:rPr>
                <w:sz w:val="18"/>
                <w:szCs w:val="18"/>
              </w:rPr>
            </w:pPr>
            <w:r w:rsidRPr="00B35630">
              <w:rPr>
                <w:sz w:val="18"/>
                <w:szCs w:val="18"/>
              </w:rPr>
              <w:t>3,089</w:t>
            </w:r>
          </w:p>
        </w:tc>
        <w:tc>
          <w:tcPr>
            <w:tcW w:w="1135" w:type="dxa"/>
            <w:hideMark/>
          </w:tcPr>
          <w:p w:rsidR="0019424B" w:rsidRPr="00B35630" w:rsidRDefault="0019424B" w:rsidP="0086398C">
            <w:pPr>
              <w:pStyle w:val="NormalWeb"/>
              <w:jc w:val="center"/>
              <w:rPr>
                <w:sz w:val="18"/>
                <w:szCs w:val="18"/>
              </w:rPr>
            </w:pPr>
            <w:r w:rsidRPr="00B35630">
              <w:rPr>
                <w:sz w:val="18"/>
                <w:szCs w:val="18"/>
              </w:rPr>
              <w:t>3,384</w:t>
            </w:r>
          </w:p>
        </w:tc>
        <w:tc>
          <w:tcPr>
            <w:tcW w:w="1135" w:type="dxa"/>
            <w:hideMark/>
          </w:tcPr>
          <w:p w:rsidR="0019424B" w:rsidRPr="00B35630" w:rsidRDefault="0019424B" w:rsidP="0086398C">
            <w:pPr>
              <w:pStyle w:val="NormalWeb"/>
              <w:jc w:val="center"/>
              <w:rPr>
                <w:sz w:val="18"/>
                <w:szCs w:val="18"/>
              </w:rPr>
            </w:pPr>
            <w:r w:rsidRPr="00B35630">
              <w:rPr>
                <w:sz w:val="18"/>
                <w:szCs w:val="18"/>
              </w:rPr>
              <w:t>6,495</w:t>
            </w:r>
          </w:p>
        </w:tc>
        <w:tc>
          <w:tcPr>
            <w:tcW w:w="1135" w:type="dxa"/>
            <w:hideMark/>
          </w:tcPr>
          <w:p w:rsidR="0019424B" w:rsidRPr="00B35630" w:rsidRDefault="0019424B" w:rsidP="0086398C">
            <w:pPr>
              <w:pStyle w:val="NormalWeb"/>
              <w:jc w:val="center"/>
              <w:rPr>
                <w:sz w:val="18"/>
                <w:szCs w:val="18"/>
              </w:rPr>
            </w:pPr>
            <w:r w:rsidRPr="00B35630">
              <w:rPr>
                <w:sz w:val="18"/>
                <w:szCs w:val="18"/>
              </w:rPr>
              <w:t>166.3</w:t>
            </w:r>
          </w:p>
        </w:tc>
        <w:tc>
          <w:tcPr>
            <w:tcW w:w="1135" w:type="dxa"/>
            <w:hideMark/>
          </w:tcPr>
          <w:p w:rsidR="0019424B" w:rsidRPr="00B35630" w:rsidRDefault="0019424B" w:rsidP="0086398C">
            <w:pPr>
              <w:pStyle w:val="NormalWeb"/>
              <w:jc w:val="center"/>
              <w:rPr>
                <w:sz w:val="18"/>
                <w:szCs w:val="18"/>
              </w:rPr>
            </w:pPr>
            <w:r w:rsidRPr="00B35630">
              <w:rPr>
                <w:sz w:val="18"/>
                <w:szCs w:val="18"/>
              </w:rPr>
              <w:t>187.9</w:t>
            </w:r>
          </w:p>
        </w:tc>
        <w:tc>
          <w:tcPr>
            <w:tcW w:w="1136" w:type="dxa"/>
            <w:hideMark/>
          </w:tcPr>
          <w:p w:rsidR="0019424B" w:rsidRPr="00B35630" w:rsidRDefault="0019424B" w:rsidP="0086398C">
            <w:pPr>
              <w:pStyle w:val="NormalWeb"/>
              <w:jc w:val="center"/>
              <w:rPr>
                <w:sz w:val="18"/>
                <w:szCs w:val="18"/>
              </w:rPr>
            </w:pPr>
            <w:r w:rsidRPr="00B35630">
              <w:rPr>
                <w:sz w:val="18"/>
                <w:szCs w:val="18"/>
              </w:rPr>
              <w:t>177.5</w:t>
            </w:r>
          </w:p>
        </w:tc>
      </w:tr>
      <w:tr w:rsidR="0019424B" w:rsidRPr="00B35630" w:rsidTr="00985988">
        <w:trPr>
          <w:cnfStyle w:val="000000010000" w:firstRow="0" w:lastRow="0" w:firstColumn="0" w:lastColumn="0" w:oddVBand="0" w:evenVBand="0" w:oddHBand="0" w:evenHBand="1" w:firstRowFirstColumn="0" w:firstRowLastColumn="0" w:lastRowFirstColumn="0" w:lastRowLastColumn="0"/>
        </w:trPr>
        <w:tc>
          <w:tcPr>
            <w:tcW w:w="1318" w:type="dxa"/>
            <w:hideMark/>
          </w:tcPr>
          <w:p w:rsidR="0019424B" w:rsidRPr="00B35630" w:rsidRDefault="0019424B" w:rsidP="0086398C">
            <w:pPr>
              <w:pStyle w:val="NormalWeb"/>
              <w:rPr>
                <w:sz w:val="18"/>
                <w:szCs w:val="18"/>
              </w:rPr>
            </w:pPr>
            <w:r w:rsidRPr="00B35630">
              <w:rPr>
                <w:sz w:val="18"/>
                <w:szCs w:val="18"/>
              </w:rPr>
              <w:t>30 to 39</w:t>
            </w:r>
          </w:p>
        </w:tc>
        <w:tc>
          <w:tcPr>
            <w:tcW w:w="1135" w:type="dxa"/>
            <w:hideMark/>
          </w:tcPr>
          <w:p w:rsidR="0019424B" w:rsidRPr="00B35630" w:rsidRDefault="0019424B" w:rsidP="0086398C">
            <w:pPr>
              <w:pStyle w:val="NormalWeb"/>
              <w:jc w:val="center"/>
              <w:rPr>
                <w:sz w:val="18"/>
                <w:szCs w:val="18"/>
              </w:rPr>
            </w:pPr>
            <w:r w:rsidRPr="00B35630">
              <w:rPr>
                <w:sz w:val="18"/>
                <w:szCs w:val="18"/>
              </w:rPr>
              <w:t>12</w:t>
            </w:r>
          </w:p>
        </w:tc>
        <w:tc>
          <w:tcPr>
            <w:tcW w:w="1135" w:type="dxa"/>
            <w:hideMark/>
          </w:tcPr>
          <w:p w:rsidR="0019424B" w:rsidRPr="00B35630" w:rsidRDefault="0019424B" w:rsidP="0086398C">
            <w:pPr>
              <w:pStyle w:val="NormalWeb"/>
              <w:jc w:val="center"/>
              <w:rPr>
                <w:sz w:val="18"/>
                <w:szCs w:val="18"/>
              </w:rPr>
            </w:pPr>
            <w:r w:rsidRPr="00B35630">
              <w:rPr>
                <w:sz w:val="18"/>
                <w:szCs w:val="18"/>
              </w:rPr>
              <w:t>11</w:t>
            </w:r>
          </w:p>
        </w:tc>
        <w:tc>
          <w:tcPr>
            <w:tcW w:w="1135" w:type="dxa"/>
            <w:hideMark/>
          </w:tcPr>
          <w:p w:rsidR="0019424B" w:rsidRPr="00B35630" w:rsidRDefault="0019424B" w:rsidP="0086398C">
            <w:pPr>
              <w:pStyle w:val="NormalWeb"/>
              <w:jc w:val="center"/>
              <w:rPr>
                <w:sz w:val="18"/>
                <w:szCs w:val="18"/>
              </w:rPr>
            </w:pPr>
            <w:r w:rsidRPr="00B35630">
              <w:rPr>
                <w:sz w:val="18"/>
                <w:szCs w:val="18"/>
              </w:rPr>
              <w:t>23</w:t>
            </w:r>
          </w:p>
        </w:tc>
        <w:tc>
          <w:tcPr>
            <w:tcW w:w="1135" w:type="dxa"/>
            <w:hideMark/>
          </w:tcPr>
          <w:p w:rsidR="0019424B" w:rsidRPr="00B35630" w:rsidRDefault="0019424B" w:rsidP="0086398C">
            <w:pPr>
              <w:pStyle w:val="NormalWeb"/>
              <w:jc w:val="center"/>
              <w:rPr>
                <w:sz w:val="18"/>
                <w:szCs w:val="18"/>
              </w:rPr>
            </w:pPr>
            <w:r w:rsidRPr="00B35630">
              <w:rPr>
                <w:sz w:val="18"/>
                <w:szCs w:val="18"/>
              </w:rPr>
              <w:t>0.7</w:t>
            </w:r>
          </w:p>
        </w:tc>
        <w:tc>
          <w:tcPr>
            <w:tcW w:w="1135" w:type="dxa"/>
            <w:hideMark/>
          </w:tcPr>
          <w:p w:rsidR="0019424B" w:rsidRPr="00B35630" w:rsidRDefault="0019424B" w:rsidP="0086398C">
            <w:pPr>
              <w:pStyle w:val="NormalWeb"/>
              <w:jc w:val="center"/>
              <w:rPr>
                <w:sz w:val="18"/>
                <w:szCs w:val="18"/>
              </w:rPr>
            </w:pPr>
            <w:r w:rsidRPr="00B35630">
              <w:rPr>
                <w:sz w:val="18"/>
                <w:szCs w:val="18"/>
              </w:rPr>
              <w:t>0.6</w:t>
            </w:r>
          </w:p>
        </w:tc>
        <w:tc>
          <w:tcPr>
            <w:tcW w:w="1136" w:type="dxa"/>
            <w:hideMark/>
          </w:tcPr>
          <w:p w:rsidR="0019424B" w:rsidRPr="00B35630" w:rsidRDefault="0019424B" w:rsidP="0086398C">
            <w:pPr>
              <w:pStyle w:val="NormalWeb"/>
              <w:jc w:val="center"/>
              <w:rPr>
                <w:sz w:val="18"/>
                <w:szCs w:val="18"/>
              </w:rPr>
            </w:pPr>
            <w:r w:rsidRPr="00B35630">
              <w:rPr>
                <w:sz w:val="18"/>
                <w:szCs w:val="18"/>
              </w:rPr>
              <w:t>0.6</w:t>
            </w:r>
          </w:p>
        </w:tc>
        <w:tc>
          <w:tcPr>
            <w:tcW w:w="1135" w:type="dxa"/>
            <w:hideMark/>
          </w:tcPr>
          <w:p w:rsidR="0019424B" w:rsidRPr="00B35630" w:rsidRDefault="0019424B" w:rsidP="0086398C">
            <w:pPr>
              <w:pStyle w:val="NormalWeb"/>
              <w:jc w:val="center"/>
              <w:rPr>
                <w:sz w:val="18"/>
                <w:szCs w:val="18"/>
              </w:rPr>
            </w:pPr>
            <w:r w:rsidRPr="00B35630">
              <w:rPr>
                <w:sz w:val="18"/>
                <w:szCs w:val="18"/>
              </w:rPr>
              <w:t>2,607</w:t>
            </w:r>
          </w:p>
        </w:tc>
        <w:tc>
          <w:tcPr>
            <w:tcW w:w="1135" w:type="dxa"/>
            <w:hideMark/>
          </w:tcPr>
          <w:p w:rsidR="0019424B" w:rsidRPr="00B35630" w:rsidRDefault="0019424B" w:rsidP="0086398C">
            <w:pPr>
              <w:pStyle w:val="NormalWeb"/>
              <w:jc w:val="center"/>
              <w:rPr>
                <w:sz w:val="18"/>
                <w:szCs w:val="18"/>
              </w:rPr>
            </w:pPr>
            <w:r w:rsidRPr="00B35630">
              <w:rPr>
                <w:sz w:val="18"/>
                <w:szCs w:val="18"/>
              </w:rPr>
              <w:t>2,514</w:t>
            </w:r>
          </w:p>
        </w:tc>
        <w:tc>
          <w:tcPr>
            <w:tcW w:w="1135" w:type="dxa"/>
            <w:hideMark/>
          </w:tcPr>
          <w:p w:rsidR="0019424B" w:rsidRPr="00B35630" w:rsidRDefault="0019424B" w:rsidP="0086398C">
            <w:pPr>
              <w:pStyle w:val="NormalWeb"/>
              <w:jc w:val="center"/>
              <w:rPr>
                <w:sz w:val="18"/>
                <w:szCs w:val="18"/>
              </w:rPr>
            </w:pPr>
            <w:r w:rsidRPr="00B35630">
              <w:rPr>
                <w:sz w:val="18"/>
                <w:szCs w:val="18"/>
              </w:rPr>
              <w:t>5,136</w:t>
            </w:r>
          </w:p>
        </w:tc>
        <w:tc>
          <w:tcPr>
            <w:tcW w:w="1135" w:type="dxa"/>
            <w:hideMark/>
          </w:tcPr>
          <w:p w:rsidR="0019424B" w:rsidRPr="00B35630" w:rsidRDefault="0019424B" w:rsidP="0086398C">
            <w:pPr>
              <w:pStyle w:val="NormalWeb"/>
              <w:jc w:val="center"/>
              <w:rPr>
                <w:sz w:val="18"/>
                <w:szCs w:val="18"/>
              </w:rPr>
            </w:pPr>
            <w:r w:rsidRPr="00B35630">
              <w:rPr>
                <w:sz w:val="18"/>
                <w:szCs w:val="18"/>
              </w:rPr>
              <w:t>143.3</w:t>
            </w:r>
          </w:p>
        </w:tc>
        <w:tc>
          <w:tcPr>
            <w:tcW w:w="1135" w:type="dxa"/>
            <w:hideMark/>
          </w:tcPr>
          <w:p w:rsidR="0019424B" w:rsidRPr="00B35630" w:rsidRDefault="0019424B" w:rsidP="0086398C">
            <w:pPr>
              <w:pStyle w:val="NormalWeb"/>
              <w:jc w:val="center"/>
              <w:rPr>
                <w:sz w:val="18"/>
                <w:szCs w:val="18"/>
              </w:rPr>
            </w:pPr>
            <w:r w:rsidRPr="00B35630">
              <w:rPr>
                <w:sz w:val="18"/>
                <w:szCs w:val="18"/>
              </w:rPr>
              <w:t>135.5</w:t>
            </w:r>
          </w:p>
        </w:tc>
        <w:tc>
          <w:tcPr>
            <w:tcW w:w="1136" w:type="dxa"/>
            <w:hideMark/>
          </w:tcPr>
          <w:p w:rsidR="0019424B" w:rsidRPr="00B35630" w:rsidRDefault="0019424B" w:rsidP="0086398C">
            <w:pPr>
              <w:pStyle w:val="NormalWeb"/>
              <w:jc w:val="center"/>
              <w:rPr>
                <w:sz w:val="18"/>
                <w:szCs w:val="18"/>
              </w:rPr>
            </w:pPr>
            <w:r w:rsidRPr="00B35630">
              <w:rPr>
                <w:sz w:val="18"/>
                <w:szCs w:val="18"/>
              </w:rPr>
              <w:t>139.8</w:t>
            </w:r>
          </w:p>
        </w:tc>
      </w:tr>
      <w:tr w:rsidR="0019424B" w:rsidRPr="00B35630" w:rsidTr="00985988">
        <w:tc>
          <w:tcPr>
            <w:tcW w:w="1318" w:type="dxa"/>
            <w:hideMark/>
          </w:tcPr>
          <w:p w:rsidR="0019424B" w:rsidRPr="00B35630" w:rsidRDefault="0019424B" w:rsidP="0086398C">
            <w:pPr>
              <w:pStyle w:val="NormalWeb"/>
              <w:rPr>
                <w:sz w:val="18"/>
                <w:szCs w:val="18"/>
              </w:rPr>
            </w:pPr>
            <w:r w:rsidRPr="00B35630">
              <w:rPr>
                <w:sz w:val="18"/>
                <w:szCs w:val="18"/>
              </w:rPr>
              <w:t>40 to 49</w:t>
            </w:r>
          </w:p>
        </w:tc>
        <w:tc>
          <w:tcPr>
            <w:tcW w:w="1135" w:type="dxa"/>
            <w:hideMark/>
          </w:tcPr>
          <w:p w:rsidR="0019424B" w:rsidRPr="00B35630" w:rsidRDefault="0019424B" w:rsidP="0086398C">
            <w:pPr>
              <w:pStyle w:val="NormalWeb"/>
              <w:jc w:val="center"/>
              <w:rPr>
                <w:sz w:val="18"/>
                <w:szCs w:val="18"/>
              </w:rPr>
            </w:pPr>
            <w:r w:rsidRPr="00B35630">
              <w:rPr>
                <w:sz w:val="18"/>
                <w:szCs w:val="18"/>
              </w:rPr>
              <w:t>11</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11</w:t>
            </w:r>
          </w:p>
        </w:tc>
        <w:tc>
          <w:tcPr>
            <w:tcW w:w="1135" w:type="dxa"/>
            <w:hideMark/>
          </w:tcPr>
          <w:p w:rsidR="0019424B" w:rsidRPr="00B35630" w:rsidRDefault="0019424B" w:rsidP="0086398C">
            <w:pPr>
              <w:pStyle w:val="NormalWeb"/>
              <w:jc w:val="center"/>
              <w:rPr>
                <w:sz w:val="18"/>
                <w:szCs w:val="18"/>
              </w:rPr>
            </w:pPr>
            <w:r w:rsidRPr="00B35630">
              <w:rPr>
                <w:sz w:val="18"/>
                <w:szCs w:val="18"/>
              </w:rPr>
              <w:t>0.7</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6" w:type="dxa"/>
            <w:hideMark/>
          </w:tcPr>
          <w:p w:rsidR="0019424B" w:rsidRPr="00B35630" w:rsidRDefault="0019424B" w:rsidP="0086398C">
            <w:pPr>
              <w:pStyle w:val="NormalWeb"/>
              <w:jc w:val="center"/>
              <w:rPr>
                <w:sz w:val="18"/>
                <w:szCs w:val="18"/>
              </w:rPr>
            </w:pPr>
            <w:r w:rsidRPr="00B35630">
              <w:rPr>
                <w:sz w:val="18"/>
                <w:szCs w:val="18"/>
              </w:rPr>
              <w:t>0.3</w:t>
            </w:r>
          </w:p>
        </w:tc>
        <w:tc>
          <w:tcPr>
            <w:tcW w:w="1135" w:type="dxa"/>
            <w:hideMark/>
          </w:tcPr>
          <w:p w:rsidR="0019424B" w:rsidRPr="00B35630" w:rsidRDefault="0019424B" w:rsidP="0086398C">
            <w:pPr>
              <w:pStyle w:val="NormalWeb"/>
              <w:jc w:val="center"/>
              <w:rPr>
                <w:sz w:val="18"/>
                <w:szCs w:val="18"/>
              </w:rPr>
            </w:pPr>
            <w:r w:rsidRPr="00B35630">
              <w:rPr>
                <w:sz w:val="18"/>
                <w:szCs w:val="18"/>
              </w:rPr>
              <w:t>1,915</w:t>
            </w:r>
          </w:p>
        </w:tc>
        <w:tc>
          <w:tcPr>
            <w:tcW w:w="1135" w:type="dxa"/>
            <w:hideMark/>
          </w:tcPr>
          <w:p w:rsidR="0019424B" w:rsidRPr="00B35630" w:rsidRDefault="0019424B" w:rsidP="0086398C">
            <w:pPr>
              <w:pStyle w:val="NormalWeb"/>
              <w:jc w:val="center"/>
              <w:rPr>
                <w:sz w:val="18"/>
                <w:szCs w:val="18"/>
              </w:rPr>
            </w:pPr>
            <w:r w:rsidRPr="00B35630">
              <w:rPr>
                <w:sz w:val="18"/>
                <w:szCs w:val="18"/>
              </w:rPr>
              <w:t>1,794</w:t>
            </w:r>
          </w:p>
        </w:tc>
        <w:tc>
          <w:tcPr>
            <w:tcW w:w="1135" w:type="dxa"/>
            <w:hideMark/>
          </w:tcPr>
          <w:p w:rsidR="0019424B" w:rsidRPr="00B35630" w:rsidRDefault="0019424B" w:rsidP="0086398C">
            <w:pPr>
              <w:pStyle w:val="NormalWeb"/>
              <w:jc w:val="center"/>
              <w:rPr>
                <w:sz w:val="18"/>
                <w:szCs w:val="18"/>
              </w:rPr>
            </w:pPr>
            <w:r w:rsidRPr="00B35630">
              <w:rPr>
                <w:sz w:val="18"/>
                <w:szCs w:val="18"/>
              </w:rPr>
              <w:t>3,737</w:t>
            </w:r>
          </w:p>
        </w:tc>
        <w:tc>
          <w:tcPr>
            <w:tcW w:w="1135" w:type="dxa"/>
            <w:hideMark/>
          </w:tcPr>
          <w:p w:rsidR="0019424B" w:rsidRPr="00B35630" w:rsidRDefault="0019424B" w:rsidP="0086398C">
            <w:pPr>
              <w:pStyle w:val="NormalWeb"/>
              <w:jc w:val="center"/>
              <w:rPr>
                <w:sz w:val="18"/>
                <w:szCs w:val="18"/>
              </w:rPr>
            </w:pPr>
            <w:r w:rsidRPr="00B35630">
              <w:rPr>
                <w:sz w:val="18"/>
                <w:szCs w:val="18"/>
              </w:rPr>
              <w:t>118.3</w:t>
            </w:r>
          </w:p>
        </w:tc>
        <w:tc>
          <w:tcPr>
            <w:tcW w:w="1135" w:type="dxa"/>
            <w:hideMark/>
          </w:tcPr>
          <w:p w:rsidR="0019424B" w:rsidRPr="00B35630" w:rsidRDefault="0019424B" w:rsidP="0086398C">
            <w:pPr>
              <w:pStyle w:val="NormalWeb"/>
              <w:jc w:val="center"/>
              <w:rPr>
                <w:sz w:val="18"/>
                <w:szCs w:val="18"/>
              </w:rPr>
            </w:pPr>
            <w:r w:rsidRPr="00B35630">
              <w:rPr>
                <w:sz w:val="18"/>
                <w:szCs w:val="18"/>
              </w:rPr>
              <w:t>108.3</w:t>
            </w:r>
          </w:p>
        </w:tc>
        <w:tc>
          <w:tcPr>
            <w:tcW w:w="1136" w:type="dxa"/>
            <w:hideMark/>
          </w:tcPr>
          <w:p w:rsidR="0019424B" w:rsidRPr="00B35630" w:rsidRDefault="0019424B" w:rsidP="0086398C">
            <w:pPr>
              <w:pStyle w:val="NormalWeb"/>
              <w:jc w:val="center"/>
              <w:rPr>
                <w:sz w:val="18"/>
                <w:szCs w:val="18"/>
              </w:rPr>
            </w:pPr>
            <w:r w:rsidRPr="00B35630">
              <w:rPr>
                <w:sz w:val="18"/>
                <w:szCs w:val="18"/>
              </w:rPr>
              <w:t>114.1</w:t>
            </w:r>
          </w:p>
        </w:tc>
      </w:tr>
      <w:tr w:rsidR="0019424B" w:rsidRPr="00B35630" w:rsidTr="00985988">
        <w:trPr>
          <w:cnfStyle w:val="000000010000" w:firstRow="0" w:lastRow="0" w:firstColumn="0" w:lastColumn="0" w:oddVBand="0" w:evenVBand="0" w:oddHBand="0" w:evenHBand="1" w:firstRowFirstColumn="0" w:firstRowLastColumn="0" w:lastRowFirstColumn="0" w:lastRowLastColumn="0"/>
        </w:trPr>
        <w:tc>
          <w:tcPr>
            <w:tcW w:w="1318" w:type="dxa"/>
            <w:hideMark/>
          </w:tcPr>
          <w:p w:rsidR="0019424B" w:rsidRPr="00B35630" w:rsidRDefault="0019424B" w:rsidP="0086398C">
            <w:pPr>
              <w:pStyle w:val="NormalWeb"/>
              <w:rPr>
                <w:sz w:val="18"/>
                <w:szCs w:val="18"/>
              </w:rPr>
            </w:pPr>
            <w:r w:rsidRPr="00B35630">
              <w:rPr>
                <w:sz w:val="18"/>
                <w:szCs w:val="18"/>
              </w:rPr>
              <w:t>50 to 59</w:t>
            </w:r>
          </w:p>
        </w:tc>
        <w:tc>
          <w:tcPr>
            <w:tcW w:w="1135" w:type="dxa"/>
            <w:hideMark/>
          </w:tcPr>
          <w:p w:rsidR="0019424B" w:rsidRPr="00B35630" w:rsidRDefault="0019424B" w:rsidP="0086398C">
            <w:pPr>
              <w:pStyle w:val="NormalWeb"/>
              <w:jc w:val="center"/>
              <w:rPr>
                <w:sz w:val="18"/>
                <w:szCs w:val="18"/>
              </w:rPr>
            </w:pPr>
            <w:r w:rsidRPr="00B35630">
              <w:rPr>
                <w:sz w:val="18"/>
                <w:szCs w:val="18"/>
              </w:rPr>
              <w:t>2</w:t>
            </w:r>
          </w:p>
        </w:tc>
        <w:tc>
          <w:tcPr>
            <w:tcW w:w="1135" w:type="dxa"/>
            <w:hideMark/>
          </w:tcPr>
          <w:p w:rsidR="0019424B" w:rsidRPr="00B35630" w:rsidRDefault="0019424B" w:rsidP="0086398C">
            <w:pPr>
              <w:pStyle w:val="NormalWeb"/>
              <w:jc w:val="center"/>
              <w:rPr>
                <w:sz w:val="18"/>
                <w:szCs w:val="18"/>
              </w:rPr>
            </w:pPr>
            <w:r w:rsidRPr="00B35630">
              <w:rPr>
                <w:sz w:val="18"/>
                <w:szCs w:val="18"/>
              </w:rPr>
              <w:t>5</w:t>
            </w:r>
          </w:p>
        </w:tc>
        <w:tc>
          <w:tcPr>
            <w:tcW w:w="1135" w:type="dxa"/>
            <w:hideMark/>
          </w:tcPr>
          <w:p w:rsidR="0019424B" w:rsidRPr="00B35630" w:rsidRDefault="0019424B" w:rsidP="0086398C">
            <w:pPr>
              <w:pStyle w:val="NormalWeb"/>
              <w:jc w:val="center"/>
              <w:rPr>
                <w:sz w:val="18"/>
                <w:szCs w:val="18"/>
              </w:rPr>
            </w:pPr>
            <w:r w:rsidRPr="00B35630">
              <w:rPr>
                <w:sz w:val="18"/>
                <w:szCs w:val="18"/>
              </w:rPr>
              <w:t>7</w:t>
            </w:r>
          </w:p>
        </w:tc>
        <w:tc>
          <w:tcPr>
            <w:tcW w:w="1135" w:type="dxa"/>
            <w:hideMark/>
          </w:tcPr>
          <w:p w:rsidR="0019424B" w:rsidRPr="00B35630" w:rsidRDefault="0019424B" w:rsidP="0086398C">
            <w:pPr>
              <w:pStyle w:val="NormalWeb"/>
              <w:jc w:val="center"/>
              <w:rPr>
                <w:sz w:val="18"/>
                <w:szCs w:val="18"/>
              </w:rPr>
            </w:pPr>
            <w:r w:rsidRPr="00B35630">
              <w:rPr>
                <w:sz w:val="18"/>
                <w:szCs w:val="18"/>
              </w:rPr>
              <w:t>0.1</w:t>
            </w:r>
          </w:p>
        </w:tc>
        <w:tc>
          <w:tcPr>
            <w:tcW w:w="1135" w:type="dxa"/>
            <w:hideMark/>
          </w:tcPr>
          <w:p w:rsidR="0019424B" w:rsidRPr="00B35630" w:rsidRDefault="0019424B" w:rsidP="0086398C">
            <w:pPr>
              <w:pStyle w:val="NormalWeb"/>
              <w:jc w:val="center"/>
              <w:rPr>
                <w:sz w:val="18"/>
                <w:szCs w:val="18"/>
              </w:rPr>
            </w:pPr>
            <w:r w:rsidRPr="00B35630">
              <w:rPr>
                <w:sz w:val="18"/>
                <w:szCs w:val="18"/>
              </w:rPr>
              <w:t>0.3</w:t>
            </w:r>
          </w:p>
        </w:tc>
        <w:tc>
          <w:tcPr>
            <w:tcW w:w="1136" w:type="dxa"/>
            <w:hideMark/>
          </w:tcPr>
          <w:p w:rsidR="0019424B" w:rsidRPr="00B35630" w:rsidRDefault="0019424B" w:rsidP="0086398C">
            <w:pPr>
              <w:pStyle w:val="NormalWeb"/>
              <w:jc w:val="center"/>
              <w:rPr>
                <w:sz w:val="18"/>
                <w:szCs w:val="18"/>
              </w:rPr>
            </w:pPr>
            <w:r w:rsidRPr="00B35630">
              <w:rPr>
                <w:sz w:val="18"/>
                <w:szCs w:val="18"/>
              </w:rPr>
              <w:t>0.2</w:t>
            </w:r>
          </w:p>
        </w:tc>
        <w:tc>
          <w:tcPr>
            <w:tcW w:w="1135" w:type="dxa"/>
            <w:hideMark/>
          </w:tcPr>
          <w:p w:rsidR="0019424B" w:rsidRPr="00B35630" w:rsidRDefault="0019424B" w:rsidP="0086398C">
            <w:pPr>
              <w:pStyle w:val="NormalWeb"/>
              <w:jc w:val="center"/>
              <w:rPr>
                <w:sz w:val="18"/>
                <w:szCs w:val="18"/>
              </w:rPr>
            </w:pPr>
            <w:r w:rsidRPr="00B35630">
              <w:rPr>
                <w:sz w:val="18"/>
                <w:szCs w:val="18"/>
              </w:rPr>
              <w:t>1,658</w:t>
            </w:r>
          </w:p>
        </w:tc>
        <w:tc>
          <w:tcPr>
            <w:tcW w:w="1135" w:type="dxa"/>
            <w:hideMark/>
          </w:tcPr>
          <w:p w:rsidR="0019424B" w:rsidRPr="00B35630" w:rsidRDefault="0019424B" w:rsidP="0086398C">
            <w:pPr>
              <w:pStyle w:val="NormalWeb"/>
              <w:jc w:val="center"/>
              <w:rPr>
                <w:sz w:val="18"/>
                <w:szCs w:val="18"/>
              </w:rPr>
            </w:pPr>
            <w:r w:rsidRPr="00B35630">
              <w:rPr>
                <w:sz w:val="18"/>
                <w:szCs w:val="18"/>
              </w:rPr>
              <w:t>1,751</w:t>
            </w:r>
          </w:p>
        </w:tc>
        <w:tc>
          <w:tcPr>
            <w:tcW w:w="1135" w:type="dxa"/>
            <w:hideMark/>
          </w:tcPr>
          <w:p w:rsidR="0019424B" w:rsidRPr="00B35630" w:rsidRDefault="0019424B" w:rsidP="0086398C">
            <w:pPr>
              <w:pStyle w:val="NormalWeb"/>
              <w:jc w:val="center"/>
              <w:rPr>
                <w:sz w:val="18"/>
                <w:szCs w:val="18"/>
              </w:rPr>
            </w:pPr>
            <w:r w:rsidRPr="00B35630">
              <w:rPr>
                <w:sz w:val="18"/>
                <w:szCs w:val="18"/>
              </w:rPr>
              <w:t>3,416</w:t>
            </w:r>
          </w:p>
        </w:tc>
        <w:tc>
          <w:tcPr>
            <w:tcW w:w="1135" w:type="dxa"/>
            <w:hideMark/>
          </w:tcPr>
          <w:p w:rsidR="0019424B" w:rsidRPr="00B35630" w:rsidRDefault="0019424B" w:rsidP="0086398C">
            <w:pPr>
              <w:pStyle w:val="NormalWeb"/>
              <w:jc w:val="center"/>
              <w:rPr>
                <w:sz w:val="18"/>
                <w:szCs w:val="18"/>
              </w:rPr>
            </w:pPr>
            <w:r w:rsidRPr="00B35630">
              <w:rPr>
                <w:sz w:val="18"/>
                <w:szCs w:val="18"/>
              </w:rPr>
              <w:t>110.0</w:t>
            </w:r>
          </w:p>
        </w:tc>
        <w:tc>
          <w:tcPr>
            <w:tcW w:w="1135" w:type="dxa"/>
            <w:hideMark/>
          </w:tcPr>
          <w:p w:rsidR="0019424B" w:rsidRPr="00B35630" w:rsidRDefault="0019424B" w:rsidP="0086398C">
            <w:pPr>
              <w:pStyle w:val="NormalWeb"/>
              <w:jc w:val="center"/>
              <w:rPr>
                <w:sz w:val="18"/>
                <w:szCs w:val="18"/>
              </w:rPr>
            </w:pPr>
            <w:r w:rsidRPr="00B35630">
              <w:rPr>
                <w:sz w:val="18"/>
                <w:szCs w:val="18"/>
              </w:rPr>
              <w:t>111.3</w:t>
            </w:r>
          </w:p>
        </w:tc>
        <w:tc>
          <w:tcPr>
            <w:tcW w:w="1136" w:type="dxa"/>
            <w:hideMark/>
          </w:tcPr>
          <w:p w:rsidR="0019424B" w:rsidRPr="00B35630" w:rsidRDefault="0019424B" w:rsidP="0086398C">
            <w:pPr>
              <w:pStyle w:val="NormalWeb"/>
              <w:jc w:val="center"/>
              <w:rPr>
                <w:sz w:val="18"/>
                <w:szCs w:val="18"/>
              </w:rPr>
            </w:pPr>
            <w:r w:rsidRPr="00B35630">
              <w:rPr>
                <w:sz w:val="18"/>
                <w:szCs w:val="18"/>
              </w:rPr>
              <w:t>110.9</w:t>
            </w:r>
          </w:p>
        </w:tc>
      </w:tr>
      <w:tr w:rsidR="0019424B" w:rsidRPr="00B35630" w:rsidTr="00985988">
        <w:tc>
          <w:tcPr>
            <w:tcW w:w="1318" w:type="dxa"/>
            <w:hideMark/>
          </w:tcPr>
          <w:p w:rsidR="0019424B" w:rsidRPr="00B35630" w:rsidRDefault="0019424B" w:rsidP="0086398C">
            <w:pPr>
              <w:pStyle w:val="NormalWeb"/>
              <w:rPr>
                <w:sz w:val="18"/>
                <w:szCs w:val="18"/>
              </w:rPr>
            </w:pPr>
            <w:r w:rsidRPr="00B35630">
              <w:rPr>
                <w:sz w:val="18"/>
                <w:szCs w:val="18"/>
              </w:rPr>
              <w:t>60 to 69</w:t>
            </w:r>
          </w:p>
        </w:tc>
        <w:tc>
          <w:tcPr>
            <w:tcW w:w="1135" w:type="dxa"/>
            <w:hideMark/>
          </w:tcPr>
          <w:p w:rsidR="0019424B" w:rsidRPr="00B35630" w:rsidRDefault="0019424B" w:rsidP="0086398C">
            <w:pPr>
              <w:pStyle w:val="NormalWeb"/>
              <w:jc w:val="center"/>
              <w:rPr>
                <w:sz w:val="18"/>
                <w:szCs w:val="18"/>
              </w:rPr>
            </w:pPr>
            <w:r w:rsidRPr="00B35630">
              <w:rPr>
                <w:sz w:val="18"/>
                <w:szCs w:val="18"/>
              </w:rPr>
              <w:t>1</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1</w:t>
            </w:r>
          </w:p>
        </w:tc>
        <w:tc>
          <w:tcPr>
            <w:tcW w:w="1135" w:type="dxa"/>
            <w:hideMark/>
          </w:tcPr>
          <w:p w:rsidR="0019424B" w:rsidRPr="00B35630" w:rsidRDefault="0019424B" w:rsidP="0086398C">
            <w:pPr>
              <w:pStyle w:val="NormalWeb"/>
              <w:jc w:val="center"/>
              <w:rPr>
                <w:sz w:val="18"/>
                <w:szCs w:val="18"/>
              </w:rPr>
            </w:pPr>
            <w:r w:rsidRPr="00B35630">
              <w:rPr>
                <w:sz w:val="18"/>
                <w:szCs w:val="18"/>
              </w:rPr>
              <w:t>0.1</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6"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1,206</w:t>
            </w:r>
          </w:p>
        </w:tc>
        <w:tc>
          <w:tcPr>
            <w:tcW w:w="1135" w:type="dxa"/>
            <w:hideMark/>
          </w:tcPr>
          <w:p w:rsidR="0019424B" w:rsidRPr="00B35630" w:rsidRDefault="0019424B" w:rsidP="0086398C">
            <w:pPr>
              <w:pStyle w:val="NormalWeb"/>
              <w:jc w:val="center"/>
              <w:rPr>
                <w:sz w:val="18"/>
                <w:szCs w:val="18"/>
              </w:rPr>
            </w:pPr>
            <w:r w:rsidRPr="00B35630">
              <w:rPr>
                <w:sz w:val="18"/>
                <w:szCs w:val="18"/>
              </w:rPr>
              <w:t>1,222</w:t>
            </w:r>
          </w:p>
        </w:tc>
        <w:tc>
          <w:tcPr>
            <w:tcW w:w="1135" w:type="dxa"/>
            <w:hideMark/>
          </w:tcPr>
          <w:p w:rsidR="0019424B" w:rsidRPr="00B35630" w:rsidRDefault="0019424B" w:rsidP="0086398C">
            <w:pPr>
              <w:pStyle w:val="NormalWeb"/>
              <w:jc w:val="center"/>
              <w:rPr>
                <w:sz w:val="18"/>
                <w:szCs w:val="18"/>
              </w:rPr>
            </w:pPr>
            <w:r w:rsidRPr="00B35630">
              <w:rPr>
                <w:sz w:val="18"/>
                <w:szCs w:val="18"/>
              </w:rPr>
              <w:t>2,430</w:t>
            </w:r>
          </w:p>
        </w:tc>
        <w:tc>
          <w:tcPr>
            <w:tcW w:w="1135" w:type="dxa"/>
            <w:hideMark/>
          </w:tcPr>
          <w:p w:rsidR="0019424B" w:rsidRPr="00B35630" w:rsidRDefault="0019424B" w:rsidP="0086398C">
            <w:pPr>
              <w:pStyle w:val="NormalWeb"/>
              <w:jc w:val="center"/>
              <w:rPr>
                <w:sz w:val="18"/>
                <w:szCs w:val="18"/>
              </w:rPr>
            </w:pPr>
            <w:r w:rsidRPr="00B35630">
              <w:rPr>
                <w:sz w:val="18"/>
                <w:szCs w:val="18"/>
              </w:rPr>
              <w:t>94.8</w:t>
            </w:r>
          </w:p>
        </w:tc>
        <w:tc>
          <w:tcPr>
            <w:tcW w:w="1135" w:type="dxa"/>
            <w:hideMark/>
          </w:tcPr>
          <w:p w:rsidR="0019424B" w:rsidRPr="00B35630" w:rsidRDefault="0019424B" w:rsidP="0086398C">
            <w:pPr>
              <w:pStyle w:val="NormalWeb"/>
              <w:jc w:val="center"/>
              <w:rPr>
                <w:sz w:val="18"/>
                <w:szCs w:val="18"/>
              </w:rPr>
            </w:pPr>
            <w:r w:rsidRPr="00B35630">
              <w:rPr>
                <w:sz w:val="18"/>
                <w:szCs w:val="18"/>
              </w:rPr>
              <w:t>91.0</w:t>
            </w:r>
          </w:p>
        </w:tc>
        <w:tc>
          <w:tcPr>
            <w:tcW w:w="1136" w:type="dxa"/>
            <w:hideMark/>
          </w:tcPr>
          <w:p w:rsidR="0019424B" w:rsidRPr="00B35630" w:rsidRDefault="0019424B" w:rsidP="0086398C">
            <w:pPr>
              <w:pStyle w:val="NormalWeb"/>
              <w:jc w:val="center"/>
              <w:rPr>
                <w:sz w:val="18"/>
                <w:szCs w:val="18"/>
              </w:rPr>
            </w:pPr>
            <w:r w:rsidRPr="00B35630">
              <w:rPr>
                <w:sz w:val="18"/>
                <w:szCs w:val="18"/>
              </w:rPr>
              <w:t>92.9</w:t>
            </w:r>
          </w:p>
        </w:tc>
      </w:tr>
      <w:tr w:rsidR="0019424B" w:rsidRPr="00B35630" w:rsidTr="00985988">
        <w:trPr>
          <w:cnfStyle w:val="000000010000" w:firstRow="0" w:lastRow="0" w:firstColumn="0" w:lastColumn="0" w:oddVBand="0" w:evenVBand="0" w:oddHBand="0" w:evenHBand="1" w:firstRowFirstColumn="0" w:firstRowLastColumn="0" w:lastRowFirstColumn="0" w:lastRowLastColumn="0"/>
        </w:trPr>
        <w:tc>
          <w:tcPr>
            <w:tcW w:w="1318" w:type="dxa"/>
            <w:hideMark/>
          </w:tcPr>
          <w:p w:rsidR="0019424B" w:rsidRPr="00B35630" w:rsidRDefault="0019424B" w:rsidP="0086398C">
            <w:pPr>
              <w:pStyle w:val="NormalWeb"/>
              <w:rPr>
                <w:sz w:val="18"/>
                <w:szCs w:val="18"/>
              </w:rPr>
            </w:pPr>
            <w:r w:rsidRPr="00B35630">
              <w:rPr>
                <w:sz w:val="18"/>
                <w:szCs w:val="18"/>
              </w:rPr>
              <w:t>70 to 79</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1</w:t>
            </w:r>
          </w:p>
        </w:tc>
        <w:tc>
          <w:tcPr>
            <w:tcW w:w="1135" w:type="dxa"/>
            <w:hideMark/>
          </w:tcPr>
          <w:p w:rsidR="0019424B" w:rsidRPr="00B35630" w:rsidRDefault="0019424B" w:rsidP="0086398C">
            <w:pPr>
              <w:pStyle w:val="NormalWeb"/>
              <w:jc w:val="center"/>
              <w:rPr>
                <w:sz w:val="18"/>
                <w:szCs w:val="18"/>
              </w:rPr>
            </w:pPr>
            <w:r w:rsidRPr="00B35630">
              <w:rPr>
                <w:sz w:val="18"/>
                <w:szCs w:val="18"/>
              </w:rPr>
              <w:t>1</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0.1</w:t>
            </w:r>
          </w:p>
        </w:tc>
        <w:tc>
          <w:tcPr>
            <w:tcW w:w="1136" w:type="dxa"/>
            <w:hideMark/>
          </w:tcPr>
          <w:p w:rsidR="0019424B" w:rsidRPr="00B35630" w:rsidRDefault="0019424B" w:rsidP="0086398C">
            <w:pPr>
              <w:pStyle w:val="NormalWeb"/>
              <w:jc w:val="center"/>
              <w:rPr>
                <w:sz w:val="18"/>
                <w:szCs w:val="18"/>
              </w:rPr>
            </w:pPr>
            <w:r w:rsidRPr="00B35630">
              <w:rPr>
                <w:sz w:val="18"/>
                <w:szCs w:val="18"/>
              </w:rPr>
              <w:t>0.1</w:t>
            </w:r>
          </w:p>
        </w:tc>
        <w:tc>
          <w:tcPr>
            <w:tcW w:w="1135" w:type="dxa"/>
            <w:hideMark/>
          </w:tcPr>
          <w:p w:rsidR="0019424B" w:rsidRPr="00B35630" w:rsidRDefault="0019424B" w:rsidP="0086398C">
            <w:pPr>
              <w:pStyle w:val="NormalWeb"/>
              <w:jc w:val="center"/>
              <w:rPr>
                <w:sz w:val="18"/>
                <w:szCs w:val="18"/>
              </w:rPr>
            </w:pPr>
            <w:r w:rsidRPr="00B35630">
              <w:rPr>
                <w:sz w:val="18"/>
                <w:szCs w:val="18"/>
              </w:rPr>
              <w:t>855</w:t>
            </w:r>
          </w:p>
        </w:tc>
        <w:tc>
          <w:tcPr>
            <w:tcW w:w="1135" w:type="dxa"/>
            <w:hideMark/>
          </w:tcPr>
          <w:p w:rsidR="0019424B" w:rsidRPr="00B35630" w:rsidRDefault="0019424B" w:rsidP="0086398C">
            <w:pPr>
              <w:pStyle w:val="NormalWeb"/>
              <w:jc w:val="center"/>
              <w:rPr>
                <w:sz w:val="18"/>
                <w:szCs w:val="18"/>
              </w:rPr>
            </w:pPr>
            <w:r w:rsidRPr="00B35630">
              <w:rPr>
                <w:sz w:val="18"/>
                <w:szCs w:val="18"/>
              </w:rPr>
              <w:t>757</w:t>
            </w:r>
          </w:p>
        </w:tc>
        <w:tc>
          <w:tcPr>
            <w:tcW w:w="1135" w:type="dxa"/>
            <w:hideMark/>
          </w:tcPr>
          <w:p w:rsidR="0019424B" w:rsidRPr="00B35630" w:rsidRDefault="0019424B" w:rsidP="0086398C">
            <w:pPr>
              <w:pStyle w:val="NormalWeb"/>
              <w:jc w:val="center"/>
              <w:rPr>
                <w:sz w:val="18"/>
                <w:szCs w:val="18"/>
              </w:rPr>
            </w:pPr>
            <w:r w:rsidRPr="00B35630">
              <w:rPr>
                <w:sz w:val="18"/>
                <w:szCs w:val="18"/>
              </w:rPr>
              <w:t>1,612</w:t>
            </w:r>
          </w:p>
        </w:tc>
        <w:tc>
          <w:tcPr>
            <w:tcW w:w="1135" w:type="dxa"/>
            <w:hideMark/>
          </w:tcPr>
          <w:p w:rsidR="0019424B" w:rsidRPr="00B35630" w:rsidRDefault="0019424B" w:rsidP="0086398C">
            <w:pPr>
              <w:pStyle w:val="NormalWeb"/>
              <w:jc w:val="center"/>
              <w:rPr>
                <w:sz w:val="18"/>
                <w:szCs w:val="18"/>
              </w:rPr>
            </w:pPr>
            <w:r w:rsidRPr="00B35630">
              <w:rPr>
                <w:sz w:val="18"/>
                <w:szCs w:val="18"/>
              </w:rPr>
              <w:t>98.3</w:t>
            </w:r>
          </w:p>
        </w:tc>
        <w:tc>
          <w:tcPr>
            <w:tcW w:w="1135" w:type="dxa"/>
            <w:hideMark/>
          </w:tcPr>
          <w:p w:rsidR="0019424B" w:rsidRPr="00B35630" w:rsidRDefault="0019424B" w:rsidP="0086398C">
            <w:pPr>
              <w:pStyle w:val="NormalWeb"/>
              <w:jc w:val="center"/>
              <w:rPr>
                <w:sz w:val="18"/>
                <w:szCs w:val="18"/>
              </w:rPr>
            </w:pPr>
            <w:r w:rsidRPr="00B35630">
              <w:rPr>
                <w:sz w:val="18"/>
                <w:szCs w:val="18"/>
              </w:rPr>
              <w:t>82.1</w:t>
            </w:r>
          </w:p>
        </w:tc>
        <w:tc>
          <w:tcPr>
            <w:tcW w:w="1136" w:type="dxa"/>
            <w:hideMark/>
          </w:tcPr>
          <w:p w:rsidR="0019424B" w:rsidRPr="00B35630" w:rsidRDefault="0019424B" w:rsidP="0086398C">
            <w:pPr>
              <w:pStyle w:val="NormalWeb"/>
              <w:jc w:val="center"/>
              <w:rPr>
                <w:sz w:val="18"/>
                <w:szCs w:val="18"/>
              </w:rPr>
            </w:pPr>
            <w:r w:rsidRPr="00B35630">
              <w:rPr>
                <w:sz w:val="18"/>
                <w:szCs w:val="18"/>
              </w:rPr>
              <w:t>90.0</w:t>
            </w:r>
          </w:p>
        </w:tc>
      </w:tr>
      <w:tr w:rsidR="0019424B" w:rsidRPr="00B35630" w:rsidTr="00985988">
        <w:tc>
          <w:tcPr>
            <w:tcW w:w="1318" w:type="dxa"/>
            <w:hideMark/>
          </w:tcPr>
          <w:p w:rsidR="0019424B" w:rsidRPr="00B35630" w:rsidRDefault="0019424B" w:rsidP="0086398C">
            <w:pPr>
              <w:pStyle w:val="NormalWeb"/>
              <w:rPr>
                <w:sz w:val="18"/>
                <w:szCs w:val="18"/>
              </w:rPr>
            </w:pPr>
            <w:r w:rsidRPr="00B35630">
              <w:rPr>
                <w:sz w:val="18"/>
                <w:szCs w:val="18"/>
              </w:rPr>
              <w:t>80 to 89</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6"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496</w:t>
            </w:r>
          </w:p>
        </w:tc>
        <w:tc>
          <w:tcPr>
            <w:tcW w:w="1135" w:type="dxa"/>
            <w:hideMark/>
          </w:tcPr>
          <w:p w:rsidR="0019424B" w:rsidRPr="00B35630" w:rsidRDefault="0019424B" w:rsidP="0086398C">
            <w:pPr>
              <w:pStyle w:val="NormalWeb"/>
              <w:jc w:val="center"/>
              <w:rPr>
                <w:sz w:val="18"/>
                <w:szCs w:val="18"/>
              </w:rPr>
            </w:pPr>
            <w:r w:rsidRPr="00B35630">
              <w:rPr>
                <w:sz w:val="18"/>
                <w:szCs w:val="18"/>
              </w:rPr>
              <w:t>778</w:t>
            </w:r>
          </w:p>
        </w:tc>
        <w:tc>
          <w:tcPr>
            <w:tcW w:w="1135" w:type="dxa"/>
            <w:hideMark/>
          </w:tcPr>
          <w:p w:rsidR="0019424B" w:rsidRPr="00B35630" w:rsidRDefault="0019424B" w:rsidP="0086398C">
            <w:pPr>
              <w:pStyle w:val="NormalWeb"/>
              <w:jc w:val="center"/>
              <w:rPr>
                <w:sz w:val="18"/>
                <w:szCs w:val="18"/>
              </w:rPr>
            </w:pPr>
            <w:r w:rsidRPr="00B35630">
              <w:rPr>
                <w:sz w:val="18"/>
                <w:szCs w:val="18"/>
              </w:rPr>
              <w:t>1,274</w:t>
            </w:r>
          </w:p>
        </w:tc>
        <w:tc>
          <w:tcPr>
            <w:tcW w:w="1135" w:type="dxa"/>
            <w:hideMark/>
          </w:tcPr>
          <w:p w:rsidR="0019424B" w:rsidRPr="00B35630" w:rsidRDefault="0019424B" w:rsidP="0086398C">
            <w:pPr>
              <w:pStyle w:val="NormalWeb"/>
              <w:jc w:val="center"/>
              <w:rPr>
                <w:sz w:val="18"/>
                <w:szCs w:val="18"/>
              </w:rPr>
            </w:pPr>
            <w:r w:rsidRPr="00B35630">
              <w:rPr>
                <w:sz w:val="18"/>
                <w:szCs w:val="18"/>
              </w:rPr>
              <w:t>138.8</w:t>
            </w:r>
          </w:p>
        </w:tc>
        <w:tc>
          <w:tcPr>
            <w:tcW w:w="1135" w:type="dxa"/>
            <w:hideMark/>
          </w:tcPr>
          <w:p w:rsidR="0019424B" w:rsidRPr="00B35630" w:rsidRDefault="0019424B" w:rsidP="0086398C">
            <w:pPr>
              <w:pStyle w:val="NormalWeb"/>
              <w:jc w:val="center"/>
              <w:rPr>
                <w:sz w:val="18"/>
                <w:szCs w:val="18"/>
              </w:rPr>
            </w:pPr>
            <w:r w:rsidRPr="00B35630">
              <w:rPr>
                <w:sz w:val="18"/>
                <w:szCs w:val="18"/>
              </w:rPr>
              <w:t>168.7</w:t>
            </w:r>
          </w:p>
        </w:tc>
        <w:tc>
          <w:tcPr>
            <w:tcW w:w="1136" w:type="dxa"/>
            <w:hideMark/>
          </w:tcPr>
          <w:p w:rsidR="0019424B" w:rsidRPr="00B35630" w:rsidRDefault="0019424B" w:rsidP="0086398C">
            <w:pPr>
              <w:pStyle w:val="NormalWeb"/>
              <w:jc w:val="center"/>
              <w:rPr>
                <w:sz w:val="18"/>
                <w:szCs w:val="18"/>
              </w:rPr>
            </w:pPr>
            <w:r w:rsidRPr="00B35630">
              <w:rPr>
                <w:sz w:val="18"/>
                <w:szCs w:val="18"/>
              </w:rPr>
              <w:t>155.6</w:t>
            </w:r>
          </w:p>
        </w:tc>
      </w:tr>
      <w:tr w:rsidR="0019424B" w:rsidRPr="00B35630" w:rsidTr="00985988">
        <w:trPr>
          <w:cnfStyle w:val="000000010000" w:firstRow="0" w:lastRow="0" w:firstColumn="0" w:lastColumn="0" w:oddVBand="0" w:evenVBand="0" w:oddHBand="0" w:evenHBand="1" w:firstRowFirstColumn="0" w:firstRowLastColumn="0" w:lastRowFirstColumn="0" w:lastRowLastColumn="0"/>
        </w:trPr>
        <w:tc>
          <w:tcPr>
            <w:tcW w:w="1318" w:type="dxa"/>
            <w:hideMark/>
          </w:tcPr>
          <w:p w:rsidR="0019424B" w:rsidRPr="00B35630" w:rsidRDefault="0019424B" w:rsidP="0086398C">
            <w:pPr>
              <w:pStyle w:val="NormalWeb"/>
              <w:rPr>
                <w:sz w:val="18"/>
                <w:szCs w:val="18"/>
              </w:rPr>
            </w:pPr>
            <w:r w:rsidRPr="00B35630">
              <w:rPr>
                <w:sz w:val="18"/>
                <w:szCs w:val="18"/>
              </w:rPr>
              <w:t>90 and over</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0.0</w:t>
            </w:r>
          </w:p>
        </w:tc>
        <w:tc>
          <w:tcPr>
            <w:tcW w:w="1136" w:type="dxa"/>
            <w:hideMark/>
          </w:tcPr>
          <w:p w:rsidR="0019424B" w:rsidRPr="00B35630" w:rsidRDefault="0019424B" w:rsidP="0086398C">
            <w:pPr>
              <w:pStyle w:val="NormalWeb"/>
              <w:jc w:val="center"/>
              <w:rPr>
                <w:sz w:val="18"/>
                <w:szCs w:val="18"/>
              </w:rPr>
            </w:pPr>
            <w:r w:rsidRPr="00B35630">
              <w:rPr>
                <w:sz w:val="18"/>
                <w:szCs w:val="18"/>
              </w:rPr>
              <w:t>0.0</w:t>
            </w:r>
          </w:p>
        </w:tc>
        <w:tc>
          <w:tcPr>
            <w:tcW w:w="1135" w:type="dxa"/>
            <w:hideMark/>
          </w:tcPr>
          <w:p w:rsidR="0019424B" w:rsidRPr="00B35630" w:rsidRDefault="0019424B" w:rsidP="0086398C">
            <w:pPr>
              <w:pStyle w:val="NormalWeb"/>
              <w:jc w:val="center"/>
              <w:rPr>
                <w:sz w:val="18"/>
                <w:szCs w:val="18"/>
              </w:rPr>
            </w:pPr>
            <w:r w:rsidRPr="00B35630">
              <w:rPr>
                <w:sz w:val="18"/>
                <w:szCs w:val="18"/>
              </w:rPr>
              <w:t>230</w:t>
            </w:r>
          </w:p>
        </w:tc>
        <w:tc>
          <w:tcPr>
            <w:tcW w:w="1135" w:type="dxa"/>
            <w:hideMark/>
          </w:tcPr>
          <w:p w:rsidR="0019424B" w:rsidRPr="00B35630" w:rsidRDefault="0019424B" w:rsidP="0086398C">
            <w:pPr>
              <w:pStyle w:val="NormalWeb"/>
              <w:jc w:val="center"/>
              <w:rPr>
                <w:sz w:val="18"/>
                <w:szCs w:val="18"/>
              </w:rPr>
            </w:pPr>
            <w:r w:rsidRPr="00B35630">
              <w:rPr>
                <w:sz w:val="18"/>
                <w:szCs w:val="18"/>
              </w:rPr>
              <w:t>551</w:t>
            </w:r>
          </w:p>
        </w:tc>
        <w:tc>
          <w:tcPr>
            <w:tcW w:w="1135" w:type="dxa"/>
            <w:hideMark/>
          </w:tcPr>
          <w:p w:rsidR="0019424B" w:rsidRPr="00B35630" w:rsidRDefault="0019424B" w:rsidP="0086398C">
            <w:pPr>
              <w:pStyle w:val="NormalWeb"/>
              <w:jc w:val="center"/>
              <w:rPr>
                <w:sz w:val="18"/>
                <w:szCs w:val="18"/>
              </w:rPr>
            </w:pPr>
            <w:r w:rsidRPr="00B35630">
              <w:rPr>
                <w:sz w:val="18"/>
                <w:szCs w:val="18"/>
              </w:rPr>
              <w:t>782</w:t>
            </w:r>
          </w:p>
        </w:tc>
        <w:tc>
          <w:tcPr>
            <w:tcW w:w="1135" w:type="dxa"/>
            <w:hideMark/>
          </w:tcPr>
          <w:p w:rsidR="0019424B" w:rsidRPr="00B35630" w:rsidRDefault="0019424B" w:rsidP="0086398C">
            <w:pPr>
              <w:pStyle w:val="NormalWeb"/>
              <w:jc w:val="center"/>
              <w:rPr>
                <w:sz w:val="18"/>
                <w:szCs w:val="18"/>
              </w:rPr>
            </w:pPr>
            <w:r w:rsidRPr="00B35630">
              <w:rPr>
                <w:sz w:val="18"/>
                <w:szCs w:val="18"/>
              </w:rPr>
              <w:t>335.2</w:t>
            </w:r>
          </w:p>
        </w:tc>
        <w:tc>
          <w:tcPr>
            <w:tcW w:w="1135" w:type="dxa"/>
            <w:hideMark/>
          </w:tcPr>
          <w:p w:rsidR="0019424B" w:rsidRPr="00B35630" w:rsidRDefault="0019424B" w:rsidP="0086398C">
            <w:pPr>
              <w:pStyle w:val="NormalWeb"/>
              <w:jc w:val="center"/>
              <w:rPr>
                <w:sz w:val="18"/>
                <w:szCs w:val="18"/>
              </w:rPr>
            </w:pPr>
            <w:r w:rsidRPr="00B35630">
              <w:rPr>
                <w:sz w:val="18"/>
                <w:szCs w:val="18"/>
              </w:rPr>
              <w:t>412.6</w:t>
            </w:r>
          </w:p>
        </w:tc>
        <w:tc>
          <w:tcPr>
            <w:tcW w:w="1136" w:type="dxa"/>
            <w:hideMark/>
          </w:tcPr>
          <w:p w:rsidR="0019424B" w:rsidRPr="00B35630" w:rsidRDefault="0019424B" w:rsidP="0086398C">
            <w:pPr>
              <w:pStyle w:val="NormalWeb"/>
              <w:jc w:val="center"/>
              <w:rPr>
                <w:sz w:val="18"/>
                <w:szCs w:val="18"/>
              </w:rPr>
            </w:pPr>
            <w:r w:rsidRPr="00B35630">
              <w:rPr>
                <w:sz w:val="18"/>
                <w:szCs w:val="18"/>
              </w:rPr>
              <w:t>386.8</w:t>
            </w:r>
          </w:p>
        </w:tc>
      </w:tr>
    </w:tbl>
    <w:p w:rsidR="00B86BAF" w:rsidRDefault="00B86BAF" w:rsidP="00CB6A6F">
      <w:pPr>
        <w:pStyle w:val="Heading1"/>
        <w:sectPr w:rsidR="00B86BAF" w:rsidSect="0019424B">
          <w:pgSz w:w="16838" w:h="11906" w:orient="landscape"/>
          <w:pgMar w:top="720" w:right="720" w:bottom="720" w:left="1134" w:header="709" w:footer="284" w:gutter="0"/>
          <w:cols w:space="708"/>
          <w:titlePg/>
          <w:docGrid w:linePitch="360"/>
        </w:sectPr>
      </w:pPr>
    </w:p>
    <w:p w:rsidR="000A5F42" w:rsidRPr="000606CC" w:rsidRDefault="000A5F42" w:rsidP="00B35630">
      <w:pPr>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D58" w:rsidRDefault="00265D58" w:rsidP="00E54DBA">
      <w:r>
        <w:separator/>
      </w:r>
    </w:p>
    <w:p w:rsidR="00265D58" w:rsidRDefault="00265D58"/>
    <w:p w:rsidR="00265D58" w:rsidRDefault="00265D58" w:rsidP="008714B0"/>
  </w:endnote>
  <w:endnote w:type="continuationSeparator" w:id="0">
    <w:p w:rsidR="00265D58" w:rsidRDefault="00265D58" w:rsidP="00E54DBA">
      <w:r>
        <w:continuationSeparator/>
      </w:r>
    </w:p>
    <w:p w:rsidR="00265D58" w:rsidRDefault="00265D58"/>
    <w:p w:rsidR="00265D58" w:rsidRDefault="00265D5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25564">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25564">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E744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A7CF0">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A7CF0">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25564">
      <w:rPr>
        <w:sz w:val="18"/>
      </w:rPr>
      <w:t>https://doi.org/10.33321/cdi.2021.45.9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8236A">
      <w:rPr>
        <w:sz w:val="18"/>
      </w:rPr>
      <w:t>23/2/2021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65D5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65D58">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E744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A7CF0">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A7CF0">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25564">
      <w:rPr>
        <w:sz w:val="18"/>
      </w:rPr>
      <w:t>https://doi.org/10.33321/cdi.2021.45.9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8236A">
      <w:rPr>
        <w:sz w:val="18"/>
      </w:rPr>
      <w:t>23/2/2021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D58" w:rsidRDefault="00265D58" w:rsidP="00E54DBA">
      <w:r>
        <w:separator/>
      </w:r>
    </w:p>
  </w:footnote>
  <w:footnote w:type="continuationSeparator" w:id="0">
    <w:p w:rsidR="00265D58" w:rsidRDefault="00265D58" w:rsidP="00E54DBA">
      <w:r>
        <w:continuationSeparator/>
      </w:r>
    </w:p>
  </w:footnote>
  <w:footnote w:type="continuationNotice" w:id="1">
    <w:p w:rsidR="00265D58" w:rsidRPr="00224EFF" w:rsidRDefault="00265D5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84" w:rsidRPr="00A153B6" w:rsidRDefault="00265D5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E0E3F">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48" w:rsidRPr="000A5F42" w:rsidRDefault="008B5348"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7B3C"/>
    <w:multiLevelType w:val="multilevel"/>
    <w:tmpl w:val="08CA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646523"/>
    <w:multiLevelType w:val="hybridMultilevel"/>
    <w:tmpl w:val="8CD69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F0"/>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9753D"/>
    <w:rsid w:val="000A403C"/>
    <w:rsid w:val="000A5F42"/>
    <w:rsid w:val="000C314D"/>
    <w:rsid w:val="000D4B4D"/>
    <w:rsid w:val="00113D58"/>
    <w:rsid w:val="001200CB"/>
    <w:rsid w:val="00122F11"/>
    <w:rsid w:val="001378A3"/>
    <w:rsid w:val="00155582"/>
    <w:rsid w:val="00161590"/>
    <w:rsid w:val="00171CC0"/>
    <w:rsid w:val="00175494"/>
    <w:rsid w:val="00175629"/>
    <w:rsid w:val="00182B1E"/>
    <w:rsid w:val="001830EC"/>
    <w:rsid w:val="00183534"/>
    <w:rsid w:val="0019424B"/>
    <w:rsid w:val="001A4A96"/>
    <w:rsid w:val="001A5D05"/>
    <w:rsid w:val="001A796C"/>
    <w:rsid w:val="001B2614"/>
    <w:rsid w:val="001B37B8"/>
    <w:rsid w:val="001B552F"/>
    <w:rsid w:val="001C0893"/>
    <w:rsid w:val="001C1303"/>
    <w:rsid w:val="001C70B2"/>
    <w:rsid w:val="001D09D7"/>
    <w:rsid w:val="001D37C7"/>
    <w:rsid w:val="001D50D3"/>
    <w:rsid w:val="001D6888"/>
    <w:rsid w:val="001E2D50"/>
    <w:rsid w:val="00203F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5D58"/>
    <w:rsid w:val="00275C78"/>
    <w:rsid w:val="002763E7"/>
    <w:rsid w:val="00280594"/>
    <w:rsid w:val="00281EE3"/>
    <w:rsid w:val="00284E4A"/>
    <w:rsid w:val="002A3799"/>
    <w:rsid w:val="002A3BCC"/>
    <w:rsid w:val="002A4516"/>
    <w:rsid w:val="002A54B5"/>
    <w:rsid w:val="002A569F"/>
    <w:rsid w:val="002A7066"/>
    <w:rsid w:val="002B001E"/>
    <w:rsid w:val="002B09B7"/>
    <w:rsid w:val="002B75A9"/>
    <w:rsid w:val="002C21B0"/>
    <w:rsid w:val="002E2FB3"/>
    <w:rsid w:val="002F327B"/>
    <w:rsid w:val="00301626"/>
    <w:rsid w:val="003059EC"/>
    <w:rsid w:val="00307C56"/>
    <w:rsid w:val="0031219E"/>
    <w:rsid w:val="003152FD"/>
    <w:rsid w:val="00316CCD"/>
    <w:rsid w:val="00324F7E"/>
    <w:rsid w:val="003323BC"/>
    <w:rsid w:val="00346D42"/>
    <w:rsid w:val="00346E11"/>
    <w:rsid w:val="003601C0"/>
    <w:rsid w:val="003635F5"/>
    <w:rsid w:val="00372A88"/>
    <w:rsid w:val="00381A0F"/>
    <w:rsid w:val="003A1B3A"/>
    <w:rsid w:val="003A40F5"/>
    <w:rsid w:val="003B5B8C"/>
    <w:rsid w:val="003D5AEE"/>
    <w:rsid w:val="003D5B8F"/>
    <w:rsid w:val="003D79B1"/>
    <w:rsid w:val="003E74EE"/>
    <w:rsid w:val="003F0552"/>
    <w:rsid w:val="003F3BC2"/>
    <w:rsid w:val="00401ED1"/>
    <w:rsid w:val="0040224C"/>
    <w:rsid w:val="00413EE1"/>
    <w:rsid w:val="004164BB"/>
    <w:rsid w:val="00417E0E"/>
    <w:rsid w:val="00421ECE"/>
    <w:rsid w:val="00422FEB"/>
    <w:rsid w:val="0042435E"/>
    <w:rsid w:val="004315F5"/>
    <w:rsid w:val="00433456"/>
    <w:rsid w:val="00433DFA"/>
    <w:rsid w:val="00435D67"/>
    <w:rsid w:val="004422F2"/>
    <w:rsid w:val="00464A58"/>
    <w:rsid w:val="00473D2D"/>
    <w:rsid w:val="0048236A"/>
    <w:rsid w:val="00487A21"/>
    <w:rsid w:val="00496E10"/>
    <w:rsid w:val="004A2125"/>
    <w:rsid w:val="004A38F6"/>
    <w:rsid w:val="004B4EB6"/>
    <w:rsid w:val="004C083C"/>
    <w:rsid w:val="004C67C6"/>
    <w:rsid w:val="004D29DE"/>
    <w:rsid w:val="00510EAC"/>
    <w:rsid w:val="00521A17"/>
    <w:rsid w:val="00542A57"/>
    <w:rsid w:val="00555CFD"/>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D383F"/>
    <w:rsid w:val="005E1F96"/>
    <w:rsid w:val="005E33DD"/>
    <w:rsid w:val="005E4229"/>
    <w:rsid w:val="005E540E"/>
    <w:rsid w:val="005E55FB"/>
    <w:rsid w:val="005F16BB"/>
    <w:rsid w:val="00607115"/>
    <w:rsid w:val="00620768"/>
    <w:rsid w:val="0062594B"/>
    <w:rsid w:val="00631406"/>
    <w:rsid w:val="006324FF"/>
    <w:rsid w:val="006351D6"/>
    <w:rsid w:val="00636E0D"/>
    <w:rsid w:val="0064142F"/>
    <w:rsid w:val="00641D3B"/>
    <w:rsid w:val="00643CB4"/>
    <w:rsid w:val="00656427"/>
    <w:rsid w:val="00660255"/>
    <w:rsid w:val="006971F3"/>
    <w:rsid w:val="006A0C7F"/>
    <w:rsid w:val="006C74A3"/>
    <w:rsid w:val="006D1381"/>
    <w:rsid w:val="006D31BC"/>
    <w:rsid w:val="006E7943"/>
    <w:rsid w:val="006F24EA"/>
    <w:rsid w:val="00704CA9"/>
    <w:rsid w:val="0071048D"/>
    <w:rsid w:val="00710F86"/>
    <w:rsid w:val="007111A8"/>
    <w:rsid w:val="00731BC3"/>
    <w:rsid w:val="00741192"/>
    <w:rsid w:val="00743A33"/>
    <w:rsid w:val="00745793"/>
    <w:rsid w:val="00746080"/>
    <w:rsid w:val="0075144A"/>
    <w:rsid w:val="00756C35"/>
    <w:rsid w:val="0077016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27CB7"/>
    <w:rsid w:val="00834BCC"/>
    <w:rsid w:val="008460A8"/>
    <w:rsid w:val="00850D54"/>
    <w:rsid w:val="008714B0"/>
    <w:rsid w:val="00875AC2"/>
    <w:rsid w:val="00876331"/>
    <w:rsid w:val="00880726"/>
    <w:rsid w:val="008A18DC"/>
    <w:rsid w:val="008A3544"/>
    <w:rsid w:val="008B48B8"/>
    <w:rsid w:val="008B5348"/>
    <w:rsid w:val="008B58F8"/>
    <w:rsid w:val="008C0712"/>
    <w:rsid w:val="008C4520"/>
    <w:rsid w:val="008C5F09"/>
    <w:rsid w:val="008D470F"/>
    <w:rsid w:val="008E0E3F"/>
    <w:rsid w:val="008E1F8F"/>
    <w:rsid w:val="008E4768"/>
    <w:rsid w:val="008E761E"/>
    <w:rsid w:val="008F0166"/>
    <w:rsid w:val="008F0D45"/>
    <w:rsid w:val="008F77B3"/>
    <w:rsid w:val="009008F5"/>
    <w:rsid w:val="0090137B"/>
    <w:rsid w:val="00904CC1"/>
    <w:rsid w:val="009066AF"/>
    <w:rsid w:val="00907D81"/>
    <w:rsid w:val="00912050"/>
    <w:rsid w:val="00912E48"/>
    <w:rsid w:val="0092746F"/>
    <w:rsid w:val="00935DC9"/>
    <w:rsid w:val="009446C0"/>
    <w:rsid w:val="0096082E"/>
    <w:rsid w:val="00961347"/>
    <w:rsid w:val="00967410"/>
    <w:rsid w:val="00967D73"/>
    <w:rsid w:val="0098119A"/>
    <w:rsid w:val="00984AAF"/>
    <w:rsid w:val="00985988"/>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5564"/>
    <w:rsid w:val="00A273C3"/>
    <w:rsid w:val="00A30C37"/>
    <w:rsid w:val="00A36C65"/>
    <w:rsid w:val="00A41BBE"/>
    <w:rsid w:val="00A45BDD"/>
    <w:rsid w:val="00A46A0A"/>
    <w:rsid w:val="00A553F8"/>
    <w:rsid w:val="00A6708F"/>
    <w:rsid w:val="00A67C05"/>
    <w:rsid w:val="00A71BF6"/>
    <w:rsid w:val="00A86F9A"/>
    <w:rsid w:val="00AA35E6"/>
    <w:rsid w:val="00AA50B6"/>
    <w:rsid w:val="00AA7CF0"/>
    <w:rsid w:val="00AB3472"/>
    <w:rsid w:val="00AB6BF5"/>
    <w:rsid w:val="00AD0762"/>
    <w:rsid w:val="00AE3DCF"/>
    <w:rsid w:val="00AE4452"/>
    <w:rsid w:val="00AE7C38"/>
    <w:rsid w:val="00B01F99"/>
    <w:rsid w:val="00B02B37"/>
    <w:rsid w:val="00B05276"/>
    <w:rsid w:val="00B132DB"/>
    <w:rsid w:val="00B15FC0"/>
    <w:rsid w:val="00B1635E"/>
    <w:rsid w:val="00B31427"/>
    <w:rsid w:val="00B33861"/>
    <w:rsid w:val="00B35630"/>
    <w:rsid w:val="00B40DE2"/>
    <w:rsid w:val="00B50210"/>
    <w:rsid w:val="00B53955"/>
    <w:rsid w:val="00B6408A"/>
    <w:rsid w:val="00B714B8"/>
    <w:rsid w:val="00B82C2C"/>
    <w:rsid w:val="00B86BAF"/>
    <w:rsid w:val="00B8720B"/>
    <w:rsid w:val="00B876EF"/>
    <w:rsid w:val="00B96892"/>
    <w:rsid w:val="00BA4697"/>
    <w:rsid w:val="00BA72BE"/>
    <w:rsid w:val="00BB5378"/>
    <w:rsid w:val="00BC0BD3"/>
    <w:rsid w:val="00BD0107"/>
    <w:rsid w:val="00BE0C33"/>
    <w:rsid w:val="00BE262C"/>
    <w:rsid w:val="00BE6C3D"/>
    <w:rsid w:val="00C07606"/>
    <w:rsid w:val="00C12542"/>
    <w:rsid w:val="00C24725"/>
    <w:rsid w:val="00C30BA9"/>
    <w:rsid w:val="00C3230D"/>
    <w:rsid w:val="00C3327E"/>
    <w:rsid w:val="00C340BC"/>
    <w:rsid w:val="00C3541E"/>
    <w:rsid w:val="00C36A8F"/>
    <w:rsid w:val="00C42834"/>
    <w:rsid w:val="00C42FFA"/>
    <w:rsid w:val="00C507D8"/>
    <w:rsid w:val="00C53F43"/>
    <w:rsid w:val="00C62EAC"/>
    <w:rsid w:val="00C63F9F"/>
    <w:rsid w:val="00C7723C"/>
    <w:rsid w:val="00C838F5"/>
    <w:rsid w:val="00CA1AF4"/>
    <w:rsid w:val="00CA6068"/>
    <w:rsid w:val="00CB15E1"/>
    <w:rsid w:val="00CB3D46"/>
    <w:rsid w:val="00CB6A6F"/>
    <w:rsid w:val="00CD1A87"/>
    <w:rsid w:val="00CD35F3"/>
    <w:rsid w:val="00CD5C93"/>
    <w:rsid w:val="00CE342B"/>
    <w:rsid w:val="00CF320C"/>
    <w:rsid w:val="00CF3A4B"/>
    <w:rsid w:val="00CF4001"/>
    <w:rsid w:val="00D05837"/>
    <w:rsid w:val="00D12D8A"/>
    <w:rsid w:val="00D13E0C"/>
    <w:rsid w:val="00D216C6"/>
    <w:rsid w:val="00D25896"/>
    <w:rsid w:val="00D373A1"/>
    <w:rsid w:val="00D37C0F"/>
    <w:rsid w:val="00D45661"/>
    <w:rsid w:val="00D45943"/>
    <w:rsid w:val="00D47D22"/>
    <w:rsid w:val="00D51865"/>
    <w:rsid w:val="00D51D0C"/>
    <w:rsid w:val="00D65FD6"/>
    <w:rsid w:val="00D74140"/>
    <w:rsid w:val="00DA6A0F"/>
    <w:rsid w:val="00DA6E56"/>
    <w:rsid w:val="00DC24E5"/>
    <w:rsid w:val="00DC6705"/>
    <w:rsid w:val="00DD2DE8"/>
    <w:rsid w:val="00DE38B4"/>
    <w:rsid w:val="00DE5D02"/>
    <w:rsid w:val="00E005A9"/>
    <w:rsid w:val="00E1166E"/>
    <w:rsid w:val="00E24DC0"/>
    <w:rsid w:val="00E2519C"/>
    <w:rsid w:val="00E25F2A"/>
    <w:rsid w:val="00E323FD"/>
    <w:rsid w:val="00E32C61"/>
    <w:rsid w:val="00E41455"/>
    <w:rsid w:val="00E42AD2"/>
    <w:rsid w:val="00E50856"/>
    <w:rsid w:val="00E538CC"/>
    <w:rsid w:val="00E54BBD"/>
    <w:rsid w:val="00E54DBA"/>
    <w:rsid w:val="00E63D7C"/>
    <w:rsid w:val="00E640D5"/>
    <w:rsid w:val="00E66E2E"/>
    <w:rsid w:val="00E67691"/>
    <w:rsid w:val="00E92237"/>
    <w:rsid w:val="00E951EF"/>
    <w:rsid w:val="00EA30FB"/>
    <w:rsid w:val="00EA3D54"/>
    <w:rsid w:val="00EA56D9"/>
    <w:rsid w:val="00EA5CE3"/>
    <w:rsid w:val="00EB51C1"/>
    <w:rsid w:val="00EB5AE1"/>
    <w:rsid w:val="00EB5C9B"/>
    <w:rsid w:val="00EB5E0B"/>
    <w:rsid w:val="00EB7AE1"/>
    <w:rsid w:val="00EC2171"/>
    <w:rsid w:val="00ED442D"/>
    <w:rsid w:val="00ED70C2"/>
    <w:rsid w:val="00EE18FF"/>
    <w:rsid w:val="00EE489F"/>
    <w:rsid w:val="00EE7449"/>
    <w:rsid w:val="00F00B8D"/>
    <w:rsid w:val="00F043B0"/>
    <w:rsid w:val="00F0647F"/>
    <w:rsid w:val="00F10CE3"/>
    <w:rsid w:val="00F14585"/>
    <w:rsid w:val="00F14F3B"/>
    <w:rsid w:val="00F16025"/>
    <w:rsid w:val="00F16362"/>
    <w:rsid w:val="00F207C7"/>
    <w:rsid w:val="00F36B6D"/>
    <w:rsid w:val="00F43E5C"/>
    <w:rsid w:val="00F43FA3"/>
    <w:rsid w:val="00F55648"/>
    <w:rsid w:val="00F5662E"/>
    <w:rsid w:val="00F70046"/>
    <w:rsid w:val="00F748C2"/>
    <w:rsid w:val="00F76C5C"/>
    <w:rsid w:val="00F81EF3"/>
    <w:rsid w:val="00F84496"/>
    <w:rsid w:val="00F85DCB"/>
    <w:rsid w:val="00F86F9C"/>
    <w:rsid w:val="00F90D76"/>
    <w:rsid w:val="00F96D8B"/>
    <w:rsid w:val="00FA5D81"/>
    <w:rsid w:val="00FC002E"/>
    <w:rsid w:val="00FC4C23"/>
    <w:rsid w:val="00FC642E"/>
    <w:rsid w:val="00FC736E"/>
    <w:rsid w:val="00FE2AE4"/>
    <w:rsid w:val="00FE689F"/>
    <w:rsid w:val="00FE7809"/>
    <w:rsid w:val="00FF408B"/>
    <w:rsid w:val="00FF4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8AC49F-2610-4E02-9836-9A82158E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9594C7-E48F-431F-AC16-469692B8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TotalTime>
  <Pages>11</Pages>
  <Words>2950</Words>
  <Characters>16818</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Communicable Diseases Intelligence 2021 -  COVID-19 Australia: Epidemiology Report 35 - Reporting period ending 14 February 2021</vt:lpstr>
      <vt:lpstr>Summary</vt:lpstr>
      <vt:lpstr>Background and data sources </vt:lpstr>
      <vt:lpstr>Activity </vt:lpstr>
      <vt:lpstr>    Transmission trends of confirmed COVID-19 </vt:lpstr>
      <vt:lpstr>        (NNDSS and jurisdictional reporting to NIR) </vt:lpstr>
      <vt:lpstr>    Source of acquisition</vt:lpstr>
      <vt:lpstr>        (NNDSS) </vt:lpstr>
      <vt:lpstr>    Demographic features</vt:lpstr>
      <vt:lpstr>        (NNDSS) </vt:lpstr>
      <vt:lpstr>    Aboriginal and Torres Strait Islander persons</vt:lpstr>
      <vt:lpstr>        (NNDSS) </vt:lpstr>
      <vt:lpstr>    Testing</vt:lpstr>
      <vt:lpstr>        (State and territory reporting) </vt:lpstr>
      <vt:lpstr>    Virology</vt:lpstr>
      <vt:lpstr>        (GISAID) </vt:lpstr>
      <vt:lpstr>Acknowledgements </vt:lpstr>
      <vt:lpstr>Author details </vt:lpstr>
      <vt:lpstr>    Corresponding author </vt:lpstr>
      <vt:lpstr>References </vt:lpstr>
      <vt:lpstr/>
      <vt:lpstr>Appendix A: Supplementary figures and tables</vt:lpstr>
      <vt:lpstr/>
    </vt:vector>
  </TitlesOfParts>
  <Company>Australian Government, Department of Health</Company>
  <LinksUpToDate>false</LinksUpToDate>
  <CharactersWithSpaces>19729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35 - Reporting period ending 14 February 2021</dc:title>
  <dc:subject>This is the thirty-fifth epidemiological report for coronavirus disease 2019 (COVID-19), reported in Australia as at 23:59 Australian Eastern Daylight Time [AEDT] 14 February 2021. It includes data on COVID-19 cases diagnosed in Australia and the international situation.</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6</cp:revision>
  <cp:lastPrinted>2018-05-10T02:19:00Z</cp:lastPrinted>
  <dcterms:created xsi:type="dcterms:W3CDTF">2021-02-19T04:31:00Z</dcterms:created>
  <dcterms:modified xsi:type="dcterms:W3CDTF">2021-02-23T00:18:00Z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23/2/2021</vt:lpwstr>
  </property>
  <property fmtid="{D5CDD505-2E9C-101B-9397-08002B2CF9AE}" pid="5" name="DOI">
    <vt:lpwstr>https://doi.org/10.33321/cdi.2021.45.9</vt:lpwstr>
  </property>
</Properties>
</file>