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26881" w14:textId="77777777" w:rsidR="00B50D8D" w:rsidRPr="00B50D8D" w:rsidRDefault="00B50D8D" w:rsidP="00B50D8D">
      <w:pPr>
        <w:pStyle w:val="CDIfootnotes"/>
      </w:pPr>
      <w:r w:rsidRPr="00B50D8D">
        <w:rPr>
          <w:i/>
          <w:iCs/>
        </w:rPr>
        <w:t>Communicable Diseases Intelligence</w:t>
      </w:r>
      <w:r w:rsidRPr="00B50D8D">
        <w:t xml:space="preserve">, Year </w:t>
      </w:r>
      <w:fldSimple w:instr=" DOCPROPERTY  Year  \* MERGEFORMAT ">
        <w:r w:rsidR="00AF75BD">
          <w:t>2023</w:t>
        </w:r>
      </w:fldSimple>
      <w:r w:rsidRPr="00B50D8D">
        <w:t xml:space="preserve">, Volume </w:t>
      </w:r>
      <w:r w:rsidR="00DB56D4">
        <w:fldChar w:fldCharType="begin"/>
      </w:r>
      <w:r w:rsidR="00DB56D4">
        <w:instrText xml:space="preserve"> DOCPROPERTY  Vol  \* MERGEFORMAT </w:instrText>
      </w:r>
      <w:r w:rsidR="00DB56D4">
        <w:fldChar w:fldCharType="separate"/>
      </w:r>
      <w:proofErr w:type="gramStart"/>
      <w:r w:rsidR="00AF75BD">
        <w:t>47</w:t>
      </w:r>
      <w:proofErr w:type="gramEnd"/>
      <w:r w:rsidR="00DB56D4">
        <w:fldChar w:fldCharType="end"/>
      </w:r>
    </w:p>
    <w:p w14:paraId="6AD00AEE" w14:textId="01C80D65" w:rsidR="00B50D8D" w:rsidRPr="00B50D8D" w:rsidRDefault="00DB56D4" w:rsidP="00B50D8D">
      <w:pPr>
        <w:pStyle w:val="CDIfootnotes"/>
      </w:pPr>
      <w:fldSimple w:instr=" DOCPROPERTY  DOI  \* MERGEFORMAT ">
        <w:r w:rsidR="00EF3C2E">
          <w:t>https://doi.org/10.33321/cdi.2023.47.42</w:t>
        </w:r>
      </w:fldSimple>
    </w:p>
    <w:p w14:paraId="4A404625" w14:textId="62E6BC0A" w:rsidR="00B50D8D" w:rsidRPr="00B50D8D" w:rsidRDefault="00B50D8D" w:rsidP="00B50D8D">
      <w:pPr>
        <w:pStyle w:val="CDIfootnotes"/>
      </w:pPr>
      <w:r w:rsidRPr="00B50D8D">
        <w:t xml:space="preserve">Publication date: </w:t>
      </w:r>
      <w:fldSimple w:instr=" DOCPROPERTY  ePubDate  \* MERGEFORMAT ">
        <w:r w:rsidR="00EF3C2E">
          <w:t>27/7/2023</w:t>
        </w:r>
      </w:fldSimple>
    </w:p>
    <w:p w14:paraId="1ECFD2AF" w14:textId="5F22FF73" w:rsidR="00B50D8D" w:rsidRPr="00B50D8D" w:rsidRDefault="00D17929" w:rsidP="00B50D8D">
      <w:pPr>
        <w:pStyle w:val="CDIfootnotes"/>
      </w:pPr>
      <w:hyperlink r:id="rId9" w:history="1">
        <w:r w:rsidR="00B50D8D" w:rsidRPr="00B50D8D">
          <w:rPr>
            <w:rStyle w:val="Hyperlink"/>
          </w:rPr>
          <w:t>http://health.gov.au/cdi</w:t>
        </w:r>
      </w:hyperlink>
      <w:r w:rsidR="00B50D8D" w:rsidRPr="00B50D8D">
        <w:t xml:space="preserve"> </w:t>
      </w:r>
    </w:p>
    <w:p w14:paraId="40EC65FF" w14:textId="77777777" w:rsidR="00E52252" w:rsidRDefault="00E52252" w:rsidP="00E52252">
      <w:pPr>
        <w:pStyle w:val="Title"/>
        <w:divId w:val="812717687"/>
        <w:rPr>
          <w:rFonts w:eastAsia="Times New Roman"/>
          <w:sz w:val="48"/>
          <w:szCs w:val="48"/>
        </w:rPr>
      </w:pPr>
      <w:r>
        <w:rPr>
          <w:rFonts w:eastAsia="Times New Roman"/>
        </w:rPr>
        <w:t xml:space="preserve">ATAGI 2023 Annual Statement on Immunisation </w:t>
      </w:r>
    </w:p>
    <w:p w14:paraId="4811B650" w14:textId="21ACF940" w:rsidR="00E52252" w:rsidRDefault="00E52252" w:rsidP="001056F8">
      <w:pPr>
        <w:divId w:val="812717687"/>
      </w:pPr>
      <w:r>
        <w:t xml:space="preserve">Madeline Valeri, Shireen </w:t>
      </w:r>
      <w:proofErr w:type="spellStart"/>
      <w:r>
        <w:t>Durrani</w:t>
      </w:r>
      <w:proofErr w:type="spellEnd"/>
      <w:r>
        <w:t xml:space="preserve">, Catherine Tran, Clayton Chiu, Kristine K Macartney, Michelle L Giles, Nigel W Crawford on behalf of the Australian Technical Advisory Group on Immunisation </w:t>
      </w:r>
    </w:p>
    <w:p w14:paraId="03E2D8FB" w14:textId="7B649243" w:rsidR="00637460" w:rsidRDefault="00637460" w:rsidP="00E52252">
      <w:pPr>
        <w:divId w:val="812717687"/>
      </w:pPr>
      <w:r>
        <w:rPr>
          <w:noProof/>
        </w:rPr>
        <mc:AlternateContent>
          <mc:Choice Requires="wps">
            <w:drawing>
              <wp:inline distT="0" distB="0" distL="0" distR="0" wp14:anchorId="5C4C07E1" wp14:editId="6B6DC99A">
                <wp:extent cx="6625742" cy="1404620"/>
                <wp:effectExtent l="0" t="0" r="3810" b="889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742" cy="1404620"/>
                        </a:xfrm>
                        <a:prstGeom prst="rect">
                          <a:avLst/>
                        </a:prstGeom>
                        <a:solidFill>
                          <a:srgbClr val="F7ECDD"/>
                        </a:solidFill>
                        <a:ln w="9525">
                          <a:noFill/>
                          <a:miter lim="800000"/>
                          <a:headEnd/>
                          <a:tailEnd/>
                        </a:ln>
                      </wps:spPr>
                      <wps:txbx>
                        <w:txbxContent>
                          <w:p w14:paraId="5A9FC19E" w14:textId="77777777" w:rsidR="00637460" w:rsidRDefault="00637460" w:rsidP="00637460">
                            <w:r w:rsidRPr="001B2C83">
                              <w:rPr>
                                <w:rStyle w:val="Emphasis"/>
                                <w:b w:val="0"/>
                                <w:bCs w:val="0"/>
                              </w:rPr>
                              <w:t xml:space="preserve">The Australian Technical Advisory Group on Immunisation (ATAGI) 2023 Annual Statement on Immunisation is the third publication in this series. It highlights the key successes, </w:t>
                            </w:r>
                            <w:proofErr w:type="gramStart"/>
                            <w:r w:rsidRPr="001B2C83">
                              <w:rPr>
                                <w:rStyle w:val="Emphasis"/>
                                <w:b w:val="0"/>
                                <w:bCs w:val="0"/>
                              </w:rPr>
                              <w:t>trends</w:t>
                            </w:r>
                            <w:proofErr w:type="gramEnd"/>
                            <w:r w:rsidRPr="001B2C83">
                              <w:rPr>
                                <w:rStyle w:val="Emphasis"/>
                                <w:b w:val="0"/>
                                <w:bCs w:val="0"/>
                              </w:rPr>
                              <w:t xml:space="preserve"> and challenges in the use of vaccines and control of vaccine preventable diseases (VPDs) in Australia in 2022. It also signals ATAGI’s priority actions for addressing key issues for 2023 and beyond. </w:t>
                            </w:r>
                          </w:p>
                          <w:p w14:paraId="3DD3B060" w14:textId="77777777" w:rsidR="00637460" w:rsidRDefault="00637460" w:rsidP="00637460">
                            <w:pPr>
                              <w:pStyle w:val="Heading1"/>
                              <w:rPr>
                                <w:rFonts w:eastAsia="Times New Roman"/>
                              </w:rPr>
                            </w:pPr>
                            <w:r>
                              <w:rPr>
                                <w:rFonts w:eastAsia="Times New Roman"/>
                              </w:rPr>
                              <w:t>Summary</w:t>
                            </w:r>
                          </w:p>
                          <w:p w14:paraId="7D2234E1" w14:textId="77777777" w:rsidR="00637460" w:rsidRDefault="00637460" w:rsidP="00637460">
                            <w:pPr>
                              <w:pStyle w:val="NormalWeb"/>
                            </w:pPr>
                            <w:r>
                              <w:t xml:space="preserve">In 2022, governments across Australia eased coronavirus disease 2019 (COVID-19) pandemic-related community and border control measures. This was associated with increased rates of some common VPDs, </w:t>
                            </w:r>
                            <w:proofErr w:type="gramStart"/>
                            <w:r>
                              <w:t>in particular influenza</w:t>
                            </w:r>
                            <w:proofErr w:type="gramEnd"/>
                            <w:r>
                              <w:t xml:space="preserve">, as social interactions increased. There were also significant outbreaks of two newly emerged diseases, Japanese encephalitis (JE) and </w:t>
                            </w:r>
                            <w:proofErr w:type="spellStart"/>
                            <w:r>
                              <w:t>mpox</w:t>
                            </w:r>
                            <w:proofErr w:type="spellEnd"/>
                            <w:r>
                              <w:t xml:space="preserve"> (formerly known as monkeypox). The responses to these new Communicable Disease Incidents of National Significance (CDINS) included </w:t>
                            </w:r>
                            <w:proofErr w:type="gramStart"/>
                            <w:r>
                              <w:t>establishing</w:t>
                            </w:r>
                            <w:proofErr w:type="gramEnd"/>
                            <w:r>
                              <w:t xml:space="preserve"> vaccination programs against these diseases. </w:t>
                            </w:r>
                          </w:p>
                          <w:p w14:paraId="24538C0F" w14:textId="77777777" w:rsidR="00637460" w:rsidRDefault="00637460" w:rsidP="00637460">
                            <w:pPr>
                              <w:pStyle w:val="Heading2"/>
                              <w:rPr>
                                <w:rFonts w:eastAsia="Times New Roman"/>
                              </w:rPr>
                            </w:pPr>
                            <w:r>
                              <w:rPr>
                                <w:rFonts w:eastAsia="Times New Roman"/>
                              </w:rPr>
                              <w:t xml:space="preserve">Key highlights in immunisation in 2022 </w:t>
                            </w:r>
                          </w:p>
                          <w:p w14:paraId="3430D9B7" w14:textId="77777777" w:rsidR="00637460" w:rsidRDefault="00637460" w:rsidP="00637460">
                            <w:pPr>
                              <w:numPr>
                                <w:ilvl w:val="0"/>
                                <w:numId w:val="7"/>
                              </w:numPr>
                              <w:spacing w:before="100" w:beforeAutospacing="1" w:after="100" w:afterAutospacing="1" w:line="240" w:lineRule="auto"/>
                              <w:rPr>
                                <w:rFonts w:eastAsia="Times New Roman"/>
                              </w:rPr>
                            </w:pPr>
                            <w:r>
                              <w:rPr>
                                <w:rFonts w:eastAsia="Times New Roman"/>
                              </w:rPr>
                              <w:t xml:space="preserve">The national COVID-19 vaccination program continued throughout 2022, including the expansion of vaccine eligibility to all children aged 5 years and over, and to </w:t>
                            </w:r>
                            <w:proofErr w:type="gramStart"/>
                            <w:r>
                              <w:rPr>
                                <w:rFonts w:eastAsia="Times New Roman"/>
                              </w:rPr>
                              <w:t>some</w:t>
                            </w:r>
                            <w:proofErr w:type="gramEnd"/>
                            <w:r>
                              <w:rPr>
                                <w:rFonts w:eastAsia="Times New Roman"/>
                              </w:rPr>
                              <w:t xml:space="preserve"> at-risk children aged 6 months to under 5 years. New variant-based COVID-19 vaccines also came into use. </w:t>
                            </w:r>
                          </w:p>
                          <w:p w14:paraId="511D1925" w14:textId="77777777" w:rsidR="00637460" w:rsidRDefault="00637460" w:rsidP="00637460">
                            <w:pPr>
                              <w:numPr>
                                <w:ilvl w:val="0"/>
                                <w:numId w:val="7"/>
                              </w:numPr>
                              <w:spacing w:before="100" w:beforeAutospacing="1" w:after="100" w:afterAutospacing="1" w:line="240" w:lineRule="auto"/>
                              <w:rPr>
                                <w:rFonts w:eastAsia="Times New Roman"/>
                              </w:rPr>
                            </w:pPr>
                            <w:r>
                              <w:rPr>
                                <w:rFonts w:eastAsia="Times New Roman"/>
                              </w:rPr>
                              <w:t xml:space="preserve">ATAGI recommended booster doses of COVID-19 vaccines for adults and adolescents in response to emerging evidence on COVID-19 vaccine effectiveness and new variant epidemic waves. By the end of 2022, a total of 69% of people aged 16 years and over had received </w:t>
                            </w:r>
                            <w:proofErr w:type="gramStart"/>
                            <w:r>
                              <w:rPr>
                                <w:rFonts w:eastAsia="Times New Roman"/>
                              </w:rPr>
                              <w:t>3</w:t>
                            </w:r>
                            <w:proofErr w:type="gramEnd"/>
                            <w:r>
                              <w:rPr>
                                <w:rFonts w:eastAsia="Times New Roman"/>
                              </w:rPr>
                              <w:t xml:space="preserve"> doses of a COVID-19 vaccine. A first booster dose </w:t>
                            </w:r>
                            <w:proofErr w:type="gramStart"/>
                            <w:r>
                              <w:rPr>
                                <w:rFonts w:eastAsia="Times New Roman"/>
                              </w:rPr>
                              <w:t>was recommended</w:t>
                            </w:r>
                            <w:proofErr w:type="gramEnd"/>
                            <w:r>
                              <w:rPr>
                                <w:rFonts w:eastAsia="Times New Roman"/>
                              </w:rPr>
                              <w:t xml:space="preserve"> for all people aged 16 years and over. </w:t>
                            </w:r>
                          </w:p>
                          <w:p w14:paraId="645A8E36" w14:textId="77777777" w:rsidR="00637460" w:rsidRDefault="00637460" w:rsidP="00637460">
                            <w:pPr>
                              <w:numPr>
                                <w:ilvl w:val="0"/>
                                <w:numId w:val="7"/>
                              </w:numPr>
                              <w:spacing w:before="100" w:beforeAutospacing="1" w:after="100" w:afterAutospacing="1" w:line="240" w:lineRule="auto"/>
                              <w:rPr>
                                <w:rFonts w:eastAsia="Times New Roman"/>
                              </w:rPr>
                            </w:pPr>
                            <w:r>
                              <w:rPr>
                                <w:rFonts w:eastAsia="Times New Roman"/>
                              </w:rPr>
                              <w:t xml:space="preserve">ATAGI worked alongside other key national, state and territory governing bodies to respond to outbreaks of influenza, JE and </w:t>
                            </w:r>
                            <w:proofErr w:type="spellStart"/>
                            <w:r>
                              <w:rPr>
                                <w:rFonts w:eastAsia="Times New Roman"/>
                              </w:rPr>
                              <w:t>mpox</w:t>
                            </w:r>
                            <w:proofErr w:type="spellEnd"/>
                            <w:r>
                              <w:rPr>
                                <w:rFonts w:eastAsia="Times New Roman"/>
                              </w:rPr>
                              <w:t xml:space="preserve">. ATAGI developed and expanded vaccine recommendations for JE and </w:t>
                            </w:r>
                            <w:proofErr w:type="spellStart"/>
                            <w:r>
                              <w:rPr>
                                <w:rFonts w:eastAsia="Times New Roman"/>
                              </w:rPr>
                              <w:t>mpox</w:t>
                            </w:r>
                            <w:proofErr w:type="spellEnd"/>
                            <w:r>
                              <w:rPr>
                                <w:rFonts w:eastAsia="Times New Roman"/>
                              </w:rPr>
                              <w:t xml:space="preserve">, and governments delivered these safe and effective vaccines across Australia. </w:t>
                            </w:r>
                          </w:p>
                          <w:p w14:paraId="010E8B6E" w14:textId="77777777" w:rsidR="00637460" w:rsidRDefault="00637460" w:rsidP="00637460">
                            <w:pPr>
                              <w:numPr>
                                <w:ilvl w:val="0"/>
                                <w:numId w:val="7"/>
                              </w:numPr>
                              <w:spacing w:before="100" w:beforeAutospacing="1" w:after="100" w:afterAutospacing="1" w:line="240" w:lineRule="auto"/>
                              <w:rPr>
                                <w:rFonts w:eastAsia="Times New Roman"/>
                              </w:rPr>
                            </w:pPr>
                            <w:r>
                              <w:rPr>
                                <w:rFonts w:eastAsia="Times New Roman"/>
                              </w:rPr>
                              <w:t xml:space="preserve">The National Immunisation Program (NIP) </w:t>
                            </w:r>
                            <w:proofErr w:type="gramStart"/>
                            <w:r>
                              <w:rPr>
                                <w:rFonts w:eastAsia="Times New Roman"/>
                              </w:rPr>
                              <w:t>maintained</w:t>
                            </w:r>
                            <w:proofErr w:type="gramEnd"/>
                            <w:r>
                              <w:rPr>
                                <w:rFonts w:eastAsia="Times New Roman"/>
                              </w:rPr>
                              <w:t xml:space="preserve"> high levels of coverage, which is important to ensure continued protection against VPDs as COVID-19 restrictions are lifted. </w:t>
                            </w:r>
                          </w:p>
                          <w:p w14:paraId="2607BE53" w14:textId="77777777" w:rsidR="00637460" w:rsidRDefault="00637460" w:rsidP="00637460">
                            <w:pPr>
                              <w:numPr>
                                <w:ilvl w:val="0"/>
                                <w:numId w:val="7"/>
                              </w:numPr>
                              <w:spacing w:before="100" w:beforeAutospacing="1" w:after="100" w:afterAutospacing="1" w:line="240" w:lineRule="auto"/>
                              <w:rPr>
                                <w:rFonts w:eastAsia="Times New Roman"/>
                              </w:rPr>
                            </w:pPr>
                            <w:r>
                              <w:rPr>
                                <w:rFonts w:eastAsia="Times New Roman"/>
                              </w:rPr>
                              <w:t xml:space="preserve">ATAGI </w:t>
                            </w:r>
                            <w:proofErr w:type="gramStart"/>
                            <w:r>
                              <w:rPr>
                                <w:rFonts w:eastAsia="Times New Roman"/>
                              </w:rPr>
                              <w:t>provided</w:t>
                            </w:r>
                            <w:proofErr w:type="gramEnd"/>
                            <w:r>
                              <w:rPr>
                                <w:rFonts w:eastAsia="Times New Roman"/>
                              </w:rPr>
                              <w:t xml:space="preserve"> advice to the Australian Government on the potential effectiveness and safety of moving from a two-dose to a one-dose human papillomavirus (HPV) vaccine schedule under the NIP. This underpinned changes to the program that started in February 2023. </w:t>
                            </w:r>
                          </w:p>
                          <w:p w14:paraId="78C0FFCC" w14:textId="7FDE5C3B" w:rsidR="00637460" w:rsidRPr="00637460" w:rsidRDefault="00637460" w:rsidP="00637460">
                            <w:pPr>
                              <w:numPr>
                                <w:ilvl w:val="0"/>
                                <w:numId w:val="7"/>
                              </w:numPr>
                              <w:spacing w:before="100" w:beforeAutospacing="1" w:after="100" w:afterAutospacing="1" w:line="240" w:lineRule="auto"/>
                              <w:rPr>
                                <w:rFonts w:eastAsia="Times New Roman"/>
                              </w:rPr>
                            </w:pPr>
                            <w:r>
                              <w:rPr>
                                <w:rFonts w:eastAsia="Times New Roman"/>
                              </w:rPr>
                              <w:t xml:space="preserve">ATAGI began work on recommendations for </w:t>
                            </w:r>
                            <w:proofErr w:type="gramStart"/>
                            <w:r>
                              <w:rPr>
                                <w:rFonts w:eastAsia="Times New Roman"/>
                              </w:rPr>
                              <w:t>several</w:t>
                            </w:r>
                            <w:proofErr w:type="gramEnd"/>
                            <w:r>
                              <w:rPr>
                                <w:rFonts w:eastAsia="Times New Roman"/>
                              </w:rPr>
                              <w:t xml:space="preserve"> other vaccines, including pneumococcal and zoster. </w:t>
                            </w:r>
                          </w:p>
                        </w:txbxContent>
                      </wps:txbx>
                      <wps:bodyPr rot="0" vert="horz" wrap="square" lIns="91440" tIns="45720" rIns="91440" bIns="45720" anchor="t" anchorCtr="0">
                        <a:spAutoFit/>
                      </wps:bodyPr>
                    </wps:wsp>
                  </a:graphicData>
                </a:graphic>
              </wp:inline>
            </w:drawing>
          </mc:Choice>
          <mc:Fallback>
            <w:pict>
              <v:shapetype w14:anchorId="5C4C07E1" id="_x0000_t202" coordsize="21600,21600" o:spt="202" path="m,l,21600r21600,l21600,xe">
                <v:stroke joinstyle="miter"/>
                <v:path gradientshapeok="t" o:connecttype="rect"/>
              </v:shapetype>
              <v:shape id="Text Box 2" o:spid="_x0000_s1026" type="#_x0000_t202" style="width:521.7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" fillcolor="#f7ecdd" stroked="f">
                <v:textbox style="mso-fit-shape-to-text:t">
                  <w:txbxContent>
                    <w:p w14:paraId="5A9FC19E" w14:textId="77777777" w:rsidR="00637460" w:rsidRDefault="00637460" w:rsidP="00637460">
                      <w:r w:rsidRPr="001B2C83">
                        <w:rPr>
                          <w:rStyle w:val="Emphasis"/>
                          <w:b w:val="0"/>
                          <w:bCs w:val="0"/>
                        </w:rPr>
                        <w:t xml:space="preserve">The Australian Technical Advisory Group on Immunisation (ATAGI) 2023 Annual Statement on Immunisation is the third publication in this series. It highlights the key successes, </w:t>
                      </w:r>
                      <w:proofErr w:type="gramStart"/>
                      <w:r w:rsidRPr="001B2C83">
                        <w:rPr>
                          <w:rStyle w:val="Emphasis"/>
                          <w:b w:val="0"/>
                          <w:bCs w:val="0"/>
                        </w:rPr>
                        <w:t>trends</w:t>
                      </w:r>
                      <w:proofErr w:type="gramEnd"/>
                      <w:r w:rsidRPr="001B2C83">
                        <w:rPr>
                          <w:rStyle w:val="Emphasis"/>
                          <w:b w:val="0"/>
                          <w:bCs w:val="0"/>
                        </w:rPr>
                        <w:t xml:space="preserve"> and challenges in the use of vaccines and control of vaccine preventable diseases (VPDs) in Australia in 2022. It also signals ATAGI’s priority actions for addressing key issues for 2023 and beyond. </w:t>
                      </w:r>
                    </w:p>
                    <w:p w14:paraId="3DD3B060" w14:textId="77777777" w:rsidR="00637460" w:rsidRDefault="00637460" w:rsidP="00637460">
                      <w:pPr>
                        <w:pStyle w:val="Heading1"/>
                        <w:rPr>
                          <w:rFonts w:eastAsia="Times New Roman"/>
                        </w:rPr>
                      </w:pPr>
                      <w:r>
                        <w:rPr>
                          <w:rFonts w:eastAsia="Times New Roman"/>
                        </w:rPr>
                        <w:t>Summary</w:t>
                      </w:r>
                    </w:p>
                    <w:p w14:paraId="7D2234E1" w14:textId="77777777" w:rsidR="00637460" w:rsidRDefault="00637460" w:rsidP="00637460">
                      <w:pPr>
                        <w:pStyle w:val="NormalWeb"/>
                      </w:pPr>
                      <w:r>
                        <w:t xml:space="preserve">In 2022, governments across Australia eased coronavirus disease 2019 (COVID-19) pandemic-related community and border control measures. This was associated with increased rates of some common VPDs, </w:t>
                      </w:r>
                      <w:proofErr w:type="gramStart"/>
                      <w:r>
                        <w:t>in particular influenza</w:t>
                      </w:r>
                      <w:proofErr w:type="gramEnd"/>
                      <w:r>
                        <w:t xml:space="preserve">, as social interactions increased. There were also significant outbreaks of two newly emerged diseases, Japanese encephalitis (JE) and </w:t>
                      </w:r>
                      <w:proofErr w:type="spellStart"/>
                      <w:r>
                        <w:t>mpox</w:t>
                      </w:r>
                      <w:proofErr w:type="spellEnd"/>
                      <w:r>
                        <w:t xml:space="preserve"> (formerly known as monkeypox). The responses to these new Communicable Disease Incidents of National Significance (CDINS) included </w:t>
                      </w:r>
                      <w:proofErr w:type="gramStart"/>
                      <w:r>
                        <w:t>establishing</w:t>
                      </w:r>
                      <w:proofErr w:type="gramEnd"/>
                      <w:r>
                        <w:t xml:space="preserve"> vaccination programs against these diseases. </w:t>
                      </w:r>
                    </w:p>
                    <w:p w14:paraId="24538C0F" w14:textId="77777777" w:rsidR="00637460" w:rsidRDefault="00637460" w:rsidP="00637460">
                      <w:pPr>
                        <w:pStyle w:val="Heading2"/>
                        <w:rPr>
                          <w:rFonts w:eastAsia="Times New Roman"/>
                        </w:rPr>
                      </w:pPr>
                      <w:r>
                        <w:rPr>
                          <w:rFonts w:eastAsia="Times New Roman"/>
                        </w:rPr>
                        <w:t xml:space="preserve">Key highlights in immunisation in 2022 </w:t>
                      </w:r>
                    </w:p>
                    <w:p w14:paraId="3430D9B7" w14:textId="77777777" w:rsidR="00637460" w:rsidRDefault="00637460" w:rsidP="00637460">
                      <w:pPr>
                        <w:numPr>
                          <w:ilvl w:val="0"/>
                          <w:numId w:val="7"/>
                        </w:numPr>
                        <w:spacing w:before="100" w:beforeAutospacing="1" w:after="100" w:afterAutospacing="1" w:line="240" w:lineRule="auto"/>
                        <w:rPr>
                          <w:rFonts w:eastAsia="Times New Roman"/>
                        </w:rPr>
                      </w:pPr>
                      <w:r>
                        <w:rPr>
                          <w:rFonts w:eastAsia="Times New Roman"/>
                        </w:rPr>
                        <w:t xml:space="preserve">The national COVID-19 vaccination program continued throughout 2022, including the expansion of vaccine eligibility to all children aged 5 years and over, and to </w:t>
                      </w:r>
                      <w:proofErr w:type="gramStart"/>
                      <w:r>
                        <w:rPr>
                          <w:rFonts w:eastAsia="Times New Roman"/>
                        </w:rPr>
                        <w:t>some</w:t>
                      </w:r>
                      <w:proofErr w:type="gramEnd"/>
                      <w:r>
                        <w:rPr>
                          <w:rFonts w:eastAsia="Times New Roman"/>
                        </w:rPr>
                        <w:t xml:space="preserve"> at-risk children aged 6 months to under 5 years. New variant-based COVID-19 vaccines also came into use. </w:t>
                      </w:r>
                    </w:p>
                    <w:p w14:paraId="511D1925" w14:textId="77777777" w:rsidR="00637460" w:rsidRDefault="00637460" w:rsidP="00637460">
                      <w:pPr>
                        <w:numPr>
                          <w:ilvl w:val="0"/>
                          <w:numId w:val="7"/>
                        </w:numPr>
                        <w:spacing w:before="100" w:beforeAutospacing="1" w:after="100" w:afterAutospacing="1" w:line="240" w:lineRule="auto"/>
                        <w:rPr>
                          <w:rFonts w:eastAsia="Times New Roman"/>
                        </w:rPr>
                      </w:pPr>
                      <w:r>
                        <w:rPr>
                          <w:rFonts w:eastAsia="Times New Roman"/>
                        </w:rPr>
                        <w:t xml:space="preserve">ATAGI recommended booster doses of COVID-19 vaccines for adults and adolescents in response to emerging evidence on COVID-19 vaccine effectiveness and new variant epidemic waves. By the end of 2022, a total of 69% of people aged 16 years and over had received </w:t>
                      </w:r>
                      <w:proofErr w:type="gramStart"/>
                      <w:r>
                        <w:rPr>
                          <w:rFonts w:eastAsia="Times New Roman"/>
                        </w:rPr>
                        <w:t>3</w:t>
                      </w:r>
                      <w:proofErr w:type="gramEnd"/>
                      <w:r>
                        <w:rPr>
                          <w:rFonts w:eastAsia="Times New Roman"/>
                        </w:rPr>
                        <w:t xml:space="preserve"> doses of a COVID-19 vaccine. A first booster dose </w:t>
                      </w:r>
                      <w:proofErr w:type="gramStart"/>
                      <w:r>
                        <w:rPr>
                          <w:rFonts w:eastAsia="Times New Roman"/>
                        </w:rPr>
                        <w:t>was recommended</w:t>
                      </w:r>
                      <w:proofErr w:type="gramEnd"/>
                      <w:r>
                        <w:rPr>
                          <w:rFonts w:eastAsia="Times New Roman"/>
                        </w:rPr>
                        <w:t xml:space="preserve"> for all people aged 16 years and over. </w:t>
                      </w:r>
                    </w:p>
                    <w:p w14:paraId="645A8E36" w14:textId="77777777" w:rsidR="00637460" w:rsidRDefault="00637460" w:rsidP="00637460">
                      <w:pPr>
                        <w:numPr>
                          <w:ilvl w:val="0"/>
                          <w:numId w:val="7"/>
                        </w:numPr>
                        <w:spacing w:before="100" w:beforeAutospacing="1" w:after="100" w:afterAutospacing="1" w:line="240" w:lineRule="auto"/>
                        <w:rPr>
                          <w:rFonts w:eastAsia="Times New Roman"/>
                        </w:rPr>
                      </w:pPr>
                      <w:r>
                        <w:rPr>
                          <w:rFonts w:eastAsia="Times New Roman"/>
                        </w:rPr>
                        <w:t xml:space="preserve">ATAGI worked alongside other key national, state and territory governing bodies to respond to outbreaks of influenza, JE and </w:t>
                      </w:r>
                      <w:proofErr w:type="spellStart"/>
                      <w:r>
                        <w:rPr>
                          <w:rFonts w:eastAsia="Times New Roman"/>
                        </w:rPr>
                        <w:t>mpox</w:t>
                      </w:r>
                      <w:proofErr w:type="spellEnd"/>
                      <w:r>
                        <w:rPr>
                          <w:rFonts w:eastAsia="Times New Roman"/>
                        </w:rPr>
                        <w:t xml:space="preserve">. ATAGI developed and expanded vaccine recommendations for JE and </w:t>
                      </w:r>
                      <w:proofErr w:type="spellStart"/>
                      <w:r>
                        <w:rPr>
                          <w:rFonts w:eastAsia="Times New Roman"/>
                        </w:rPr>
                        <w:t>mpox</w:t>
                      </w:r>
                      <w:proofErr w:type="spellEnd"/>
                      <w:r>
                        <w:rPr>
                          <w:rFonts w:eastAsia="Times New Roman"/>
                        </w:rPr>
                        <w:t xml:space="preserve">, and governments delivered these safe and effective vaccines across Australia. </w:t>
                      </w:r>
                    </w:p>
                    <w:p w14:paraId="010E8B6E" w14:textId="77777777" w:rsidR="00637460" w:rsidRDefault="00637460" w:rsidP="00637460">
                      <w:pPr>
                        <w:numPr>
                          <w:ilvl w:val="0"/>
                          <w:numId w:val="7"/>
                        </w:numPr>
                        <w:spacing w:before="100" w:beforeAutospacing="1" w:after="100" w:afterAutospacing="1" w:line="240" w:lineRule="auto"/>
                        <w:rPr>
                          <w:rFonts w:eastAsia="Times New Roman"/>
                        </w:rPr>
                      </w:pPr>
                      <w:r>
                        <w:rPr>
                          <w:rFonts w:eastAsia="Times New Roman"/>
                        </w:rPr>
                        <w:t xml:space="preserve">The National Immunisation Program (NIP) </w:t>
                      </w:r>
                      <w:proofErr w:type="gramStart"/>
                      <w:r>
                        <w:rPr>
                          <w:rFonts w:eastAsia="Times New Roman"/>
                        </w:rPr>
                        <w:t>maintained</w:t>
                      </w:r>
                      <w:proofErr w:type="gramEnd"/>
                      <w:r>
                        <w:rPr>
                          <w:rFonts w:eastAsia="Times New Roman"/>
                        </w:rPr>
                        <w:t xml:space="preserve"> high levels of coverage, which is important to ensure continued protection against VPDs as COVID-19 restrictions are lifted. </w:t>
                      </w:r>
                    </w:p>
                    <w:p w14:paraId="2607BE53" w14:textId="77777777" w:rsidR="00637460" w:rsidRDefault="00637460" w:rsidP="00637460">
                      <w:pPr>
                        <w:numPr>
                          <w:ilvl w:val="0"/>
                          <w:numId w:val="7"/>
                        </w:numPr>
                        <w:spacing w:before="100" w:beforeAutospacing="1" w:after="100" w:afterAutospacing="1" w:line="240" w:lineRule="auto"/>
                        <w:rPr>
                          <w:rFonts w:eastAsia="Times New Roman"/>
                        </w:rPr>
                      </w:pPr>
                      <w:r>
                        <w:rPr>
                          <w:rFonts w:eastAsia="Times New Roman"/>
                        </w:rPr>
                        <w:t xml:space="preserve">ATAGI </w:t>
                      </w:r>
                      <w:proofErr w:type="gramStart"/>
                      <w:r>
                        <w:rPr>
                          <w:rFonts w:eastAsia="Times New Roman"/>
                        </w:rPr>
                        <w:t>provided</w:t>
                      </w:r>
                      <w:proofErr w:type="gramEnd"/>
                      <w:r>
                        <w:rPr>
                          <w:rFonts w:eastAsia="Times New Roman"/>
                        </w:rPr>
                        <w:t xml:space="preserve"> advice to the Australian Government on the potential effectiveness and safety of moving from a two-dose to a one-dose human papillomavirus (HPV) vaccine schedule under the NIP. This underpinned changes to the program that started in February 2023. </w:t>
                      </w:r>
                    </w:p>
                    <w:p w14:paraId="78C0FFCC" w14:textId="7FDE5C3B" w:rsidR="00637460" w:rsidRPr="00637460" w:rsidRDefault="00637460" w:rsidP="00637460">
                      <w:pPr>
                        <w:numPr>
                          <w:ilvl w:val="0"/>
                          <w:numId w:val="7"/>
                        </w:numPr>
                        <w:spacing w:before="100" w:beforeAutospacing="1" w:after="100" w:afterAutospacing="1" w:line="240" w:lineRule="auto"/>
                        <w:rPr>
                          <w:rFonts w:eastAsia="Times New Roman"/>
                        </w:rPr>
                      </w:pPr>
                      <w:r>
                        <w:rPr>
                          <w:rFonts w:eastAsia="Times New Roman"/>
                        </w:rPr>
                        <w:t xml:space="preserve">ATAGI began work on recommendations for </w:t>
                      </w:r>
                      <w:proofErr w:type="gramStart"/>
                      <w:r>
                        <w:rPr>
                          <w:rFonts w:eastAsia="Times New Roman"/>
                        </w:rPr>
                        <w:t>several</w:t>
                      </w:r>
                      <w:proofErr w:type="gramEnd"/>
                      <w:r>
                        <w:rPr>
                          <w:rFonts w:eastAsia="Times New Roman"/>
                        </w:rPr>
                        <w:t xml:space="preserve"> other vaccines, including pneumococcal and zoster. </w:t>
                      </w:r>
                    </w:p>
                  </w:txbxContent>
                </v:textbox>
                <w10:anchorlock/>
              </v:shape>
            </w:pict>
          </mc:Fallback>
        </mc:AlternateContent>
      </w:r>
    </w:p>
    <w:p w14:paraId="6AD505F9" w14:textId="77777777" w:rsidR="00F06ADB" w:rsidRDefault="00F06ADB">
      <w:r>
        <w:br w:type="page"/>
      </w:r>
    </w:p>
    <w:p w14:paraId="6DF669E2" w14:textId="65506A82" w:rsidR="00E52252" w:rsidRDefault="00F06ADB" w:rsidP="00D11F75">
      <w:pPr>
        <w:pStyle w:val="NormalWeb"/>
        <w:divId w:val="812717687"/>
        <w:rPr>
          <w:rFonts w:eastAsia="Times New Roman"/>
        </w:rPr>
      </w:pPr>
      <w:r>
        <w:rPr>
          <w:noProof/>
        </w:rPr>
        <w:lastRenderedPageBreak/>
        <mc:AlternateContent>
          <mc:Choice Requires="wps">
            <w:drawing>
              <wp:inline distT="0" distB="0" distL="0" distR="0" wp14:anchorId="589F92D4" wp14:editId="7CD0B79D">
                <wp:extent cx="6625742" cy="1404620"/>
                <wp:effectExtent l="0" t="0" r="3810" b="889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742" cy="1404620"/>
                        </a:xfrm>
                        <a:prstGeom prst="rect">
                          <a:avLst/>
                        </a:prstGeom>
                        <a:solidFill>
                          <a:srgbClr val="F7ECDD"/>
                        </a:solidFill>
                        <a:ln w="9525">
                          <a:noFill/>
                          <a:miter lim="800000"/>
                          <a:headEnd/>
                          <a:tailEnd/>
                        </a:ln>
                      </wps:spPr>
                      <wps:txbx>
                        <w:txbxContent>
                          <w:p w14:paraId="5912DE1C" w14:textId="77777777" w:rsidR="00D11F75" w:rsidRDefault="00D11F75" w:rsidP="00D11F75">
                            <w:pPr>
                              <w:pStyle w:val="NormalWeb"/>
                            </w:pPr>
                            <w:r>
                              <w:t xml:space="preserve">Key challenges, </w:t>
                            </w:r>
                            <w:proofErr w:type="gramStart"/>
                            <w:r>
                              <w:t>priorities</w:t>
                            </w:r>
                            <w:proofErr w:type="gramEnd"/>
                            <w:r>
                              <w:t xml:space="preserve"> and strategies for immunisation in Australia in 2023 and beyond: </w:t>
                            </w:r>
                          </w:p>
                          <w:p w14:paraId="43DFACB1" w14:textId="77777777" w:rsidR="00D11F75" w:rsidRDefault="00D11F75" w:rsidP="00D11F75">
                            <w:pPr>
                              <w:numPr>
                                <w:ilvl w:val="0"/>
                                <w:numId w:val="8"/>
                              </w:numPr>
                              <w:spacing w:before="100" w:beforeAutospacing="1" w:after="100" w:afterAutospacing="1" w:line="240" w:lineRule="auto"/>
                              <w:rPr>
                                <w:rFonts w:eastAsia="Times New Roman"/>
                              </w:rPr>
                            </w:pPr>
                            <w:r>
                              <w:rPr>
                                <w:rFonts w:eastAsia="Times New Roman"/>
                              </w:rPr>
                              <w:t xml:space="preserve">Responding to emerging VPDs such as JE and </w:t>
                            </w:r>
                            <w:proofErr w:type="spellStart"/>
                            <w:r>
                              <w:rPr>
                                <w:rFonts w:eastAsia="Times New Roman"/>
                              </w:rPr>
                              <w:t>mpox</w:t>
                            </w:r>
                            <w:proofErr w:type="spellEnd"/>
                            <w:r>
                              <w:rPr>
                                <w:rFonts w:eastAsia="Times New Roman"/>
                              </w:rPr>
                              <w:t xml:space="preserve">, and planning response strategies for re-emerging VPDs such as measles and polio. </w:t>
                            </w:r>
                          </w:p>
                          <w:p w14:paraId="76F0D7F1" w14:textId="77777777" w:rsidR="00D11F75" w:rsidRDefault="00D11F75" w:rsidP="00D11F75">
                            <w:pPr>
                              <w:numPr>
                                <w:ilvl w:val="0"/>
                                <w:numId w:val="8"/>
                              </w:numPr>
                              <w:spacing w:before="100" w:beforeAutospacing="1" w:after="100" w:afterAutospacing="1" w:line="240" w:lineRule="auto"/>
                              <w:rPr>
                                <w:rFonts w:eastAsia="Times New Roman"/>
                              </w:rPr>
                            </w:pPr>
                            <w:r>
                              <w:rPr>
                                <w:rFonts w:eastAsia="Times New Roman"/>
                              </w:rPr>
                              <w:t xml:space="preserve">Continuing to </w:t>
                            </w:r>
                            <w:proofErr w:type="gramStart"/>
                            <w:r>
                              <w:rPr>
                                <w:rFonts w:eastAsia="Times New Roman"/>
                              </w:rPr>
                              <w:t>provide</w:t>
                            </w:r>
                            <w:proofErr w:type="gramEnd"/>
                            <w:r>
                              <w:rPr>
                                <w:rFonts w:eastAsia="Times New Roman"/>
                              </w:rPr>
                              <w:t xml:space="preserve"> timely advice as the COVID-19 vaccination program integrates into a more routine national vaccination program. </w:t>
                            </w:r>
                          </w:p>
                          <w:p w14:paraId="109929FF" w14:textId="77777777" w:rsidR="00D11F75" w:rsidRDefault="00D11F75" w:rsidP="00D11F75">
                            <w:pPr>
                              <w:numPr>
                                <w:ilvl w:val="0"/>
                                <w:numId w:val="8"/>
                              </w:numPr>
                              <w:spacing w:before="100" w:beforeAutospacing="1" w:after="100" w:afterAutospacing="1" w:line="240" w:lineRule="auto"/>
                              <w:rPr>
                                <w:rFonts w:eastAsia="Times New Roman"/>
                              </w:rPr>
                            </w:pPr>
                            <w:r>
                              <w:rPr>
                                <w:rFonts w:eastAsia="Times New Roman"/>
                              </w:rPr>
                              <w:t xml:space="preserve">Monitoring safety and effectiveness of new and established COVID-19 vaccines. </w:t>
                            </w:r>
                          </w:p>
                          <w:p w14:paraId="5EECCF69" w14:textId="77777777" w:rsidR="00D11F75" w:rsidRDefault="00D11F75" w:rsidP="00D11F75">
                            <w:pPr>
                              <w:numPr>
                                <w:ilvl w:val="0"/>
                                <w:numId w:val="8"/>
                              </w:numPr>
                              <w:spacing w:before="100" w:beforeAutospacing="1" w:after="100" w:afterAutospacing="1" w:line="240" w:lineRule="auto"/>
                              <w:rPr>
                                <w:rFonts w:eastAsia="Times New Roman"/>
                              </w:rPr>
                            </w:pPr>
                            <w:r>
                              <w:rPr>
                                <w:rFonts w:eastAsia="Times New Roman"/>
                              </w:rPr>
                              <w:t xml:space="preserve">Maintaining community confidence in vaccines delivered as part of the NIP and in other recommended vaccines. </w:t>
                            </w:r>
                          </w:p>
                          <w:p w14:paraId="3DDDDCB1" w14:textId="77777777" w:rsidR="00D11F75" w:rsidRDefault="00D11F75" w:rsidP="00D11F75">
                            <w:pPr>
                              <w:numPr>
                                <w:ilvl w:val="0"/>
                                <w:numId w:val="8"/>
                              </w:numPr>
                              <w:spacing w:before="100" w:beforeAutospacing="1" w:after="100" w:afterAutospacing="1" w:line="240" w:lineRule="auto"/>
                              <w:rPr>
                                <w:rFonts w:eastAsia="Times New Roman"/>
                              </w:rPr>
                            </w:pPr>
                            <w:r>
                              <w:rPr>
                                <w:rFonts w:eastAsia="Times New Roman"/>
                              </w:rPr>
                              <w:t xml:space="preserve">Increasing vaccination uptake for groups at higher risk of VPDs. </w:t>
                            </w:r>
                          </w:p>
                          <w:p w14:paraId="03683B36" w14:textId="77777777" w:rsidR="00D11F75" w:rsidRDefault="00D11F75" w:rsidP="00D11F75">
                            <w:pPr>
                              <w:numPr>
                                <w:ilvl w:val="0"/>
                                <w:numId w:val="8"/>
                              </w:numPr>
                              <w:spacing w:before="100" w:beforeAutospacing="1" w:after="100" w:afterAutospacing="1" w:line="240" w:lineRule="auto"/>
                              <w:rPr>
                                <w:rFonts w:eastAsia="Times New Roman"/>
                              </w:rPr>
                            </w:pPr>
                            <w:r>
                              <w:rPr>
                                <w:rFonts w:eastAsia="Times New Roman"/>
                              </w:rPr>
                              <w:t xml:space="preserve">Monitoring and evaluating new or changed vaccination programs including JE, </w:t>
                            </w:r>
                            <w:proofErr w:type="spellStart"/>
                            <w:r>
                              <w:rPr>
                                <w:rFonts w:eastAsia="Times New Roman"/>
                              </w:rPr>
                              <w:t>mpox</w:t>
                            </w:r>
                            <w:proofErr w:type="spellEnd"/>
                            <w:r>
                              <w:rPr>
                                <w:rFonts w:eastAsia="Times New Roman"/>
                              </w:rPr>
                              <w:t xml:space="preserve"> and HPV. </w:t>
                            </w:r>
                          </w:p>
                          <w:p w14:paraId="50B42FFA" w14:textId="77777777" w:rsidR="00D11F75" w:rsidRDefault="00D11F75" w:rsidP="00D11F75">
                            <w:pPr>
                              <w:numPr>
                                <w:ilvl w:val="0"/>
                                <w:numId w:val="8"/>
                              </w:numPr>
                              <w:spacing w:before="100" w:beforeAutospacing="1" w:after="100" w:afterAutospacing="1" w:line="240" w:lineRule="auto"/>
                              <w:rPr>
                                <w:rFonts w:eastAsia="Times New Roman"/>
                              </w:rPr>
                            </w:pPr>
                            <w:r>
                              <w:rPr>
                                <w:rFonts w:eastAsia="Times New Roman"/>
                              </w:rPr>
                              <w:t xml:space="preserve">Maintaining high one-dose coverage of HPV vaccine for recommended population groups. </w:t>
                            </w:r>
                          </w:p>
                          <w:p w14:paraId="6131B5EE" w14:textId="0BAF8663" w:rsidR="00F06ADB" w:rsidRPr="00D11F75" w:rsidRDefault="00D11F75" w:rsidP="00F06ADB">
                            <w:pPr>
                              <w:numPr>
                                <w:ilvl w:val="0"/>
                                <w:numId w:val="8"/>
                              </w:numPr>
                              <w:spacing w:before="100" w:beforeAutospacing="1" w:after="100" w:afterAutospacing="1" w:line="240" w:lineRule="auto"/>
                              <w:rPr>
                                <w:rFonts w:eastAsia="Times New Roman"/>
                              </w:rPr>
                            </w:pPr>
                            <w:r>
                              <w:rPr>
                                <w:rFonts w:eastAsia="Times New Roman"/>
                              </w:rPr>
                              <w:t>Planning for the introduction of new vaccines, likely to include respiratory syncytial virus (RSV) vaccine and higher-valency pneumococcal vaccines.</w:t>
                            </w:r>
                          </w:p>
                        </w:txbxContent>
                      </wps:txbx>
                      <wps:bodyPr rot="0" vert="horz" wrap="square" lIns="91440" tIns="45720" rIns="91440" bIns="45720" anchor="t" anchorCtr="0">
                        <a:spAutoFit/>
                      </wps:bodyPr>
                    </wps:wsp>
                  </a:graphicData>
                </a:graphic>
              </wp:inline>
            </w:drawing>
          </mc:Choice>
          <mc:Fallback>
            <w:pict>
              <v:shape w14:anchorId="589F92D4" id="_x0000_s1027" type="#_x0000_t202" style="width:521.7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" fillcolor="#f7ecdd" stroked="f">
                <v:textbox style="mso-fit-shape-to-text:t">
                  <w:txbxContent>
                    <w:p w14:paraId="5912DE1C" w14:textId="77777777" w:rsidR="00D11F75" w:rsidRDefault="00D11F75" w:rsidP="00D11F75">
                      <w:pPr>
                        <w:pStyle w:val="NormalWeb"/>
                      </w:pPr>
                      <w:r>
                        <w:t xml:space="preserve">Key challenges, </w:t>
                      </w:r>
                      <w:proofErr w:type="gramStart"/>
                      <w:r>
                        <w:t>priorities</w:t>
                      </w:r>
                      <w:proofErr w:type="gramEnd"/>
                      <w:r>
                        <w:t xml:space="preserve"> and strategies for immunisation in Australia in 2023 and beyond: </w:t>
                      </w:r>
                    </w:p>
                    <w:p w14:paraId="43DFACB1" w14:textId="77777777" w:rsidR="00D11F75" w:rsidRDefault="00D11F75" w:rsidP="00D11F75">
                      <w:pPr>
                        <w:numPr>
                          <w:ilvl w:val="0"/>
                          <w:numId w:val="8"/>
                        </w:numPr>
                        <w:spacing w:before="100" w:beforeAutospacing="1" w:after="100" w:afterAutospacing="1" w:line="240" w:lineRule="auto"/>
                        <w:rPr>
                          <w:rFonts w:eastAsia="Times New Roman"/>
                        </w:rPr>
                      </w:pPr>
                      <w:r>
                        <w:rPr>
                          <w:rFonts w:eastAsia="Times New Roman"/>
                        </w:rPr>
                        <w:t xml:space="preserve">Responding to emerging VPDs such as JE and </w:t>
                      </w:r>
                      <w:proofErr w:type="spellStart"/>
                      <w:proofErr w:type="gramStart"/>
                      <w:r>
                        <w:rPr>
                          <w:rFonts w:eastAsia="Times New Roman"/>
                        </w:rPr>
                        <w:t>mpox</w:t>
                      </w:r>
                      <w:proofErr w:type="spellEnd"/>
                      <w:r>
                        <w:rPr>
                          <w:rFonts w:eastAsia="Times New Roman"/>
                        </w:rPr>
                        <w:t>, and</w:t>
                      </w:r>
                      <w:proofErr w:type="gramEnd"/>
                      <w:r>
                        <w:rPr>
                          <w:rFonts w:eastAsia="Times New Roman"/>
                        </w:rPr>
                        <w:t xml:space="preserve"> planning response strategies for re-emerging VPDs such as measles and polio. </w:t>
                      </w:r>
                    </w:p>
                    <w:p w14:paraId="76F0D7F1" w14:textId="77777777" w:rsidR="00D11F75" w:rsidRDefault="00D11F75" w:rsidP="00D11F75">
                      <w:pPr>
                        <w:numPr>
                          <w:ilvl w:val="0"/>
                          <w:numId w:val="8"/>
                        </w:numPr>
                        <w:spacing w:before="100" w:beforeAutospacing="1" w:after="100" w:afterAutospacing="1" w:line="240" w:lineRule="auto"/>
                        <w:rPr>
                          <w:rFonts w:eastAsia="Times New Roman"/>
                        </w:rPr>
                      </w:pPr>
                      <w:r>
                        <w:rPr>
                          <w:rFonts w:eastAsia="Times New Roman"/>
                        </w:rPr>
                        <w:t xml:space="preserve">Continuing to </w:t>
                      </w:r>
                      <w:proofErr w:type="gramStart"/>
                      <w:r>
                        <w:rPr>
                          <w:rFonts w:eastAsia="Times New Roman"/>
                        </w:rPr>
                        <w:t>provide</w:t>
                      </w:r>
                      <w:proofErr w:type="gramEnd"/>
                      <w:r>
                        <w:rPr>
                          <w:rFonts w:eastAsia="Times New Roman"/>
                        </w:rPr>
                        <w:t xml:space="preserve"> timely advice as the COVID-19 vaccination program integrates into a more routine national vaccination program. </w:t>
                      </w:r>
                    </w:p>
                    <w:p w14:paraId="109929FF" w14:textId="77777777" w:rsidR="00D11F75" w:rsidRDefault="00D11F75" w:rsidP="00D11F75">
                      <w:pPr>
                        <w:numPr>
                          <w:ilvl w:val="0"/>
                          <w:numId w:val="8"/>
                        </w:numPr>
                        <w:spacing w:before="100" w:beforeAutospacing="1" w:after="100" w:afterAutospacing="1" w:line="240" w:lineRule="auto"/>
                        <w:rPr>
                          <w:rFonts w:eastAsia="Times New Roman"/>
                        </w:rPr>
                      </w:pPr>
                      <w:r>
                        <w:rPr>
                          <w:rFonts w:eastAsia="Times New Roman"/>
                        </w:rPr>
                        <w:t xml:space="preserve">Monitoring safety and effectiveness of new and established COVID-19 vaccines. </w:t>
                      </w:r>
                    </w:p>
                    <w:p w14:paraId="5EECCF69" w14:textId="77777777" w:rsidR="00D11F75" w:rsidRDefault="00D11F75" w:rsidP="00D11F75">
                      <w:pPr>
                        <w:numPr>
                          <w:ilvl w:val="0"/>
                          <w:numId w:val="8"/>
                        </w:numPr>
                        <w:spacing w:before="100" w:beforeAutospacing="1" w:after="100" w:afterAutospacing="1" w:line="240" w:lineRule="auto"/>
                        <w:rPr>
                          <w:rFonts w:eastAsia="Times New Roman"/>
                        </w:rPr>
                      </w:pPr>
                      <w:r>
                        <w:rPr>
                          <w:rFonts w:eastAsia="Times New Roman"/>
                        </w:rPr>
                        <w:t xml:space="preserve">Maintaining community confidence in vaccines delivered as part of the NIP and in other recommended vaccines. </w:t>
                      </w:r>
                    </w:p>
                    <w:p w14:paraId="3DDDDCB1" w14:textId="77777777" w:rsidR="00D11F75" w:rsidRDefault="00D11F75" w:rsidP="00D11F75">
                      <w:pPr>
                        <w:numPr>
                          <w:ilvl w:val="0"/>
                          <w:numId w:val="8"/>
                        </w:numPr>
                        <w:spacing w:before="100" w:beforeAutospacing="1" w:after="100" w:afterAutospacing="1" w:line="240" w:lineRule="auto"/>
                        <w:rPr>
                          <w:rFonts w:eastAsia="Times New Roman"/>
                        </w:rPr>
                      </w:pPr>
                      <w:r>
                        <w:rPr>
                          <w:rFonts w:eastAsia="Times New Roman"/>
                        </w:rPr>
                        <w:t xml:space="preserve">Increasing vaccination uptake for groups at higher risk of VPDs. </w:t>
                      </w:r>
                    </w:p>
                    <w:p w14:paraId="03683B36" w14:textId="77777777" w:rsidR="00D11F75" w:rsidRDefault="00D11F75" w:rsidP="00D11F75">
                      <w:pPr>
                        <w:numPr>
                          <w:ilvl w:val="0"/>
                          <w:numId w:val="8"/>
                        </w:numPr>
                        <w:spacing w:before="100" w:beforeAutospacing="1" w:after="100" w:afterAutospacing="1" w:line="240" w:lineRule="auto"/>
                        <w:rPr>
                          <w:rFonts w:eastAsia="Times New Roman"/>
                        </w:rPr>
                      </w:pPr>
                      <w:r>
                        <w:rPr>
                          <w:rFonts w:eastAsia="Times New Roman"/>
                        </w:rPr>
                        <w:t xml:space="preserve">Monitoring and evaluating new or changed vaccination programs including JE, </w:t>
                      </w:r>
                      <w:proofErr w:type="spellStart"/>
                      <w:r>
                        <w:rPr>
                          <w:rFonts w:eastAsia="Times New Roman"/>
                        </w:rPr>
                        <w:t>mpox</w:t>
                      </w:r>
                      <w:proofErr w:type="spellEnd"/>
                      <w:r>
                        <w:rPr>
                          <w:rFonts w:eastAsia="Times New Roman"/>
                        </w:rPr>
                        <w:t xml:space="preserve"> and HPV. </w:t>
                      </w:r>
                    </w:p>
                    <w:p w14:paraId="50B42FFA" w14:textId="77777777" w:rsidR="00D11F75" w:rsidRDefault="00D11F75" w:rsidP="00D11F75">
                      <w:pPr>
                        <w:numPr>
                          <w:ilvl w:val="0"/>
                          <w:numId w:val="8"/>
                        </w:numPr>
                        <w:spacing w:before="100" w:beforeAutospacing="1" w:after="100" w:afterAutospacing="1" w:line="240" w:lineRule="auto"/>
                        <w:rPr>
                          <w:rFonts w:eastAsia="Times New Roman"/>
                        </w:rPr>
                      </w:pPr>
                      <w:r>
                        <w:rPr>
                          <w:rFonts w:eastAsia="Times New Roman"/>
                        </w:rPr>
                        <w:t xml:space="preserve">Maintaining high one-dose coverage of HPV vaccine for recommended population groups. </w:t>
                      </w:r>
                    </w:p>
                    <w:p w14:paraId="6131B5EE" w14:textId="0BAF8663" w:rsidR="00F06ADB" w:rsidRPr="00D11F75" w:rsidRDefault="00D11F75" w:rsidP="00F06ADB">
                      <w:pPr>
                        <w:numPr>
                          <w:ilvl w:val="0"/>
                          <w:numId w:val="8"/>
                        </w:numPr>
                        <w:spacing w:before="100" w:beforeAutospacing="1" w:after="100" w:afterAutospacing="1" w:line="240" w:lineRule="auto"/>
                        <w:rPr>
                          <w:rFonts w:eastAsia="Times New Roman"/>
                        </w:rPr>
                      </w:pPr>
                      <w:r>
                        <w:rPr>
                          <w:rFonts w:eastAsia="Times New Roman"/>
                        </w:rPr>
                        <w:t>Planning for the introduction of new vaccines, likely to include respiratory syncytial virus (RSV) vaccine and higher-valency pneumococcal vaccines.</w:t>
                      </w:r>
                    </w:p>
                  </w:txbxContent>
                </v:textbox>
                <w10:anchorlock/>
              </v:shape>
            </w:pict>
          </mc:Fallback>
        </mc:AlternateContent>
      </w:r>
      <w:r w:rsidR="00E52252">
        <w:rPr>
          <w:rFonts w:eastAsia="Times New Roman"/>
        </w:rPr>
        <w:t xml:space="preserve"> </w:t>
      </w:r>
    </w:p>
    <w:p w14:paraId="21490208" w14:textId="77777777" w:rsidR="00E52252" w:rsidRDefault="00E52252">
      <w:pPr>
        <w:pStyle w:val="Heading1"/>
        <w:divId w:val="812717687"/>
        <w:rPr>
          <w:rFonts w:eastAsia="Times New Roman"/>
        </w:rPr>
      </w:pPr>
      <w:r>
        <w:rPr>
          <w:rFonts w:eastAsia="Times New Roman"/>
        </w:rPr>
        <w:t xml:space="preserve">Immunisation issues in Australia in 2022 </w:t>
      </w:r>
    </w:p>
    <w:p w14:paraId="08DFBB5C" w14:textId="77777777" w:rsidR="00E52252" w:rsidRDefault="00E52252">
      <w:pPr>
        <w:pStyle w:val="Heading2"/>
        <w:divId w:val="812717687"/>
        <w:rPr>
          <w:rFonts w:eastAsia="Times New Roman"/>
        </w:rPr>
      </w:pPr>
      <w:r>
        <w:rPr>
          <w:rFonts w:eastAsia="Times New Roman"/>
        </w:rPr>
        <w:t xml:space="preserve">Emerging and re-emerging vaccine-preventable diseases in 2022 </w:t>
      </w:r>
    </w:p>
    <w:p w14:paraId="0A2372B8" w14:textId="77777777" w:rsidR="00E52252" w:rsidRDefault="00E52252">
      <w:pPr>
        <w:pStyle w:val="NormalWeb"/>
        <w:divId w:val="812717687"/>
      </w:pPr>
      <w:r>
        <w:t xml:space="preserve">In 2022, COVID-19 border control measures were </w:t>
      </w:r>
      <w:proofErr w:type="gramStart"/>
      <w:r>
        <w:t>largely removed</w:t>
      </w:r>
      <w:proofErr w:type="gramEnd"/>
      <w:r>
        <w:t xml:space="preserve">. This increased the risk of re-emerging VPDs, such as measles and poliomyelitis, entering Australia. Outbreaks of JE and </w:t>
      </w:r>
      <w:proofErr w:type="spellStart"/>
      <w:r>
        <w:t>mpox</w:t>
      </w:r>
      <w:proofErr w:type="spellEnd"/>
      <w:r>
        <w:t xml:space="preserve"> </w:t>
      </w:r>
      <w:proofErr w:type="gramStart"/>
      <w:r>
        <w:t>were declared</w:t>
      </w:r>
      <w:proofErr w:type="gramEnd"/>
      <w:r>
        <w:t xml:space="preserve"> as CDINS. As part of the public health response to emerging and re-emerging VPDs in Australia, ATAGI formed </w:t>
      </w:r>
      <w:proofErr w:type="gramStart"/>
      <w:r>
        <w:t>several</w:t>
      </w:r>
      <w:proofErr w:type="gramEnd"/>
      <w:r>
        <w:t xml:space="preserve"> subgroups to develop national vaccination guidance. </w:t>
      </w:r>
    </w:p>
    <w:p w14:paraId="0CF4BC76" w14:textId="77777777" w:rsidR="00E52252" w:rsidRDefault="00E52252">
      <w:pPr>
        <w:pStyle w:val="Heading3"/>
        <w:divId w:val="812717687"/>
        <w:rPr>
          <w:rFonts w:eastAsia="Times New Roman"/>
        </w:rPr>
      </w:pPr>
      <w:r>
        <w:rPr>
          <w:rFonts w:eastAsia="Times New Roman"/>
        </w:rPr>
        <w:t xml:space="preserve">Japanese encephalitis </w:t>
      </w:r>
    </w:p>
    <w:p w14:paraId="23EEB683" w14:textId="77777777" w:rsidR="00E52252" w:rsidRDefault="00E52252">
      <w:pPr>
        <w:pStyle w:val="NormalWeb"/>
        <w:divId w:val="812717687"/>
      </w:pPr>
      <w:r>
        <w:t xml:space="preserve">JE is an infection of the brain caused by the Japanese encephalitis virus (JEV) that is present in parts of South-East Asia and China. Previously, JE had not </w:t>
      </w:r>
      <w:proofErr w:type="gramStart"/>
      <w:r>
        <w:t>been transmitted</w:t>
      </w:r>
      <w:proofErr w:type="gramEnd"/>
      <w:r>
        <w:t xml:space="preserve"> on the Australian mainland, apart from one episode in 1998 and one in 2004. Before 2022, only travellers to endemic JEV areas and residents of the Torres Strait Islands were routinely </w:t>
      </w:r>
      <w:proofErr w:type="gramStart"/>
      <w:r>
        <w:t>advised to be</w:t>
      </w:r>
      <w:proofErr w:type="gramEnd"/>
      <w:r>
        <w:t xml:space="preserve"> vaccinated against JE. </w:t>
      </w:r>
    </w:p>
    <w:p w14:paraId="17DC898C" w14:textId="77777777" w:rsidR="00E52252" w:rsidRDefault="00E52252">
      <w:pPr>
        <w:pStyle w:val="NormalWeb"/>
        <w:divId w:val="812717687"/>
      </w:pPr>
      <w:r>
        <w:t xml:space="preserve">On 4 March 2022, JE </w:t>
      </w:r>
      <w:proofErr w:type="gramStart"/>
      <w:r>
        <w:t>was declared</w:t>
      </w:r>
      <w:proofErr w:type="gramEnd"/>
      <w:r>
        <w:t xml:space="preserve"> a national CDINS after a human case was reported in Queensland.</w:t>
      </w:r>
      <w:r>
        <w:rPr>
          <w:vertAlign w:val="superscript"/>
        </w:rPr>
        <w:t>1</w:t>
      </w:r>
      <w:r>
        <w:t xml:space="preserve"> The virus had previously been notified at piggeries in eastern Australian states. On 24 March 2022, ATAGI expanded JE vaccine recommendations to include all people over two months of age in high-risk settings in Australia.</w:t>
      </w:r>
      <w:r>
        <w:rPr>
          <w:vertAlign w:val="superscript"/>
        </w:rPr>
        <w:t>2</w:t>
      </w:r>
      <w:r>
        <w:t xml:space="preserve"> State and territory health departments </w:t>
      </w:r>
      <w:proofErr w:type="gramStart"/>
      <w:r>
        <w:t>were responsible for</w:t>
      </w:r>
      <w:proofErr w:type="gramEnd"/>
      <w:r>
        <w:t xml:space="preserve"> defining eligibility criteria for people in high-risk settings and for distributing vaccines (</w:t>
      </w:r>
      <w:proofErr w:type="spellStart"/>
      <w:r>
        <w:t>Imojev</w:t>
      </w:r>
      <w:proofErr w:type="spellEnd"/>
      <w:r>
        <w:t xml:space="preserve"> and </w:t>
      </w:r>
      <w:proofErr w:type="spellStart"/>
      <w:r>
        <w:t>JEspect</w:t>
      </w:r>
      <w:proofErr w:type="spellEnd"/>
      <w:r>
        <w:t xml:space="preserve">). </w:t>
      </w:r>
    </w:p>
    <w:p w14:paraId="02957E0E" w14:textId="77777777" w:rsidR="00E52252" w:rsidRDefault="00E52252">
      <w:pPr>
        <w:pStyle w:val="NormalWeb"/>
        <w:divId w:val="812717687"/>
      </w:pPr>
      <w:r>
        <w:t xml:space="preserve">States and territories delivered JE vaccination to people with </w:t>
      </w:r>
      <w:proofErr w:type="gramStart"/>
      <w:r>
        <w:t>a high risk</w:t>
      </w:r>
      <w:proofErr w:type="gramEnd"/>
      <w:r>
        <w:t xml:space="preserve"> of exposure. In 2022, at least 85,930 people completed a course of a JE vaccine. During this time, there were </w:t>
      </w:r>
      <w:proofErr w:type="gramStart"/>
      <w:r>
        <w:t>41</w:t>
      </w:r>
      <w:proofErr w:type="gramEnd"/>
      <w:r>
        <w:t xml:space="preserve"> notified human cases of JE in Australia and five reported deaths. </w:t>
      </w:r>
    </w:p>
    <w:p w14:paraId="3C11896C" w14:textId="77777777" w:rsidR="00E52252" w:rsidRDefault="00E52252">
      <w:pPr>
        <w:pStyle w:val="Heading3"/>
        <w:divId w:val="812717687"/>
        <w:rPr>
          <w:rFonts w:eastAsia="Times New Roman"/>
        </w:rPr>
      </w:pPr>
      <w:proofErr w:type="spellStart"/>
      <w:r>
        <w:rPr>
          <w:rFonts w:eastAsia="Times New Roman"/>
        </w:rPr>
        <w:t>Mpox</w:t>
      </w:r>
      <w:proofErr w:type="spellEnd"/>
      <w:r>
        <w:rPr>
          <w:rFonts w:eastAsia="Times New Roman"/>
        </w:rPr>
        <w:t xml:space="preserve"> (formerly known as monkeypox) </w:t>
      </w:r>
    </w:p>
    <w:p w14:paraId="07D1BFC5" w14:textId="13CEAB45" w:rsidR="00E52252" w:rsidRDefault="00E52252">
      <w:pPr>
        <w:pStyle w:val="NormalWeb"/>
        <w:divId w:val="812717687"/>
      </w:pPr>
      <w:proofErr w:type="spellStart"/>
      <w:r>
        <w:t>Mpox</w:t>
      </w:r>
      <w:proofErr w:type="spellEnd"/>
      <w:r>
        <w:t xml:space="preserve"> is a viral disease caused by infection with the </w:t>
      </w:r>
      <w:proofErr w:type="spellStart"/>
      <w:r>
        <w:t>mpox</w:t>
      </w:r>
      <w:proofErr w:type="spellEnd"/>
      <w:r>
        <w:t xml:space="preserve"> virus. It is part of the same family of viruses that causes</w:t>
      </w:r>
      <w:r w:rsidR="002870C7">
        <w:t> </w:t>
      </w:r>
      <w:r>
        <w:t xml:space="preserve">smallpox. </w:t>
      </w:r>
    </w:p>
    <w:p w14:paraId="14B69048" w14:textId="616FF2B2" w:rsidR="00E52252" w:rsidRDefault="00E52252">
      <w:pPr>
        <w:pStyle w:val="NormalWeb"/>
        <w:divId w:val="812717687"/>
      </w:pPr>
      <w:r>
        <w:lastRenderedPageBreak/>
        <w:t xml:space="preserve">In May 2022, cases of </w:t>
      </w:r>
      <w:proofErr w:type="spellStart"/>
      <w:r>
        <w:t>mpox</w:t>
      </w:r>
      <w:proofErr w:type="spellEnd"/>
      <w:r>
        <w:t xml:space="preserve"> were </w:t>
      </w:r>
      <w:proofErr w:type="gramStart"/>
      <w:r>
        <w:t>identified</w:t>
      </w:r>
      <w:proofErr w:type="gramEnd"/>
      <w:r>
        <w:t xml:space="preserve"> in several non-endemic countries, including in North America and South America, and across Europe.</w:t>
      </w:r>
      <w:r>
        <w:rPr>
          <w:vertAlign w:val="superscript"/>
        </w:rPr>
        <w:t>3</w:t>
      </w:r>
      <w:r>
        <w:t xml:space="preserve"> The first case of </w:t>
      </w:r>
      <w:proofErr w:type="spellStart"/>
      <w:r>
        <w:t>mpox</w:t>
      </w:r>
      <w:proofErr w:type="spellEnd"/>
      <w:r>
        <w:t xml:space="preserve"> in Australia was reported in May 2022. On 28 July 2022, </w:t>
      </w:r>
      <w:proofErr w:type="spellStart"/>
      <w:r>
        <w:t>mpox</w:t>
      </w:r>
      <w:proofErr w:type="spellEnd"/>
      <w:r>
        <w:t xml:space="preserve"> </w:t>
      </w:r>
      <w:proofErr w:type="gramStart"/>
      <w:r>
        <w:t>was declared</w:t>
      </w:r>
      <w:proofErr w:type="gramEnd"/>
      <w:r>
        <w:t xml:space="preserve"> a national CDINS.</w:t>
      </w:r>
      <w:r>
        <w:rPr>
          <w:vertAlign w:val="superscript"/>
        </w:rPr>
        <w:t>4</w:t>
      </w:r>
      <w:r>
        <w:t xml:space="preserve"> During 2022, there were 144 notified cases of </w:t>
      </w:r>
      <w:proofErr w:type="spellStart"/>
      <w:r>
        <w:t>mpox</w:t>
      </w:r>
      <w:proofErr w:type="spellEnd"/>
      <w:r>
        <w:t xml:space="preserve"> in Australia, with no notified</w:t>
      </w:r>
      <w:r w:rsidR="00676EDB">
        <w:t> </w:t>
      </w:r>
      <w:r>
        <w:t xml:space="preserve">deaths. </w:t>
      </w:r>
    </w:p>
    <w:p w14:paraId="3AC9D7F9" w14:textId="77777777" w:rsidR="00E52252" w:rsidRDefault="00E52252">
      <w:pPr>
        <w:pStyle w:val="NormalWeb"/>
        <w:divId w:val="812717687"/>
      </w:pPr>
      <w:r>
        <w:t xml:space="preserve">ATAGI released guidance on the use of smallpox vaccines for protection against </w:t>
      </w:r>
      <w:proofErr w:type="spellStart"/>
      <w:r>
        <w:t>mpox</w:t>
      </w:r>
      <w:proofErr w:type="spellEnd"/>
      <w:r>
        <w:t xml:space="preserve"> virus infection.</w:t>
      </w:r>
      <w:r>
        <w:rPr>
          <w:vertAlign w:val="superscript"/>
        </w:rPr>
        <w:t>5</w:t>
      </w:r>
      <w:r>
        <w:t xml:space="preserve"> ATAGI </w:t>
      </w:r>
      <w:proofErr w:type="gramStart"/>
      <w:r>
        <w:t>identified</w:t>
      </w:r>
      <w:proofErr w:type="gramEnd"/>
      <w:r>
        <w:t xml:space="preserve"> key population groups with a high risk of exposure and recommended they be vaccinated with either JYNNEOS or ACAM2000. These smallpox vaccines are expected to </w:t>
      </w:r>
      <w:proofErr w:type="gramStart"/>
      <w:r>
        <w:t>provide</w:t>
      </w:r>
      <w:proofErr w:type="gramEnd"/>
      <w:r>
        <w:t xml:space="preserve"> effective protection against </w:t>
      </w:r>
      <w:proofErr w:type="spellStart"/>
      <w:r>
        <w:t>mpox</w:t>
      </w:r>
      <w:proofErr w:type="spellEnd"/>
      <w:r>
        <w:t xml:space="preserve">. JYNNEOS is the preferred vaccine for both pre-exposure and post-exposure prophylaxis against </w:t>
      </w:r>
      <w:proofErr w:type="spellStart"/>
      <w:r>
        <w:t>mpox</w:t>
      </w:r>
      <w:proofErr w:type="spellEnd"/>
      <w:r>
        <w:t xml:space="preserve">. Specialist providers could access a limited supply of ACAM2000 before JYNNEOS became available in Australia. </w:t>
      </w:r>
    </w:p>
    <w:p w14:paraId="6C6F3FAD" w14:textId="77777777" w:rsidR="00E52252" w:rsidRDefault="00E52252">
      <w:pPr>
        <w:pStyle w:val="NormalWeb"/>
        <w:divId w:val="812717687"/>
      </w:pPr>
      <w:r>
        <w:t xml:space="preserve">In 2022, a total of 16,954 people completed a course of a smallpox vaccine. The vaccines </w:t>
      </w:r>
      <w:proofErr w:type="gramStart"/>
      <w:r>
        <w:t>were distributed</w:t>
      </w:r>
      <w:proofErr w:type="gramEnd"/>
      <w:r>
        <w:t xml:space="preserve"> via states and territories. </w:t>
      </w:r>
    </w:p>
    <w:p w14:paraId="02EAAFFC" w14:textId="7C081D4B" w:rsidR="00E52252" w:rsidRDefault="00E52252">
      <w:pPr>
        <w:pStyle w:val="NormalWeb"/>
        <w:divId w:val="812717687"/>
      </w:pPr>
      <w:r>
        <w:t xml:space="preserve">Cases of </w:t>
      </w:r>
      <w:proofErr w:type="spellStart"/>
      <w:r>
        <w:t>mpox</w:t>
      </w:r>
      <w:proofErr w:type="spellEnd"/>
      <w:r>
        <w:t xml:space="preserve"> in Australia peaked in August 2022 and have since declined, although transmission </w:t>
      </w:r>
      <w:proofErr w:type="gramStart"/>
      <w:r>
        <w:t>remains</w:t>
      </w:r>
      <w:proofErr w:type="gramEnd"/>
      <w:r>
        <w:t xml:space="preserve"> an ongoing issue in some countries. ATAGI will continue to </w:t>
      </w:r>
      <w:proofErr w:type="gramStart"/>
      <w:r>
        <w:t>monitor</w:t>
      </w:r>
      <w:proofErr w:type="gramEnd"/>
      <w:r>
        <w:t xml:space="preserve"> epidemiology in Australia and globally throughout</w:t>
      </w:r>
      <w:r w:rsidR="004762B2">
        <w:t> </w:t>
      </w:r>
      <w:r>
        <w:t xml:space="preserve">2023. </w:t>
      </w:r>
    </w:p>
    <w:p w14:paraId="006E0BD3" w14:textId="77777777" w:rsidR="00E52252" w:rsidRDefault="00E52252">
      <w:pPr>
        <w:pStyle w:val="Heading3"/>
        <w:divId w:val="812717687"/>
        <w:rPr>
          <w:rFonts w:eastAsia="Times New Roman"/>
        </w:rPr>
      </w:pPr>
      <w:r>
        <w:rPr>
          <w:rFonts w:eastAsia="Times New Roman"/>
        </w:rPr>
        <w:t xml:space="preserve">Poliomyelitis </w:t>
      </w:r>
    </w:p>
    <w:p w14:paraId="18C856C1" w14:textId="77777777" w:rsidR="00E52252" w:rsidRDefault="00E52252">
      <w:pPr>
        <w:pStyle w:val="NormalWeb"/>
        <w:divId w:val="812717687"/>
      </w:pPr>
      <w:r>
        <w:t xml:space="preserve">Australia has remained polio-free since </w:t>
      </w:r>
      <w:proofErr w:type="gramStart"/>
      <w:r>
        <w:t>eliminating</w:t>
      </w:r>
      <w:proofErr w:type="gramEnd"/>
      <w:r>
        <w:t xml:space="preserve"> the disease in 2000. In 2022, cases of vaccine-derived polio were </w:t>
      </w:r>
      <w:proofErr w:type="gramStart"/>
      <w:r>
        <w:t>identified</w:t>
      </w:r>
      <w:proofErr w:type="gramEnd"/>
      <w:r>
        <w:t xml:space="preserve"> in the United States of America (USA), Israel, Somalia, Yemen and several African countries.</w:t>
      </w:r>
      <w:r>
        <w:rPr>
          <w:vertAlign w:val="superscript"/>
        </w:rPr>
        <w:t>6</w:t>
      </w:r>
      <w:r>
        <w:t xml:space="preserve"> Poliovirus was also identified in wastewater in Egypt, Israel, the UK, Ukraine, the USA, the eastern Mediterranean region and central Africa. Australia </w:t>
      </w:r>
      <w:proofErr w:type="gramStart"/>
      <w:r>
        <w:t>is considered to be</w:t>
      </w:r>
      <w:proofErr w:type="gramEnd"/>
      <w:r>
        <w:t xml:space="preserve"> at low risk of a sustained polio outbreak due to high levels of vaccine coverage and good sanitation. </w:t>
      </w:r>
    </w:p>
    <w:p w14:paraId="58B4DDF5" w14:textId="77777777" w:rsidR="00E52252" w:rsidRDefault="00E52252">
      <w:pPr>
        <w:pStyle w:val="NormalWeb"/>
        <w:divId w:val="812717687"/>
      </w:pPr>
      <w:r>
        <w:t xml:space="preserve">Children need four doses of polio vaccine. Getting vaccinated on time is important, so that protection from the vaccine does not wane. Of those children who received the fourth polio vaccine dose, due at 4 years of age, 35% were 1 to 3 months late for vaccination. </w:t>
      </w:r>
    </w:p>
    <w:p w14:paraId="2DB3E165" w14:textId="77777777" w:rsidR="00E52252" w:rsidRDefault="00E52252">
      <w:pPr>
        <w:pStyle w:val="NormalWeb"/>
        <w:divId w:val="812717687"/>
      </w:pPr>
      <w:proofErr w:type="gramStart"/>
      <w:r>
        <w:t>Some</w:t>
      </w:r>
      <w:proofErr w:type="gramEnd"/>
      <w:r>
        <w:t xml:space="preserve"> regions and population groups in Australia remain under-vaccinated. One of ATAGI’s ongoing priorities is to increase vaccination uptake in these communities. ATAGI continues to </w:t>
      </w:r>
      <w:proofErr w:type="gramStart"/>
      <w:r>
        <w:t>monitor</w:t>
      </w:r>
      <w:proofErr w:type="gramEnd"/>
      <w:r>
        <w:t xml:space="preserve"> vaccination coverage and control of poliovirus in Australia and globally. </w:t>
      </w:r>
    </w:p>
    <w:p w14:paraId="68DAA021" w14:textId="77777777" w:rsidR="00E52252" w:rsidRDefault="00E52252">
      <w:pPr>
        <w:pStyle w:val="Heading3"/>
        <w:divId w:val="812717687"/>
        <w:rPr>
          <w:rFonts w:eastAsia="Times New Roman"/>
        </w:rPr>
      </w:pPr>
      <w:r>
        <w:rPr>
          <w:rFonts w:eastAsia="Times New Roman"/>
        </w:rPr>
        <w:t xml:space="preserve">Measles </w:t>
      </w:r>
    </w:p>
    <w:p w14:paraId="263DF3EC" w14:textId="77777777" w:rsidR="00E52252" w:rsidRDefault="00E52252">
      <w:pPr>
        <w:pStyle w:val="NormalWeb"/>
        <w:divId w:val="812717687"/>
      </w:pPr>
      <w:r>
        <w:t xml:space="preserve">Seven cases of measles </w:t>
      </w:r>
      <w:proofErr w:type="gramStart"/>
      <w:r>
        <w:t>were reported</w:t>
      </w:r>
      <w:proofErr w:type="gramEnd"/>
      <w:r>
        <w:t xml:space="preserve"> in Australia in 2022. All infections </w:t>
      </w:r>
      <w:proofErr w:type="gramStart"/>
      <w:r>
        <w:t>were acquired</w:t>
      </w:r>
      <w:proofErr w:type="gramEnd"/>
      <w:r>
        <w:t xml:space="preserve"> overseas. The last reported case before 2022 was in March 2020, before international borders closed due to COVID-19. Measles </w:t>
      </w:r>
      <w:proofErr w:type="gramStart"/>
      <w:r>
        <w:t>was officially eliminated</w:t>
      </w:r>
      <w:proofErr w:type="gramEnd"/>
      <w:r>
        <w:t xml:space="preserve"> as an endemic disease in Australia in 2014. Since then, all cases and outbreaks have </w:t>
      </w:r>
      <w:proofErr w:type="gramStart"/>
      <w:r>
        <w:t>been linked</w:t>
      </w:r>
      <w:proofErr w:type="gramEnd"/>
      <w:r>
        <w:t xml:space="preserve"> to overseas travel. </w:t>
      </w:r>
    </w:p>
    <w:p w14:paraId="31C367B9" w14:textId="77777777" w:rsidR="00E52252" w:rsidRDefault="00E52252">
      <w:pPr>
        <w:pStyle w:val="NormalWeb"/>
        <w:divId w:val="812717687"/>
      </w:pPr>
      <w:r>
        <w:t>The COVID-19 pandemic has significantly disrupted measles immunisation programs and disease surveillance in many countries around the world.</w:t>
      </w:r>
      <w:r>
        <w:rPr>
          <w:vertAlign w:val="superscript"/>
        </w:rPr>
        <w:t>7</w:t>
      </w:r>
      <w:r>
        <w:t xml:space="preserve"> COVID-19 restrictions, reduced international travel, and decreased surveillance have </w:t>
      </w:r>
      <w:proofErr w:type="gramStart"/>
      <w:r>
        <w:t>likely contributed</w:t>
      </w:r>
      <w:proofErr w:type="gramEnd"/>
      <w:r>
        <w:t xml:space="preserve"> to a low incidence of measles since 2020. However, in 2022, there was a resurgence of measles across </w:t>
      </w:r>
      <w:proofErr w:type="gramStart"/>
      <w:r>
        <w:t>some</w:t>
      </w:r>
      <w:proofErr w:type="gramEnd"/>
      <w:r>
        <w:t xml:space="preserve"> World Health Organization regions, including the Asia–Pacific. There </w:t>
      </w:r>
      <w:proofErr w:type="gramStart"/>
      <w:r>
        <w:t>remains</w:t>
      </w:r>
      <w:proofErr w:type="gramEnd"/>
      <w:r>
        <w:t xml:space="preserve"> a significant risk of measles importation into Australia. ATAGI continues to </w:t>
      </w:r>
      <w:proofErr w:type="gramStart"/>
      <w:r>
        <w:t>monitor</w:t>
      </w:r>
      <w:proofErr w:type="gramEnd"/>
      <w:r>
        <w:t xml:space="preserve"> the global epidemiology and maintain preparedness for a measles outbreak in Australia. </w:t>
      </w:r>
    </w:p>
    <w:p w14:paraId="79DFF4A0" w14:textId="0D365C49" w:rsidR="009A6867" w:rsidRDefault="009A6867" w:rsidP="009A6867">
      <w:pPr>
        <w:pStyle w:val="CDIFigures"/>
        <w:divId w:val="812717687"/>
        <w:rPr>
          <w:rStyle w:val="Strong"/>
          <w:b/>
          <w:bCs w:val="0"/>
          <w:vertAlign w:val="superscript"/>
        </w:rPr>
      </w:pPr>
      <w:r w:rsidRPr="00A143E9">
        <w:rPr>
          <w:rStyle w:val="Strong"/>
          <w:b/>
          <w:bCs w:val="0"/>
        </w:rPr>
        <w:lastRenderedPageBreak/>
        <w:t>Figure 1: COVID-19 vaccination dose coverage by age, as percentage of estimated eligible residential population in</w:t>
      </w:r>
      <w:r w:rsidR="00676EDB">
        <w:rPr>
          <w:rStyle w:val="Strong"/>
          <w:b/>
          <w:bCs w:val="0"/>
        </w:rPr>
        <w:t> </w:t>
      </w:r>
      <w:proofErr w:type="spellStart"/>
      <w:r w:rsidRPr="00A143E9">
        <w:rPr>
          <w:rStyle w:val="Strong"/>
          <w:b/>
          <w:bCs w:val="0"/>
        </w:rPr>
        <w:t>Australia</w:t>
      </w:r>
      <w:r w:rsidRPr="00A143E9">
        <w:rPr>
          <w:rStyle w:val="Strong"/>
          <w:b/>
          <w:bCs w:val="0"/>
          <w:vertAlign w:val="superscript"/>
        </w:rPr>
        <w:t>a</w:t>
      </w:r>
      <w:proofErr w:type="spellEnd"/>
    </w:p>
    <w:p w14:paraId="63A37664" w14:textId="1D7468BD" w:rsidR="009A6867" w:rsidRPr="00A143E9" w:rsidRDefault="009A6867" w:rsidP="009A6867">
      <w:pPr>
        <w:pStyle w:val="CDIFigures"/>
        <w:divId w:val="812717687"/>
      </w:pPr>
      <w:r>
        <w:rPr>
          <w:rFonts w:eastAsia="Times New Roman"/>
          <w:noProof/>
          <w:lang w:val="en-GB"/>
        </w:rPr>
        <w:drawing>
          <wp:inline distT="0" distB="0" distL="0" distR="0" wp14:anchorId="15E2D8EE" wp14:editId="7AFB14F0">
            <wp:extent cx="6117348" cy="3913640"/>
            <wp:effectExtent l="0" t="0" r="0" b="0"/>
            <wp:docPr id="3" name="Picture 3" descr="Figure 1 is a bar chart showing the percentage of Australians by age groups who were unvaccinated, received 1 dose only, received 2 doses only, received 3 doses only or received 4 or more doses of a COVID-19 vaccine. Rates of unvaccinated were highest in those aged 5 to 11 years. Rates of people receiving 4 or more doses were highest in those aged 75 to 79 year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is a bar chart showing the percentage of Australians by age groups who were unvaccinated, received 1 dose only, received 2 doses only, received 3 doses only or received 4 or more doses of a COVID-19 vaccine. Rates of unvaccinated were highest in those aged 5 to 11 years. Rates of people receiving 4 or more doses were highest in those aged 75 to 79 years.&#10;"/>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117348" cy="3913640"/>
                    </a:xfrm>
                    <a:prstGeom prst="rect">
                      <a:avLst/>
                    </a:prstGeom>
                  </pic:spPr>
                </pic:pic>
              </a:graphicData>
            </a:graphic>
          </wp:inline>
        </w:drawing>
      </w:r>
    </w:p>
    <w:p w14:paraId="5E8E7C5C" w14:textId="461144C8" w:rsidR="00327915" w:rsidRDefault="009A6867" w:rsidP="00327915">
      <w:pPr>
        <w:pStyle w:val="CDIfootnotes"/>
        <w:divId w:val="812717687"/>
        <w:rPr>
          <w:lang w:val="en-GB"/>
        </w:rPr>
      </w:pPr>
      <w:r>
        <w:rPr>
          <w:lang w:val="en-GB"/>
        </w:rPr>
        <w:t>a</w:t>
      </w:r>
      <w:r>
        <w:rPr>
          <w:lang w:val="en-GB"/>
        </w:rPr>
        <w:tab/>
        <w:t>Source: Weekly COVID-19 reporting, COVID-19 vaccinations (Australian Government Department of Health and Aged Care, 27 January 2023).</w:t>
      </w:r>
    </w:p>
    <w:p w14:paraId="589F31BE" w14:textId="77777777" w:rsidR="00327915" w:rsidRDefault="00327915" w:rsidP="00327915">
      <w:pPr>
        <w:pStyle w:val="CDIfootnotes"/>
        <w:divId w:val="812717687"/>
        <w:rPr>
          <w:lang w:val="en-GB"/>
        </w:rPr>
        <w:sectPr w:rsidR="00327915" w:rsidSect="00A30C37">
          <w:headerReference w:type="default" r:id="rId11"/>
          <w:footerReference w:type="default" r:id="rId12"/>
          <w:footerReference w:type="first" r:id="rId13"/>
          <w:footnotePr>
            <w:numFmt w:val="lowerRoman"/>
          </w:footnotePr>
          <w:pgSz w:w="11906" w:h="16838"/>
          <w:pgMar w:top="720" w:right="720" w:bottom="1134" w:left="720" w:header="709" w:footer="284" w:gutter="0"/>
          <w:cols w:space="708"/>
          <w:titlePg/>
          <w:docGrid w:linePitch="360"/>
        </w:sectPr>
      </w:pPr>
    </w:p>
    <w:p w14:paraId="1F8883A6" w14:textId="77777777" w:rsidR="00327915" w:rsidRPr="00327915" w:rsidRDefault="00327915" w:rsidP="00327915">
      <w:pPr>
        <w:pStyle w:val="CDIfootnotes"/>
        <w:divId w:val="812717687"/>
        <w:rPr>
          <w:lang w:val="en-GB"/>
        </w:rPr>
      </w:pPr>
    </w:p>
    <w:p w14:paraId="4AD290BA" w14:textId="77777777" w:rsidR="00327915" w:rsidRPr="00A143E9" w:rsidRDefault="00327915" w:rsidP="00327915">
      <w:pPr>
        <w:pStyle w:val="CDIFigures"/>
        <w:divId w:val="812717687"/>
      </w:pPr>
      <w:r w:rsidRPr="00A143E9">
        <w:rPr>
          <w:rStyle w:val="Strong"/>
          <w:b/>
          <w:bCs w:val="0"/>
        </w:rPr>
        <w:t>Table 1. ATAGI recommendations regarding use of COVID-19 vaccines provisionally approved by the TGA in 2022</w:t>
      </w:r>
      <w:proofErr w:type="gramStart"/>
      <w:r w:rsidRPr="00A143E9">
        <w:rPr>
          <w:rStyle w:val="Strong"/>
          <w:b/>
          <w:bCs w:val="0"/>
          <w:vertAlign w:val="superscript"/>
        </w:rPr>
        <w:t>a,b</w:t>
      </w:r>
      <w:proofErr w:type="gramEnd"/>
      <w:r w:rsidRPr="00A143E9">
        <w:t xml:space="preserve"> </w:t>
      </w:r>
    </w:p>
    <w:tbl>
      <w:tblPr>
        <w:tblStyle w:val="CDI-StandardTable"/>
        <w:tblW w:w="0" w:type="auto"/>
        <w:tblCellMar>
          <w:left w:w="113" w:type="dxa"/>
          <w:right w:w="113" w:type="dxa"/>
        </w:tblCellMar>
        <w:tblLook w:val="04A0" w:firstRow="1" w:lastRow="0" w:firstColumn="1" w:lastColumn="0" w:noHBand="0" w:noVBand="1"/>
        <w:tblDescription w:val="Table 1 shows the recommendations made by ATAGI regarding the use of COVID-19 vaccines and the COVID-19 vaccines TGA provisionally approved, by month in 2022."/>
      </w:tblPr>
      <w:tblGrid>
        <w:gridCol w:w="1099"/>
        <w:gridCol w:w="5847"/>
        <w:gridCol w:w="8038"/>
      </w:tblGrid>
      <w:tr w:rsidR="00327915" w:rsidRPr="00C411AD" w14:paraId="346842D1" w14:textId="77777777" w:rsidTr="00125B24">
        <w:trPr>
          <w:cnfStyle w:val="100000000000" w:firstRow="1" w:lastRow="0" w:firstColumn="0" w:lastColumn="0" w:oddVBand="0" w:evenVBand="0" w:oddHBand="0" w:evenHBand="0" w:firstRowFirstColumn="0" w:firstRowLastColumn="0" w:lastRowFirstColumn="0" w:lastRowLastColumn="0"/>
          <w:divId w:val="812717687"/>
        </w:trPr>
        <w:tc>
          <w:tcPr>
            <w:tcW w:w="0" w:type="auto"/>
            <w:vAlign w:val="top"/>
            <w:hideMark/>
          </w:tcPr>
          <w:p w14:paraId="0B06FDA6" w14:textId="77777777" w:rsidR="00327915" w:rsidRPr="00C411AD" w:rsidRDefault="00327915" w:rsidP="00327915">
            <w:pPr>
              <w:pStyle w:val="NormalWeb"/>
              <w:jc w:val="left"/>
              <w:rPr>
                <w:sz w:val="18"/>
                <w:szCs w:val="18"/>
                <w:lang w:val="en-GB"/>
              </w:rPr>
            </w:pPr>
            <w:r w:rsidRPr="00C411AD">
              <w:rPr>
                <w:sz w:val="18"/>
                <w:szCs w:val="18"/>
                <w:lang w:val="en-GB"/>
              </w:rPr>
              <w:t>Month (2022)</w:t>
            </w:r>
          </w:p>
        </w:tc>
        <w:tc>
          <w:tcPr>
            <w:tcW w:w="5847" w:type="dxa"/>
            <w:vAlign w:val="top"/>
            <w:hideMark/>
          </w:tcPr>
          <w:p w14:paraId="263D871F" w14:textId="77777777" w:rsidR="00327915" w:rsidRPr="00C411AD" w:rsidRDefault="00327915" w:rsidP="00327915">
            <w:pPr>
              <w:pStyle w:val="NormalWeb"/>
              <w:jc w:val="left"/>
              <w:rPr>
                <w:sz w:val="18"/>
                <w:szCs w:val="18"/>
                <w:lang w:val="en-GB"/>
              </w:rPr>
            </w:pPr>
            <w:r w:rsidRPr="00C411AD">
              <w:rPr>
                <w:sz w:val="18"/>
                <w:szCs w:val="18"/>
                <w:lang w:val="en-GB"/>
              </w:rPr>
              <w:t>Provisional approval by TGA</w:t>
            </w:r>
            <w:r w:rsidRPr="00DC6573">
              <w:rPr>
                <w:sz w:val="18"/>
                <w:szCs w:val="18"/>
                <w:vertAlign w:val="superscript"/>
                <w:lang w:val="en-GB"/>
              </w:rPr>
              <w:t>11</w:t>
            </w:r>
          </w:p>
        </w:tc>
        <w:tc>
          <w:tcPr>
            <w:tcW w:w="8038" w:type="dxa"/>
            <w:vAlign w:val="top"/>
            <w:hideMark/>
          </w:tcPr>
          <w:p w14:paraId="2175847C" w14:textId="77777777" w:rsidR="00327915" w:rsidRPr="00C411AD" w:rsidRDefault="00327915" w:rsidP="00327915">
            <w:pPr>
              <w:pStyle w:val="NormalWeb"/>
              <w:jc w:val="left"/>
              <w:rPr>
                <w:sz w:val="18"/>
                <w:szCs w:val="18"/>
                <w:lang w:val="en-GB"/>
              </w:rPr>
            </w:pPr>
            <w:r w:rsidRPr="00C411AD">
              <w:rPr>
                <w:sz w:val="18"/>
                <w:szCs w:val="18"/>
                <w:lang w:val="en-GB"/>
              </w:rPr>
              <w:t>Recommendation by ATAGI</w:t>
            </w:r>
          </w:p>
        </w:tc>
      </w:tr>
      <w:tr w:rsidR="00327915" w:rsidRPr="00C411AD" w14:paraId="179ADE4F" w14:textId="77777777" w:rsidTr="00125B24">
        <w:trPr>
          <w:divId w:val="812717687"/>
        </w:trPr>
        <w:tc>
          <w:tcPr>
            <w:tcW w:w="0" w:type="auto"/>
            <w:tcBorders>
              <w:bottom w:val="single" w:sz="4" w:space="0" w:color="808080" w:themeColor="background1" w:themeShade="80"/>
            </w:tcBorders>
            <w:shd w:val="clear" w:color="auto" w:fill="auto"/>
            <w:vAlign w:val="top"/>
            <w:hideMark/>
          </w:tcPr>
          <w:p w14:paraId="1ED8277E" w14:textId="77777777" w:rsidR="00327915" w:rsidRPr="00C411AD" w:rsidRDefault="00327915" w:rsidP="00327915">
            <w:pPr>
              <w:pStyle w:val="NormalWeb"/>
              <w:jc w:val="left"/>
              <w:rPr>
                <w:sz w:val="18"/>
                <w:szCs w:val="18"/>
                <w:lang w:val="en-GB"/>
              </w:rPr>
            </w:pPr>
            <w:r w:rsidRPr="00C411AD">
              <w:rPr>
                <w:sz w:val="18"/>
                <w:szCs w:val="18"/>
                <w:lang w:val="en-GB"/>
              </w:rPr>
              <w:t>January</w:t>
            </w:r>
          </w:p>
        </w:tc>
        <w:tc>
          <w:tcPr>
            <w:tcW w:w="5847" w:type="dxa"/>
            <w:tcBorders>
              <w:bottom w:val="single" w:sz="4" w:space="0" w:color="808080" w:themeColor="background1" w:themeShade="80"/>
            </w:tcBorders>
            <w:shd w:val="clear" w:color="auto" w:fill="auto"/>
            <w:vAlign w:val="top"/>
            <w:hideMark/>
          </w:tcPr>
          <w:p w14:paraId="0AFB6B41" w14:textId="6E58F718" w:rsidR="00327915" w:rsidRPr="00C411AD" w:rsidRDefault="00327915" w:rsidP="00327915">
            <w:pPr>
              <w:pStyle w:val="NormalWeb"/>
              <w:jc w:val="left"/>
              <w:rPr>
                <w:sz w:val="18"/>
                <w:szCs w:val="18"/>
                <w:lang w:val="en-GB"/>
              </w:rPr>
            </w:pPr>
            <w:r w:rsidRPr="00C411AD">
              <w:rPr>
                <w:sz w:val="18"/>
                <w:szCs w:val="18"/>
                <w:lang w:val="en-GB"/>
              </w:rPr>
              <w:t>Novavax for use as the primary course in people aged 18 years and over.</w:t>
            </w:r>
            <w:r>
              <w:rPr>
                <w:sz w:val="18"/>
                <w:szCs w:val="18"/>
                <w:lang w:val="en-GB"/>
              </w:rPr>
              <w:br/>
            </w:r>
            <w:r w:rsidRPr="00C411AD">
              <w:rPr>
                <w:sz w:val="18"/>
                <w:szCs w:val="18"/>
                <w:lang w:val="en-GB"/>
              </w:rPr>
              <w:t>Pfizer for use as a booster dose in adolescents aged 16 to 17 years.</w:t>
            </w:r>
          </w:p>
        </w:tc>
        <w:tc>
          <w:tcPr>
            <w:tcW w:w="8038" w:type="dxa"/>
            <w:tcBorders>
              <w:bottom w:val="single" w:sz="4" w:space="0" w:color="808080" w:themeColor="background1" w:themeShade="80"/>
            </w:tcBorders>
            <w:shd w:val="clear" w:color="auto" w:fill="auto"/>
            <w:vAlign w:val="top"/>
            <w:hideMark/>
          </w:tcPr>
          <w:p w14:paraId="58F05933" w14:textId="3F752385" w:rsidR="00327915" w:rsidRPr="00C411AD" w:rsidRDefault="00327915" w:rsidP="00327915">
            <w:pPr>
              <w:pStyle w:val="NormalWeb"/>
              <w:jc w:val="left"/>
              <w:rPr>
                <w:sz w:val="18"/>
                <w:szCs w:val="18"/>
                <w:lang w:val="en-GB"/>
              </w:rPr>
            </w:pPr>
            <w:r w:rsidRPr="00C411AD">
              <w:rPr>
                <w:sz w:val="18"/>
                <w:szCs w:val="18"/>
                <w:lang w:val="en-GB"/>
              </w:rPr>
              <w:t>A third primary dose for severely immunocompromised children aged 5 to 11 years.</w:t>
            </w:r>
            <w:r w:rsidRPr="00EF65BB">
              <w:rPr>
                <w:sz w:val="18"/>
                <w:szCs w:val="18"/>
                <w:vertAlign w:val="superscript"/>
                <w:lang w:val="en-GB"/>
              </w:rPr>
              <w:t>12</w:t>
            </w:r>
            <w:r>
              <w:rPr>
                <w:sz w:val="18"/>
                <w:szCs w:val="18"/>
                <w:lang w:val="en-GB"/>
              </w:rPr>
              <w:br/>
            </w:r>
            <w:r w:rsidRPr="00C411AD">
              <w:rPr>
                <w:sz w:val="18"/>
                <w:szCs w:val="18"/>
                <w:lang w:val="en-GB"/>
              </w:rPr>
              <w:t>Novavax can be used for the primary course in people aged 18 years or older.</w:t>
            </w:r>
            <w:r w:rsidRPr="00327915">
              <w:rPr>
                <w:sz w:val="18"/>
                <w:szCs w:val="18"/>
                <w:vertAlign w:val="superscript"/>
                <w:lang w:val="en-GB"/>
              </w:rPr>
              <w:t>13</w:t>
            </w:r>
          </w:p>
        </w:tc>
      </w:tr>
      <w:tr w:rsidR="00327915" w:rsidRPr="00C411AD" w14:paraId="2F59A2FA" w14:textId="77777777" w:rsidTr="00125B24">
        <w:trPr>
          <w:cnfStyle w:val="000000010000" w:firstRow="0" w:lastRow="0" w:firstColumn="0" w:lastColumn="0" w:oddVBand="0" w:evenVBand="0" w:oddHBand="0" w:evenHBand="1" w:firstRowFirstColumn="0" w:firstRowLastColumn="0" w:lastRowFirstColumn="0" w:lastRowLastColumn="0"/>
          <w:divId w:val="812717687"/>
        </w:trPr>
        <w:tc>
          <w:tcPr>
            <w:tcW w:w="0" w:type="auto"/>
            <w:tcBorders>
              <w:top w:val="single" w:sz="4" w:space="0" w:color="808080" w:themeColor="background1" w:themeShade="80"/>
              <w:bottom w:val="single" w:sz="4" w:space="0" w:color="808080" w:themeColor="background1" w:themeShade="80"/>
            </w:tcBorders>
            <w:shd w:val="clear" w:color="auto" w:fill="auto"/>
            <w:vAlign w:val="top"/>
            <w:hideMark/>
          </w:tcPr>
          <w:p w14:paraId="2B4F3BF1" w14:textId="77777777" w:rsidR="00327915" w:rsidRPr="00C411AD" w:rsidRDefault="00327915" w:rsidP="00327915">
            <w:pPr>
              <w:pStyle w:val="NormalWeb"/>
              <w:jc w:val="left"/>
              <w:rPr>
                <w:sz w:val="18"/>
                <w:szCs w:val="18"/>
                <w:lang w:val="en-GB"/>
              </w:rPr>
            </w:pPr>
            <w:r w:rsidRPr="00C411AD">
              <w:rPr>
                <w:sz w:val="18"/>
                <w:szCs w:val="18"/>
                <w:lang w:val="en-GB"/>
              </w:rPr>
              <w:t>February</w:t>
            </w:r>
          </w:p>
        </w:tc>
        <w:tc>
          <w:tcPr>
            <w:tcW w:w="5847" w:type="dxa"/>
            <w:tcBorders>
              <w:top w:val="single" w:sz="4" w:space="0" w:color="808080" w:themeColor="background1" w:themeShade="80"/>
              <w:bottom w:val="single" w:sz="4" w:space="0" w:color="808080" w:themeColor="background1" w:themeShade="80"/>
            </w:tcBorders>
            <w:shd w:val="clear" w:color="auto" w:fill="auto"/>
            <w:vAlign w:val="top"/>
            <w:hideMark/>
          </w:tcPr>
          <w:p w14:paraId="41548A0A" w14:textId="029D4F3E" w:rsidR="00327915" w:rsidRPr="00C411AD" w:rsidRDefault="00327915" w:rsidP="00327915">
            <w:pPr>
              <w:pStyle w:val="NormalWeb"/>
              <w:jc w:val="left"/>
              <w:rPr>
                <w:sz w:val="18"/>
                <w:szCs w:val="18"/>
                <w:lang w:val="en-GB"/>
              </w:rPr>
            </w:pPr>
            <w:r w:rsidRPr="00C411AD">
              <w:rPr>
                <w:sz w:val="18"/>
                <w:szCs w:val="18"/>
                <w:lang w:val="en-GB"/>
              </w:rPr>
              <w:t>AstraZeneca for use as a booster dose in people aged 18 years and over.</w:t>
            </w:r>
            <w:r>
              <w:rPr>
                <w:sz w:val="18"/>
                <w:szCs w:val="18"/>
                <w:lang w:val="en-GB"/>
              </w:rPr>
              <w:br/>
            </w:r>
            <w:r w:rsidRPr="00C411AD">
              <w:rPr>
                <w:sz w:val="18"/>
                <w:szCs w:val="18"/>
                <w:lang w:val="en-GB"/>
              </w:rPr>
              <w:t>Moderna for use as the primary course in children aged 6 to 11 years.</w:t>
            </w:r>
          </w:p>
        </w:tc>
        <w:tc>
          <w:tcPr>
            <w:tcW w:w="8038" w:type="dxa"/>
            <w:tcBorders>
              <w:top w:val="single" w:sz="4" w:space="0" w:color="808080" w:themeColor="background1" w:themeShade="80"/>
              <w:bottom w:val="single" w:sz="4" w:space="0" w:color="808080" w:themeColor="background1" w:themeShade="80"/>
            </w:tcBorders>
            <w:shd w:val="clear" w:color="auto" w:fill="auto"/>
            <w:vAlign w:val="top"/>
            <w:hideMark/>
          </w:tcPr>
          <w:p w14:paraId="3D20D35E" w14:textId="3825D037" w:rsidR="00327915" w:rsidRPr="00C411AD" w:rsidRDefault="00327915" w:rsidP="00327915">
            <w:pPr>
              <w:pStyle w:val="NormalWeb"/>
              <w:jc w:val="left"/>
              <w:rPr>
                <w:sz w:val="18"/>
                <w:szCs w:val="18"/>
                <w:lang w:val="en-GB"/>
              </w:rPr>
            </w:pPr>
            <w:r w:rsidRPr="00C411AD">
              <w:rPr>
                <w:sz w:val="18"/>
                <w:szCs w:val="18"/>
                <w:lang w:val="en-GB"/>
              </w:rPr>
              <w:t>A first booster dose for all adolescents aged 16 to 17 years.</w:t>
            </w:r>
            <w:r w:rsidRPr="00327915">
              <w:rPr>
                <w:sz w:val="18"/>
                <w:szCs w:val="18"/>
                <w:vertAlign w:val="superscript"/>
                <w:lang w:val="en-GB"/>
              </w:rPr>
              <w:t>14</w:t>
            </w:r>
            <w:r>
              <w:rPr>
                <w:sz w:val="18"/>
                <w:szCs w:val="18"/>
                <w:lang w:val="en-GB"/>
              </w:rPr>
              <w:br/>
            </w:r>
            <w:r w:rsidRPr="00C411AD">
              <w:rPr>
                <w:sz w:val="18"/>
                <w:szCs w:val="18"/>
                <w:lang w:val="en-GB"/>
              </w:rPr>
              <w:t>Moderna for the primary course in children aged 6 to 11 years.</w:t>
            </w:r>
            <w:r w:rsidRPr="00327915">
              <w:rPr>
                <w:sz w:val="18"/>
                <w:szCs w:val="18"/>
                <w:vertAlign w:val="superscript"/>
                <w:lang w:val="en-GB"/>
              </w:rPr>
              <w:t>15</w:t>
            </w:r>
          </w:p>
        </w:tc>
      </w:tr>
      <w:tr w:rsidR="00327915" w:rsidRPr="00C411AD" w14:paraId="0EDEF94B" w14:textId="77777777" w:rsidTr="00125B24">
        <w:trPr>
          <w:divId w:val="812717687"/>
        </w:trPr>
        <w:tc>
          <w:tcPr>
            <w:tcW w:w="0" w:type="auto"/>
            <w:tcBorders>
              <w:top w:val="single" w:sz="4" w:space="0" w:color="808080" w:themeColor="background1" w:themeShade="80"/>
              <w:bottom w:val="single" w:sz="4" w:space="0" w:color="808080" w:themeColor="background1" w:themeShade="80"/>
            </w:tcBorders>
            <w:shd w:val="clear" w:color="auto" w:fill="auto"/>
            <w:vAlign w:val="top"/>
            <w:hideMark/>
          </w:tcPr>
          <w:p w14:paraId="1CCE24E4" w14:textId="77777777" w:rsidR="00327915" w:rsidRPr="00C411AD" w:rsidRDefault="00327915" w:rsidP="00327915">
            <w:pPr>
              <w:pStyle w:val="NormalWeb"/>
              <w:jc w:val="left"/>
              <w:rPr>
                <w:sz w:val="18"/>
                <w:szCs w:val="18"/>
                <w:lang w:val="en-GB"/>
              </w:rPr>
            </w:pPr>
            <w:r w:rsidRPr="00C411AD">
              <w:rPr>
                <w:sz w:val="18"/>
                <w:szCs w:val="18"/>
                <w:lang w:val="en-GB"/>
              </w:rPr>
              <w:t>March</w:t>
            </w:r>
          </w:p>
        </w:tc>
        <w:tc>
          <w:tcPr>
            <w:tcW w:w="5847" w:type="dxa"/>
            <w:tcBorders>
              <w:top w:val="single" w:sz="4" w:space="0" w:color="808080" w:themeColor="background1" w:themeShade="80"/>
              <w:bottom w:val="single" w:sz="4" w:space="0" w:color="808080" w:themeColor="background1" w:themeShade="80"/>
            </w:tcBorders>
            <w:shd w:val="clear" w:color="auto" w:fill="auto"/>
            <w:vAlign w:val="top"/>
            <w:hideMark/>
          </w:tcPr>
          <w:p w14:paraId="2B6A1107" w14:textId="77777777" w:rsidR="00327915" w:rsidRPr="00C411AD" w:rsidRDefault="00327915" w:rsidP="00327915">
            <w:pPr>
              <w:jc w:val="left"/>
              <w:rPr>
                <w:sz w:val="18"/>
                <w:szCs w:val="18"/>
                <w:lang w:val="en-GB"/>
              </w:rPr>
            </w:pPr>
          </w:p>
        </w:tc>
        <w:tc>
          <w:tcPr>
            <w:tcW w:w="8038" w:type="dxa"/>
            <w:tcBorders>
              <w:top w:val="single" w:sz="4" w:space="0" w:color="808080" w:themeColor="background1" w:themeShade="80"/>
              <w:bottom w:val="single" w:sz="4" w:space="0" w:color="808080" w:themeColor="background1" w:themeShade="80"/>
            </w:tcBorders>
            <w:shd w:val="clear" w:color="auto" w:fill="auto"/>
            <w:vAlign w:val="top"/>
            <w:hideMark/>
          </w:tcPr>
          <w:p w14:paraId="1F1BF6FD" w14:textId="77777777" w:rsidR="00327915" w:rsidRPr="00C411AD" w:rsidRDefault="00327915" w:rsidP="00327915">
            <w:pPr>
              <w:pStyle w:val="NormalWeb"/>
              <w:jc w:val="left"/>
              <w:rPr>
                <w:sz w:val="18"/>
                <w:szCs w:val="18"/>
                <w:lang w:val="en-GB"/>
              </w:rPr>
            </w:pPr>
            <w:r w:rsidRPr="00C411AD">
              <w:rPr>
                <w:sz w:val="18"/>
                <w:szCs w:val="18"/>
                <w:lang w:val="en-GB"/>
              </w:rPr>
              <w:t>A second booster dose for groups at higher risk of severe COVID-19.</w:t>
            </w:r>
            <w:r w:rsidRPr="00327915">
              <w:rPr>
                <w:sz w:val="18"/>
                <w:szCs w:val="18"/>
                <w:vertAlign w:val="superscript"/>
                <w:lang w:val="en-GB"/>
              </w:rPr>
              <w:t>16</w:t>
            </w:r>
          </w:p>
        </w:tc>
      </w:tr>
      <w:tr w:rsidR="00327915" w:rsidRPr="00C411AD" w14:paraId="27CCD131" w14:textId="77777777" w:rsidTr="00125B24">
        <w:trPr>
          <w:cnfStyle w:val="000000010000" w:firstRow="0" w:lastRow="0" w:firstColumn="0" w:lastColumn="0" w:oddVBand="0" w:evenVBand="0" w:oddHBand="0" w:evenHBand="1" w:firstRowFirstColumn="0" w:firstRowLastColumn="0" w:lastRowFirstColumn="0" w:lastRowLastColumn="0"/>
          <w:divId w:val="812717687"/>
        </w:trPr>
        <w:tc>
          <w:tcPr>
            <w:tcW w:w="0" w:type="auto"/>
            <w:tcBorders>
              <w:top w:val="single" w:sz="4" w:space="0" w:color="808080" w:themeColor="background1" w:themeShade="80"/>
              <w:bottom w:val="single" w:sz="4" w:space="0" w:color="808080" w:themeColor="background1" w:themeShade="80"/>
            </w:tcBorders>
            <w:shd w:val="clear" w:color="auto" w:fill="auto"/>
            <w:vAlign w:val="top"/>
            <w:hideMark/>
          </w:tcPr>
          <w:p w14:paraId="1B0E5A43" w14:textId="77777777" w:rsidR="00327915" w:rsidRPr="00C411AD" w:rsidRDefault="00327915" w:rsidP="00327915">
            <w:pPr>
              <w:pStyle w:val="NormalWeb"/>
              <w:jc w:val="left"/>
              <w:rPr>
                <w:sz w:val="18"/>
                <w:szCs w:val="18"/>
                <w:lang w:val="en-GB"/>
              </w:rPr>
            </w:pPr>
            <w:r w:rsidRPr="00C411AD">
              <w:rPr>
                <w:sz w:val="18"/>
                <w:szCs w:val="18"/>
                <w:lang w:val="en-GB"/>
              </w:rPr>
              <w:t>April</w:t>
            </w:r>
          </w:p>
        </w:tc>
        <w:tc>
          <w:tcPr>
            <w:tcW w:w="5847" w:type="dxa"/>
            <w:tcBorders>
              <w:top w:val="single" w:sz="4" w:space="0" w:color="808080" w:themeColor="background1" w:themeShade="80"/>
              <w:bottom w:val="single" w:sz="4" w:space="0" w:color="808080" w:themeColor="background1" w:themeShade="80"/>
            </w:tcBorders>
            <w:shd w:val="clear" w:color="auto" w:fill="auto"/>
            <w:vAlign w:val="top"/>
            <w:hideMark/>
          </w:tcPr>
          <w:p w14:paraId="10A96FAB" w14:textId="77777777" w:rsidR="00327915" w:rsidRPr="00C411AD" w:rsidRDefault="00327915" w:rsidP="00327915">
            <w:pPr>
              <w:pStyle w:val="NormalWeb"/>
              <w:jc w:val="left"/>
              <w:rPr>
                <w:sz w:val="18"/>
                <w:szCs w:val="18"/>
                <w:lang w:val="en-GB"/>
              </w:rPr>
            </w:pPr>
            <w:r w:rsidRPr="00C411AD">
              <w:rPr>
                <w:sz w:val="18"/>
                <w:szCs w:val="18"/>
                <w:lang w:val="en-GB"/>
              </w:rPr>
              <w:t>Pfizer for use as a booster dose in adolescents aged 12 to 15 years.</w:t>
            </w:r>
          </w:p>
        </w:tc>
        <w:tc>
          <w:tcPr>
            <w:tcW w:w="8038" w:type="dxa"/>
            <w:tcBorders>
              <w:top w:val="single" w:sz="4" w:space="0" w:color="808080" w:themeColor="background1" w:themeShade="80"/>
              <w:bottom w:val="single" w:sz="4" w:space="0" w:color="808080" w:themeColor="background1" w:themeShade="80"/>
            </w:tcBorders>
            <w:shd w:val="clear" w:color="auto" w:fill="auto"/>
            <w:vAlign w:val="top"/>
            <w:hideMark/>
          </w:tcPr>
          <w:p w14:paraId="4F2DB6DB" w14:textId="77777777" w:rsidR="00327915" w:rsidRPr="00C411AD" w:rsidRDefault="00327915" w:rsidP="00327915">
            <w:pPr>
              <w:jc w:val="left"/>
              <w:rPr>
                <w:sz w:val="18"/>
                <w:szCs w:val="18"/>
                <w:lang w:val="en-GB"/>
              </w:rPr>
            </w:pPr>
          </w:p>
        </w:tc>
      </w:tr>
      <w:tr w:rsidR="00327915" w:rsidRPr="00C411AD" w14:paraId="24A72338" w14:textId="77777777" w:rsidTr="00125B24">
        <w:trPr>
          <w:divId w:val="812717687"/>
        </w:trPr>
        <w:tc>
          <w:tcPr>
            <w:tcW w:w="0" w:type="auto"/>
            <w:tcBorders>
              <w:top w:val="single" w:sz="4" w:space="0" w:color="808080" w:themeColor="background1" w:themeShade="80"/>
              <w:bottom w:val="single" w:sz="4" w:space="0" w:color="808080" w:themeColor="background1" w:themeShade="80"/>
            </w:tcBorders>
            <w:shd w:val="clear" w:color="auto" w:fill="auto"/>
            <w:vAlign w:val="top"/>
            <w:hideMark/>
          </w:tcPr>
          <w:p w14:paraId="77821246" w14:textId="77777777" w:rsidR="00327915" w:rsidRPr="00C411AD" w:rsidRDefault="00327915" w:rsidP="00327915">
            <w:pPr>
              <w:pStyle w:val="NormalWeb"/>
              <w:jc w:val="left"/>
              <w:rPr>
                <w:sz w:val="18"/>
                <w:szCs w:val="18"/>
                <w:lang w:val="en-GB"/>
              </w:rPr>
            </w:pPr>
            <w:r w:rsidRPr="00C411AD">
              <w:rPr>
                <w:sz w:val="18"/>
                <w:szCs w:val="18"/>
                <w:lang w:val="en-GB"/>
              </w:rPr>
              <w:t>May</w:t>
            </w:r>
          </w:p>
        </w:tc>
        <w:tc>
          <w:tcPr>
            <w:tcW w:w="5847" w:type="dxa"/>
            <w:tcBorders>
              <w:top w:val="single" w:sz="4" w:space="0" w:color="808080" w:themeColor="background1" w:themeShade="80"/>
              <w:bottom w:val="single" w:sz="4" w:space="0" w:color="808080" w:themeColor="background1" w:themeShade="80"/>
            </w:tcBorders>
            <w:shd w:val="clear" w:color="auto" w:fill="auto"/>
            <w:vAlign w:val="top"/>
            <w:hideMark/>
          </w:tcPr>
          <w:p w14:paraId="54040096" w14:textId="77777777" w:rsidR="00327915" w:rsidRPr="00C411AD" w:rsidRDefault="00327915" w:rsidP="00327915">
            <w:pPr>
              <w:jc w:val="left"/>
              <w:rPr>
                <w:sz w:val="18"/>
                <w:szCs w:val="18"/>
                <w:lang w:val="en-GB"/>
              </w:rPr>
            </w:pPr>
          </w:p>
        </w:tc>
        <w:tc>
          <w:tcPr>
            <w:tcW w:w="8038" w:type="dxa"/>
            <w:tcBorders>
              <w:top w:val="single" w:sz="4" w:space="0" w:color="808080" w:themeColor="background1" w:themeShade="80"/>
              <w:bottom w:val="single" w:sz="4" w:space="0" w:color="808080" w:themeColor="background1" w:themeShade="80"/>
            </w:tcBorders>
            <w:shd w:val="clear" w:color="auto" w:fill="auto"/>
            <w:vAlign w:val="top"/>
            <w:hideMark/>
          </w:tcPr>
          <w:p w14:paraId="38976FC1" w14:textId="77777777" w:rsidR="00327915" w:rsidRPr="00C411AD" w:rsidRDefault="00327915" w:rsidP="00327915">
            <w:pPr>
              <w:pStyle w:val="NormalWeb"/>
              <w:jc w:val="left"/>
              <w:rPr>
                <w:sz w:val="18"/>
                <w:szCs w:val="18"/>
                <w:lang w:val="en-GB"/>
              </w:rPr>
            </w:pPr>
            <w:r w:rsidRPr="00C411AD">
              <w:rPr>
                <w:sz w:val="18"/>
                <w:szCs w:val="18"/>
                <w:lang w:val="en-GB"/>
              </w:rPr>
              <w:t>A second booster dose for some people aged 16 to 64 years who are at increased risk of severe COVID-19.</w:t>
            </w:r>
            <w:r w:rsidRPr="00327915">
              <w:rPr>
                <w:sz w:val="18"/>
                <w:szCs w:val="18"/>
                <w:vertAlign w:val="superscript"/>
                <w:lang w:val="en-GB"/>
              </w:rPr>
              <w:t>17</w:t>
            </w:r>
          </w:p>
        </w:tc>
      </w:tr>
      <w:tr w:rsidR="00327915" w:rsidRPr="00C411AD" w14:paraId="4C5D1B74" w14:textId="77777777" w:rsidTr="00125B24">
        <w:trPr>
          <w:cnfStyle w:val="000000010000" w:firstRow="0" w:lastRow="0" w:firstColumn="0" w:lastColumn="0" w:oddVBand="0" w:evenVBand="0" w:oddHBand="0" w:evenHBand="1" w:firstRowFirstColumn="0" w:firstRowLastColumn="0" w:lastRowFirstColumn="0" w:lastRowLastColumn="0"/>
          <w:divId w:val="812717687"/>
        </w:trPr>
        <w:tc>
          <w:tcPr>
            <w:tcW w:w="0" w:type="auto"/>
            <w:tcBorders>
              <w:top w:val="single" w:sz="4" w:space="0" w:color="808080" w:themeColor="background1" w:themeShade="80"/>
              <w:bottom w:val="single" w:sz="4" w:space="0" w:color="808080" w:themeColor="background1" w:themeShade="80"/>
            </w:tcBorders>
            <w:shd w:val="clear" w:color="auto" w:fill="auto"/>
            <w:vAlign w:val="top"/>
            <w:hideMark/>
          </w:tcPr>
          <w:p w14:paraId="3AFEE898" w14:textId="77777777" w:rsidR="00327915" w:rsidRPr="00C411AD" w:rsidRDefault="00327915" w:rsidP="00327915">
            <w:pPr>
              <w:pStyle w:val="NormalWeb"/>
              <w:jc w:val="left"/>
              <w:rPr>
                <w:sz w:val="18"/>
                <w:szCs w:val="18"/>
                <w:lang w:val="en-GB"/>
              </w:rPr>
            </w:pPr>
            <w:r w:rsidRPr="00C411AD">
              <w:rPr>
                <w:sz w:val="18"/>
                <w:szCs w:val="18"/>
                <w:lang w:val="en-GB"/>
              </w:rPr>
              <w:t>June</w:t>
            </w:r>
          </w:p>
        </w:tc>
        <w:tc>
          <w:tcPr>
            <w:tcW w:w="5847" w:type="dxa"/>
            <w:tcBorders>
              <w:top w:val="single" w:sz="4" w:space="0" w:color="808080" w:themeColor="background1" w:themeShade="80"/>
              <w:bottom w:val="single" w:sz="4" w:space="0" w:color="808080" w:themeColor="background1" w:themeShade="80"/>
            </w:tcBorders>
            <w:shd w:val="clear" w:color="auto" w:fill="auto"/>
            <w:vAlign w:val="top"/>
            <w:hideMark/>
          </w:tcPr>
          <w:p w14:paraId="602DF379" w14:textId="77777777" w:rsidR="00327915" w:rsidRPr="00C411AD" w:rsidRDefault="00327915" w:rsidP="00327915">
            <w:pPr>
              <w:pStyle w:val="NormalWeb"/>
              <w:jc w:val="left"/>
              <w:rPr>
                <w:sz w:val="18"/>
                <w:szCs w:val="18"/>
                <w:lang w:val="en-GB"/>
              </w:rPr>
            </w:pPr>
            <w:r w:rsidRPr="00C411AD">
              <w:rPr>
                <w:sz w:val="18"/>
                <w:szCs w:val="18"/>
                <w:lang w:val="en-GB"/>
              </w:rPr>
              <w:t>Novavax for use as a booster dose in people aged 18 years and over.</w:t>
            </w:r>
          </w:p>
        </w:tc>
        <w:tc>
          <w:tcPr>
            <w:tcW w:w="8038" w:type="dxa"/>
            <w:tcBorders>
              <w:top w:val="single" w:sz="4" w:space="0" w:color="808080" w:themeColor="background1" w:themeShade="80"/>
              <w:bottom w:val="single" w:sz="4" w:space="0" w:color="808080" w:themeColor="background1" w:themeShade="80"/>
            </w:tcBorders>
            <w:shd w:val="clear" w:color="auto" w:fill="auto"/>
            <w:vAlign w:val="top"/>
            <w:hideMark/>
          </w:tcPr>
          <w:p w14:paraId="5DE24425" w14:textId="77777777" w:rsidR="00327915" w:rsidRPr="00C411AD" w:rsidRDefault="00327915" w:rsidP="00327915">
            <w:pPr>
              <w:pStyle w:val="NormalWeb"/>
              <w:jc w:val="left"/>
              <w:rPr>
                <w:sz w:val="18"/>
                <w:szCs w:val="18"/>
                <w:lang w:val="en-GB"/>
              </w:rPr>
            </w:pPr>
            <w:r w:rsidRPr="00C411AD">
              <w:rPr>
                <w:sz w:val="18"/>
                <w:szCs w:val="18"/>
                <w:lang w:val="en-GB"/>
              </w:rPr>
              <w:t>A first booster dose for some adolescents aged 12 to 15 years who are at increased risk of severe COVID-19.</w:t>
            </w:r>
            <w:r w:rsidRPr="00327915">
              <w:rPr>
                <w:sz w:val="18"/>
                <w:szCs w:val="18"/>
                <w:vertAlign w:val="superscript"/>
                <w:lang w:val="en-GB"/>
              </w:rPr>
              <w:t>18</w:t>
            </w:r>
          </w:p>
        </w:tc>
      </w:tr>
      <w:tr w:rsidR="00327915" w:rsidRPr="00C411AD" w14:paraId="18A2D0F3" w14:textId="77777777" w:rsidTr="00125B24">
        <w:trPr>
          <w:divId w:val="812717687"/>
        </w:trPr>
        <w:tc>
          <w:tcPr>
            <w:tcW w:w="0" w:type="auto"/>
            <w:tcBorders>
              <w:top w:val="single" w:sz="4" w:space="0" w:color="808080" w:themeColor="background1" w:themeShade="80"/>
              <w:bottom w:val="single" w:sz="4" w:space="0" w:color="808080" w:themeColor="background1" w:themeShade="80"/>
            </w:tcBorders>
            <w:shd w:val="clear" w:color="auto" w:fill="auto"/>
            <w:vAlign w:val="top"/>
            <w:hideMark/>
          </w:tcPr>
          <w:p w14:paraId="2AF30D14" w14:textId="77777777" w:rsidR="00327915" w:rsidRPr="00C411AD" w:rsidRDefault="00327915" w:rsidP="00327915">
            <w:pPr>
              <w:pStyle w:val="NormalWeb"/>
              <w:jc w:val="left"/>
              <w:rPr>
                <w:sz w:val="18"/>
                <w:szCs w:val="18"/>
                <w:lang w:val="en-GB"/>
              </w:rPr>
            </w:pPr>
            <w:r w:rsidRPr="00C411AD">
              <w:rPr>
                <w:sz w:val="18"/>
                <w:szCs w:val="18"/>
                <w:lang w:val="en-GB"/>
              </w:rPr>
              <w:t>July</w:t>
            </w:r>
          </w:p>
        </w:tc>
        <w:tc>
          <w:tcPr>
            <w:tcW w:w="5847" w:type="dxa"/>
            <w:tcBorders>
              <w:top w:val="single" w:sz="4" w:space="0" w:color="808080" w:themeColor="background1" w:themeShade="80"/>
              <w:bottom w:val="single" w:sz="4" w:space="0" w:color="808080" w:themeColor="background1" w:themeShade="80"/>
            </w:tcBorders>
            <w:shd w:val="clear" w:color="auto" w:fill="auto"/>
            <w:vAlign w:val="top"/>
            <w:hideMark/>
          </w:tcPr>
          <w:p w14:paraId="25BC0FE3" w14:textId="58773475" w:rsidR="00327915" w:rsidRPr="00C411AD" w:rsidRDefault="00327915" w:rsidP="00327915">
            <w:pPr>
              <w:pStyle w:val="NormalWeb"/>
              <w:jc w:val="left"/>
              <w:rPr>
                <w:sz w:val="18"/>
                <w:szCs w:val="18"/>
                <w:lang w:val="en-GB"/>
              </w:rPr>
            </w:pPr>
            <w:r w:rsidRPr="00C411AD">
              <w:rPr>
                <w:sz w:val="18"/>
                <w:szCs w:val="18"/>
                <w:lang w:val="en-GB"/>
              </w:rPr>
              <w:t>Novavax for use as the primary course in adolescents aged 12 to 17 years.</w:t>
            </w:r>
            <w:r>
              <w:rPr>
                <w:sz w:val="18"/>
                <w:szCs w:val="18"/>
                <w:lang w:val="en-GB"/>
              </w:rPr>
              <w:br/>
            </w:r>
            <w:r w:rsidRPr="00C411AD">
              <w:rPr>
                <w:sz w:val="18"/>
                <w:szCs w:val="18"/>
                <w:lang w:val="en-GB"/>
              </w:rPr>
              <w:t>Moderna for use as the primary course in children aged 6 months to under 6 years.</w:t>
            </w:r>
          </w:p>
        </w:tc>
        <w:tc>
          <w:tcPr>
            <w:tcW w:w="8038" w:type="dxa"/>
            <w:tcBorders>
              <w:top w:val="single" w:sz="4" w:space="0" w:color="808080" w:themeColor="background1" w:themeShade="80"/>
              <w:bottom w:val="single" w:sz="4" w:space="0" w:color="808080" w:themeColor="background1" w:themeShade="80"/>
            </w:tcBorders>
            <w:shd w:val="clear" w:color="auto" w:fill="auto"/>
            <w:vAlign w:val="top"/>
            <w:hideMark/>
          </w:tcPr>
          <w:p w14:paraId="3ABA502E" w14:textId="77777777" w:rsidR="00327915" w:rsidRPr="00C411AD" w:rsidRDefault="00327915" w:rsidP="00327915">
            <w:pPr>
              <w:pStyle w:val="NormalWeb"/>
              <w:jc w:val="left"/>
              <w:rPr>
                <w:sz w:val="18"/>
                <w:szCs w:val="18"/>
                <w:lang w:val="en-GB"/>
              </w:rPr>
            </w:pPr>
            <w:r w:rsidRPr="00C411AD">
              <w:rPr>
                <w:sz w:val="18"/>
                <w:szCs w:val="18"/>
                <w:lang w:val="en-GB"/>
              </w:rPr>
              <w:t>A second booster dose for all people aged 50 to 64 years.</w:t>
            </w:r>
            <w:r w:rsidRPr="00327915">
              <w:rPr>
                <w:sz w:val="18"/>
                <w:szCs w:val="18"/>
                <w:vertAlign w:val="superscript"/>
                <w:lang w:val="en-GB"/>
              </w:rPr>
              <w:t>19</w:t>
            </w:r>
          </w:p>
        </w:tc>
      </w:tr>
      <w:tr w:rsidR="00327915" w:rsidRPr="00C411AD" w14:paraId="7963168B" w14:textId="77777777" w:rsidTr="00125B24">
        <w:trPr>
          <w:cnfStyle w:val="000000010000" w:firstRow="0" w:lastRow="0" w:firstColumn="0" w:lastColumn="0" w:oddVBand="0" w:evenVBand="0" w:oddHBand="0" w:evenHBand="1" w:firstRowFirstColumn="0" w:firstRowLastColumn="0" w:lastRowFirstColumn="0" w:lastRowLastColumn="0"/>
          <w:divId w:val="812717687"/>
        </w:trPr>
        <w:tc>
          <w:tcPr>
            <w:tcW w:w="0" w:type="auto"/>
            <w:tcBorders>
              <w:top w:val="single" w:sz="4" w:space="0" w:color="808080" w:themeColor="background1" w:themeShade="80"/>
              <w:bottom w:val="single" w:sz="4" w:space="0" w:color="808080" w:themeColor="background1" w:themeShade="80"/>
            </w:tcBorders>
            <w:shd w:val="clear" w:color="auto" w:fill="auto"/>
            <w:vAlign w:val="top"/>
            <w:hideMark/>
          </w:tcPr>
          <w:p w14:paraId="3936C4C2" w14:textId="77777777" w:rsidR="00327915" w:rsidRPr="00C411AD" w:rsidRDefault="00327915" w:rsidP="00327915">
            <w:pPr>
              <w:pStyle w:val="NormalWeb"/>
              <w:jc w:val="left"/>
              <w:rPr>
                <w:sz w:val="18"/>
                <w:szCs w:val="18"/>
                <w:lang w:val="en-GB"/>
              </w:rPr>
            </w:pPr>
            <w:r w:rsidRPr="00C411AD">
              <w:rPr>
                <w:sz w:val="18"/>
                <w:szCs w:val="18"/>
                <w:lang w:val="en-GB"/>
              </w:rPr>
              <w:t>August</w:t>
            </w:r>
          </w:p>
        </w:tc>
        <w:tc>
          <w:tcPr>
            <w:tcW w:w="5847" w:type="dxa"/>
            <w:tcBorders>
              <w:top w:val="single" w:sz="4" w:space="0" w:color="808080" w:themeColor="background1" w:themeShade="80"/>
              <w:bottom w:val="single" w:sz="4" w:space="0" w:color="808080" w:themeColor="background1" w:themeShade="80"/>
            </w:tcBorders>
            <w:shd w:val="clear" w:color="auto" w:fill="auto"/>
            <w:vAlign w:val="top"/>
            <w:hideMark/>
          </w:tcPr>
          <w:p w14:paraId="05270F16" w14:textId="77777777" w:rsidR="00327915" w:rsidRPr="00C411AD" w:rsidRDefault="00327915" w:rsidP="00327915">
            <w:pPr>
              <w:pStyle w:val="NormalWeb"/>
              <w:jc w:val="left"/>
              <w:rPr>
                <w:sz w:val="18"/>
                <w:szCs w:val="18"/>
                <w:lang w:val="en-GB"/>
              </w:rPr>
            </w:pPr>
            <w:r w:rsidRPr="00C411AD">
              <w:rPr>
                <w:sz w:val="18"/>
                <w:szCs w:val="18"/>
                <w:lang w:val="en-GB"/>
              </w:rPr>
              <w:t>Moderna bivalent (original/Omicron) for use as a booster dose in people aged 18 years and over.</w:t>
            </w:r>
          </w:p>
        </w:tc>
        <w:tc>
          <w:tcPr>
            <w:tcW w:w="8038" w:type="dxa"/>
            <w:tcBorders>
              <w:top w:val="single" w:sz="4" w:space="0" w:color="808080" w:themeColor="background1" w:themeShade="80"/>
              <w:bottom w:val="single" w:sz="4" w:space="0" w:color="808080" w:themeColor="background1" w:themeShade="80"/>
            </w:tcBorders>
            <w:shd w:val="clear" w:color="auto" w:fill="auto"/>
            <w:vAlign w:val="top"/>
            <w:hideMark/>
          </w:tcPr>
          <w:p w14:paraId="6294969E" w14:textId="529AC070" w:rsidR="00327915" w:rsidRPr="00C411AD" w:rsidRDefault="00327915" w:rsidP="00327915">
            <w:pPr>
              <w:pStyle w:val="NormalWeb"/>
              <w:jc w:val="left"/>
              <w:rPr>
                <w:sz w:val="18"/>
                <w:szCs w:val="18"/>
                <w:lang w:val="en-GB"/>
              </w:rPr>
            </w:pPr>
            <w:r w:rsidRPr="00C411AD">
              <w:rPr>
                <w:sz w:val="18"/>
                <w:szCs w:val="18"/>
                <w:lang w:val="en-GB"/>
              </w:rPr>
              <w:t>Moderna for some children aged 6 months to under 5 years who are at increased risk of severe COVID-19.</w:t>
            </w:r>
            <w:r w:rsidRPr="00327915">
              <w:rPr>
                <w:sz w:val="18"/>
                <w:szCs w:val="18"/>
                <w:vertAlign w:val="superscript"/>
                <w:lang w:val="en-GB"/>
              </w:rPr>
              <w:t>20</w:t>
            </w:r>
            <w:r>
              <w:rPr>
                <w:sz w:val="18"/>
                <w:szCs w:val="18"/>
                <w:lang w:val="en-GB"/>
              </w:rPr>
              <w:br/>
            </w:r>
            <w:r w:rsidRPr="00C411AD">
              <w:rPr>
                <w:sz w:val="18"/>
                <w:szCs w:val="18"/>
                <w:lang w:val="en-GB"/>
              </w:rPr>
              <w:t>Novavax for the primary course in adolescents aged 12 to 17 years.</w:t>
            </w:r>
            <w:r w:rsidRPr="00327915">
              <w:rPr>
                <w:sz w:val="18"/>
                <w:szCs w:val="18"/>
                <w:vertAlign w:val="superscript"/>
                <w:lang w:val="en-GB"/>
              </w:rPr>
              <w:t>21</w:t>
            </w:r>
          </w:p>
        </w:tc>
      </w:tr>
      <w:tr w:rsidR="00327915" w:rsidRPr="00C411AD" w14:paraId="59E94A11" w14:textId="77777777" w:rsidTr="00125B24">
        <w:trPr>
          <w:divId w:val="812717687"/>
        </w:trPr>
        <w:tc>
          <w:tcPr>
            <w:tcW w:w="0" w:type="auto"/>
            <w:tcBorders>
              <w:top w:val="single" w:sz="4" w:space="0" w:color="808080" w:themeColor="background1" w:themeShade="80"/>
              <w:bottom w:val="single" w:sz="4" w:space="0" w:color="808080" w:themeColor="background1" w:themeShade="80"/>
            </w:tcBorders>
            <w:shd w:val="clear" w:color="auto" w:fill="auto"/>
            <w:vAlign w:val="top"/>
            <w:hideMark/>
          </w:tcPr>
          <w:p w14:paraId="6964C8F5" w14:textId="77777777" w:rsidR="00327915" w:rsidRPr="00C411AD" w:rsidRDefault="00327915" w:rsidP="00327915">
            <w:pPr>
              <w:pStyle w:val="NormalWeb"/>
              <w:jc w:val="left"/>
              <w:rPr>
                <w:sz w:val="18"/>
                <w:szCs w:val="18"/>
                <w:lang w:val="en-GB"/>
              </w:rPr>
            </w:pPr>
            <w:r w:rsidRPr="00C411AD">
              <w:rPr>
                <w:sz w:val="18"/>
                <w:szCs w:val="18"/>
                <w:lang w:val="en-GB"/>
              </w:rPr>
              <w:t>September</w:t>
            </w:r>
          </w:p>
        </w:tc>
        <w:tc>
          <w:tcPr>
            <w:tcW w:w="5847" w:type="dxa"/>
            <w:tcBorders>
              <w:top w:val="single" w:sz="4" w:space="0" w:color="808080" w:themeColor="background1" w:themeShade="80"/>
              <w:bottom w:val="single" w:sz="4" w:space="0" w:color="808080" w:themeColor="background1" w:themeShade="80"/>
            </w:tcBorders>
            <w:shd w:val="clear" w:color="auto" w:fill="auto"/>
            <w:vAlign w:val="top"/>
            <w:hideMark/>
          </w:tcPr>
          <w:p w14:paraId="385A3C81" w14:textId="3B40E8EB" w:rsidR="00327915" w:rsidRPr="00C411AD" w:rsidRDefault="00327915" w:rsidP="00327915">
            <w:pPr>
              <w:pStyle w:val="NormalWeb"/>
              <w:jc w:val="left"/>
              <w:rPr>
                <w:sz w:val="18"/>
                <w:szCs w:val="18"/>
                <w:lang w:val="en-GB"/>
              </w:rPr>
            </w:pPr>
            <w:r w:rsidRPr="00C411AD">
              <w:rPr>
                <w:sz w:val="18"/>
                <w:szCs w:val="18"/>
                <w:lang w:val="en-GB"/>
              </w:rPr>
              <w:t>Pfizer for use as a booster dose in children aged 5 to 11 years.</w:t>
            </w:r>
            <w:r>
              <w:rPr>
                <w:sz w:val="18"/>
                <w:szCs w:val="18"/>
                <w:lang w:val="en-GB"/>
              </w:rPr>
              <w:br/>
            </w:r>
            <w:r w:rsidRPr="00C411AD">
              <w:rPr>
                <w:sz w:val="18"/>
                <w:szCs w:val="18"/>
                <w:lang w:val="en-GB"/>
              </w:rPr>
              <w:t>Pfizer for use in children aged 6 months to under 5 years.</w:t>
            </w:r>
          </w:p>
        </w:tc>
        <w:tc>
          <w:tcPr>
            <w:tcW w:w="8038" w:type="dxa"/>
            <w:tcBorders>
              <w:top w:val="single" w:sz="4" w:space="0" w:color="808080" w:themeColor="background1" w:themeShade="80"/>
              <w:bottom w:val="single" w:sz="4" w:space="0" w:color="808080" w:themeColor="background1" w:themeShade="80"/>
            </w:tcBorders>
            <w:shd w:val="clear" w:color="auto" w:fill="auto"/>
            <w:vAlign w:val="top"/>
            <w:hideMark/>
          </w:tcPr>
          <w:p w14:paraId="78CFE0A0" w14:textId="77777777" w:rsidR="00327915" w:rsidRPr="00C411AD" w:rsidRDefault="00327915" w:rsidP="00327915">
            <w:pPr>
              <w:pStyle w:val="NormalWeb"/>
              <w:jc w:val="left"/>
              <w:rPr>
                <w:sz w:val="18"/>
                <w:szCs w:val="18"/>
                <w:lang w:val="en-GB"/>
              </w:rPr>
            </w:pPr>
            <w:r w:rsidRPr="00C411AD">
              <w:rPr>
                <w:sz w:val="18"/>
                <w:szCs w:val="18"/>
                <w:lang w:val="en-GB"/>
              </w:rPr>
              <w:t>Moderna bivalent (original/Omicron) as a booster dose in people aged 18 years and over.</w:t>
            </w:r>
            <w:r w:rsidRPr="00327915">
              <w:rPr>
                <w:sz w:val="18"/>
                <w:szCs w:val="18"/>
                <w:vertAlign w:val="superscript"/>
                <w:lang w:val="en-GB"/>
              </w:rPr>
              <w:t>22</w:t>
            </w:r>
          </w:p>
        </w:tc>
      </w:tr>
      <w:tr w:rsidR="00327915" w:rsidRPr="00C411AD" w14:paraId="60653CCF" w14:textId="77777777" w:rsidTr="00125B24">
        <w:trPr>
          <w:cnfStyle w:val="000000010000" w:firstRow="0" w:lastRow="0" w:firstColumn="0" w:lastColumn="0" w:oddVBand="0" w:evenVBand="0" w:oddHBand="0" w:evenHBand="1" w:firstRowFirstColumn="0" w:firstRowLastColumn="0" w:lastRowFirstColumn="0" w:lastRowLastColumn="0"/>
          <w:divId w:val="812717687"/>
        </w:trPr>
        <w:tc>
          <w:tcPr>
            <w:tcW w:w="0" w:type="auto"/>
            <w:tcBorders>
              <w:top w:val="single" w:sz="4" w:space="0" w:color="808080" w:themeColor="background1" w:themeShade="80"/>
              <w:bottom w:val="single" w:sz="4" w:space="0" w:color="808080" w:themeColor="background1" w:themeShade="80"/>
            </w:tcBorders>
            <w:shd w:val="clear" w:color="auto" w:fill="auto"/>
            <w:vAlign w:val="top"/>
            <w:hideMark/>
          </w:tcPr>
          <w:p w14:paraId="65CB5666" w14:textId="77777777" w:rsidR="00327915" w:rsidRPr="00C411AD" w:rsidRDefault="00327915" w:rsidP="00327915">
            <w:pPr>
              <w:pStyle w:val="NormalWeb"/>
              <w:jc w:val="left"/>
              <w:rPr>
                <w:sz w:val="18"/>
                <w:szCs w:val="18"/>
                <w:lang w:val="en-GB"/>
              </w:rPr>
            </w:pPr>
            <w:r w:rsidRPr="00C411AD">
              <w:rPr>
                <w:sz w:val="18"/>
                <w:szCs w:val="18"/>
                <w:lang w:val="en-GB"/>
              </w:rPr>
              <w:t>October</w:t>
            </w:r>
          </w:p>
        </w:tc>
        <w:tc>
          <w:tcPr>
            <w:tcW w:w="5847" w:type="dxa"/>
            <w:tcBorders>
              <w:top w:val="single" w:sz="4" w:space="0" w:color="808080" w:themeColor="background1" w:themeShade="80"/>
              <w:bottom w:val="single" w:sz="4" w:space="0" w:color="808080" w:themeColor="background1" w:themeShade="80"/>
            </w:tcBorders>
            <w:shd w:val="clear" w:color="auto" w:fill="auto"/>
            <w:vAlign w:val="top"/>
            <w:hideMark/>
          </w:tcPr>
          <w:p w14:paraId="5A667705" w14:textId="23E5659B" w:rsidR="00327915" w:rsidRPr="00C411AD" w:rsidRDefault="00327915" w:rsidP="00327915">
            <w:pPr>
              <w:pStyle w:val="NormalWeb"/>
              <w:jc w:val="left"/>
              <w:rPr>
                <w:sz w:val="18"/>
                <w:szCs w:val="18"/>
                <w:lang w:val="en-GB"/>
              </w:rPr>
            </w:pPr>
            <w:r w:rsidRPr="00C411AD">
              <w:rPr>
                <w:sz w:val="18"/>
                <w:szCs w:val="18"/>
                <w:lang w:val="en-GB"/>
              </w:rPr>
              <w:t>Pfizer bivalent (original/Omicron) for use in people aged 18 years and over.</w:t>
            </w:r>
            <w:r>
              <w:rPr>
                <w:sz w:val="18"/>
                <w:szCs w:val="18"/>
                <w:lang w:val="en-GB"/>
              </w:rPr>
              <w:br/>
            </w:r>
            <w:r w:rsidRPr="00C411AD">
              <w:rPr>
                <w:sz w:val="18"/>
                <w:szCs w:val="18"/>
                <w:lang w:val="en-GB"/>
              </w:rPr>
              <w:t>Moderna for use as a booster dose in people aged 12 years and over.</w:t>
            </w:r>
          </w:p>
        </w:tc>
        <w:tc>
          <w:tcPr>
            <w:tcW w:w="8038" w:type="dxa"/>
            <w:tcBorders>
              <w:top w:val="single" w:sz="4" w:space="0" w:color="808080" w:themeColor="background1" w:themeShade="80"/>
              <w:bottom w:val="single" w:sz="4" w:space="0" w:color="808080" w:themeColor="background1" w:themeShade="80"/>
            </w:tcBorders>
            <w:shd w:val="clear" w:color="auto" w:fill="auto"/>
            <w:vAlign w:val="top"/>
            <w:hideMark/>
          </w:tcPr>
          <w:p w14:paraId="27F0EA9C" w14:textId="77777777" w:rsidR="00327915" w:rsidRPr="00C411AD" w:rsidRDefault="00327915" w:rsidP="00327915">
            <w:pPr>
              <w:pStyle w:val="NormalWeb"/>
              <w:jc w:val="left"/>
              <w:rPr>
                <w:sz w:val="18"/>
                <w:szCs w:val="18"/>
                <w:lang w:val="en-GB"/>
              </w:rPr>
            </w:pPr>
            <w:r w:rsidRPr="00C411AD">
              <w:rPr>
                <w:sz w:val="18"/>
                <w:szCs w:val="18"/>
                <w:lang w:val="en-GB"/>
              </w:rPr>
              <w:t>A booster dose of Pfizer for some children aged 5 to 11 years who are at increased risk of COVID-19.</w:t>
            </w:r>
            <w:r w:rsidRPr="00327915">
              <w:rPr>
                <w:sz w:val="18"/>
                <w:szCs w:val="18"/>
                <w:vertAlign w:val="superscript"/>
                <w:lang w:val="en-GB"/>
              </w:rPr>
              <w:t>23</w:t>
            </w:r>
          </w:p>
        </w:tc>
      </w:tr>
      <w:tr w:rsidR="00327915" w:rsidRPr="00C411AD" w14:paraId="792839E8" w14:textId="77777777" w:rsidTr="00125B24">
        <w:trPr>
          <w:divId w:val="812717687"/>
        </w:trPr>
        <w:tc>
          <w:tcPr>
            <w:tcW w:w="0" w:type="auto"/>
            <w:tcBorders>
              <w:top w:val="single" w:sz="4" w:space="0" w:color="808080" w:themeColor="background1" w:themeShade="80"/>
              <w:bottom w:val="single" w:sz="4" w:space="0" w:color="808080" w:themeColor="background1" w:themeShade="80"/>
            </w:tcBorders>
            <w:shd w:val="clear" w:color="auto" w:fill="auto"/>
            <w:vAlign w:val="top"/>
            <w:hideMark/>
          </w:tcPr>
          <w:p w14:paraId="26DABEBF" w14:textId="77777777" w:rsidR="00327915" w:rsidRPr="00C411AD" w:rsidRDefault="00327915" w:rsidP="00327915">
            <w:pPr>
              <w:pStyle w:val="NormalWeb"/>
              <w:jc w:val="left"/>
              <w:rPr>
                <w:sz w:val="18"/>
                <w:szCs w:val="18"/>
                <w:lang w:val="en-GB"/>
              </w:rPr>
            </w:pPr>
            <w:r w:rsidRPr="00C411AD">
              <w:rPr>
                <w:sz w:val="18"/>
                <w:szCs w:val="18"/>
                <w:lang w:val="en-GB"/>
              </w:rPr>
              <w:t>November</w:t>
            </w:r>
          </w:p>
        </w:tc>
        <w:tc>
          <w:tcPr>
            <w:tcW w:w="5847" w:type="dxa"/>
            <w:tcBorders>
              <w:top w:val="single" w:sz="4" w:space="0" w:color="808080" w:themeColor="background1" w:themeShade="80"/>
              <w:bottom w:val="single" w:sz="4" w:space="0" w:color="808080" w:themeColor="background1" w:themeShade="80"/>
            </w:tcBorders>
            <w:shd w:val="clear" w:color="auto" w:fill="auto"/>
            <w:vAlign w:val="top"/>
            <w:hideMark/>
          </w:tcPr>
          <w:p w14:paraId="30D46E4B" w14:textId="77777777" w:rsidR="00327915" w:rsidRPr="00C411AD" w:rsidRDefault="00327915" w:rsidP="00327915">
            <w:pPr>
              <w:jc w:val="left"/>
              <w:rPr>
                <w:sz w:val="18"/>
                <w:szCs w:val="18"/>
                <w:lang w:val="en-GB"/>
              </w:rPr>
            </w:pPr>
          </w:p>
        </w:tc>
        <w:tc>
          <w:tcPr>
            <w:tcW w:w="8038" w:type="dxa"/>
            <w:tcBorders>
              <w:top w:val="single" w:sz="4" w:space="0" w:color="808080" w:themeColor="background1" w:themeShade="80"/>
              <w:bottom w:val="single" w:sz="4" w:space="0" w:color="808080" w:themeColor="background1" w:themeShade="80"/>
            </w:tcBorders>
            <w:shd w:val="clear" w:color="auto" w:fill="auto"/>
            <w:vAlign w:val="top"/>
            <w:hideMark/>
          </w:tcPr>
          <w:p w14:paraId="42B6C820" w14:textId="35C7EC04" w:rsidR="00327915" w:rsidRPr="00C411AD" w:rsidRDefault="00327915" w:rsidP="00327915">
            <w:pPr>
              <w:pStyle w:val="NormalWeb"/>
              <w:jc w:val="left"/>
              <w:rPr>
                <w:sz w:val="18"/>
                <w:szCs w:val="18"/>
                <w:lang w:val="en-GB"/>
              </w:rPr>
            </w:pPr>
            <w:r w:rsidRPr="00C411AD">
              <w:rPr>
                <w:sz w:val="18"/>
                <w:szCs w:val="18"/>
                <w:lang w:val="en-GB"/>
              </w:rPr>
              <w:t>Pfizer bivalent (original/Omicron) can be used as a booster dose in people aged 18 years and over.</w:t>
            </w:r>
            <w:r w:rsidRPr="00327915">
              <w:rPr>
                <w:sz w:val="18"/>
                <w:szCs w:val="18"/>
                <w:vertAlign w:val="superscript"/>
                <w:lang w:val="en-GB"/>
              </w:rPr>
              <w:t>24</w:t>
            </w:r>
            <w:r>
              <w:rPr>
                <w:sz w:val="18"/>
                <w:szCs w:val="18"/>
                <w:lang w:val="en-GB"/>
              </w:rPr>
              <w:br/>
            </w:r>
            <w:r w:rsidRPr="00C411AD">
              <w:rPr>
                <w:sz w:val="18"/>
                <w:szCs w:val="18"/>
                <w:lang w:val="en-GB"/>
              </w:rPr>
              <w:t>Pfizer as the primary course for some children aged 6 months to under 5 years who are at increased risk of severe COVID-19.</w:t>
            </w:r>
            <w:r w:rsidRPr="00327915">
              <w:rPr>
                <w:sz w:val="18"/>
                <w:szCs w:val="18"/>
                <w:vertAlign w:val="superscript"/>
                <w:lang w:val="en-GB"/>
              </w:rPr>
              <w:t>25</w:t>
            </w:r>
          </w:p>
        </w:tc>
      </w:tr>
    </w:tbl>
    <w:p w14:paraId="174261A9" w14:textId="77777777" w:rsidR="00327915" w:rsidRDefault="00327915" w:rsidP="00327915">
      <w:pPr>
        <w:pStyle w:val="CDIfootnotes"/>
        <w:divId w:val="812717687"/>
        <w:rPr>
          <w:lang w:val="en-GB"/>
        </w:rPr>
      </w:pPr>
      <w:proofErr w:type="gramStart"/>
      <w:r>
        <w:rPr>
          <w:lang w:val="en-GB"/>
        </w:rPr>
        <w:t>a</w:t>
      </w:r>
      <w:proofErr w:type="gramEnd"/>
      <w:r>
        <w:rPr>
          <w:lang w:val="en-GB"/>
        </w:rPr>
        <w:t xml:space="preserve"> </w:t>
      </w:r>
      <w:r>
        <w:rPr>
          <w:lang w:val="en-GB"/>
        </w:rPr>
        <w:tab/>
        <w:t>ATAGI recommendations may change over time, due to changes in COVID-19 epidemiology and other factors. These links refer to ATAGI recommendations from the specified month in 2022. For current guidance, see ATAGI clinical guidance for COVID-19 vaccine providers.</w:t>
      </w:r>
      <w:r w:rsidRPr="008E78D0">
        <w:rPr>
          <w:vertAlign w:val="superscript"/>
          <w:lang w:val="en-GB"/>
        </w:rPr>
        <w:t>5</w:t>
      </w:r>
    </w:p>
    <w:p w14:paraId="68A944EB" w14:textId="77777777" w:rsidR="00327915" w:rsidRDefault="00327915" w:rsidP="00327915">
      <w:pPr>
        <w:pStyle w:val="CDIfootnotes"/>
        <w:divId w:val="812717687"/>
        <w:rPr>
          <w:lang w:val="en-GB"/>
        </w:rPr>
      </w:pPr>
      <w:r>
        <w:rPr>
          <w:lang w:val="en-GB"/>
        </w:rPr>
        <w:t>b</w:t>
      </w:r>
      <w:r>
        <w:rPr>
          <w:lang w:val="en-GB"/>
        </w:rPr>
        <w:tab/>
        <w:t xml:space="preserve">Brand names for COVID-19 vaccines are: Comirnaty (Pfizer), Nuvaxovid (Novavax), Spikevax (Moderna), and </w:t>
      </w:r>
      <w:proofErr w:type="spellStart"/>
      <w:r>
        <w:rPr>
          <w:lang w:val="en-GB"/>
        </w:rPr>
        <w:t>Vaxzevria</w:t>
      </w:r>
      <w:proofErr w:type="spellEnd"/>
      <w:r>
        <w:rPr>
          <w:lang w:val="en-GB"/>
        </w:rPr>
        <w:t xml:space="preserve"> (AstraZeneca).</w:t>
      </w:r>
    </w:p>
    <w:p w14:paraId="6E442C5F" w14:textId="77777777" w:rsidR="00327915" w:rsidRDefault="00327915">
      <w:pPr>
        <w:pStyle w:val="Heading2"/>
        <w:divId w:val="812717687"/>
        <w:rPr>
          <w:rFonts w:eastAsia="Times New Roman"/>
        </w:rPr>
        <w:sectPr w:rsidR="00327915" w:rsidSect="00327915">
          <w:footnotePr>
            <w:numFmt w:val="lowerRoman"/>
          </w:footnotePr>
          <w:pgSz w:w="16838" w:h="11906" w:orient="landscape"/>
          <w:pgMar w:top="720" w:right="720" w:bottom="720" w:left="1134" w:header="709" w:footer="284" w:gutter="0"/>
          <w:cols w:space="708"/>
          <w:titlePg/>
          <w:docGrid w:linePitch="360"/>
        </w:sectPr>
      </w:pPr>
    </w:p>
    <w:p w14:paraId="25BFD171" w14:textId="77777777" w:rsidR="00327915" w:rsidRDefault="00327915">
      <w:pPr>
        <w:pStyle w:val="Heading2"/>
        <w:divId w:val="812717687"/>
        <w:rPr>
          <w:rFonts w:eastAsia="Times New Roman"/>
        </w:rPr>
      </w:pPr>
    </w:p>
    <w:p w14:paraId="306EE685" w14:textId="7DCFBE2D" w:rsidR="00E52252" w:rsidRDefault="00E52252">
      <w:pPr>
        <w:pStyle w:val="Heading2"/>
        <w:divId w:val="812717687"/>
        <w:rPr>
          <w:rFonts w:eastAsia="Times New Roman"/>
        </w:rPr>
      </w:pPr>
      <w:r>
        <w:rPr>
          <w:rFonts w:eastAsia="Times New Roman"/>
        </w:rPr>
        <w:t xml:space="preserve">COVID-19 vaccination </w:t>
      </w:r>
    </w:p>
    <w:p w14:paraId="298E4CA4" w14:textId="77777777" w:rsidR="00E52252" w:rsidRDefault="00E52252">
      <w:pPr>
        <w:pStyle w:val="NormalWeb"/>
        <w:divId w:val="812717687"/>
      </w:pPr>
      <w:r>
        <w:t xml:space="preserve">In 2022, the Therapeutic Goods Administration (TGA) provisionally approved a new COVID-19 vaccine, Nuvaxovid (Novavax), and new formulations of mRNA COVID-19 vaccines (Pfizer and Moderna) for use as either primary course doses or booster doses. ATAGI then recommended how these vaccines could best </w:t>
      </w:r>
      <w:proofErr w:type="gramStart"/>
      <w:r>
        <w:t>be used</w:t>
      </w:r>
      <w:proofErr w:type="gramEnd"/>
      <w:r>
        <w:t xml:space="preserve"> in the Australian context. See the timeline in Table 1 for details of this work. </w:t>
      </w:r>
    </w:p>
    <w:p w14:paraId="531EFEA0" w14:textId="77777777" w:rsidR="00E52252" w:rsidRDefault="00E52252">
      <w:pPr>
        <w:pStyle w:val="Heading3"/>
        <w:divId w:val="812717687"/>
        <w:rPr>
          <w:rFonts w:eastAsia="Times New Roman"/>
        </w:rPr>
      </w:pPr>
      <w:r>
        <w:rPr>
          <w:rFonts w:eastAsia="Times New Roman"/>
        </w:rPr>
        <w:t xml:space="preserve">COVID-19 vaccination coverage </w:t>
      </w:r>
    </w:p>
    <w:p w14:paraId="671B322A" w14:textId="77777777" w:rsidR="00E52252" w:rsidRDefault="00E52252">
      <w:pPr>
        <w:pStyle w:val="NormalWeb"/>
        <w:divId w:val="812717687"/>
      </w:pPr>
      <w:r>
        <w:t xml:space="preserve">COVID-19 vaccination coverage in Australia is high (Figure 1). From the beginning of the COVID-19 vaccination program (February 2021) to 21 December 2022, more than 64.4 million doses of COVID-19 vaccines </w:t>
      </w:r>
      <w:proofErr w:type="gramStart"/>
      <w:r>
        <w:t>were administered</w:t>
      </w:r>
      <w:proofErr w:type="gramEnd"/>
      <w:r>
        <w:t xml:space="preserve"> across Australia. More than 14.3 million people aged 16 years and over had received three doses: this included 69% of people aged 16 years and over, 76% of people aged 30 years and over and 93% of people aged 65 years and over. More than 5.3 million people had received four doses, including 33% of people aged 30 years and over and 70% of people aged 65 years and over. More than 900,000 children (40%) aged 5 to 11 years had received two doses. </w:t>
      </w:r>
    </w:p>
    <w:p w14:paraId="196060A2" w14:textId="77777777" w:rsidR="00E52252" w:rsidRDefault="00E52252">
      <w:pPr>
        <w:pStyle w:val="Heading2"/>
        <w:divId w:val="812717687"/>
        <w:rPr>
          <w:rFonts w:eastAsia="Times New Roman"/>
        </w:rPr>
      </w:pPr>
      <w:r>
        <w:rPr>
          <w:rFonts w:eastAsia="Times New Roman"/>
        </w:rPr>
        <w:t xml:space="preserve">Other ATAGI COVID-19 activities </w:t>
      </w:r>
    </w:p>
    <w:p w14:paraId="2167E57E" w14:textId="42DD9300" w:rsidR="00E52252" w:rsidRDefault="00E52252">
      <w:pPr>
        <w:pStyle w:val="NormalWeb"/>
        <w:divId w:val="812717687"/>
      </w:pPr>
      <w:r>
        <w:t>During 2022, ATAGI continued to develop the clinical guidance for COVID</w:t>
      </w:r>
      <w:r w:rsidR="00DC6573">
        <w:t>-</w:t>
      </w:r>
      <w:r>
        <w:t>19 vaccine providers,</w:t>
      </w:r>
      <w:proofErr w:type="gramStart"/>
      <w:r>
        <w:rPr>
          <w:vertAlign w:val="superscript"/>
        </w:rPr>
        <w:t>8</w:t>
      </w:r>
      <w:proofErr w:type="gramEnd"/>
      <w:r>
        <w:t xml:space="preserve"> resources for immunisation providers,</w:t>
      </w:r>
      <w:r>
        <w:rPr>
          <w:vertAlign w:val="superscript"/>
        </w:rPr>
        <w:t>9</w:t>
      </w:r>
      <w:r>
        <w:t xml:space="preserve"> and resources for consumers.</w:t>
      </w:r>
      <w:r>
        <w:rPr>
          <w:vertAlign w:val="superscript"/>
        </w:rPr>
        <w:t>10</w:t>
      </w:r>
      <w:r>
        <w:t xml:space="preserve"> </w:t>
      </w:r>
    </w:p>
    <w:p w14:paraId="29DBE6EB" w14:textId="77777777" w:rsidR="00E52252" w:rsidRDefault="00E52252">
      <w:pPr>
        <w:pStyle w:val="NormalWeb"/>
        <w:divId w:val="812717687"/>
      </w:pPr>
      <w:r>
        <w:t xml:space="preserve">ATAGI updated these resources </w:t>
      </w:r>
      <w:proofErr w:type="gramStart"/>
      <w:r>
        <w:t>frequently</w:t>
      </w:r>
      <w:proofErr w:type="gramEnd"/>
      <w:r>
        <w:t xml:space="preserve"> as more vaccines were registered for use in different age groups, and as new evidence on vaccine handling, efficacy, effectiveness and safety became available. ATAGI recommendations </w:t>
      </w:r>
      <w:proofErr w:type="gramStart"/>
      <w:r>
        <w:t>regarding</w:t>
      </w:r>
      <w:proofErr w:type="gramEnd"/>
      <w:r>
        <w:t xml:space="preserve"> the use of COVID-19 vaccines and vaccines provisionally approved by the TGA in 2022 are presented in Table 1.</w:t>
      </w:r>
    </w:p>
    <w:p w14:paraId="74369E88" w14:textId="77777777" w:rsidR="00E52252" w:rsidRDefault="00E52252">
      <w:pPr>
        <w:pStyle w:val="Heading2"/>
        <w:divId w:val="812717687"/>
        <w:rPr>
          <w:rFonts w:eastAsia="Times New Roman"/>
        </w:rPr>
      </w:pPr>
      <w:r>
        <w:rPr>
          <w:rFonts w:eastAsia="Times New Roman"/>
        </w:rPr>
        <w:t xml:space="preserve">COVID-19 vaccine safety </w:t>
      </w:r>
    </w:p>
    <w:p w14:paraId="6E6CCD73" w14:textId="0D55D391" w:rsidR="00E52252" w:rsidRDefault="00E52252">
      <w:pPr>
        <w:pStyle w:val="NormalWeb"/>
        <w:divId w:val="812717687"/>
      </w:pPr>
      <w:r>
        <w:t>The TGA has overall responsibility for the safety of vaccines on the Australian Register of Therapeutic Goods in Australia, which includes COVID-19 vaccines. ATAGI also closely monitors COVID</w:t>
      </w:r>
      <w:r w:rsidR="00DC6573">
        <w:t>-</w:t>
      </w:r>
      <w:r>
        <w:t>19 vaccine safety issues, and carefully assesses the benefits against the potential risks, from a program perspective. The TGA continued to publish updates on its safety monitoring process throughout 2022 in COVID</w:t>
      </w:r>
      <w:r w:rsidR="00DC6573">
        <w:t>-</w:t>
      </w:r>
      <w:r>
        <w:t>19 vaccine safety reports.</w:t>
      </w:r>
      <w:r>
        <w:rPr>
          <w:vertAlign w:val="superscript"/>
        </w:rPr>
        <w:t>26</w:t>
      </w:r>
      <w:r>
        <w:t xml:space="preserve"> A special subgroup of the ATAGI COVID</w:t>
      </w:r>
      <w:r w:rsidR="00DC6573">
        <w:t>-</w:t>
      </w:r>
      <w:r>
        <w:t xml:space="preserve">19 Working Group met regularly throughout 2022 to discuss vaccine safety issues. </w:t>
      </w:r>
    </w:p>
    <w:p w14:paraId="5F12B354" w14:textId="77777777" w:rsidR="00E52252" w:rsidRDefault="00E52252">
      <w:pPr>
        <w:pStyle w:val="Heading3"/>
        <w:divId w:val="812717687"/>
        <w:rPr>
          <w:rFonts w:eastAsia="Times New Roman"/>
        </w:rPr>
      </w:pPr>
      <w:r>
        <w:rPr>
          <w:rFonts w:eastAsia="Times New Roman"/>
        </w:rPr>
        <w:t xml:space="preserve">Overall adverse events </w:t>
      </w:r>
    </w:p>
    <w:p w14:paraId="6B7695C6" w14:textId="30A21022" w:rsidR="00E52252" w:rsidRDefault="00E52252">
      <w:pPr>
        <w:pStyle w:val="NormalWeb"/>
        <w:divId w:val="812717687"/>
      </w:pPr>
      <w:r>
        <w:t xml:space="preserve">In 2022, a total of 1,210,362 people aged 16 years and over </w:t>
      </w:r>
      <w:proofErr w:type="gramStart"/>
      <w:r>
        <w:t>participated</w:t>
      </w:r>
      <w:proofErr w:type="gramEnd"/>
      <w:r>
        <w:t xml:space="preserve"> in Australia’s active vaccine safety surveillance, AusVaxSafety,</w:t>
      </w:r>
      <w:r>
        <w:rPr>
          <w:vertAlign w:val="superscript"/>
        </w:rPr>
        <w:t>27</w:t>
      </w:r>
      <w:r>
        <w:t xml:space="preserve"> after their COVID</w:t>
      </w:r>
      <w:r w:rsidR="00DC6573">
        <w:t>-</w:t>
      </w:r>
      <w:r>
        <w:t xml:space="preserve">19 vaccinations. This is one of the largest safety survey databases on any type of vaccine in use today. Of these people: 54.1% reported no adverse events, 45.9% reported at least </w:t>
      </w:r>
      <w:r w:rsidR="00DC6573">
        <w:t>one</w:t>
      </w:r>
      <w:r>
        <w:t xml:space="preserve"> adverse event and 0.9% reported visiting a doctor or emergency department. </w:t>
      </w:r>
    </w:p>
    <w:p w14:paraId="3F5CBB39" w14:textId="47271F03" w:rsidR="00E52252" w:rsidRDefault="00E52252">
      <w:pPr>
        <w:pStyle w:val="NormalWeb"/>
        <w:divId w:val="812717687"/>
      </w:pPr>
      <w:r>
        <w:t xml:space="preserve">COVID-19 vaccines </w:t>
      </w:r>
      <w:proofErr w:type="gramStart"/>
      <w:r>
        <w:t>were successfully rolled</w:t>
      </w:r>
      <w:proofErr w:type="gramEnd"/>
      <w:r>
        <w:t xml:space="preserve"> out to children aged 5 to 12 years in 2022. A total of 234,661 children aged 5 to 12 years </w:t>
      </w:r>
      <w:proofErr w:type="gramStart"/>
      <w:r>
        <w:t>participated</w:t>
      </w:r>
      <w:proofErr w:type="gramEnd"/>
      <w:r>
        <w:t xml:space="preserve"> in the vaccine safety survey. Of these: 72.4% reported no adverse events, 27.6% reported at least </w:t>
      </w:r>
      <w:r w:rsidR="00DC6573">
        <w:t>one</w:t>
      </w:r>
      <w:r>
        <w:t xml:space="preserve"> adverse event and 0.5% reported visiting a doctor or emergency department. </w:t>
      </w:r>
    </w:p>
    <w:p w14:paraId="15335D91" w14:textId="77777777" w:rsidR="00EB0A75" w:rsidRDefault="00EB0A75">
      <w:pPr>
        <w:rPr>
          <w:rFonts w:asciiTheme="majorHAnsi" w:eastAsia="Times New Roman" w:hAnsiTheme="majorHAnsi" w:cstheme="majorBidi"/>
          <w:b/>
          <w:bCs/>
        </w:rPr>
      </w:pPr>
      <w:r>
        <w:rPr>
          <w:rFonts w:eastAsia="Times New Roman"/>
        </w:rPr>
        <w:br w:type="page"/>
      </w:r>
    </w:p>
    <w:p w14:paraId="638761EE" w14:textId="642FB4AE" w:rsidR="00E52252" w:rsidRDefault="00E52252">
      <w:pPr>
        <w:pStyle w:val="Heading3"/>
        <w:divId w:val="812717687"/>
        <w:rPr>
          <w:rFonts w:eastAsia="Times New Roman"/>
        </w:rPr>
      </w:pPr>
      <w:r>
        <w:rPr>
          <w:rFonts w:eastAsia="Times New Roman"/>
        </w:rPr>
        <w:lastRenderedPageBreak/>
        <w:t xml:space="preserve">Specific adverse events </w:t>
      </w:r>
    </w:p>
    <w:p w14:paraId="5BC4DAB3" w14:textId="5451B381" w:rsidR="00E52252" w:rsidRDefault="00E52252">
      <w:pPr>
        <w:pStyle w:val="NormalWeb"/>
        <w:divId w:val="812717687"/>
      </w:pPr>
      <w:r>
        <w:t>Myocarditis and pericarditis are adverse events of special interest initially noted following the introduction of mRNA COVID</w:t>
      </w:r>
      <w:r w:rsidR="00DC6573">
        <w:t>-</w:t>
      </w:r>
      <w:r>
        <w:t xml:space="preserve">19 vaccines in 2021. In 2022, new evidence on vaccine safety showed that myocarditis and pericarditis risks </w:t>
      </w:r>
      <w:proofErr w:type="gramStart"/>
      <w:r>
        <w:t>were not confined</w:t>
      </w:r>
      <w:proofErr w:type="gramEnd"/>
      <w:r>
        <w:t xml:space="preserve"> to mRNA vaccines, and that increasing the dose interval may reduce the likelihood of an event. ATAGI developed guidance on myocarditis and pericarditis after COVID-19 vaccines in 2022,</w:t>
      </w:r>
      <w:r>
        <w:rPr>
          <w:vertAlign w:val="superscript"/>
        </w:rPr>
        <w:t>28</w:t>
      </w:r>
      <w:r>
        <w:t xml:space="preserve"> in collaboration with subject matter experts. ATAGI continues to </w:t>
      </w:r>
      <w:proofErr w:type="gramStart"/>
      <w:r>
        <w:t>monitor</w:t>
      </w:r>
      <w:proofErr w:type="gramEnd"/>
      <w:r>
        <w:t xml:space="preserve"> the evidence and rates of these adverse events. </w:t>
      </w:r>
    </w:p>
    <w:p w14:paraId="2A06ECCE" w14:textId="77777777" w:rsidR="00E52252" w:rsidRDefault="00E52252">
      <w:pPr>
        <w:pStyle w:val="NormalWeb"/>
        <w:divId w:val="812717687"/>
      </w:pPr>
      <w:r>
        <w:t xml:space="preserve">Thrombosis with thrombocytopenia syndrome (TTS) is a rare but serious adverse event attributed to the AstraZeneca vaccine and </w:t>
      </w:r>
      <w:proofErr w:type="gramStart"/>
      <w:r>
        <w:t>identified</w:t>
      </w:r>
      <w:proofErr w:type="gramEnd"/>
      <w:r>
        <w:t xml:space="preserve"> early in the vaccination program rollout. In 2022, there were no </w:t>
      </w:r>
      <w:proofErr w:type="gramStart"/>
      <w:r>
        <w:t>additional</w:t>
      </w:r>
      <w:proofErr w:type="gramEnd"/>
      <w:r>
        <w:t xml:space="preserve"> cases of TTS because the AstraZeneca vaccine was no longer widely used in Australia. </w:t>
      </w:r>
    </w:p>
    <w:p w14:paraId="66B76443" w14:textId="77777777" w:rsidR="00E52252" w:rsidRDefault="00E52252">
      <w:pPr>
        <w:pStyle w:val="Heading3"/>
        <w:divId w:val="812717687"/>
        <w:rPr>
          <w:rFonts w:eastAsia="Times New Roman"/>
        </w:rPr>
      </w:pPr>
      <w:r>
        <w:rPr>
          <w:rFonts w:eastAsia="Times New Roman"/>
        </w:rPr>
        <w:t xml:space="preserve">No-fault COVID-19 Vaccines Claims Scheme </w:t>
      </w:r>
    </w:p>
    <w:p w14:paraId="248E5ED8" w14:textId="77777777" w:rsidR="00E52252" w:rsidRDefault="00E52252">
      <w:pPr>
        <w:pStyle w:val="NormalWeb"/>
        <w:divId w:val="812717687"/>
      </w:pPr>
      <w:r>
        <w:t>The COVID-19 Vaccine Claims Scheme announced by the Australian Government on 28 August 2021 allows people to claim compensation for injuries resulting from diagnosed clinical conditions likely to be caused by a TGA-approved COVID-19 vaccine or its administration.</w:t>
      </w:r>
      <w:r>
        <w:rPr>
          <w:vertAlign w:val="superscript"/>
        </w:rPr>
        <w:t>29</w:t>
      </w:r>
      <w:r>
        <w:t xml:space="preserve"> The scheme continued throughout 2022, receiving more than 3,000 claims backdated to February 2021, when COVID-19 vaccination rollout commenced in Australia. </w:t>
      </w:r>
    </w:p>
    <w:p w14:paraId="04D94BA8" w14:textId="77777777" w:rsidR="00E52252" w:rsidRDefault="00E52252">
      <w:pPr>
        <w:pStyle w:val="Heading2"/>
        <w:divId w:val="812717687"/>
        <w:rPr>
          <w:rFonts w:eastAsia="Times New Roman"/>
        </w:rPr>
      </w:pPr>
      <w:r>
        <w:rPr>
          <w:rFonts w:eastAsia="Times New Roman"/>
        </w:rPr>
        <w:t xml:space="preserve">Prevention and control of other vaccine-preventable diseases </w:t>
      </w:r>
    </w:p>
    <w:p w14:paraId="1F380E93" w14:textId="77777777" w:rsidR="00E52252" w:rsidRDefault="00E52252">
      <w:pPr>
        <w:pStyle w:val="NormalWeb"/>
        <w:divId w:val="812717687"/>
      </w:pPr>
      <w:r>
        <w:t xml:space="preserve">Cases of certain VPDs increased in 2022 compared with 2020 and 2021, </w:t>
      </w:r>
      <w:proofErr w:type="gramStart"/>
      <w:r>
        <w:t>likely due</w:t>
      </w:r>
      <w:proofErr w:type="gramEnd"/>
      <w:r>
        <w:t xml:space="preserve"> to easing of COVID-19 restrictions and reopening of Australia’s borders to international travel. Data in this section </w:t>
      </w:r>
      <w:proofErr w:type="gramStart"/>
      <w:r>
        <w:t>were extracted</w:t>
      </w:r>
      <w:proofErr w:type="gramEnd"/>
      <w:r>
        <w:t xml:space="preserve"> from the National Notifiable Disease Surveillance System with a diagnosis date of between 1 January and 31 December 2022. </w:t>
      </w:r>
    </w:p>
    <w:p w14:paraId="4493ED20" w14:textId="77777777" w:rsidR="00E52252" w:rsidRDefault="00E52252">
      <w:pPr>
        <w:pStyle w:val="Heading3"/>
        <w:divId w:val="812717687"/>
        <w:rPr>
          <w:rFonts w:eastAsia="Times New Roman"/>
        </w:rPr>
      </w:pPr>
      <w:r>
        <w:rPr>
          <w:rFonts w:eastAsia="Times New Roman"/>
        </w:rPr>
        <w:t xml:space="preserve">Influenza </w:t>
      </w:r>
    </w:p>
    <w:p w14:paraId="79FCC8A7" w14:textId="77777777" w:rsidR="00E52252" w:rsidRDefault="00E52252">
      <w:pPr>
        <w:pStyle w:val="NormalWeb"/>
        <w:divId w:val="812717687"/>
      </w:pPr>
      <w:r>
        <w:t xml:space="preserve">During Australia’s international border closures, influenza activity was </w:t>
      </w:r>
      <w:proofErr w:type="gramStart"/>
      <w:r>
        <w:t>very low</w:t>
      </w:r>
      <w:proofErr w:type="gramEnd"/>
      <w:r>
        <w:t xml:space="preserve">. After borders reopened in 2022, notifications of influenza dramatically increased to 306 times higher than the same period in 2021 and 1.8 times higher than the 5-year mean. There was a notable increase in cases during the usual peak winter season. </w:t>
      </w:r>
    </w:p>
    <w:p w14:paraId="71AA9B50" w14:textId="77777777" w:rsidR="00E52252" w:rsidRDefault="00E52252">
      <w:pPr>
        <w:pStyle w:val="NormalWeb"/>
        <w:divId w:val="812717687"/>
      </w:pPr>
      <w:r>
        <w:t>Notifications were highest in children aged 5 to 9 years (2,244 notifications per 100,000 population) and in children aged under 5 years (1,929 notifications per 100,000 population). The notification rate for adults aged 65 years and over was 388 per 100,000 population. More details are in the national 2022 influenza season summary.</w:t>
      </w:r>
      <w:r>
        <w:rPr>
          <w:vertAlign w:val="superscript"/>
        </w:rPr>
        <w:t>30</w:t>
      </w:r>
      <w:r>
        <w:t xml:space="preserve"> </w:t>
      </w:r>
    </w:p>
    <w:p w14:paraId="39153497" w14:textId="77777777" w:rsidR="00E52252" w:rsidRDefault="00E52252">
      <w:pPr>
        <w:pStyle w:val="Heading3"/>
        <w:divId w:val="812717687"/>
        <w:rPr>
          <w:rFonts w:eastAsia="Times New Roman"/>
        </w:rPr>
      </w:pPr>
      <w:r>
        <w:rPr>
          <w:rFonts w:eastAsia="Times New Roman"/>
        </w:rPr>
        <w:t xml:space="preserve">Meningococcal disease </w:t>
      </w:r>
    </w:p>
    <w:p w14:paraId="7D8F4750" w14:textId="2F71E6D1" w:rsidR="00E52252" w:rsidRDefault="00E52252">
      <w:pPr>
        <w:pStyle w:val="NormalWeb"/>
        <w:divId w:val="812717687"/>
      </w:pPr>
      <w:r>
        <w:t>There were 124 notifications of invasive meningococcal disease in 2022. This was 70% higher than the same period in 2021 but 40% lower than the 5</w:t>
      </w:r>
      <w:r w:rsidR="00DC6573">
        <w:t>-</w:t>
      </w:r>
      <w:r>
        <w:t xml:space="preserve">year mean. </w:t>
      </w:r>
    </w:p>
    <w:p w14:paraId="7CAFCCAF" w14:textId="77777777" w:rsidR="00E52252" w:rsidRDefault="00E52252">
      <w:pPr>
        <w:pStyle w:val="NormalWeb"/>
        <w:divId w:val="812717687"/>
      </w:pPr>
      <w:r>
        <w:t>Of the 116 cases in 2022 with available serogroup information, the most common serogroups were serogroup B (</w:t>
      </w:r>
      <w:proofErr w:type="gramStart"/>
      <w:r>
        <w:t>100</w:t>
      </w:r>
      <w:proofErr w:type="gramEnd"/>
      <w:r>
        <w:t xml:space="preserve"> cases), followed by serogroup Y (9 cases) and serogroup W (6 cases). Different vaccines can prevent serogroup B and serogroups A, C, W and Y. Of the </w:t>
      </w:r>
      <w:proofErr w:type="gramStart"/>
      <w:r>
        <w:t>99</w:t>
      </w:r>
      <w:proofErr w:type="gramEnd"/>
      <w:r>
        <w:t xml:space="preserve"> cases in 2022 with vaccination status information: 5% were vaccinated against the serogroup causing disease, 55% were vaccinated, but not against the serogroup causing disease and 37% were unvaccinated. </w:t>
      </w:r>
    </w:p>
    <w:p w14:paraId="0797DCD3" w14:textId="77777777" w:rsidR="00EB0A75" w:rsidRDefault="00EB0A75">
      <w:pPr>
        <w:rPr>
          <w:rFonts w:asciiTheme="majorHAnsi" w:eastAsia="Times New Roman" w:hAnsiTheme="majorHAnsi" w:cstheme="majorBidi"/>
          <w:b/>
          <w:bCs/>
        </w:rPr>
      </w:pPr>
      <w:r>
        <w:rPr>
          <w:rFonts w:eastAsia="Times New Roman"/>
        </w:rPr>
        <w:br w:type="page"/>
      </w:r>
    </w:p>
    <w:p w14:paraId="7F4C42E4" w14:textId="6E993BCB" w:rsidR="00E52252" w:rsidRDefault="00E52252">
      <w:pPr>
        <w:pStyle w:val="Heading3"/>
        <w:divId w:val="812717687"/>
        <w:rPr>
          <w:rFonts w:eastAsia="Times New Roman"/>
        </w:rPr>
      </w:pPr>
      <w:r>
        <w:rPr>
          <w:rFonts w:eastAsia="Times New Roman"/>
        </w:rPr>
        <w:lastRenderedPageBreak/>
        <w:t xml:space="preserve">Pneumococcal disease </w:t>
      </w:r>
    </w:p>
    <w:p w14:paraId="2BAF25A2" w14:textId="61949EEE" w:rsidR="00E52252" w:rsidRDefault="00E52252">
      <w:pPr>
        <w:pStyle w:val="NormalWeb"/>
        <w:divId w:val="812717687"/>
      </w:pPr>
      <w:r>
        <w:t>Notifications of invasive pneumococcal disease were 40% higher than the same period in 2021 and 7% higher than the 5</w:t>
      </w:r>
      <w:r w:rsidR="00DC6573">
        <w:t>-</w:t>
      </w:r>
      <w:r>
        <w:t xml:space="preserve">year mean. Most cases were in adults aged 65 years and older and in children aged 0 to 4 years. </w:t>
      </w:r>
    </w:p>
    <w:p w14:paraId="7943749E" w14:textId="45301B50" w:rsidR="00E52252" w:rsidRDefault="00E52252">
      <w:pPr>
        <w:pStyle w:val="NormalWeb"/>
        <w:divId w:val="812717687"/>
      </w:pPr>
      <w:r>
        <w:t xml:space="preserve">Serotype information was available for 81% of notified cases. The </w:t>
      </w:r>
      <w:r w:rsidR="00DC6573">
        <w:t>three</w:t>
      </w:r>
      <w:r>
        <w:t xml:space="preserve"> most </w:t>
      </w:r>
      <w:proofErr w:type="gramStart"/>
      <w:r>
        <w:t>frequently</w:t>
      </w:r>
      <w:proofErr w:type="gramEnd"/>
      <w:r>
        <w:t xml:space="preserve"> reported serotypes were 3 (15.0%), 22F (7.6%) and 19F (7.4%). Pneumococcal vaccines available in 2022 cover serotypes 3 and 19F, so </w:t>
      </w:r>
      <w:proofErr w:type="gramStart"/>
      <w:r>
        <w:t>some of</w:t>
      </w:r>
      <w:proofErr w:type="gramEnd"/>
      <w:r>
        <w:t xml:space="preserve"> these cases were vaccine failures. </w:t>
      </w:r>
    </w:p>
    <w:p w14:paraId="2BDDB727" w14:textId="77777777" w:rsidR="00E52252" w:rsidRDefault="00E52252">
      <w:pPr>
        <w:pStyle w:val="NormalWeb"/>
        <w:divId w:val="812717687"/>
      </w:pPr>
      <w:r>
        <w:t xml:space="preserve">Vaccination status was available for </w:t>
      </w:r>
      <w:proofErr w:type="gramStart"/>
      <w:r>
        <w:t>72</w:t>
      </w:r>
      <w:proofErr w:type="gramEnd"/>
      <w:r>
        <w:t xml:space="preserve"> of the cases in children aged under 5 years. Of this group, 30 cases </w:t>
      </w:r>
      <w:proofErr w:type="gramStart"/>
      <w:r>
        <w:t>were considered</w:t>
      </w:r>
      <w:proofErr w:type="gramEnd"/>
      <w:r>
        <w:t xml:space="preserve"> vaccine failures, due to serotypes 3 (</w:t>
      </w:r>
      <w:r w:rsidRPr="001B2C83">
        <w:rPr>
          <w:rStyle w:val="Emphasis"/>
          <w:b w:val="0"/>
          <w:bCs w:val="0"/>
        </w:rPr>
        <w:t>n</w:t>
      </w:r>
      <w:r>
        <w:t> = 15), 19A (</w:t>
      </w:r>
      <w:r w:rsidRPr="001B2C83">
        <w:rPr>
          <w:rStyle w:val="Emphasis"/>
          <w:b w:val="0"/>
          <w:bCs w:val="0"/>
        </w:rPr>
        <w:t>n</w:t>
      </w:r>
      <w:r>
        <w:t> = 7) 19F (</w:t>
      </w:r>
      <w:r w:rsidRPr="001B2C83">
        <w:rPr>
          <w:rStyle w:val="Emphasis"/>
          <w:b w:val="0"/>
          <w:bCs w:val="0"/>
        </w:rPr>
        <w:t>n</w:t>
      </w:r>
      <w:r>
        <w:t> = 7), 6B (</w:t>
      </w:r>
      <w:r w:rsidRPr="001B2C83">
        <w:rPr>
          <w:rStyle w:val="Emphasis"/>
          <w:b w:val="0"/>
          <w:bCs w:val="0"/>
        </w:rPr>
        <w:t>n</w:t>
      </w:r>
      <w:r>
        <w:t> = 1) and 7F (</w:t>
      </w:r>
      <w:r w:rsidRPr="001B2C83">
        <w:rPr>
          <w:rStyle w:val="Emphasis"/>
          <w:b w:val="0"/>
          <w:bCs w:val="0"/>
        </w:rPr>
        <w:t>n</w:t>
      </w:r>
      <w:r>
        <w:t xml:space="preserve"> = 1). ATAGI will continue to </w:t>
      </w:r>
      <w:proofErr w:type="gramStart"/>
      <w:r>
        <w:t>monitor</w:t>
      </w:r>
      <w:proofErr w:type="gramEnd"/>
      <w:r>
        <w:t xml:space="preserve"> this issue. </w:t>
      </w:r>
    </w:p>
    <w:p w14:paraId="73C8206B" w14:textId="77777777" w:rsidR="00E52252" w:rsidRDefault="00E52252">
      <w:pPr>
        <w:pStyle w:val="Heading3"/>
        <w:divId w:val="812717687"/>
        <w:rPr>
          <w:rFonts w:eastAsia="Times New Roman"/>
        </w:rPr>
      </w:pPr>
      <w:r>
        <w:rPr>
          <w:rFonts w:eastAsia="Times New Roman"/>
        </w:rPr>
        <w:t xml:space="preserve">Diphtheria </w:t>
      </w:r>
    </w:p>
    <w:p w14:paraId="5F908D20" w14:textId="6B6E90C8" w:rsidR="00E52252" w:rsidRDefault="00E52252">
      <w:pPr>
        <w:pStyle w:val="NormalWeb"/>
        <w:divId w:val="812717687"/>
      </w:pPr>
      <w:r>
        <w:t>Notifications of community-acquired diphtheria increased in 2022. In Australia in 2022, there were</w:t>
      </w:r>
      <w:r w:rsidR="00DC6573">
        <w:t xml:space="preserve"> three</w:t>
      </w:r>
      <w:r>
        <w:t xml:space="preserve"> cases of pharyngeal (respiratory) diphtheria in children. These are the first confirmed cases of pharyngeal diphtheria in children in Australia since 1992.</w:t>
      </w:r>
      <w:r>
        <w:rPr>
          <w:vertAlign w:val="superscript"/>
        </w:rPr>
        <w:t>31</w:t>
      </w:r>
      <w:r>
        <w:t xml:space="preserve"> Additionally, there were three cases of pharyngeal diphtheria in adults, compared with one case in 2021 and no cases in 2020 and 2019; there were also 24 cases of cutaneous (skin) diphtheria, compared with seven cases in 2019, nine in 2020 and six in 2021. </w:t>
      </w:r>
    </w:p>
    <w:p w14:paraId="4782DFF6" w14:textId="77777777" w:rsidR="00E52252" w:rsidRDefault="00E52252">
      <w:pPr>
        <w:pStyle w:val="Heading2"/>
        <w:divId w:val="812717687"/>
        <w:rPr>
          <w:rFonts w:eastAsia="Times New Roman"/>
        </w:rPr>
      </w:pPr>
      <w:r>
        <w:rPr>
          <w:rFonts w:eastAsia="Times New Roman"/>
        </w:rPr>
        <w:t xml:space="preserve">Immunisation policy and practice across Australia </w:t>
      </w:r>
    </w:p>
    <w:p w14:paraId="02D6CA52" w14:textId="77777777" w:rsidR="00E52252" w:rsidRDefault="00E52252">
      <w:pPr>
        <w:pStyle w:val="Heading3"/>
        <w:divId w:val="812717687"/>
        <w:rPr>
          <w:rFonts w:eastAsia="Times New Roman"/>
        </w:rPr>
      </w:pPr>
      <w:r>
        <w:rPr>
          <w:rFonts w:eastAsia="Times New Roman"/>
        </w:rPr>
        <w:t xml:space="preserve">Influenza </w:t>
      </w:r>
    </w:p>
    <w:p w14:paraId="051C5920" w14:textId="77777777" w:rsidR="00E52252" w:rsidRDefault="00E52252">
      <w:pPr>
        <w:pStyle w:val="NormalWeb"/>
        <w:divId w:val="812717687"/>
      </w:pPr>
      <w:r>
        <w:t xml:space="preserve">The NIP </w:t>
      </w:r>
      <w:proofErr w:type="gramStart"/>
      <w:r>
        <w:t>provides</w:t>
      </w:r>
      <w:proofErr w:type="gramEnd"/>
      <w:r>
        <w:t xml:space="preserve"> funded influenza vaccines to people aged 6 months to 5 years; to people aged 65 years and over; and to other groups at risk of severe disease. </w:t>
      </w:r>
    </w:p>
    <w:p w14:paraId="2B93CFFC" w14:textId="77777777" w:rsidR="00E52252" w:rsidRDefault="00E52252">
      <w:pPr>
        <w:pStyle w:val="NormalWeb"/>
        <w:divId w:val="812717687"/>
      </w:pPr>
      <w:r>
        <w:t xml:space="preserve">In 2022, in response to rising case numbers, most states and territories, including New South Wales, Victoria, Queensland, Western Australia, South Australia and Tasmania, offered free influenza vaccination for all people aged 6 months and over. </w:t>
      </w:r>
    </w:p>
    <w:p w14:paraId="609EB939" w14:textId="77777777" w:rsidR="00E52252" w:rsidRDefault="00E52252">
      <w:pPr>
        <w:pStyle w:val="Heading3"/>
        <w:divId w:val="812717687"/>
        <w:rPr>
          <w:rFonts w:eastAsia="Times New Roman"/>
        </w:rPr>
      </w:pPr>
      <w:r>
        <w:rPr>
          <w:rFonts w:eastAsia="Times New Roman"/>
        </w:rPr>
        <w:t xml:space="preserve">Human papillomavirus vaccination program </w:t>
      </w:r>
    </w:p>
    <w:p w14:paraId="4434A3A0" w14:textId="77777777" w:rsidR="00E52252" w:rsidRDefault="00E52252">
      <w:pPr>
        <w:pStyle w:val="NormalWeb"/>
        <w:divId w:val="812717687"/>
      </w:pPr>
      <w:r>
        <w:t xml:space="preserve">Australia has been a world leader in research and evaluation of the HPV vaccine. This vaccine has </w:t>
      </w:r>
      <w:proofErr w:type="gramStart"/>
      <w:r>
        <w:t>been given</w:t>
      </w:r>
      <w:proofErr w:type="gramEnd"/>
      <w:r>
        <w:t xml:space="preserve"> as a two-dose schedule (three doses in immunocompromised people) via the NIP to adolescents aged 12 to 13 years to prevent cervical and other cancers. </w:t>
      </w:r>
    </w:p>
    <w:p w14:paraId="3276001A" w14:textId="5853CA95" w:rsidR="00E52252" w:rsidRDefault="00E52252">
      <w:pPr>
        <w:pStyle w:val="NormalWeb"/>
        <w:divId w:val="812717687"/>
      </w:pPr>
      <w:r>
        <w:t xml:space="preserve">In 2022, ATAGI reviewed emerging evidence on the effectiveness of a one-dose schedule of HPV vaccination in adolescents. ATAGI recommended immunocompetent people aged 9 to 25 years receive one dose of the 9-valent HPV vaccine (the </w:t>
      </w:r>
      <w:proofErr w:type="gramStart"/>
      <w:r>
        <w:t>previous</w:t>
      </w:r>
      <w:proofErr w:type="gramEnd"/>
      <w:r>
        <w:t xml:space="preserve"> recommendation was 2 doses for people aged 9 to 19 years). In early 2023, the Pharmaceutical Benefits Advisory Committee </w:t>
      </w:r>
      <w:proofErr w:type="gramStart"/>
      <w:r>
        <w:t>provided</w:t>
      </w:r>
      <w:proofErr w:type="gramEnd"/>
      <w:r>
        <w:t xml:space="preserve"> a positive recommendation for the change to a one-dose schedule. The new one-dose HPV vaccine program started under the NIP from February 2023 with routine administration to adolescents aged around 12 to 13 years. People who have not received a dose of HPV vaccine are eligible for their single funded dose (or three doses, if immunocompromised) up until age</w:t>
      </w:r>
      <w:r w:rsidR="00DC6573">
        <w:t xml:space="preserve"> 25</w:t>
      </w:r>
      <w:r>
        <w:t xml:space="preserve">. </w:t>
      </w:r>
    </w:p>
    <w:p w14:paraId="47E233EF" w14:textId="77777777" w:rsidR="00EB0A75" w:rsidRDefault="00EB0A75">
      <w:pPr>
        <w:rPr>
          <w:rFonts w:asciiTheme="majorHAnsi" w:eastAsia="Times New Roman" w:hAnsiTheme="majorHAnsi" w:cstheme="majorBidi"/>
          <w:b/>
          <w:bCs/>
        </w:rPr>
      </w:pPr>
      <w:r>
        <w:rPr>
          <w:rFonts w:eastAsia="Times New Roman"/>
        </w:rPr>
        <w:br w:type="page"/>
      </w:r>
    </w:p>
    <w:p w14:paraId="73EEAA27" w14:textId="67FF4AB7" w:rsidR="00E52252" w:rsidRDefault="00E52252">
      <w:pPr>
        <w:pStyle w:val="Heading3"/>
        <w:divId w:val="812717687"/>
        <w:rPr>
          <w:rFonts w:eastAsia="Times New Roman"/>
        </w:rPr>
      </w:pPr>
      <w:r>
        <w:rPr>
          <w:rFonts w:eastAsia="Times New Roman"/>
        </w:rPr>
        <w:lastRenderedPageBreak/>
        <w:t xml:space="preserve">Pneumococcal disease </w:t>
      </w:r>
    </w:p>
    <w:p w14:paraId="260289AA" w14:textId="77777777" w:rsidR="00E52252" w:rsidRDefault="00E52252">
      <w:pPr>
        <w:pStyle w:val="NormalWeb"/>
        <w:divId w:val="812717687"/>
      </w:pPr>
      <w:proofErr w:type="gramStart"/>
      <w:r>
        <w:t>Several</w:t>
      </w:r>
      <w:proofErr w:type="gramEnd"/>
      <w:r>
        <w:t xml:space="preserve"> pneumococcal vaccines that can protect against a wider range of serotypes than current vaccines are being registered and evaluated in Australia. To prepare for these vaccines becoming available in Australia, ATAGI formed a pneumococcal subgroup to review the evidence and inform the </w:t>
      </w:r>
      <w:proofErr w:type="gramStart"/>
      <w:r>
        <w:t>optimal</w:t>
      </w:r>
      <w:proofErr w:type="gramEnd"/>
      <w:r>
        <w:t xml:space="preserve"> pneumococcal vaccination schedule across age groups and risk conditions. </w:t>
      </w:r>
    </w:p>
    <w:p w14:paraId="4A67FD06" w14:textId="77777777" w:rsidR="00E52252" w:rsidRDefault="00E52252">
      <w:pPr>
        <w:pStyle w:val="Heading3"/>
        <w:divId w:val="812717687"/>
        <w:rPr>
          <w:rFonts w:eastAsia="Times New Roman"/>
        </w:rPr>
      </w:pPr>
      <w:r>
        <w:rPr>
          <w:rFonts w:eastAsia="Times New Roman"/>
        </w:rPr>
        <w:t xml:space="preserve">Expanded pharmacist vaccination program </w:t>
      </w:r>
    </w:p>
    <w:p w14:paraId="1262A6D9" w14:textId="77777777" w:rsidR="00E52252" w:rsidRDefault="00E52252">
      <w:pPr>
        <w:pStyle w:val="NormalWeb"/>
        <w:divId w:val="812717687"/>
      </w:pPr>
      <w:r>
        <w:t xml:space="preserve">In recent years, pharmacists have played a key role in administering vaccines across Australia, including COVID-19 vaccines. As of 22 December 2022, fourteen percent of all COVID-19 vaccine doses </w:t>
      </w:r>
      <w:proofErr w:type="gramStart"/>
      <w:r>
        <w:t>were administered</w:t>
      </w:r>
      <w:proofErr w:type="gramEnd"/>
      <w:r>
        <w:t xml:space="preserve"> by pharmacists in community pharmacies.</w:t>
      </w:r>
      <w:r>
        <w:rPr>
          <w:vertAlign w:val="superscript"/>
        </w:rPr>
        <w:t>32</w:t>
      </w:r>
      <w:r>
        <w:t xml:space="preserve"> </w:t>
      </w:r>
    </w:p>
    <w:p w14:paraId="6DA79A3C" w14:textId="77777777" w:rsidR="00E52252" w:rsidRDefault="00E52252">
      <w:pPr>
        <w:pStyle w:val="NormalWeb"/>
        <w:divId w:val="812717687"/>
      </w:pPr>
      <w:r>
        <w:t>In 2022, Victoria</w:t>
      </w:r>
      <w:r>
        <w:rPr>
          <w:vertAlign w:val="superscript"/>
        </w:rPr>
        <w:t>33</w:t>
      </w:r>
      <w:r>
        <w:t xml:space="preserve"> and New South Wales</w:t>
      </w:r>
      <w:r>
        <w:rPr>
          <w:vertAlign w:val="superscript"/>
        </w:rPr>
        <w:t>34</w:t>
      </w:r>
      <w:r>
        <w:t xml:space="preserve"> further expanded their programs to allow pharmacists to administer </w:t>
      </w:r>
      <w:proofErr w:type="gramStart"/>
      <w:r>
        <w:t>several</w:t>
      </w:r>
      <w:proofErr w:type="gramEnd"/>
      <w:r>
        <w:t xml:space="preserve"> vaccines, including JE, </w:t>
      </w:r>
      <w:proofErr w:type="spellStart"/>
      <w:r>
        <w:t>mpox</w:t>
      </w:r>
      <w:proofErr w:type="spellEnd"/>
      <w:r>
        <w:t xml:space="preserve"> and zoster vaccines. As the scope of pharmacist-administered vaccination expands, ATAGI considers that evaluating key aspects of pharmacist vaccination programs will be essential to inform policy development. </w:t>
      </w:r>
    </w:p>
    <w:p w14:paraId="51D4F3F8" w14:textId="77777777" w:rsidR="00E52252" w:rsidRDefault="00E52252">
      <w:pPr>
        <w:pStyle w:val="Heading3"/>
        <w:divId w:val="812717687"/>
        <w:rPr>
          <w:rFonts w:eastAsia="Times New Roman"/>
        </w:rPr>
      </w:pPr>
      <w:r>
        <w:rPr>
          <w:rFonts w:eastAsia="Times New Roman"/>
        </w:rPr>
        <w:t xml:space="preserve">Changes to the National Immunisation Program </w:t>
      </w:r>
    </w:p>
    <w:p w14:paraId="71A05AD1" w14:textId="77777777" w:rsidR="00E52252" w:rsidRDefault="00E52252">
      <w:pPr>
        <w:pStyle w:val="NormalWeb"/>
        <w:divId w:val="812717687"/>
      </w:pPr>
      <w:r>
        <w:t xml:space="preserve">There were no changes to the NIP in 2022. </w:t>
      </w:r>
    </w:p>
    <w:p w14:paraId="2FC8E915" w14:textId="77777777" w:rsidR="00E52252" w:rsidRDefault="00E52252">
      <w:pPr>
        <w:pStyle w:val="Heading2"/>
        <w:divId w:val="812717687"/>
        <w:rPr>
          <w:rFonts w:eastAsia="Times New Roman"/>
        </w:rPr>
      </w:pPr>
      <w:r>
        <w:rPr>
          <w:rFonts w:eastAsia="Times New Roman"/>
        </w:rPr>
        <w:t xml:space="preserve">Immunisation coverage </w:t>
      </w:r>
    </w:p>
    <w:p w14:paraId="49A2867F" w14:textId="77777777" w:rsidR="00E52252" w:rsidRDefault="00E52252">
      <w:pPr>
        <w:pStyle w:val="Heading3"/>
        <w:divId w:val="812717687"/>
        <w:rPr>
          <w:rFonts w:eastAsia="Times New Roman"/>
        </w:rPr>
      </w:pPr>
      <w:r>
        <w:rPr>
          <w:rFonts w:eastAsia="Times New Roman"/>
        </w:rPr>
        <w:t xml:space="preserve">Influenza vaccines </w:t>
      </w:r>
    </w:p>
    <w:p w14:paraId="7B0E94FE" w14:textId="77777777" w:rsidR="00E52252" w:rsidRDefault="00E52252">
      <w:pPr>
        <w:pStyle w:val="NormalWeb"/>
        <w:divId w:val="812717687"/>
      </w:pPr>
      <w:r>
        <w:t xml:space="preserve">Influenza vaccination is </w:t>
      </w:r>
      <w:proofErr w:type="gramStart"/>
      <w:r>
        <w:t>provided</w:t>
      </w:r>
      <w:proofErr w:type="gramEnd"/>
      <w:r>
        <w:t xml:space="preserve"> free under the NIP for all children aged 6 months to 5 years; for people aged 65 years and over; and for some people aged 5 to 64 years who are at higher risk of severe disease. </w:t>
      </w:r>
    </w:p>
    <w:p w14:paraId="7976D2D3" w14:textId="77777777" w:rsidR="00E52252" w:rsidRDefault="00E52252">
      <w:pPr>
        <w:pStyle w:val="NormalWeb"/>
        <w:divId w:val="812717687"/>
      </w:pPr>
      <w:r>
        <w:t xml:space="preserve">In 2022, </w:t>
      </w:r>
      <w:proofErr w:type="gramStart"/>
      <w:r>
        <w:t>many</w:t>
      </w:r>
      <w:proofErr w:type="gramEnd"/>
      <w:r>
        <w:t xml:space="preserve"> states and territories offered free vaccination for all people aged 6 months and over in response to rising case numbers of seasonal influenza. </w:t>
      </w:r>
    </w:p>
    <w:p w14:paraId="5E82E0E9" w14:textId="77777777" w:rsidR="00E52252" w:rsidRDefault="00E52252">
      <w:pPr>
        <w:pStyle w:val="NormalWeb"/>
        <w:divId w:val="812717687"/>
      </w:pPr>
      <w:r>
        <w:t xml:space="preserve">In children aged 6 months to under 5 years, influenza vaccination coverage increased, including in First Nations children. Uptake of influenza vaccines in 2022 was also higher in several other age groups compared with 2021: in First Nations people aged 15 to 49 years (5.0% higher; eligible for free influenza vaccines under the NIP); in First Nations children aged 5 to 14 years (3.0% higher; eligible for free influenza vaccines under the NIP); and in other children aged 5 to 14 years (8.7% higher). </w:t>
      </w:r>
    </w:p>
    <w:p w14:paraId="5DFB3903" w14:textId="77777777" w:rsidR="00E52252" w:rsidRDefault="00E52252">
      <w:pPr>
        <w:pStyle w:val="NormalWeb"/>
        <w:divId w:val="812717687"/>
      </w:pPr>
      <w:r>
        <w:t xml:space="preserve">Vaccination is the best protection against influenza and ATAGI recommends influenza vaccination for everyone aged 6 months and older. </w:t>
      </w:r>
    </w:p>
    <w:p w14:paraId="09C71749" w14:textId="77777777" w:rsidR="00E52252" w:rsidRDefault="00E52252">
      <w:pPr>
        <w:pStyle w:val="Heading3"/>
        <w:divId w:val="812717687"/>
        <w:rPr>
          <w:rFonts w:eastAsia="Times New Roman"/>
        </w:rPr>
      </w:pPr>
      <w:r>
        <w:rPr>
          <w:rFonts w:eastAsia="Times New Roman"/>
        </w:rPr>
        <w:t xml:space="preserve">Childhood vaccines </w:t>
      </w:r>
    </w:p>
    <w:p w14:paraId="35D51447" w14:textId="77777777" w:rsidR="00E52252" w:rsidRDefault="00E52252">
      <w:pPr>
        <w:pStyle w:val="NormalWeb"/>
        <w:divId w:val="812717687"/>
      </w:pPr>
      <w:r>
        <w:t xml:space="preserve">Vaccination uptake of routine childhood vaccines remained high overall in 2022. Uptake of </w:t>
      </w:r>
      <w:proofErr w:type="gramStart"/>
      <w:r>
        <w:t>some</w:t>
      </w:r>
      <w:proofErr w:type="gramEnd"/>
      <w:r>
        <w:t xml:space="preserve"> vaccines decreased slightly in 2022 compared with 2021, 2020 and 2019. A total of: </w:t>
      </w:r>
    </w:p>
    <w:p w14:paraId="4A77A994" w14:textId="77777777" w:rsidR="00E52252" w:rsidRDefault="00E52252" w:rsidP="00E52252">
      <w:pPr>
        <w:numPr>
          <w:ilvl w:val="0"/>
          <w:numId w:val="9"/>
        </w:numPr>
        <w:spacing w:before="100" w:beforeAutospacing="1" w:after="100" w:afterAutospacing="1" w:line="240" w:lineRule="auto"/>
        <w:divId w:val="812717687"/>
        <w:rPr>
          <w:rFonts w:eastAsia="Times New Roman"/>
        </w:rPr>
      </w:pPr>
      <w:r>
        <w:rPr>
          <w:rFonts w:eastAsia="Times New Roman"/>
        </w:rPr>
        <w:lastRenderedPageBreak/>
        <w:t>90.9% of children received their second dose of diphtheria-tetanus-acellular pertussis (</w:t>
      </w:r>
      <w:proofErr w:type="spellStart"/>
      <w:r>
        <w:rPr>
          <w:rFonts w:eastAsia="Times New Roman"/>
        </w:rPr>
        <w:t>DTPa</w:t>
      </w:r>
      <w:proofErr w:type="spellEnd"/>
      <w:r>
        <w:rPr>
          <w:rFonts w:eastAsia="Times New Roman"/>
        </w:rPr>
        <w:t xml:space="preserve">) vaccine within 2 months of reaching 4 months of age in 2022, compared with 92.3% in 2021; 93.6% in 2020; and 93.7% in </w:t>
      </w:r>
      <w:proofErr w:type="gramStart"/>
      <w:r>
        <w:rPr>
          <w:rFonts w:eastAsia="Times New Roman"/>
        </w:rPr>
        <w:t>2019;</w:t>
      </w:r>
      <w:proofErr w:type="gramEnd"/>
      <w:r>
        <w:rPr>
          <w:rFonts w:eastAsia="Times New Roman"/>
        </w:rPr>
        <w:t xml:space="preserve"> </w:t>
      </w:r>
    </w:p>
    <w:p w14:paraId="6BB17F09" w14:textId="77777777" w:rsidR="00E52252" w:rsidRDefault="00E52252" w:rsidP="00E52252">
      <w:pPr>
        <w:numPr>
          <w:ilvl w:val="0"/>
          <w:numId w:val="9"/>
        </w:numPr>
        <w:spacing w:before="100" w:beforeAutospacing="1" w:after="100" w:afterAutospacing="1" w:line="240" w:lineRule="auto"/>
        <w:divId w:val="812717687"/>
        <w:rPr>
          <w:rFonts w:eastAsia="Times New Roman"/>
        </w:rPr>
      </w:pPr>
      <w:r>
        <w:rPr>
          <w:rFonts w:eastAsia="Times New Roman"/>
        </w:rPr>
        <w:t xml:space="preserve">85.3% of children received their first dose of measles-mumps-rubella (MMR) vaccine within 2 months of reaching 12 months of age in 2022, compared with 87.6% in 2021; 88.1% in 2020; and 88.7% in 2019; and </w:t>
      </w:r>
    </w:p>
    <w:p w14:paraId="1363682B" w14:textId="77777777" w:rsidR="00E52252" w:rsidRDefault="00E52252" w:rsidP="00E52252">
      <w:pPr>
        <w:numPr>
          <w:ilvl w:val="0"/>
          <w:numId w:val="9"/>
        </w:numPr>
        <w:spacing w:before="100" w:beforeAutospacing="1" w:after="100" w:afterAutospacing="1" w:line="240" w:lineRule="auto"/>
        <w:divId w:val="812717687"/>
        <w:rPr>
          <w:rFonts w:eastAsia="Times New Roman"/>
        </w:rPr>
      </w:pPr>
      <w:r>
        <w:rPr>
          <w:rFonts w:eastAsia="Times New Roman"/>
        </w:rPr>
        <w:t xml:space="preserve">84.7% of children received three doses of inactivated poliovirus (IPV) vaccine in 2022, compared with 87.3% in 2021; 89.2% in 2020; and 88.8% in 2019. </w:t>
      </w:r>
    </w:p>
    <w:p w14:paraId="67A002AD" w14:textId="77777777" w:rsidR="00E52252" w:rsidRDefault="00E52252">
      <w:pPr>
        <w:pStyle w:val="Heading3"/>
        <w:divId w:val="812717687"/>
        <w:rPr>
          <w:rFonts w:eastAsia="Times New Roman"/>
        </w:rPr>
      </w:pPr>
      <w:r>
        <w:rPr>
          <w:rFonts w:eastAsia="Times New Roman"/>
        </w:rPr>
        <w:t>Adolescent vaccines (</w:t>
      </w:r>
      <w:proofErr w:type="gramStart"/>
      <w:r>
        <w:rPr>
          <w:rFonts w:eastAsia="Times New Roman"/>
        </w:rPr>
        <w:t>mainly delivered</w:t>
      </w:r>
      <w:proofErr w:type="gramEnd"/>
      <w:r>
        <w:rPr>
          <w:rFonts w:eastAsia="Times New Roman"/>
        </w:rPr>
        <w:t xml:space="preserve"> through school immunisation programs) </w:t>
      </w:r>
    </w:p>
    <w:p w14:paraId="00938483" w14:textId="77777777" w:rsidR="00E52252" w:rsidRDefault="00E52252">
      <w:pPr>
        <w:pStyle w:val="NormalWeb"/>
        <w:divId w:val="812717687"/>
      </w:pPr>
      <w:r>
        <w:t xml:space="preserve">In 2022, the number of adolescents who received the following vaccines through school-based immunisation programs varied compared with 2021, depending on the vaccine: </w:t>
      </w:r>
    </w:p>
    <w:p w14:paraId="364F4B04" w14:textId="77777777" w:rsidR="00E52252" w:rsidRDefault="00E52252" w:rsidP="00E52252">
      <w:pPr>
        <w:numPr>
          <w:ilvl w:val="0"/>
          <w:numId w:val="10"/>
        </w:numPr>
        <w:spacing w:before="100" w:beforeAutospacing="1" w:after="100" w:afterAutospacing="1" w:line="240" w:lineRule="auto"/>
        <w:divId w:val="812717687"/>
        <w:rPr>
          <w:rFonts w:eastAsia="Times New Roman"/>
        </w:rPr>
      </w:pPr>
      <w:r>
        <w:rPr>
          <w:rFonts w:eastAsia="Times New Roman"/>
        </w:rPr>
        <w:t xml:space="preserve">HPV vaccine: 261,936 adolescents received a first dose of HPV vaccine in 2022, which was 6.1% lower than in 2021; 6.5% lower than in 2020; and 15.5% lower than in 2019. </w:t>
      </w:r>
    </w:p>
    <w:p w14:paraId="1AFD9F7D" w14:textId="77777777" w:rsidR="00E52252" w:rsidRDefault="00E52252" w:rsidP="00E52252">
      <w:pPr>
        <w:numPr>
          <w:ilvl w:val="0"/>
          <w:numId w:val="10"/>
        </w:numPr>
        <w:spacing w:before="100" w:beforeAutospacing="1" w:after="100" w:afterAutospacing="1" w:line="240" w:lineRule="auto"/>
        <w:divId w:val="812717687"/>
        <w:rPr>
          <w:rFonts w:eastAsia="Times New Roman"/>
        </w:rPr>
      </w:pPr>
      <w:proofErr w:type="spellStart"/>
      <w:r>
        <w:rPr>
          <w:rFonts w:eastAsia="Times New Roman"/>
        </w:rPr>
        <w:t>dTpa</w:t>
      </w:r>
      <w:proofErr w:type="spellEnd"/>
      <w:r>
        <w:rPr>
          <w:rFonts w:eastAsia="Times New Roman"/>
        </w:rPr>
        <w:t xml:space="preserve"> vaccine: 269,560 adolescents received booster doses in 2022, which was 1.3% lower than in 2021; 4.9% lower than in 2020; and 16.1% lower than in 2019. </w:t>
      </w:r>
    </w:p>
    <w:p w14:paraId="0EDC44D9" w14:textId="77777777" w:rsidR="00E52252" w:rsidRDefault="00E52252" w:rsidP="00E52252">
      <w:pPr>
        <w:numPr>
          <w:ilvl w:val="0"/>
          <w:numId w:val="10"/>
        </w:numPr>
        <w:spacing w:before="100" w:beforeAutospacing="1" w:after="100" w:afterAutospacing="1" w:line="240" w:lineRule="auto"/>
        <w:divId w:val="812717687"/>
        <w:rPr>
          <w:rFonts w:eastAsia="Times New Roman"/>
        </w:rPr>
      </w:pPr>
      <w:r>
        <w:rPr>
          <w:rFonts w:eastAsia="Times New Roman"/>
        </w:rPr>
        <w:t xml:space="preserve">Meningococcal ACWY vaccine: 241,600 doses </w:t>
      </w:r>
      <w:proofErr w:type="gramStart"/>
      <w:r>
        <w:rPr>
          <w:rFonts w:eastAsia="Times New Roman"/>
        </w:rPr>
        <w:t>were administered</w:t>
      </w:r>
      <w:proofErr w:type="gramEnd"/>
      <w:r>
        <w:rPr>
          <w:rFonts w:eastAsia="Times New Roman"/>
        </w:rPr>
        <w:t xml:space="preserve"> to adolescents during 2022, which was 6.5% higher than in 2021; 0.4% lower than in 2020; and 2.8% lower than in 2019. </w:t>
      </w:r>
    </w:p>
    <w:p w14:paraId="3349E26B" w14:textId="77777777" w:rsidR="00E52252" w:rsidRDefault="00E52252">
      <w:pPr>
        <w:pStyle w:val="Heading3"/>
        <w:divId w:val="812717687"/>
        <w:rPr>
          <w:rFonts w:eastAsia="Times New Roman"/>
        </w:rPr>
      </w:pPr>
      <w:r>
        <w:rPr>
          <w:rFonts w:eastAsia="Times New Roman"/>
        </w:rPr>
        <w:t xml:space="preserve">Vaccines for older Australians </w:t>
      </w:r>
    </w:p>
    <w:p w14:paraId="347FF571" w14:textId="77777777" w:rsidR="00E52252" w:rsidRPr="001B2C83" w:rsidRDefault="00E52252">
      <w:pPr>
        <w:pStyle w:val="Heading4"/>
        <w:divId w:val="812717687"/>
        <w:rPr>
          <w:rFonts w:eastAsia="Times New Roman"/>
          <w:b w:val="0"/>
          <w:bCs w:val="0"/>
        </w:rPr>
      </w:pPr>
      <w:r w:rsidRPr="001B2C83">
        <w:rPr>
          <w:rFonts w:eastAsia="Times New Roman"/>
          <w:b w:val="0"/>
          <w:bCs w:val="0"/>
        </w:rPr>
        <w:t xml:space="preserve">Zoster (herpes zoster) vaccine </w:t>
      </w:r>
    </w:p>
    <w:p w14:paraId="2BF7D056" w14:textId="77777777" w:rsidR="00E52252" w:rsidRDefault="00E52252">
      <w:pPr>
        <w:pStyle w:val="NormalWeb"/>
        <w:divId w:val="812717687"/>
      </w:pPr>
      <w:r>
        <w:t xml:space="preserve">Australians are eligible to receive the Zostavax vaccine on the NIP at 70 years of age. In 2022, a total of 33.4% of adults received the vaccine in the year they became eligible – that is, following their 70th birthday. This was </w:t>
      </w:r>
      <w:proofErr w:type="gramStart"/>
      <w:r>
        <w:t>similar to</w:t>
      </w:r>
      <w:proofErr w:type="gramEnd"/>
      <w:r>
        <w:t xml:space="preserve"> previous years: 30.5% in 2021; 30.9% in 2020; and 31.6% in 2019. The Shingrix vaccine is also available for people aged 50 years and </w:t>
      </w:r>
      <w:proofErr w:type="gramStart"/>
      <w:r>
        <w:t>over, but</w:t>
      </w:r>
      <w:proofErr w:type="gramEnd"/>
      <w:r>
        <w:t xml:space="preserve"> is not funded under the NIP. In 2022, a total of 105,103 adults aged 50 years and over received the Shingrix vaccine and 201,192 received the Zostavax vaccine. </w:t>
      </w:r>
    </w:p>
    <w:p w14:paraId="5D003660" w14:textId="77777777" w:rsidR="00E52252" w:rsidRDefault="00E52252">
      <w:pPr>
        <w:pStyle w:val="NormalWeb"/>
        <w:divId w:val="812717687"/>
      </w:pPr>
      <w:r>
        <w:t xml:space="preserve">Mandatory reporting to the Australian Immunisation Register for all NIP vaccines started on 1 July 2021. Zoster vaccine coverage may </w:t>
      </w:r>
      <w:proofErr w:type="gramStart"/>
      <w:r>
        <w:t>be affected</w:t>
      </w:r>
      <w:proofErr w:type="gramEnd"/>
      <w:r>
        <w:t xml:space="preserve"> by under-reporting before that time. </w:t>
      </w:r>
    </w:p>
    <w:p w14:paraId="6C32F77C" w14:textId="77777777" w:rsidR="00E52252" w:rsidRPr="001B2C83" w:rsidRDefault="00E52252">
      <w:pPr>
        <w:pStyle w:val="Heading4"/>
        <w:divId w:val="812717687"/>
        <w:rPr>
          <w:rFonts w:eastAsia="Times New Roman"/>
          <w:b w:val="0"/>
          <w:bCs w:val="0"/>
        </w:rPr>
      </w:pPr>
      <w:r w:rsidRPr="001B2C83">
        <w:rPr>
          <w:rFonts w:eastAsia="Times New Roman"/>
          <w:b w:val="0"/>
          <w:bCs w:val="0"/>
        </w:rPr>
        <w:t xml:space="preserve">Pneumococcal vaccine </w:t>
      </w:r>
    </w:p>
    <w:p w14:paraId="7A4D3E7D" w14:textId="77777777" w:rsidR="00E52252" w:rsidRDefault="00E52252">
      <w:pPr>
        <w:pStyle w:val="NormalWeb"/>
        <w:divId w:val="812717687"/>
      </w:pPr>
      <w:r>
        <w:t xml:space="preserve">All Australians aged 70 years and over are eligible to receive pneumococcal vaccination on the NIP. Aboriginal and Torres Strait Islanders aged 50 years and over are also eligible to receive pneumococcal vaccination on the NIP. In 2022, a total of 25% of adults received the vaccine in the year they became eligible. This was higher than in previous years: 17% in 2021; 2.2% in 2020; and 0.2% in 2019. </w:t>
      </w:r>
    </w:p>
    <w:p w14:paraId="006337BA" w14:textId="77777777" w:rsidR="00E52252" w:rsidRDefault="00E52252">
      <w:pPr>
        <w:pStyle w:val="Heading2"/>
        <w:divId w:val="812717687"/>
        <w:rPr>
          <w:rFonts w:eastAsia="Times New Roman"/>
        </w:rPr>
      </w:pPr>
      <w:proofErr w:type="gramStart"/>
      <w:r>
        <w:rPr>
          <w:rFonts w:eastAsia="Times New Roman"/>
        </w:rPr>
        <w:t>Important changes</w:t>
      </w:r>
      <w:proofErr w:type="gramEnd"/>
      <w:r>
        <w:rPr>
          <w:rFonts w:eastAsia="Times New Roman"/>
        </w:rPr>
        <w:t xml:space="preserve"> to the Australian Immunisation Handbook </w:t>
      </w:r>
    </w:p>
    <w:p w14:paraId="795D86DA" w14:textId="03C77DF4" w:rsidR="00E52252" w:rsidRDefault="00E52252">
      <w:pPr>
        <w:pStyle w:val="NormalWeb"/>
        <w:divId w:val="812717687"/>
      </w:pPr>
      <w:r>
        <w:t>The zoster (herpes zoster) chapter</w:t>
      </w:r>
      <w:r w:rsidR="00BE39D3">
        <w:rPr>
          <w:rStyle w:val="FootnoteReference"/>
        </w:rPr>
        <w:footnoteReference w:id="2"/>
      </w:r>
      <w:r>
        <w:t xml:space="preserve"> received major updates. There are new recommendations for immunocompetent people; for immunocompromised people; and for serological testing. These also include updated recommendations for use of the Shingrix vaccine. </w:t>
      </w:r>
    </w:p>
    <w:p w14:paraId="140B4073" w14:textId="06872BA2" w:rsidR="00E52252" w:rsidRDefault="00E52252">
      <w:pPr>
        <w:pStyle w:val="NormalWeb"/>
        <w:divId w:val="812717687"/>
      </w:pPr>
      <w:r>
        <w:lastRenderedPageBreak/>
        <w:t>The meningococcal disease chapter</w:t>
      </w:r>
      <w:r w:rsidR="005F76A6">
        <w:rPr>
          <w:rStyle w:val="FootnoteReference"/>
        </w:rPr>
        <w:footnoteReference w:id="3"/>
      </w:r>
      <w:r>
        <w:t xml:space="preserve"> was updated with new recommendations for meningococcal B booster doses for people with medical conditions that increase their risk of invasive meningococcal disease, and for laboratory workers who </w:t>
      </w:r>
      <w:proofErr w:type="gramStart"/>
      <w:r>
        <w:t>frequently</w:t>
      </w:r>
      <w:proofErr w:type="gramEnd"/>
      <w:r>
        <w:t xml:space="preserve"> handle </w:t>
      </w:r>
      <w:r w:rsidRPr="001B2C83">
        <w:rPr>
          <w:rStyle w:val="Emphasis"/>
          <w:b w:val="0"/>
          <w:bCs w:val="0"/>
        </w:rPr>
        <w:t>Neisseria meningitidis</w:t>
      </w:r>
      <w:r>
        <w:t xml:space="preserve">. </w:t>
      </w:r>
    </w:p>
    <w:p w14:paraId="0EB4492E" w14:textId="089F2F2A" w:rsidR="00E52252" w:rsidRDefault="00E52252">
      <w:pPr>
        <w:pStyle w:val="NormalWeb"/>
        <w:divId w:val="812717687"/>
      </w:pPr>
      <w:r>
        <w:t>The tuberculosis chapter</w:t>
      </w:r>
      <w:r w:rsidR="009254C3">
        <w:rPr>
          <w:rStyle w:val="FootnoteReference"/>
        </w:rPr>
        <w:footnoteReference w:id="4"/>
      </w:r>
      <w:r>
        <w:t xml:space="preserve"> </w:t>
      </w:r>
      <w:proofErr w:type="gramStart"/>
      <w:r>
        <w:t>was updated</w:t>
      </w:r>
      <w:proofErr w:type="gramEnd"/>
      <w:r>
        <w:t xml:space="preserve"> with new recommendations relating to skin testing before Bacillus Calmette–</w:t>
      </w:r>
      <w:proofErr w:type="spellStart"/>
      <w:r>
        <w:t>Guérin</w:t>
      </w:r>
      <w:proofErr w:type="spellEnd"/>
      <w:r>
        <w:t xml:space="preserve"> (BCG) vaccination. </w:t>
      </w:r>
    </w:p>
    <w:p w14:paraId="3568358A" w14:textId="1A390D72" w:rsidR="00E52252" w:rsidRDefault="00E52252">
      <w:pPr>
        <w:pStyle w:val="NormalWeb"/>
        <w:divId w:val="812717687"/>
      </w:pPr>
      <w:r>
        <w:t>The vaccination for special risk groups chapter</w:t>
      </w:r>
      <w:r w:rsidR="00CD48E7">
        <w:rPr>
          <w:rStyle w:val="FootnoteReference"/>
        </w:rPr>
        <w:footnoteReference w:id="5"/>
      </w:r>
      <w:r>
        <w:t xml:space="preserve"> </w:t>
      </w:r>
      <w:proofErr w:type="gramStart"/>
      <w:r>
        <w:t>was updated</w:t>
      </w:r>
      <w:proofErr w:type="gramEnd"/>
      <w:r>
        <w:t xml:space="preserve"> in line with the changes to disease chapters. </w:t>
      </w:r>
    </w:p>
    <w:p w14:paraId="79DAC213" w14:textId="77777777" w:rsidR="00E52252" w:rsidRDefault="00E52252">
      <w:pPr>
        <w:pStyle w:val="Heading2"/>
        <w:divId w:val="812717687"/>
        <w:rPr>
          <w:rFonts w:eastAsia="Times New Roman"/>
        </w:rPr>
      </w:pPr>
      <w:r>
        <w:rPr>
          <w:rFonts w:eastAsia="Times New Roman"/>
        </w:rPr>
        <w:t xml:space="preserve">New vaccines </w:t>
      </w:r>
    </w:p>
    <w:p w14:paraId="58545607" w14:textId="77777777" w:rsidR="00E52252" w:rsidRDefault="00E52252">
      <w:pPr>
        <w:pStyle w:val="NormalWeb"/>
        <w:divId w:val="812717687"/>
      </w:pPr>
      <w:r>
        <w:t xml:space="preserve">Three new vaccines (other than COVID-19 vaccines) </w:t>
      </w:r>
      <w:proofErr w:type="gramStart"/>
      <w:r>
        <w:t>were registered</w:t>
      </w:r>
      <w:proofErr w:type="gramEnd"/>
      <w:r>
        <w:t xml:space="preserve"> with the TGA in 2022 (Table 2). </w:t>
      </w:r>
    </w:p>
    <w:p w14:paraId="36751F96" w14:textId="77777777" w:rsidR="00E52252" w:rsidRDefault="00E52252">
      <w:pPr>
        <w:pStyle w:val="NormalWeb"/>
        <w:divId w:val="812717687"/>
      </w:pPr>
      <w:r>
        <w:t xml:space="preserve">ATAGI </w:t>
      </w:r>
      <w:proofErr w:type="gramStart"/>
      <w:r>
        <w:t>monitors</w:t>
      </w:r>
      <w:proofErr w:type="gramEnd"/>
      <w:r>
        <w:t xml:space="preserve"> new vaccines for their potential to be included on the NIP. Vaccines recommended for the NIP must </w:t>
      </w:r>
      <w:proofErr w:type="gramStart"/>
      <w:r>
        <w:t>demonstrate</w:t>
      </w:r>
      <w:proofErr w:type="gramEnd"/>
      <w:r>
        <w:t xml:space="preserve"> benefits for the Australian population or for specific high-risk groups. They must also be cost-effective. </w:t>
      </w:r>
    </w:p>
    <w:p w14:paraId="34D6E127" w14:textId="77777777" w:rsidR="00FF27F6" w:rsidRPr="00A143E9" w:rsidRDefault="00FF27F6" w:rsidP="00FF27F6">
      <w:pPr>
        <w:pStyle w:val="CDIFigures"/>
        <w:divId w:val="812717687"/>
      </w:pPr>
      <w:r w:rsidRPr="00A143E9">
        <w:rPr>
          <w:rStyle w:val="Strong"/>
          <w:b/>
          <w:bCs w:val="0"/>
        </w:rPr>
        <w:t>Table 2: New vaccines registered with the TGA in 2022</w:t>
      </w:r>
      <w:r w:rsidRPr="00A143E9">
        <w:t xml:space="preserve"> </w:t>
      </w:r>
    </w:p>
    <w:tbl>
      <w:tblPr>
        <w:tblStyle w:val="CDI-StandardTable"/>
        <w:tblW w:w="0" w:type="auto"/>
        <w:tblLook w:val="04A0" w:firstRow="1" w:lastRow="0" w:firstColumn="1" w:lastColumn="0" w:noHBand="0" w:noVBand="1"/>
        <w:tblDescription w:val="Table 2 shows the three new vaccines that were registered with TGA in 2022. It includes a description of the vaccine, what it protects against and the age the vaccine is registered in.&#10;"/>
      </w:tblPr>
      <w:tblGrid>
        <w:gridCol w:w="1500"/>
        <w:gridCol w:w="2895"/>
        <w:gridCol w:w="4394"/>
        <w:gridCol w:w="1677"/>
      </w:tblGrid>
      <w:tr w:rsidR="00FF27F6" w:rsidRPr="00A143E9" w14:paraId="0A737F47" w14:textId="77777777" w:rsidTr="00FF27F6">
        <w:trPr>
          <w:cnfStyle w:val="100000000000" w:firstRow="1" w:lastRow="0" w:firstColumn="0" w:lastColumn="0" w:oddVBand="0" w:evenVBand="0" w:oddHBand="0" w:evenHBand="0" w:firstRowFirstColumn="0" w:firstRowLastColumn="0" w:lastRowFirstColumn="0" w:lastRowLastColumn="0"/>
          <w:divId w:val="812717687"/>
        </w:trPr>
        <w:tc>
          <w:tcPr>
            <w:tcW w:w="0" w:type="auto"/>
            <w:hideMark/>
          </w:tcPr>
          <w:p w14:paraId="328859E1" w14:textId="77777777" w:rsidR="00FF27F6" w:rsidRPr="00A143E9" w:rsidRDefault="00FF27F6" w:rsidP="004E471A">
            <w:pPr>
              <w:pStyle w:val="NormalWeb"/>
              <w:jc w:val="left"/>
              <w:rPr>
                <w:sz w:val="18"/>
                <w:szCs w:val="18"/>
                <w:lang w:val="en-GB"/>
              </w:rPr>
            </w:pPr>
            <w:r w:rsidRPr="00A143E9">
              <w:rPr>
                <w:sz w:val="18"/>
                <w:szCs w:val="18"/>
                <w:lang w:val="en-GB"/>
              </w:rPr>
              <w:t>Vaccine brand name</w:t>
            </w:r>
          </w:p>
        </w:tc>
        <w:tc>
          <w:tcPr>
            <w:tcW w:w="2895" w:type="dxa"/>
            <w:hideMark/>
          </w:tcPr>
          <w:p w14:paraId="33ECD5DF" w14:textId="77777777" w:rsidR="00FF27F6" w:rsidRPr="00A143E9" w:rsidRDefault="00FF27F6" w:rsidP="004E471A">
            <w:pPr>
              <w:pStyle w:val="NormalWeb"/>
              <w:jc w:val="left"/>
              <w:rPr>
                <w:sz w:val="18"/>
                <w:szCs w:val="18"/>
                <w:lang w:val="en-GB"/>
              </w:rPr>
            </w:pPr>
            <w:r w:rsidRPr="00A143E9">
              <w:rPr>
                <w:sz w:val="18"/>
                <w:szCs w:val="18"/>
                <w:lang w:val="en-GB"/>
              </w:rPr>
              <w:t>Description</w:t>
            </w:r>
          </w:p>
        </w:tc>
        <w:tc>
          <w:tcPr>
            <w:tcW w:w="4394" w:type="dxa"/>
            <w:hideMark/>
          </w:tcPr>
          <w:p w14:paraId="1FD58A48" w14:textId="77777777" w:rsidR="00FF27F6" w:rsidRPr="00A143E9" w:rsidRDefault="00FF27F6" w:rsidP="004E471A">
            <w:pPr>
              <w:pStyle w:val="NormalWeb"/>
              <w:jc w:val="left"/>
              <w:rPr>
                <w:sz w:val="18"/>
                <w:szCs w:val="18"/>
                <w:lang w:val="en-GB"/>
              </w:rPr>
            </w:pPr>
            <w:r w:rsidRPr="00A143E9">
              <w:rPr>
                <w:sz w:val="18"/>
                <w:szCs w:val="18"/>
                <w:lang w:val="en-GB"/>
              </w:rPr>
              <w:t>Protects against</w:t>
            </w:r>
          </w:p>
        </w:tc>
        <w:tc>
          <w:tcPr>
            <w:tcW w:w="1677" w:type="dxa"/>
            <w:hideMark/>
          </w:tcPr>
          <w:p w14:paraId="5E269D75" w14:textId="77777777" w:rsidR="00FF27F6" w:rsidRPr="00A143E9" w:rsidRDefault="00FF27F6" w:rsidP="004E471A">
            <w:pPr>
              <w:pStyle w:val="NormalWeb"/>
              <w:jc w:val="left"/>
              <w:rPr>
                <w:sz w:val="18"/>
                <w:szCs w:val="18"/>
                <w:lang w:val="en-GB"/>
              </w:rPr>
            </w:pPr>
            <w:r w:rsidRPr="00A143E9">
              <w:rPr>
                <w:sz w:val="18"/>
                <w:szCs w:val="18"/>
                <w:lang w:val="en-GB"/>
              </w:rPr>
              <w:t>For use in ages</w:t>
            </w:r>
          </w:p>
        </w:tc>
      </w:tr>
      <w:tr w:rsidR="00FF27F6" w:rsidRPr="00A143E9" w14:paraId="551C7A96" w14:textId="77777777" w:rsidTr="00FF27F6">
        <w:trPr>
          <w:divId w:val="812717687"/>
        </w:trPr>
        <w:tc>
          <w:tcPr>
            <w:tcW w:w="0" w:type="auto"/>
            <w:hideMark/>
          </w:tcPr>
          <w:p w14:paraId="0BE67E3E" w14:textId="77777777" w:rsidR="00FF27F6" w:rsidRPr="00A143E9" w:rsidRDefault="00FF27F6" w:rsidP="004E471A">
            <w:pPr>
              <w:pStyle w:val="NormalWeb"/>
              <w:jc w:val="left"/>
              <w:rPr>
                <w:sz w:val="18"/>
                <w:szCs w:val="18"/>
                <w:lang w:val="en-GB"/>
              </w:rPr>
            </w:pPr>
            <w:proofErr w:type="spellStart"/>
            <w:r w:rsidRPr="00A143E9">
              <w:rPr>
                <w:sz w:val="18"/>
                <w:szCs w:val="18"/>
                <w:lang w:val="en-GB"/>
              </w:rPr>
              <w:t>Vaxelis</w:t>
            </w:r>
            <w:proofErr w:type="spellEnd"/>
          </w:p>
        </w:tc>
        <w:tc>
          <w:tcPr>
            <w:tcW w:w="2895" w:type="dxa"/>
            <w:hideMark/>
          </w:tcPr>
          <w:p w14:paraId="2485D3E3" w14:textId="77777777" w:rsidR="00FF27F6" w:rsidRPr="00A143E9" w:rsidRDefault="00FF27F6" w:rsidP="004E471A">
            <w:pPr>
              <w:pStyle w:val="NormalWeb"/>
              <w:jc w:val="left"/>
              <w:rPr>
                <w:sz w:val="18"/>
                <w:szCs w:val="18"/>
                <w:lang w:val="en-GB"/>
              </w:rPr>
            </w:pPr>
            <w:r w:rsidRPr="00A143E9">
              <w:rPr>
                <w:sz w:val="18"/>
                <w:szCs w:val="18"/>
                <w:lang w:val="en-GB"/>
              </w:rPr>
              <w:t>DTPa5-HB-IPV-Hib vaccine</w:t>
            </w:r>
          </w:p>
        </w:tc>
        <w:tc>
          <w:tcPr>
            <w:tcW w:w="4394" w:type="dxa"/>
            <w:hideMark/>
          </w:tcPr>
          <w:p w14:paraId="3D1E6A41" w14:textId="77777777" w:rsidR="00FF27F6" w:rsidRPr="00A143E9" w:rsidRDefault="00FF27F6" w:rsidP="004E471A">
            <w:pPr>
              <w:pStyle w:val="NormalWeb"/>
              <w:jc w:val="left"/>
              <w:rPr>
                <w:sz w:val="18"/>
                <w:szCs w:val="18"/>
                <w:lang w:val="en-GB"/>
              </w:rPr>
            </w:pPr>
            <w:r w:rsidRPr="00A143E9">
              <w:rPr>
                <w:sz w:val="18"/>
                <w:szCs w:val="18"/>
                <w:lang w:val="en-GB"/>
              </w:rPr>
              <w:t>Diphtheria, tetanus, pertussis, hepatitis B, polio, and Haemophilus influenzae type b</w:t>
            </w:r>
          </w:p>
        </w:tc>
        <w:tc>
          <w:tcPr>
            <w:tcW w:w="1677" w:type="dxa"/>
            <w:hideMark/>
          </w:tcPr>
          <w:p w14:paraId="52DF21B2" w14:textId="77777777" w:rsidR="00FF27F6" w:rsidRPr="00A143E9" w:rsidRDefault="00FF27F6" w:rsidP="004E471A">
            <w:pPr>
              <w:pStyle w:val="NormalWeb"/>
              <w:jc w:val="left"/>
              <w:rPr>
                <w:sz w:val="18"/>
                <w:szCs w:val="18"/>
                <w:lang w:val="en-GB"/>
              </w:rPr>
            </w:pPr>
            <w:r w:rsidRPr="00A143E9">
              <w:rPr>
                <w:sz w:val="18"/>
                <w:szCs w:val="18"/>
                <w:lang w:val="en-GB"/>
              </w:rPr>
              <w:t>6 weeks and over</w:t>
            </w:r>
          </w:p>
        </w:tc>
      </w:tr>
      <w:tr w:rsidR="00FF27F6" w:rsidRPr="00A143E9" w14:paraId="14795591" w14:textId="77777777" w:rsidTr="00FF27F6">
        <w:trPr>
          <w:cnfStyle w:val="000000010000" w:firstRow="0" w:lastRow="0" w:firstColumn="0" w:lastColumn="0" w:oddVBand="0" w:evenVBand="0" w:oddHBand="0" w:evenHBand="1" w:firstRowFirstColumn="0" w:firstRowLastColumn="0" w:lastRowFirstColumn="0" w:lastRowLastColumn="0"/>
          <w:divId w:val="812717687"/>
        </w:trPr>
        <w:tc>
          <w:tcPr>
            <w:tcW w:w="0" w:type="auto"/>
            <w:hideMark/>
          </w:tcPr>
          <w:p w14:paraId="4097ACED" w14:textId="77777777" w:rsidR="00FF27F6" w:rsidRPr="00A143E9" w:rsidRDefault="00FF27F6" w:rsidP="004E471A">
            <w:pPr>
              <w:pStyle w:val="NormalWeb"/>
              <w:jc w:val="left"/>
              <w:rPr>
                <w:sz w:val="18"/>
                <w:szCs w:val="18"/>
                <w:lang w:val="en-GB"/>
              </w:rPr>
            </w:pPr>
            <w:proofErr w:type="spellStart"/>
            <w:r w:rsidRPr="00A143E9">
              <w:rPr>
                <w:sz w:val="18"/>
                <w:szCs w:val="18"/>
                <w:lang w:val="en-GB"/>
              </w:rPr>
              <w:t>Vaxneuvance</w:t>
            </w:r>
            <w:proofErr w:type="spellEnd"/>
          </w:p>
        </w:tc>
        <w:tc>
          <w:tcPr>
            <w:tcW w:w="2895" w:type="dxa"/>
            <w:hideMark/>
          </w:tcPr>
          <w:p w14:paraId="15D1D12C" w14:textId="77777777" w:rsidR="00FF27F6" w:rsidRPr="00A143E9" w:rsidRDefault="00FF27F6" w:rsidP="004E471A">
            <w:pPr>
              <w:pStyle w:val="NormalWeb"/>
              <w:jc w:val="left"/>
              <w:rPr>
                <w:sz w:val="18"/>
                <w:szCs w:val="18"/>
                <w:lang w:val="en-GB"/>
              </w:rPr>
            </w:pPr>
            <w:r w:rsidRPr="00A143E9">
              <w:rPr>
                <w:sz w:val="18"/>
                <w:szCs w:val="18"/>
                <w:lang w:val="en-GB"/>
              </w:rPr>
              <w:t>15-valent pneumococcal conjugate vaccine</w:t>
            </w:r>
          </w:p>
        </w:tc>
        <w:tc>
          <w:tcPr>
            <w:tcW w:w="4394" w:type="dxa"/>
            <w:hideMark/>
          </w:tcPr>
          <w:p w14:paraId="2D524CFE" w14:textId="77777777" w:rsidR="00FF27F6" w:rsidRPr="00A143E9" w:rsidRDefault="00FF27F6" w:rsidP="004E471A">
            <w:pPr>
              <w:pStyle w:val="NormalWeb"/>
              <w:jc w:val="left"/>
              <w:rPr>
                <w:sz w:val="18"/>
                <w:szCs w:val="18"/>
                <w:lang w:val="en-GB"/>
              </w:rPr>
            </w:pPr>
            <w:r w:rsidRPr="00A143E9">
              <w:rPr>
                <w:sz w:val="18"/>
                <w:szCs w:val="18"/>
                <w:lang w:val="en-GB"/>
              </w:rPr>
              <w:t>Pneumococcal disease</w:t>
            </w:r>
          </w:p>
        </w:tc>
        <w:tc>
          <w:tcPr>
            <w:tcW w:w="1677" w:type="dxa"/>
            <w:hideMark/>
          </w:tcPr>
          <w:p w14:paraId="4960751A" w14:textId="77777777" w:rsidR="00FF27F6" w:rsidRPr="00A143E9" w:rsidRDefault="00FF27F6" w:rsidP="004E471A">
            <w:pPr>
              <w:pStyle w:val="NormalWeb"/>
              <w:jc w:val="left"/>
              <w:rPr>
                <w:sz w:val="18"/>
                <w:szCs w:val="18"/>
                <w:lang w:val="en-GB"/>
              </w:rPr>
            </w:pPr>
            <w:r w:rsidRPr="00A143E9">
              <w:rPr>
                <w:sz w:val="18"/>
                <w:szCs w:val="18"/>
                <w:lang w:val="en-GB"/>
              </w:rPr>
              <w:t>18 years and over</w:t>
            </w:r>
          </w:p>
        </w:tc>
      </w:tr>
      <w:tr w:rsidR="00FF27F6" w:rsidRPr="00A143E9" w14:paraId="68E24E03" w14:textId="77777777" w:rsidTr="00FF27F6">
        <w:trPr>
          <w:divId w:val="812717687"/>
        </w:trPr>
        <w:tc>
          <w:tcPr>
            <w:tcW w:w="0" w:type="auto"/>
            <w:tcBorders>
              <w:bottom w:val="single" w:sz="4" w:space="0" w:color="808080" w:themeColor="background1" w:themeShade="80"/>
            </w:tcBorders>
            <w:hideMark/>
          </w:tcPr>
          <w:p w14:paraId="0DD45D77" w14:textId="77777777" w:rsidR="00FF27F6" w:rsidRPr="00A143E9" w:rsidRDefault="00FF27F6" w:rsidP="004E471A">
            <w:pPr>
              <w:pStyle w:val="NormalWeb"/>
              <w:jc w:val="left"/>
              <w:rPr>
                <w:sz w:val="18"/>
                <w:szCs w:val="18"/>
                <w:lang w:val="en-GB"/>
              </w:rPr>
            </w:pPr>
            <w:proofErr w:type="spellStart"/>
            <w:r w:rsidRPr="00A143E9">
              <w:rPr>
                <w:sz w:val="18"/>
                <w:szCs w:val="18"/>
                <w:lang w:val="en-GB"/>
              </w:rPr>
              <w:t>Verorab</w:t>
            </w:r>
            <w:proofErr w:type="spellEnd"/>
          </w:p>
        </w:tc>
        <w:tc>
          <w:tcPr>
            <w:tcW w:w="2895" w:type="dxa"/>
            <w:tcBorders>
              <w:bottom w:val="single" w:sz="4" w:space="0" w:color="808080" w:themeColor="background1" w:themeShade="80"/>
            </w:tcBorders>
            <w:hideMark/>
          </w:tcPr>
          <w:p w14:paraId="27126424" w14:textId="77777777" w:rsidR="00FF27F6" w:rsidRPr="00A143E9" w:rsidRDefault="00FF27F6" w:rsidP="004E471A">
            <w:pPr>
              <w:pStyle w:val="NormalWeb"/>
              <w:jc w:val="left"/>
              <w:rPr>
                <w:sz w:val="18"/>
                <w:szCs w:val="18"/>
                <w:lang w:val="en-GB"/>
              </w:rPr>
            </w:pPr>
            <w:r w:rsidRPr="00A143E9">
              <w:rPr>
                <w:sz w:val="18"/>
                <w:szCs w:val="18"/>
                <w:lang w:val="en-GB"/>
              </w:rPr>
              <w:t>Rabies vaccine</w:t>
            </w:r>
          </w:p>
        </w:tc>
        <w:tc>
          <w:tcPr>
            <w:tcW w:w="4394" w:type="dxa"/>
            <w:tcBorders>
              <w:bottom w:val="single" w:sz="4" w:space="0" w:color="808080" w:themeColor="background1" w:themeShade="80"/>
            </w:tcBorders>
            <w:hideMark/>
          </w:tcPr>
          <w:p w14:paraId="07987E9E" w14:textId="77777777" w:rsidR="00FF27F6" w:rsidRPr="00A143E9" w:rsidRDefault="00FF27F6" w:rsidP="004E471A">
            <w:pPr>
              <w:pStyle w:val="NormalWeb"/>
              <w:jc w:val="left"/>
              <w:rPr>
                <w:sz w:val="18"/>
                <w:szCs w:val="18"/>
                <w:lang w:val="en-GB"/>
              </w:rPr>
            </w:pPr>
            <w:r w:rsidRPr="00A143E9">
              <w:rPr>
                <w:sz w:val="18"/>
                <w:szCs w:val="18"/>
                <w:lang w:val="en-GB"/>
              </w:rPr>
              <w:t>Rabies</w:t>
            </w:r>
          </w:p>
        </w:tc>
        <w:tc>
          <w:tcPr>
            <w:tcW w:w="1677" w:type="dxa"/>
            <w:tcBorders>
              <w:bottom w:val="single" w:sz="4" w:space="0" w:color="808080" w:themeColor="background1" w:themeShade="80"/>
            </w:tcBorders>
            <w:hideMark/>
          </w:tcPr>
          <w:p w14:paraId="003E1618" w14:textId="77777777" w:rsidR="00FF27F6" w:rsidRPr="00A143E9" w:rsidRDefault="00FF27F6" w:rsidP="004E471A">
            <w:pPr>
              <w:pStyle w:val="NormalWeb"/>
              <w:jc w:val="left"/>
              <w:rPr>
                <w:sz w:val="18"/>
                <w:szCs w:val="18"/>
                <w:lang w:val="en-GB"/>
              </w:rPr>
            </w:pPr>
            <w:r w:rsidRPr="00A143E9">
              <w:rPr>
                <w:sz w:val="18"/>
                <w:szCs w:val="18"/>
                <w:lang w:val="en-GB"/>
              </w:rPr>
              <w:t>All ages</w:t>
            </w:r>
          </w:p>
        </w:tc>
      </w:tr>
    </w:tbl>
    <w:p w14:paraId="46499D8D" w14:textId="349E1BE7" w:rsidR="00E52252" w:rsidRDefault="00E52252">
      <w:pPr>
        <w:pStyle w:val="Heading2"/>
        <w:divId w:val="812717687"/>
        <w:rPr>
          <w:rFonts w:eastAsia="Times New Roman"/>
        </w:rPr>
      </w:pPr>
      <w:r>
        <w:rPr>
          <w:rFonts w:eastAsia="Times New Roman"/>
        </w:rPr>
        <w:t xml:space="preserve">Vaccine safety </w:t>
      </w:r>
    </w:p>
    <w:p w14:paraId="112DFED2" w14:textId="77777777" w:rsidR="00E52252" w:rsidRDefault="00E52252">
      <w:pPr>
        <w:pStyle w:val="NormalWeb"/>
        <w:divId w:val="812717687"/>
      </w:pPr>
      <w:r>
        <w:t xml:space="preserve">The TGA has overall responsibility for vaccine safety surveillance in Australia. Vaccine safety surveillance </w:t>
      </w:r>
      <w:proofErr w:type="gramStart"/>
      <w:r>
        <w:t>is conducted</w:t>
      </w:r>
      <w:proofErr w:type="gramEnd"/>
      <w:r>
        <w:t xml:space="preserve"> in two ways: </w:t>
      </w:r>
    </w:p>
    <w:p w14:paraId="2C95748A" w14:textId="77777777" w:rsidR="00E52252" w:rsidRDefault="00E52252" w:rsidP="00E52252">
      <w:pPr>
        <w:numPr>
          <w:ilvl w:val="0"/>
          <w:numId w:val="11"/>
        </w:numPr>
        <w:spacing w:before="100" w:beforeAutospacing="1" w:after="100" w:afterAutospacing="1" w:line="240" w:lineRule="auto"/>
        <w:divId w:val="812717687"/>
        <w:rPr>
          <w:rFonts w:eastAsia="Times New Roman"/>
        </w:rPr>
      </w:pPr>
      <w:r>
        <w:rPr>
          <w:rFonts w:eastAsia="Times New Roman"/>
        </w:rPr>
        <w:t>Spontaneous (passive) surveillance, through which people who have been vaccinated or their carers can report any vaccine side effects they have experienced.</w:t>
      </w:r>
      <w:r>
        <w:rPr>
          <w:rFonts w:eastAsia="Times New Roman"/>
          <w:vertAlign w:val="superscript"/>
        </w:rPr>
        <w:t>35</w:t>
      </w:r>
      <w:r>
        <w:rPr>
          <w:rFonts w:eastAsia="Times New Roman"/>
        </w:rPr>
        <w:t xml:space="preserve"> Reports are usually made to the jurisdictional vaccine safety </w:t>
      </w:r>
      <w:proofErr w:type="gramStart"/>
      <w:r>
        <w:rPr>
          <w:rFonts w:eastAsia="Times New Roman"/>
        </w:rPr>
        <w:t>services, but</w:t>
      </w:r>
      <w:proofErr w:type="gramEnd"/>
      <w:r>
        <w:rPr>
          <w:rFonts w:eastAsia="Times New Roman"/>
        </w:rPr>
        <w:t xml:space="preserve"> can also be made directly to the TGA or through a healthcare provider. </w:t>
      </w:r>
    </w:p>
    <w:p w14:paraId="7CA49916" w14:textId="4C881123" w:rsidR="00E52252" w:rsidRDefault="00E52252" w:rsidP="00E52252">
      <w:pPr>
        <w:numPr>
          <w:ilvl w:val="0"/>
          <w:numId w:val="11"/>
        </w:numPr>
        <w:spacing w:before="100" w:beforeAutospacing="1" w:after="100" w:afterAutospacing="1" w:line="240" w:lineRule="auto"/>
        <w:divId w:val="812717687"/>
        <w:rPr>
          <w:rFonts w:eastAsia="Times New Roman"/>
        </w:rPr>
      </w:pPr>
      <w:r>
        <w:rPr>
          <w:rFonts w:eastAsia="Times New Roman"/>
        </w:rPr>
        <w:t xml:space="preserve">Active surveillance, through which people who have </w:t>
      </w:r>
      <w:proofErr w:type="gramStart"/>
      <w:r>
        <w:rPr>
          <w:rFonts w:eastAsia="Times New Roman"/>
        </w:rPr>
        <w:t>been vaccinated</w:t>
      </w:r>
      <w:proofErr w:type="gramEnd"/>
      <w:r>
        <w:rPr>
          <w:rFonts w:eastAsia="Times New Roman"/>
        </w:rPr>
        <w:t xml:space="preserve"> or their </w:t>
      </w:r>
      <w:proofErr w:type="spellStart"/>
      <w:r>
        <w:rPr>
          <w:rFonts w:eastAsia="Times New Roman"/>
        </w:rPr>
        <w:t>carers</w:t>
      </w:r>
      <w:proofErr w:type="spellEnd"/>
      <w:r>
        <w:rPr>
          <w:rFonts w:eastAsia="Times New Roman"/>
        </w:rPr>
        <w:t xml:space="preserve"> are contacted directly and asked whether they have experienced any vaccine side effects. The current active vaccine safety surveillance is known as the </w:t>
      </w:r>
      <w:proofErr w:type="spellStart"/>
      <w:r>
        <w:rPr>
          <w:rFonts w:eastAsia="Times New Roman"/>
        </w:rPr>
        <w:t>AusVaxSafety</w:t>
      </w:r>
      <w:proofErr w:type="spellEnd"/>
      <w:r>
        <w:rPr>
          <w:rFonts w:eastAsia="Times New Roman"/>
        </w:rPr>
        <w:t xml:space="preserve"> system</w:t>
      </w:r>
      <w:r w:rsidR="00BE7448">
        <w:rPr>
          <w:rStyle w:val="FootnoteReference"/>
          <w:rFonts w:eastAsia="Times New Roman"/>
        </w:rPr>
        <w:footnoteReference w:id="6"/>
      </w:r>
      <w:r>
        <w:rPr>
          <w:rFonts w:eastAsia="Times New Roman"/>
        </w:rPr>
        <w:t xml:space="preserve">. </w:t>
      </w:r>
    </w:p>
    <w:p w14:paraId="5191E1B8" w14:textId="77777777" w:rsidR="00E52252" w:rsidRDefault="00E52252">
      <w:pPr>
        <w:pStyle w:val="NormalWeb"/>
        <w:divId w:val="812717687"/>
      </w:pPr>
      <w:r>
        <w:t xml:space="preserve">Active and passive vaccine safety surveillance activities </w:t>
      </w:r>
      <w:proofErr w:type="gramStart"/>
      <w:r>
        <w:t>are now integrated</w:t>
      </w:r>
      <w:proofErr w:type="gramEnd"/>
      <w:r>
        <w:t xml:space="preserve"> in most states and territories. They send all reports of serious adverse events following immunisation to the TGA. </w:t>
      </w:r>
    </w:p>
    <w:p w14:paraId="648D2C14" w14:textId="5D603CD2" w:rsidR="00E52252" w:rsidRDefault="00E52252">
      <w:pPr>
        <w:pStyle w:val="NormalWeb"/>
        <w:divId w:val="812717687"/>
      </w:pPr>
      <w:r>
        <w:t>ATAGI continues to work closely with the TGA to advise on and promote the safe use of all vaccines, including COVID</w:t>
      </w:r>
      <w:r w:rsidR="00DC6573">
        <w:t>-</w:t>
      </w:r>
      <w:r>
        <w:t xml:space="preserve">19 vaccines. </w:t>
      </w:r>
    </w:p>
    <w:p w14:paraId="31FADC50" w14:textId="77777777" w:rsidR="00EB0A75" w:rsidRDefault="00EB0A75">
      <w:pPr>
        <w:rPr>
          <w:rFonts w:asciiTheme="majorHAnsi" w:eastAsia="Times New Roman" w:hAnsiTheme="majorHAnsi" w:cstheme="majorBidi"/>
          <w:b/>
          <w:bCs/>
        </w:rPr>
      </w:pPr>
      <w:r>
        <w:rPr>
          <w:rFonts w:eastAsia="Times New Roman"/>
        </w:rPr>
        <w:br w:type="page"/>
      </w:r>
    </w:p>
    <w:p w14:paraId="16E0EC1C" w14:textId="4BEF2F6A" w:rsidR="00E52252" w:rsidRDefault="00E52252">
      <w:pPr>
        <w:pStyle w:val="Heading3"/>
        <w:divId w:val="812717687"/>
        <w:rPr>
          <w:rFonts w:eastAsia="Times New Roman"/>
        </w:rPr>
      </w:pPr>
      <w:r>
        <w:rPr>
          <w:rFonts w:eastAsia="Times New Roman"/>
        </w:rPr>
        <w:lastRenderedPageBreak/>
        <w:t xml:space="preserve">Influenza vaccines </w:t>
      </w:r>
    </w:p>
    <w:p w14:paraId="4DCEB6C7" w14:textId="77777777" w:rsidR="00E52252" w:rsidRDefault="00E52252">
      <w:pPr>
        <w:pStyle w:val="NormalWeb"/>
        <w:divId w:val="812717687"/>
      </w:pPr>
      <w:proofErr w:type="spellStart"/>
      <w:r>
        <w:t>AusVaxSafety</w:t>
      </w:r>
      <w:proofErr w:type="spellEnd"/>
      <w:r>
        <w:t xml:space="preserve"> data </w:t>
      </w:r>
      <w:proofErr w:type="gramStart"/>
      <w:r>
        <w:t>demonstrate</w:t>
      </w:r>
      <w:proofErr w:type="gramEnd"/>
      <w:r>
        <w:t xml:space="preserve"> the safety of the 2022 seasonal influenza vaccines.</w:t>
      </w:r>
      <w:r>
        <w:rPr>
          <w:vertAlign w:val="superscript"/>
        </w:rPr>
        <w:t>36</w:t>
      </w:r>
      <w:r>
        <w:t xml:space="preserve"> Of 164,554 participants in the 2022 safety survey, 82% reported no adverse event (minor or severe). One in 100 (1%) parents or carers of children aged under 5 years reported taking their child to see a doctor or going to the emergency department in the days after influenza vaccination. Less than 1% of people aged 5 years and over reported seeing a doctor or going to the emergency department in the days after influenza vaccination. </w:t>
      </w:r>
    </w:p>
    <w:p w14:paraId="0E46CA83" w14:textId="77777777" w:rsidR="00E52252" w:rsidRDefault="00E52252">
      <w:pPr>
        <w:pStyle w:val="Heading3"/>
        <w:divId w:val="812717687"/>
        <w:rPr>
          <w:rFonts w:eastAsia="Times New Roman"/>
        </w:rPr>
      </w:pPr>
      <w:r>
        <w:rPr>
          <w:rFonts w:eastAsia="Times New Roman"/>
        </w:rPr>
        <w:t xml:space="preserve">IFNAR1 gene deficiency </w:t>
      </w:r>
    </w:p>
    <w:p w14:paraId="4CD3AB60" w14:textId="77777777" w:rsidR="00E52252" w:rsidRDefault="00E52252">
      <w:pPr>
        <w:pStyle w:val="NormalWeb"/>
        <w:divId w:val="812717687"/>
      </w:pPr>
      <w:r>
        <w:t xml:space="preserve">IFNAR1 deficiency is a rare inherited condition that affects </w:t>
      </w:r>
      <w:proofErr w:type="gramStart"/>
      <w:r>
        <w:t>some</w:t>
      </w:r>
      <w:proofErr w:type="gramEnd"/>
      <w:r>
        <w:t xml:space="preserve"> people of western Polynesian heritage. The deficiency in the IFNAR1 protein can lead to a weakened immune response and a higher risk of adverse reactions to live attenuated viral vaccines. ATAGI reviewed the evidence on IFNAR1 deficiency in 2022 and updated relevant chapters in the Australian Immunisation Handbook. </w:t>
      </w:r>
    </w:p>
    <w:p w14:paraId="6F626D05" w14:textId="77777777" w:rsidR="00E52252" w:rsidRDefault="00E52252">
      <w:pPr>
        <w:pStyle w:val="Heading3"/>
        <w:divId w:val="812717687"/>
        <w:rPr>
          <w:rFonts w:eastAsia="Times New Roman"/>
        </w:rPr>
      </w:pPr>
      <w:r>
        <w:rPr>
          <w:rFonts w:eastAsia="Times New Roman"/>
        </w:rPr>
        <w:t xml:space="preserve">Japanese encephalitis vaccines </w:t>
      </w:r>
    </w:p>
    <w:p w14:paraId="2DFD4F48" w14:textId="58B19581" w:rsidR="00E52252" w:rsidRDefault="00E52252">
      <w:pPr>
        <w:pStyle w:val="NormalWeb"/>
        <w:divId w:val="812717687"/>
      </w:pPr>
      <w:r>
        <w:t xml:space="preserve">A 2022 study found that both JE vaccines administered in Australia between 2015 and 2020, </w:t>
      </w:r>
      <w:proofErr w:type="spellStart"/>
      <w:r>
        <w:t>JEspect</w:t>
      </w:r>
      <w:proofErr w:type="spellEnd"/>
      <w:r>
        <w:t xml:space="preserve"> and </w:t>
      </w:r>
      <w:proofErr w:type="spellStart"/>
      <w:r>
        <w:t>Imojev</w:t>
      </w:r>
      <w:proofErr w:type="spellEnd"/>
      <w:r>
        <w:t>, were safe and well tolerated.</w:t>
      </w:r>
      <w:r>
        <w:rPr>
          <w:vertAlign w:val="superscript"/>
        </w:rPr>
        <w:t>37</w:t>
      </w:r>
      <w:r>
        <w:t xml:space="preserve"> Using data from </w:t>
      </w:r>
      <w:proofErr w:type="spellStart"/>
      <w:r>
        <w:t>SmartVax</w:t>
      </w:r>
      <w:proofErr w:type="spellEnd"/>
      <w:r>
        <w:t>,</w:t>
      </w:r>
      <w:r w:rsidR="009B4896">
        <w:rPr>
          <w:rStyle w:val="FootnoteReference"/>
        </w:rPr>
        <w:footnoteReference w:id="7"/>
      </w:r>
      <w:r>
        <w:t xml:space="preserve"> the study found that in 5,389 immunisation records of JE vaccines, adverse events </w:t>
      </w:r>
      <w:proofErr w:type="gramStart"/>
      <w:r>
        <w:t>were reported</w:t>
      </w:r>
      <w:proofErr w:type="gramEnd"/>
      <w:r>
        <w:t xml:space="preserve"> in 7.6% of people receiving </w:t>
      </w:r>
      <w:proofErr w:type="spellStart"/>
      <w:r>
        <w:t>Imojev</w:t>
      </w:r>
      <w:proofErr w:type="spellEnd"/>
      <w:r>
        <w:t xml:space="preserve"> and 5.9% of people receiving </w:t>
      </w:r>
      <w:proofErr w:type="spellStart"/>
      <w:r>
        <w:t>JEspect</w:t>
      </w:r>
      <w:proofErr w:type="spellEnd"/>
      <w:r>
        <w:t xml:space="preserve">. ATAGI will continue to </w:t>
      </w:r>
      <w:proofErr w:type="gramStart"/>
      <w:r>
        <w:t>monitor</w:t>
      </w:r>
      <w:proofErr w:type="gramEnd"/>
      <w:r>
        <w:t xml:space="preserve"> the safety of JE vaccines following their expanded use in Australia due to the outbreak. </w:t>
      </w:r>
    </w:p>
    <w:p w14:paraId="69D73760" w14:textId="77777777" w:rsidR="00E52252" w:rsidRDefault="00E52252">
      <w:pPr>
        <w:pStyle w:val="Heading3"/>
        <w:divId w:val="812717687"/>
        <w:rPr>
          <w:rFonts w:eastAsia="Times New Roman"/>
        </w:rPr>
      </w:pPr>
      <w:proofErr w:type="spellStart"/>
      <w:r>
        <w:rPr>
          <w:rFonts w:eastAsia="Times New Roman"/>
        </w:rPr>
        <w:t>Mpox</w:t>
      </w:r>
      <w:proofErr w:type="spellEnd"/>
      <w:r>
        <w:rPr>
          <w:rFonts w:eastAsia="Times New Roman"/>
        </w:rPr>
        <w:t xml:space="preserve"> vaccines </w:t>
      </w:r>
    </w:p>
    <w:p w14:paraId="00743CE3" w14:textId="77777777" w:rsidR="00E52252" w:rsidRDefault="00E52252">
      <w:pPr>
        <w:pStyle w:val="NormalWeb"/>
        <w:divId w:val="812717687"/>
      </w:pPr>
      <w:proofErr w:type="spellStart"/>
      <w:r>
        <w:t>AusVaxSafety</w:t>
      </w:r>
      <w:proofErr w:type="spellEnd"/>
      <w:r>
        <w:t xml:space="preserve"> data showed no serious safety concerns with JYNNEOS, which can </w:t>
      </w:r>
      <w:proofErr w:type="gramStart"/>
      <w:r>
        <w:t>be injected</w:t>
      </w:r>
      <w:proofErr w:type="gramEnd"/>
      <w:r>
        <w:t xml:space="preserve"> either into the surface layers of the skin (intradermally) or into the tissue between the skin and underlying muscle (subcutaneously). As of 12 December 2022, the responses to the safety survey in 2022 reported no adverse events after dose </w:t>
      </w:r>
      <w:proofErr w:type="gramStart"/>
      <w:r>
        <w:t>2</w:t>
      </w:r>
      <w:proofErr w:type="gramEnd"/>
      <w:r>
        <w:t xml:space="preserve"> for 60% with the intradermal route (2,001 participants) and 66% with the subcutaneous route (710 participants).</w:t>
      </w:r>
      <w:r>
        <w:rPr>
          <w:vertAlign w:val="superscript"/>
        </w:rPr>
        <w:t>38</w:t>
      </w:r>
      <w:r>
        <w:t xml:space="preserve"> </w:t>
      </w:r>
    </w:p>
    <w:p w14:paraId="0650903C" w14:textId="77777777" w:rsidR="00E52252" w:rsidRDefault="00E52252">
      <w:pPr>
        <w:pStyle w:val="NormalWeb"/>
        <w:divId w:val="812717687"/>
      </w:pPr>
      <w:r>
        <w:t xml:space="preserve">Vaccines administered via both routes were safe, with fewer than 1 in 100 people reporting that they sought medical care in the days after receiving JYNNEOS. </w:t>
      </w:r>
    </w:p>
    <w:p w14:paraId="5BB9F103" w14:textId="109B1BCE" w:rsidR="00E52252" w:rsidRDefault="00E52252">
      <w:pPr>
        <w:pStyle w:val="Heading1"/>
        <w:divId w:val="812717687"/>
        <w:rPr>
          <w:rFonts w:eastAsia="Times New Roman"/>
        </w:rPr>
      </w:pPr>
      <w:r>
        <w:rPr>
          <w:rFonts w:eastAsia="Times New Roman"/>
        </w:rPr>
        <w:t>Challenges and priorities for immunisation in Australia in 2023 and</w:t>
      </w:r>
      <w:r w:rsidR="00CB21F3">
        <w:rPr>
          <w:rFonts w:eastAsia="Times New Roman"/>
        </w:rPr>
        <w:t> </w:t>
      </w:r>
      <w:r>
        <w:rPr>
          <w:rFonts w:eastAsia="Times New Roman"/>
        </w:rPr>
        <w:t xml:space="preserve">beyond </w:t>
      </w:r>
    </w:p>
    <w:p w14:paraId="075FF3AA" w14:textId="77777777" w:rsidR="00E52252" w:rsidRDefault="00E52252">
      <w:pPr>
        <w:pStyle w:val="NormalWeb"/>
        <w:divId w:val="812717687"/>
      </w:pPr>
      <w:r>
        <w:t xml:space="preserve">This document highlights the key successes, </w:t>
      </w:r>
      <w:proofErr w:type="gramStart"/>
      <w:r>
        <w:t>trends</w:t>
      </w:r>
      <w:proofErr w:type="gramEnd"/>
      <w:r>
        <w:t xml:space="preserve"> and challenges in the use of vaccines and control of VPDs in Australia in 2022. In 2022, COVID-19 pandemic control measures </w:t>
      </w:r>
      <w:proofErr w:type="gramStart"/>
      <w:r>
        <w:t>were eased</w:t>
      </w:r>
      <w:proofErr w:type="gramEnd"/>
      <w:r>
        <w:t xml:space="preserve"> in Australia and globally. ATAGI continued to </w:t>
      </w:r>
      <w:proofErr w:type="gramStart"/>
      <w:r>
        <w:t>provide</w:t>
      </w:r>
      <w:proofErr w:type="gramEnd"/>
      <w:r>
        <w:t xml:space="preserve"> timely advice on vaccination against COVID-19. In 2022, COVID-19 vaccine eligibility </w:t>
      </w:r>
      <w:proofErr w:type="gramStart"/>
      <w:r>
        <w:t>was expanded</w:t>
      </w:r>
      <w:proofErr w:type="gramEnd"/>
      <w:r>
        <w:t xml:space="preserve"> to all children aged 5 years and over and to some at-risk children aged 6 months to under 5 years. ATAGI recommended booster doses of COVID-19 vaccines for adults and adolescents, including the use of variant-based vaccines as a booster dose in people aged 18 years and over. </w:t>
      </w:r>
    </w:p>
    <w:p w14:paraId="071386BF" w14:textId="77777777" w:rsidR="00E52252" w:rsidRDefault="00E52252">
      <w:pPr>
        <w:pStyle w:val="NormalWeb"/>
        <w:divId w:val="812717687"/>
      </w:pPr>
      <w:proofErr w:type="gramStart"/>
      <w:r>
        <w:lastRenderedPageBreak/>
        <w:t>Some</w:t>
      </w:r>
      <w:proofErr w:type="gramEnd"/>
      <w:r>
        <w:t xml:space="preserve"> rates of VPDs increased in 2022 compared to 2021, including influenza, meningococcal and pneumococcal. This was </w:t>
      </w:r>
      <w:proofErr w:type="gramStart"/>
      <w:r>
        <w:t>likely due</w:t>
      </w:r>
      <w:proofErr w:type="gramEnd"/>
      <w:r>
        <w:t xml:space="preserve"> to easing of COVID-19 restrictions and reopening of Australia’s borders to international travel. Immunisation uptake remained high. Two newly emerged diseases, JE and </w:t>
      </w:r>
      <w:proofErr w:type="spellStart"/>
      <w:r>
        <w:t>mpox</w:t>
      </w:r>
      <w:proofErr w:type="spellEnd"/>
      <w:r>
        <w:t xml:space="preserve">, </w:t>
      </w:r>
      <w:proofErr w:type="gramStart"/>
      <w:r>
        <w:t>were declared</w:t>
      </w:r>
      <w:proofErr w:type="gramEnd"/>
      <w:r>
        <w:t xml:space="preserve"> CDINS following outbreaks in Australia. ATAGI developed and expanded vaccine recommendations for JE and </w:t>
      </w:r>
      <w:proofErr w:type="spellStart"/>
      <w:r>
        <w:t>mpox</w:t>
      </w:r>
      <w:proofErr w:type="spellEnd"/>
      <w:r>
        <w:t xml:space="preserve">, and governments delivered these safe and effective vaccines across Australia. </w:t>
      </w:r>
    </w:p>
    <w:p w14:paraId="1324F387" w14:textId="77777777" w:rsidR="00E52252" w:rsidRDefault="00E52252">
      <w:pPr>
        <w:pStyle w:val="NormalWeb"/>
        <w:divId w:val="812717687"/>
      </w:pPr>
      <w:r>
        <w:t xml:space="preserve">ATAGI recommended moving from a two-dose to a one-dose schedule for the HPV vaccine. This </w:t>
      </w:r>
      <w:proofErr w:type="gramStart"/>
      <w:r>
        <w:t>was introduced</w:t>
      </w:r>
      <w:proofErr w:type="gramEnd"/>
      <w:r>
        <w:t xml:space="preserve"> on the NIP in February 2023. ATAGI </w:t>
      </w:r>
      <w:proofErr w:type="gramStart"/>
      <w:r>
        <w:t>commenced</w:t>
      </w:r>
      <w:proofErr w:type="gramEnd"/>
      <w:r>
        <w:t xml:space="preserve"> work on recommendations for several other vaccines. This included incorporating a new pneumococcal conjugate vaccine and </w:t>
      </w:r>
      <w:proofErr w:type="gramStart"/>
      <w:r>
        <w:t>a</w:t>
      </w:r>
      <w:proofErr w:type="gramEnd"/>
      <w:r>
        <w:t xml:space="preserve"> updating recommendations for Zoster into the Australian Immunisation Handbook. </w:t>
      </w:r>
    </w:p>
    <w:p w14:paraId="0B9F46FB" w14:textId="77777777" w:rsidR="00E52252" w:rsidRDefault="00E52252">
      <w:pPr>
        <w:pStyle w:val="NormalWeb"/>
        <w:divId w:val="812717687"/>
      </w:pPr>
      <w:r>
        <w:t xml:space="preserve">This document also </w:t>
      </w:r>
      <w:proofErr w:type="gramStart"/>
      <w:r>
        <w:t>indicates</w:t>
      </w:r>
      <w:proofErr w:type="gramEnd"/>
      <w:r>
        <w:t xml:space="preserve"> the key challenges for prevention and control of VPDs in 2023 and beyond (Table 3). These include monitoring newly introduced and amended vaccine programs as well as responding to emerging and re-emerging VPDs. </w:t>
      </w:r>
    </w:p>
    <w:p w14:paraId="7872C2DA" w14:textId="77777777" w:rsidR="00E52252" w:rsidRDefault="00E52252">
      <w:pPr>
        <w:pStyle w:val="NormalWeb"/>
        <w:divId w:val="812717687"/>
      </w:pPr>
      <w:r>
        <w:t xml:space="preserve">ATAGI’s ongoing priority actions and specific priorities for 2023 are summarised in Table 4. These include continuing to </w:t>
      </w:r>
      <w:proofErr w:type="gramStart"/>
      <w:r>
        <w:t>provide</w:t>
      </w:r>
      <w:proofErr w:type="gramEnd"/>
      <w:r>
        <w:t xml:space="preserve"> recommendations for immunisation strategies that enhance the availability of NIP-funded vaccines to groups at increased risk of VPDs. ATAGI will </w:t>
      </w:r>
      <w:proofErr w:type="gramStart"/>
      <w:r>
        <w:t>monitor</w:t>
      </w:r>
      <w:proofErr w:type="gramEnd"/>
      <w:r>
        <w:t xml:space="preserve"> and evaluate emerging and re-emerging VPDs, upcoming vaccines that are being developed and new and amended vaccine programs in Australia. </w:t>
      </w:r>
    </w:p>
    <w:p w14:paraId="0837EE48" w14:textId="77777777" w:rsidR="00765CF9" w:rsidRPr="00A143E9" w:rsidRDefault="00765CF9" w:rsidP="00765CF9">
      <w:pPr>
        <w:pStyle w:val="CDIFigures"/>
        <w:divId w:val="812717687"/>
      </w:pPr>
      <w:r w:rsidRPr="00A143E9">
        <w:rPr>
          <w:rStyle w:val="Strong"/>
          <w:b/>
          <w:bCs w:val="0"/>
        </w:rPr>
        <w:t>Table 3: Key challenges for prevention and control of vaccine-preventable diseases through immunisation</w:t>
      </w:r>
    </w:p>
    <w:p w14:paraId="0B76EE0F" w14:textId="221E1EE0" w:rsidR="0062158A" w:rsidRPr="00C84BAD" w:rsidRDefault="00765CF9" w:rsidP="00C84BAD">
      <w:pPr>
        <w:spacing w:before="100" w:beforeAutospacing="1" w:after="100" w:afterAutospacing="1" w:line="240" w:lineRule="auto"/>
        <w:divId w:val="812717687"/>
        <w:rPr>
          <w:rFonts w:eastAsia="Times New Roman"/>
          <w:lang w:val="en-GB"/>
        </w:rPr>
      </w:pPr>
      <w:r>
        <w:rPr>
          <w:noProof/>
        </w:rPr>
        <mc:AlternateContent>
          <mc:Choice Requires="wps">
            <w:drawing>
              <wp:inline distT="0" distB="0" distL="0" distR="0" wp14:anchorId="1F64E85E" wp14:editId="606C15A1">
                <wp:extent cx="6625742" cy="3021178"/>
                <wp:effectExtent l="0" t="0" r="3810" b="8255"/>
                <wp:docPr id="4" name="Text Box 4" descr="Table 3 lists the key challenges for prevention and control of vaccine-preventable disease through immunisation.&#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742" cy="3021178"/>
                        </a:xfrm>
                        <a:prstGeom prst="rect">
                          <a:avLst/>
                        </a:prstGeom>
                        <a:solidFill>
                          <a:srgbClr val="F7ECDD"/>
                        </a:solidFill>
                        <a:ln w="9525">
                          <a:noFill/>
                          <a:miter lim="800000"/>
                          <a:headEnd/>
                          <a:tailEnd/>
                        </a:ln>
                      </wps:spPr>
                      <wps:txbx>
                        <w:txbxContent>
                          <w:p w14:paraId="47D713A4" w14:textId="77777777" w:rsidR="00765CF9" w:rsidRDefault="00765CF9" w:rsidP="00765CF9">
                            <w:pPr>
                              <w:numPr>
                                <w:ilvl w:val="0"/>
                                <w:numId w:val="20"/>
                              </w:numPr>
                              <w:spacing w:before="100" w:beforeAutospacing="1" w:after="100" w:afterAutospacing="1" w:line="240" w:lineRule="auto"/>
                              <w:rPr>
                                <w:rFonts w:eastAsia="Times New Roman"/>
                                <w:lang w:val="en-GB"/>
                              </w:rPr>
                            </w:pPr>
                            <w:r>
                              <w:rPr>
                                <w:rFonts w:eastAsia="Times New Roman"/>
                                <w:lang w:val="en-GB"/>
                              </w:rPr>
                              <w:t xml:space="preserve">Maintaining rapid policy response for emerging and re-emerging VPDs such as JE, </w:t>
                            </w:r>
                            <w:proofErr w:type="spellStart"/>
                            <w:r>
                              <w:rPr>
                                <w:rFonts w:eastAsia="Times New Roman"/>
                                <w:lang w:val="en-GB"/>
                              </w:rPr>
                              <w:t>mpox</w:t>
                            </w:r>
                            <w:proofErr w:type="spellEnd"/>
                            <w:r>
                              <w:rPr>
                                <w:rFonts w:eastAsia="Times New Roman"/>
                                <w:lang w:val="en-GB"/>
                              </w:rPr>
                              <w:t>, measles and polio.</w:t>
                            </w:r>
                          </w:p>
                          <w:p w14:paraId="2119438F" w14:textId="77777777" w:rsidR="00765CF9" w:rsidRDefault="00765CF9" w:rsidP="00765CF9">
                            <w:pPr>
                              <w:numPr>
                                <w:ilvl w:val="0"/>
                                <w:numId w:val="20"/>
                              </w:numPr>
                              <w:spacing w:before="100" w:beforeAutospacing="1" w:after="100" w:afterAutospacing="1" w:line="240" w:lineRule="auto"/>
                              <w:rPr>
                                <w:rFonts w:eastAsia="Times New Roman"/>
                                <w:lang w:val="en-GB"/>
                              </w:rPr>
                            </w:pPr>
                            <w:r>
                              <w:rPr>
                                <w:rFonts w:eastAsia="Times New Roman"/>
                                <w:lang w:val="en-GB"/>
                              </w:rPr>
                              <w:t>Improving uptake of vaccines in risk groups in the context of pandemic-related vaccination fatigue. During 2022, vaccine sentiment monitoring showed that community intentions to vaccinate have decreased, particularly for those considering receiving a third COVID-19 vaccine dose.39</w:t>
                            </w:r>
                          </w:p>
                          <w:p w14:paraId="61419BA4" w14:textId="77777777" w:rsidR="00765CF9" w:rsidRDefault="00765CF9" w:rsidP="00765CF9">
                            <w:pPr>
                              <w:numPr>
                                <w:ilvl w:val="0"/>
                                <w:numId w:val="20"/>
                              </w:numPr>
                              <w:spacing w:before="100" w:beforeAutospacing="1" w:after="100" w:afterAutospacing="1" w:line="240" w:lineRule="auto"/>
                              <w:rPr>
                                <w:rFonts w:eastAsia="Times New Roman"/>
                                <w:lang w:val="en-GB"/>
                              </w:rPr>
                            </w:pPr>
                            <w:r>
                              <w:rPr>
                                <w:rFonts w:eastAsia="Times New Roman"/>
                                <w:lang w:val="en-GB"/>
                              </w:rPr>
                              <w:t>Maintaining community confidence in Australia’s vaccination program, despite the spread of misinformation.</w:t>
                            </w:r>
                          </w:p>
                          <w:p w14:paraId="2CFCC27D" w14:textId="77777777" w:rsidR="00765CF9" w:rsidRDefault="00765CF9" w:rsidP="00765CF9">
                            <w:pPr>
                              <w:numPr>
                                <w:ilvl w:val="0"/>
                                <w:numId w:val="20"/>
                              </w:numPr>
                              <w:spacing w:before="100" w:beforeAutospacing="1" w:after="100" w:afterAutospacing="1" w:line="240" w:lineRule="auto"/>
                              <w:rPr>
                                <w:rFonts w:eastAsia="Times New Roman"/>
                                <w:lang w:val="en-GB"/>
                              </w:rPr>
                            </w:pPr>
                            <w:r>
                              <w:rPr>
                                <w:rFonts w:eastAsia="Times New Roman"/>
                                <w:lang w:val="en-GB"/>
                              </w:rPr>
                              <w:t>Ensuring equitable access to NIP-funded vaccines for First Nations communities and other priority populations.</w:t>
                            </w:r>
                          </w:p>
                          <w:p w14:paraId="77BDFC11" w14:textId="77777777" w:rsidR="00765CF9" w:rsidRDefault="00765CF9" w:rsidP="00765CF9">
                            <w:pPr>
                              <w:numPr>
                                <w:ilvl w:val="0"/>
                                <w:numId w:val="20"/>
                              </w:numPr>
                              <w:spacing w:before="100" w:beforeAutospacing="1" w:after="100" w:afterAutospacing="1" w:line="240" w:lineRule="auto"/>
                              <w:rPr>
                                <w:rFonts w:eastAsia="Times New Roman"/>
                                <w:lang w:val="en-GB"/>
                              </w:rPr>
                            </w:pPr>
                            <w:r>
                              <w:rPr>
                                <w:rFonts w:eastAsia="Times New Roman"/>
                                <w:lang w:val="en-GB"/>
                              </w:rPr>
                              <w:t>Monitoring safety of new and established COVID-19 vaccines, and effectiveness against new variants of concern.</w:t>
                            </w:r>
                          </w:p>
                          <w:p w14:paraId="4E7BFD07" w14:textId="77777777" w:rsidR="00765CF9" w:rsidRDefault="00765CF9" w:rsidP="00765CF9">
                            <w:pPr>
                              <w:numPr>
                                <w:ilvl w:val="0"/>
                                <w:numId w:val="20"/>
                              </w:numPr>
                              <w:spacing w:before="100" w:beforeAutospacing="1" w:after="100" w:afterAutospacing="1" w:line="240" w:lineRule="auto"/>
                              <w:rPr>
                                <w:rFonts w:eastAsia="Times New Roman"/>
                                <w:lang w:val="en-GB"/>
                              </w:rPr>
                            </w:pPr>
                            <w:r>
                              <w:rPr>
                                <w:rFonts w:eastAsia="Times New Roman"/>
                                <w:lang w:val="en-GB"/>
                              </w:rPr>
                              <w:t xml:space="preserve">Monitoring safety, </w:t>
                            </w:r>
                            <w:proofErr w:type="gramStart"/>
                            <w:r>
                              <w:rPr>
                                <w:rFonts w:eastAsia="Times New Roman"/>
                                <w:lang w:val="en-GB"/>
                              </w:rPr>
                              <w:t>effectiveness</w:t>
                            </w:r>
                            <w:proofErr w:type="gramEnd"/>
                            <w:r>
                              <w:rPr>
                                <w:rFonts w:eastAsia="Times New Roman"/>
                                <w:lang w:val="en-GB"/>
                              </w:rPr>
                              <w:t xml:space="preserve"> and the best schedule for newly introduced vaccine programs such as JE and </w:t>
                            </w:r>
                            <w:proofErr w:type="spellStart"/>
                            <w:r>
                              <w:rPr>
                                <w:rFonts w:eastAsia="Times New Roman"/>
                                <w:lang w:val="en-GB"/>
                              </w:rPr>
                              <w:t>mpox</w:t>
                            </w:r>
                            <w:proofErr w:type="spellEnd"/>
                            <w:r>
                              <w:rPr>
                                <w:rFonts w:eastAsia="Times New Roman"/>
                                <w:lang w:val="en-GB"/>
                              </w:rPr>
                              <w:t>.</w:t>
                            </w:r>
                          </w:p>
                          <w:p w14:paraId="05A6E245" w14:textId="77777777" w:rsidR="00765CF9" w:rsidRDefault="00765CF9" w:rsidP="00765CF9">
                            <w:pPr>
                              <w:numPr>
                                <w:ilvl w:val="0"/>
                                <w:numId w:val="20"/>
                              </w:numPr>
                              <w:spacing w:before="100" w:beforeAutospacing="1" w:after="100" w:afterAutospacing="1" w:line="240" w:lineRule="auto"/>
                              <w:rPr>
                                <w:rFonts w:eastAsia="Times New Roman"/>
                                <w:lang w:val="en-GB"/>
                              </w:rPr>
                            </w:pPr>
                            <w:r>
                              <w:rPr>
                                <w:rFonts w:eastAsia="Times New Roman"/>
                                <w:lang w:val="en-GB"/>
                              </w:rPr>
                              <w:t>Continuous monitoring for the entry of high-consequence VPDs into Australia due to increasing travel, including from areas with reduced vaccination coverage due to the COVID-19 pandemic.</w:t>
                            </w:r>
                          </w:p>
                          <w:p w14:paraId="52835EFD" w14:textId="423993FF" w:rsidR="00765CF9" w:rsidRPr="00765CF9" w:rsidRDefault="00765CF9" w:rsidP="00765CF9">
                            <w:pPr>
                              <w:numPr>
                                <w:ilvl w:val="0"/>
                                <w:numId w:val="20"/>
                              </w:numPr>
                              <w:spacing w:before="100" w:beforeAutospacing="1" w:after="100" w:afterAutospacing="1" w:line="240" w:lineRule="auto"/>
                              <w:rPr>
                                <w:rFonts w:eastAsia="Times New Roman"/>
                                <w:lang w:val="en-GB"/>
                              </w:rPr>
                            </w:pPr>
                            <w:r>
                              <w:rPr>
                                <w:rFonts w:eastAsia="Times New Roman"/>
                                <w:lang w:val="en-GB"/>
                              </w:rPr>
                              <w:t>Maintaining high one-dose coverage of HPV vaccine through the school-based program after changes to the NIP HPV vaccination schedule.</w:t>
                            </w:r>
                          </w:p>
                        </w:txbxContent>
                      </wps:txbx>
                      <wps:bodyPr rot="0" vert="horz" wrap="square" lIns="91440" tIns="45720" rIns="91440" bIns="45720" anchor="t" anchorCtr="0">
                        <a:noAutofit/>
                      </wps:bodyPr>
                    </wps:wsp>
                  </a:graphicData>
                </a:graphic>
              </wp:inline>
            </w:drawing>
          </mc:Choice>
          <mc:Fallback>
            <w:pict>
              <v:shape w14:anchorId="1F64E85E" id="Text Box 4" o:spid="_x0000_s1028" type="#_x0000_t202" alt="Table 3 lists the key challenges for prevention and control of vaccine-preventable disease through immunisation.&#10;" style="width:521.7pt;height:23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" fillcolor="#f7ecdd" stroked="f">
                <v:textbox>
                  <w:txbxContent>
                    <w:p w14:paraId="47D713A4" w14:textId="77777777" w:rsidR="00765CF9" w:rsidRDefault="00765CF9" w:rsidP="00765CF9">
                      <w:pPr>
                        <w:numPr>
                          <w:ilvl w:val="0"/>
                          <w:numId w:val="20"/>
                        </w:numPr>
                        <w:spacing w:before="100" w:beforeAutospacing="1" w:after="100" w:afterAutospacing="1" w:line="240" w:lineRule="auto"/>
                        <w:rPr>
                          <w:rFonts w:eastAsia="Times New Roman"/>
                          <w:lang w:val="en-GB"/>
                        </w:rPr>
                      </w:pPr>
                      <w:r>
                        <w:rPr>
                          <w:rFonts w:eastAsia="Times New Roman"/>
                          <w:lang w:val="en-GB"/>
                        </w:rPr>
                        <w:t xml:space="preserve">Maintaining rapid policy response for emerging and re-emerging VPDs such as JE, </w:t>
                      </w:r>
                      <w:proofErr w:type="spellStart"/>
                      <w:r>
                        <w:rPr>
                          <w:rFonts w:eastAsia="Times New Roman"/>
                          <w:lang w:val="en-GB"/>
                        </w:rPr>
                        <w:t>mpox</w:t>
                      </w:r>
                      <w:proofErr w:type="spellEnd"/>
                      <w:r>
                        <w:rPr>
                          <w:rFonts w:eastAsia="Times New Roman"/>
                          <w:lang w:val="en-GB"/>
                        </w:rPr>
                        <w:t>, measles and polio.</w:t>
                      </w:r>
                    </w:p>
                    <w:p w14:paraId="2119438F" w14:textId="77777777" w:rsidR="00765CF9" w:rsidRDefault="00765CF9" w:rsidP="00765CF9">
                      <w:pPr>
                        <w:numPr>
                          <w:ilvl w:val="0"/>
                          <w:numId w:val="20"/>
                        </w:numPr>
                        <w:spacing w:before="100" w:beforeAutospacing="1" w:after="100" w:afterAutospacing="1" w:line="240" w:lineRule="auto"/>
                        <w:rPr>
                          <w:rFonts w:eastAsia="Times New Roman"/>
                          <w:lang w:val="en-GB"/>
                        </w:rPr>
                      </w:pPr>
                      <w:r>
                        <w:rPr>
                          <w:rFonts w:eastAsia="Times New Roman"/>
                          <w:lang w:val="en-GB"/>
                        </w:rPr>
                        <w:t>Improving uptake of vaccines in risk groups in the context of pandemic-related vaccination fatigue. During 2022, vaccine sentiment monitoring showed that community intentions to vaccinate have decreased, particularly for those considering receiving a third COVID-19 vaccine dose.39</w:t>
                      </w:r>
                    </w:p>
                    <w:p w14:paraId="61419BA4" w14:textId="77777777" w:rsidR="00765CF9" w:rsidRDefault="00765CF9" w:rsidP="00765CF9">
                      <w:pPr>
                        <w:numPr>
                          <w:ilvl w:val="0"/>
                          <w:numId w:val="20"/>
                        </w:numPr>
                        <w:spacing w:before="100" w:beforeAutospacing="1" w:after="100" w:afterAutospacing="1" w:line="240" w:lineRule="auto"/>
                        <w:rPr>
                          <w:rFonts w:eastAsia="Times New Roman"/>
                          <w:lang w:val="en-GB"/>
                        </w:rPr>
                      </w:pPr>
                      <w:r>
                        <w:rPr>
                          <w:rFonts w:eastAsia="Times New Roman"/>
                          <w:lang w:val="en-GB"/>
                        </w:rPr>
                        <w:t>Maintaining community confidence in Australia’s vaccination program, despite the spread of misinformation.</w:t>
                      </w:r>
                    </w:p>
                    <w:p w14:paraId="2CFCC27D" w14:textId="77777777" w:rsidR="00765CF9" w:rsidRDefault="00765CF9" w:rsidP="00765CF9">
                      <w:pPr>
                        <w:numPr>
                          <w:ilvl w:val="0"/>
                          <w:numId w:val="20"/>
                        </w:numPr>
                        <w:spacing w:before="100" w:beforeAutospacing="1" w:after="100" w:afterAutospacing="1" w:line="240" w:lineRule="auto"/>
                        <w:rPr>
                          <w:rFonts w:eastAsia="Times New Roman"/>
                          <w:lang w:val="en-GB"/>
                        </w:rPr>
                      </w:pPr>
                      <w:r>
                        <w:rPr>
                          <w:rFonts w:eastAsia="Times New Roman"/>
                          <w:lang w:val="en-GB"/>
                        </w:rPr>
                        <w:t>Ensuring equitable access to NIP-funded vaccines for First Nations communities and other priority populations.</w:t>
                      </w:r>
                    </w:p>
                    <w:p w14:paraId="77BDFC11" w14:textId="77777777" w:rsidR="00765CF9" w:rsidRDefault="00765CF9" w:rsidP="00765CF9">
                      <w:pPr>
                        <w:numPr>
                          <w:ilvl w:val="0"/>
                          <w:numId w:val="20"/>
                        </w:numPr>
                        <w:spacing w:before="100" w:beforeAutospacing="1" w:after="100" w:afterAutospacing="1" w:line="240" w:lineRule="auto"/>
                        <w:rPr>
                          <w:rFonts w:eastAsia="Times New Roman"/>
                          <w:lang w:val="en-GB"/>
                        </w:rPr>
                      </w:pPr>
                      <w:r>
                        <w:rPr>
                          <w:rFonts w:eastAsia="Times New Roman"/>
                          <w:lang w:val="en-GB"/>
                        </w:rPr>
                        <w:t>Monitoring safety of new and established COVID-19 vaccines, and effectiveness against new variants of concern.</w:t>
                      </w:r>
                    </w:p>
                    <w:p w14:paraId="4E7BFD07" w14:textId="77777777" w:rsidR="00765CF9" w:rsidRDefault="00765CF9" w:rsidP="00765CF9">
                      <w:pPr>
                        <w:numPr>
                          <w:ilvl w:val="0"/>
                          <w:numId w:val="20"/>
                        </w:numPr>
                        <w:spacing w:before="100" w:beforeAutospacing="1" w:after="100" w:afterAutospacing="1" w:line="240" w:lineRule="auto"/>
                        <w:rPr>
                          <w:rFonts w:eastAsia="Times New Roman"/>
                          <w:lang w:val="en-GB"/>
                        </w:rPr>
                      </w:pPr>
                      <w:r>
                        <w:rPr>
                          <w:rFonts w:eastAsia="Times New Roman"/>
                          <w:lang w:val="en-GB"/>
                        </w:rPr>
                        <w:t xml:space="preserve">Monitoring safety, </w:t>
                      </w:r>
                      <w:proofErr w:type="gramStart"/>
                      <w:r>
                        <w:rPr>
                          <w:rFonts w:eastAsia="Times New Roman"/>
                          <w:lang w:val="en-GB"/>
                        </w:rPr>
                        <w:t>effectiveness</w:t>
                      </w:r>
                      <w:proofErr w:type="gramEnd"/>
                      <w:r>
                        <w:rPr>
                          <w:rFonts w:eastAsia="Times New Roman"/>
                          <w:lang w:val="en-GB"/>
                        </w:rPr>
                        <w:t xml:space="preserve"> and the best schedule for newly introduced vaccine programs such as JE and </w:t>
                      </w:r>
                      <w:proofErr w:type="spellStart"/>
                      <w:r>
                        <w:rPr>
                          <w:rFonts w:eastAsia="Times New Roman"/>
                          <w:lang w:val="en-GB"/>
                        </w:rPr>
                        <w:t>mpox</w:t>
                      </w:r>
                      <w:proofErr w:type="spellEnd"/>
                      <w:r>
                        <w:rPr>
                          <w:rFonts w:eastAsia="Times New Roman"/>
                          <w:lang w:val="en-GB"/>
                        </w:rPr>
                        <w:t>.</w:t>
                      </w:r>
                    </w:p>
                    <w:p w14:paraId="05A6E245" w14:textId="77777777" w:rsidR="00765CF9" w:rsidRDefault="00765CF9" w:rsidP="00765CF9">
                      <w:pPr>
                        <w:numPr>
                          <w:ilvl w:val="0"/>
                          <w:numId w:val="20"/>
                        </w:numPr>
                        <w:spacing w:before="100" w:beforeAutospacing="1" w:after="100" w:afterAutospacing="1" w:line="240" w:lineRule="auto"/>
                        <w:rPr>
                          <w:rFonts w:eastAsia="Times New Roman"/>
                          <w:lang w:val="en-GB"/>
                        </w:rPr>
                      </w:pPr>
                      <w:r>
                        <w:rPr>
                          <w:rFonts w:eastAsia="Times New Roman"/>
                          <w:lang w:val="en-GB"/>
                        </w:rPr>
                        <w:t>Continuous monitoring for the entry of high-consequence VPDs into Australia due to increasing travel, including from areas with reduced vaccination coverage due to the COVID-19 pandemic.</w:t>
                      </w:r>
                    </w:p>
                    <w:p w14:paraId="52835EFD" w14:textId="423993FF" w:rsidR="00765CF9" w:rsidRPr="00765CF9" w:rsidRDefault="00765CF9" w:rsidP="00765CF9">
                      <w:pPr>
                        <w:numPr>
                          <w:ilvl w:val="0"/>
                          <w:numId w:val="20"/>
                        </w:numPr>
                        <w:spacing w:before="100" w:beforeAutospacing="1" w:after="100" w:afterAutospacing="1" w:line="240" w:lineRule="auto"/>
                        <w:rPr>
                          <w:rFonts w:eastAsia="Times New Roman"/>
                          <w:lang w:val="en-GB"/>
                        </w:rPr>
                      </w:pPr>
                      <w:r>
                        <w:rPr>
                          <w:rFonts w:eastAsia="Times New Roman"/>
                          <w:lang w:val="en-GB"/>
                        </w:rPr>
                        <w:t>Maintaining high one-dose coverage of HPV vaccine through the school-based program after changes to the NIP HPV vaccination schedule.</w:t>
                      </w:r>
                    </w:p>
                  </w:txbxContent>
                </v:textbox>
                <w10:anchorlock/>
              </v:shape>
            </w:pict>
          </mc:Fallback>
        </mc:AlternateContent>
      </w:r>
    </w:p>
    <w:p w14:paraId="1C013191" w14:textId="77777777" w:rsidR="00316401" w:rsidRDefault="00316401">
      <w:pPr>
        <w:rPr>
          <w:rStyle w:val="Strong"/>
          <w:lang w:val="en-GB"/>
        </w:rPr>
      </w:pPr>
      <w:r>
        <w:rPr>
          <w:rStyle w:val="Strong"/>
          <w:lang w:val="en-GB"/>
        </w:rPr>
        <w:br w:type="page"/>
      </w:r>
    </w:p>
    <w:p w14:paraId="54C58A3E" w14:textId="0CB878DB" w:rsidR="007E71CE" w:rsidRPr="00584D5F" w:rsidRDefault="007E71CE" w:rsidP="00CB091B">
      <w:pPr>
        <w:pStyle w:val="CDIFigures"/>
        <w:spacing w:after="0" w:afterAutospacing="0" w:line="240" w:lineRule="auto"/>
        <w:divId w:val="812717687"/>
      </w:pPr>
      <w:r w:rsidRPr="00584D5F">
        <w:rPr>
          <w:rStyle w:val="Strong"/>
          <w:b/>
          <w:bCs w:val="0"/>
        </w:rPr>
        <w:lastRenderedPageBreak/>
        <w:t>Table 4: ATAGI’s priority actions for 2023</w:t>
      </w:r>
    </w:p>
    <w:p w14:paraId="60632145" w14:textId="30303F8E" w:rsidR="00BE3E98" w:rsidRPr="00BE3E98" w:rsidRDefault="007E71CE" w:rsidP="00BE3E98">
      <w:pPr>
        <w:pStyle w:val="Heading1"/>
        <w:spacing w:before="240"/>
        <w:divId w:val="812717687"/>
        <w:rPr>
          <w:rFonts w:eastAsia="Times New Roman"/>
        </w:rPr>
      </w:pPr>
      <w:r>
        <w:rPr>
          <w:noProof/>
        </w:rPr>
        <mc:AlternateContent>
          <mc:Choice Requires="wps">
            <w:drawing>
              <wp:inline distT="0" distB="0" distL="0" distR="0" wp14:anchorId="04460885" wp14:editId="60D84404">
                <wp:extent cx="6625742" cy="8248650"/>
                <wp:effectExtent l="0" t="0" r="3810" b="0"/>
                <wp:docPr id="6" name="Text Box 6" descr="Table 4 lists ATAGI’s ongoing and specific priorities for 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742" cy="8248650"/>
                        </a:xfrm>
                        <a:prstGeom prst="rect">
                          <a:avLst/>
                        </a:prstGeom>
                        <a:solidFill>
                          <a:srgbClr val="F7ECDD"/>
                        </a:solidFill>
                        <a:ln w="9525">
                          <a:noFill/>
                          <a:miter lim="800000"/>
                          <a:headEnd/>
                          <a:tailEnd/>
                        </a:ln>
                      </wps:spPr>
                      <wps:txbx>
                        <w:txbxContent>
                          <w:p w14:paraId="1B1881A4" w14:textId="77777777" w:rsidR="007E71CE" w:rsidRDefault="007E71CE" w:rsidP="00DC6573">
                            <w:pPr>
                              <w:pStyle w:val="Heading2"/>
                              <w:spacing w:before="100" w:after="100"/>
                              <w:rPr>
                                <w:lang w:val="en-GB"/>
                              </w:rPr>
                            </w:pPr>
                            <w:r>
                              <w:rPr>
                                <w:lang w:val="en-GB"/>
                              </w:rPr>
                              <w:t>Ongoing priorities</w:t>
                            </w:r>
                          </w:p>
                          <w:p w14:paraId="163243C0" w14:textId="77777777" w:rsidR="007E71CE" w:rsidRDefault="007E71CE" w:rsidP="00DC6573">
                            <w:pPr>
                              <w:numPr>
                                <w:ilvl w:val="0"/>
                                <w:numId w:val="21"/>
                              </w:numPr>
                              <w:spacing w:before="100" w:after="100" w:line="240" w:lineRule="auto"/>
                              <w:rPr>
                                <w:rFonts w:eastAsia="Times New Roman"/>
                                <w:lang w:val="en-GB"/>
                              </w:rPr>
                            </w:pPr>
                            <w:r>
                              <w:rPr>
                                <w:rFonts w:eastAsia="Times New Roman"/>
                                <w:lang w:val="en-GB"/>
                              </w:rPr>
                              <w:t xml:space="preserve">To advise on immunisation policies that improve access to NIP-funded vaccines for priority population groups, as well as reliable systems to capture uptake in these groups. Priorities for consideration include: </w:t>
                            </w:r>
                          </w:p>
                          <w:p w14:paraId="215DE80E" w14:textId="77777777" w:rsidR="007E71CE" w:rsidRDefault="007E71CE" w:rsidP="00DC6573">
                            <w:pPr>
                              <w:numPr>
                                <w:ilvl w:val="1"/>
                                <w:numId w:val="21"/>
                              </w:numPr>
                              <w:spacing w:before="100" w:after="100" w:line="240" w:lineRule="auto"/>
                              <w:rPr>
                                <w:rFonts w:eastAsia="Times New Roman"/>
                                <w:lang w:val="en-GB"/>
                              </w:rPr>
                            </w:pPr>
                            <w:r>
                              <w:rPr>
                                <w:rFonts w:eastAsia="Times New Roman"/>
                                <w:lang w:val="en-GB"/>
                              </w:rPr>
                              <w:t xml:space="preserve">hepatitis B vaccination for non-immune adults from First Nations </w:t>
                            </w:r>
                            <w:proofErr w:type="gramStart"/>
                            <w:r>
                              <w:rPr>
                                <w:rFonts w:eastAsia="Times New Roman"/>
                                <w:lang w:val="en-GB"/>
                              </w:rPr>
                              <w:t>communities;</w:t>
                            </w:r>
                            <w:proofErr w:type="gramEnd"/>
                          </w:p>
                          <w:p w14:paraId="2A9C299E" w14:textId="77777777" w:rsidR="007E71CE" w:rsidRDefault="007E71CE" w:rsidP="00DC6573">
                            <w:pPr>
                              <w:numPr>
                                <w:ilvl w:val="1"/>
                                <w:numId w:val="21"/>
                              </w:numPr>
                              <w:spacing w:before="100" w:after="100" w:line="240" w:lineRule="auto"/>
                              <w:rPr>
                                <w:rFonts w:eastAsia="Times New Roman"/>
                                <w:lang w:val="en-GB"/>
                              </w:rPr>
                            </w:pPr>
                            <w:r>
                              <w:rPr>
                                <w:rFonts w:eastAsia="Times New Roman"/>
                                <w:lang w:val="en-GB"/>
                              </w:rPr>
                              <w:t>pneumococcal vaccination for younger adults from First Nations communities (aged under 50 years</w:t>
                            </w:r>
                            <w:proofErr w:type="gramStart"/>
                            <w:r>
                              <w:rPr>
                                <w:rFonts w:eastAsia="Times New Roman"/>
                                <w:lang w:val="en-GB"/>
                              </w:rPr>
                              <w:t>);</w:t>
                            </w:r>
                            <w:proofErr w:type="gramEnd"/>
                          </w:p>
                          <w:p w14:paraId="43F565A5" w14:textId="77777777" w:rsidR="007E71CE" w:rsidRDefault="007E71CE" w:rsidP="00DC6573">
                            <w:pPr>
                              <w:numPr>
                                <w:ilvl w:val="1"/>
                                <w:numId w:val="21"/>
                              </w:numPr>
                              <w:spacing w:before="100" w:after="100" w:line="240" w:lineRule="auto"/>
                              <w:rPr>
                                <w:rFonts w:eastAsia="Times New Roman"/>
                                <w:lang w:val="en-GB"/>
                              </w:rPr>
                            </w:pPr>
                            <w:r>
                              <w:rPr>
                                <w:rFonts w:eastAsia="Times New Roman"/>
                                <w:lang w:val="en-GB"/>
                              </w:rPr>
                              <w:t>expanding eligible medical risk conditions for receiving NIP-funded influenza vaccines; and</w:t>
                            </w:r>
                          </w:p>
                          <w:p w14:paraId="38493D37" w14:textId="77777777" w:rsidR="007E71CE" w:rsidRDefault="007E71CE" w:rsidP="00DC6573">
                            <w:pPr>
                              <w:numPr>
                                <w:ilvl w:val="1"/>
                                <w:numId w:val="21"/>
                              </w:numPr>
                              <w:spacing w:before="100" w:after="100" w:line="240" w:lineRule="auto"/>
                              <w:rPr>
                                <w:rFonts w:eastAsia="Times New Roman"/>
                                <w:lang w:val="en-GB"/>
                              </w:rPr>
                            </w:pPr>
                            <w:r>
                              <w:rPr>
                                <w:rFonts w:eastAsia="Times New Roman"/>
                                <w:lang w:val="en-GB"/>
                              </w:rPr>
                              <w:t>catch-up measles vaccination for non-immune people born since 1966.</w:t>
                            </w:r>
                          </w:p>
                          <w:p w14:paraId="6CBE2B63" w14:textId="1CDF15D7" w:rsidR="007E71CE" w:rsidRDefault="007E71CE" w:rsidP="00DC6573">
                            <w:pPr>
                              <w:numPr>
                                <w:ilvl w:val="0"/>
                                <w:numId w:val="21"/>
                              </w:numPr>
                              <w:spacing w:before="100" w:after="100" w:line="240" w:lineRule="auto"/>
                              <w:rPr>
                                <w:rFonts w:eastAsia="Times New Roman"/>
                                <w:lang w:val="en-GB"/>
                              </w:rPr>
                            </w:pPr>
                            <w:r>
                              <w:rPr>
                                <w:rFonts w:eastAsia="Times New Roman"/>
                                <w:lang w:val="en-GB"/>
                              </w:rPr>
                              <w:t xml:space="preserve">To strengthen the evaluation of evidence and continue publishing evidence-based immunisation recommendations through the </w:t>
                            </w:r>
                            <w:r>
                              <w:rPr>
                                <w:rFonts w:eastAsia="Times New Roman"/>
                                <w:lang w:val="en-US"/>
                              </w:rPr>
                              <w:t xml:space="preserve">Australian </w:t>
                            </w:r>
                            <w:proofErr w:type="spellStart"/>
                            <w:r>
                              <w:rPr>
                                <w:rFonts w:eastAsia="Times New Roman"/>
                                <w:lang w:val="en-US"/>
                              </w:rPr>
                              <w:t>Immunisation</w:t>
                            </w:r>
                            <w:proofErr w:type="spellEnd"/>
                            <w:r>
                              <w:rPr>
                                <w:rFonts w:eastAsia="Times New Roman"/>
                                <w:lang w:val="en-US"/>
                              </w:rPr>
                              <w:t xml:space="preserve"> </w:t>
                            </w:r>
                            <w:proofErr w:type="spellStart"/>
                            <w:r>
                              <w:rPr>
                                <w:rFonts w:eastAsia="Times New Roman"/>
                                <w:lang w:val="en-US"/>
                              </w:rPr>
                              <w:t>Handbook.</w:t>
                            </w:r>
                            <w:r w:rsidR="00DC6573">
                              <w:rPr>
                                <w:rFonts w:eastAsia="Times New Roman"/>
                                <w:vertAlign w:val="superscript"/>
                                <w:lang w:val="en-US"/>
                              </w:rPr>
                              <w:t>a</w:t>
                            </w:r>
                            <w:r w:rsidRPr="00BE3E98">
                              <w:rPr>
                                <w:rFonts w:eastAsia="Times New Roman"/>
                                <w:vertAlign w:val="superscript"/>
                                <w:lang w:val="en-GB"/>
                              </w:rPr>
                              <w:t>i</w:t>
                            </w:r>
                            <w:proofErr w:type="spellEnd"/>
                            <w:r>
                              <w:rPr>
                                <w:rFonts w:eastAsia="Times New Roman"/>
                                <w:lang w:val="en-GB"/>
                              </w:rPr>
                              <w:t xml:space="preserve"> This includes continuing to work closely with </w:t>
                            </w:r>
                            <w:r>
                              <w:rPr>
                                <w:rFonts w:eastAsia="Times New Roman"/>
                                <w:lang w:val="en-US"/>
                              </w:rPr>
                              <w:t>the National Health and Medical Research Council to streamline its endorsement of Handbook recommendations.</w:t>
                            </w:r>
                          </w:p>
                          <w:p w14:paraId="56936EF2" w14:textId="77777777" w:rsidR="007E71CE" w:rsidRDefault="007E71CE" w:rsidP="00DC6573">
                            <w:pPr>
                              <w:numPr>
                                <w:ilvl w:val="0"/>
                                <w:numId w:val="21"/>
                              </w:numPr>
                              <w:spacing w:before="100" w:after="100" w:line="240" w:lineRule="auto"/>
                              <w:rPr>
                                <w:rFonts w:eastAsia="Times New Roman"/>
                                <w:lang w:val="en-GB"/>
                              </w:rPr>
                            </w:pPr>
                            <w:r>
                              <w:rPr>
                                <w:rFonts w:eastAsia="Times New Roman"/>
                                <w:lang w:val="en-US"/>
                              </w:rPr>
                              <w:t xml:space="preserve">To continue to work with international partners, including national </w:t>
                            </w:r>
                            <w:proofErr w:type="spellStart"/>
                            <w:r>
                              <w:rPr>
                                <w:rFonts w:eastAsia="Times New Roman"/>
                                <w:lang w:val="en-US"/>
                              </w:rPr>
                              <w:t>immunisation</w:t>
                            </w:r>
                            <w:proofErr w:type="spellEnd"/>
                            <w:r>
                              <w:rPr>
                                <w:rFonts w:eastAsia="Times New Roman"/>
                                <w:lang w:val="en-US"/>
                              </w:rPr>
                              <w:t xml:space="preserve"> technical advisory groups of other countries.</w:t>
                            </w:r>
                          </w:p>
                          <w:p w14:paraId="71142F06" w14:textId="77777777" w:rsidR="007E71CE" w:rsidRDefault="007E71CE" w:rsidP="00DC6573">
                            <w:pPr>
                              <w:numPr>
                                <w:ilvl w:val="0"/>
                                <w:numId w:val="21"/>
                              </w:numPr>
                              <w:spacing w:before="100" w:after="100" w:line="240" w:lineRule="auto"/>
                              <w:rPr>
                                <w:rFonts w:eastAsia="Times New Roman"/>
                                <w:lang w:val="en-GB"/>
                              </w:rPr>
                            </w:pPr>
                            <w:r>
                              <w:rPr>
                                <w:rFonts w:eastAsia="Times New Roman"/>
                                <w:lang w:val="en-GB"/>
                              </w:rPr>
                              <w:t>To support the development of evidence-based immunisation resources that are culturally sensitive and appropriate for unique First Nations communities.</w:t>
                            </w:r>
                          </w:p>
                          <w:p w14:paraId="2E5CF5B6" w14:textId="77777777" w:rsidR="007E71CE" w:rsidRDefault="007E71CE" w:rsidP="00DC6573">
                            <w:pPr>
                              <w:numPr>
                                <w:ilvl w:val="0"/>
                                <w:numId w:val="21"/>
                              </w:numPr>
                              <w:spacing w:before="100" w:after="100" w:line="240" w:lineRule="auto"/>
                              <w:rPr>
                                <w:rFonts w:eastAsia="Times New Roman"/>
                                <w:lang w:val="en-GB"/>
                              </w:rPr>
                            </w:pPr>
                            <w:r>
                              <w:rPr>
                                <w:rFonts w:eastAsia="Times New Roman"/>
                                <w:lang w:val="en-GB"/>
                              </w:rPr>
                              <w:t xml:space="preserve">To scope vaccines on the horizon for potential inclusion in the NIP. These may include newer influenza, herpes zoster and pneumococcal </w:t>
                            </w:r>
                            <w:proofErr w:type="gramStart"/>
                            <w:r>
                              <w:rPr>
                                <w:rFonts w:eastAsia="Times New Roman"/>
                                <w:lang w:val="en-GB"/>
                              </w:rPr>
                              <w:t>vaccines;</w:t>
                            </w:r>
                            <w:proofErr w:type="gramEnd"/>
                            <w:r>
                              <w:rPr>
                                <w:rFonts w:eastAsia="Times New Roman"/>
                                <w:lang w:val="en-GB"/>
                              </w:rPr>
                              <w:t xml:space="preserve"> and new RSV vaccines and group B Streptococcus</w:t>
                            </w:r>
                            <w:r>
                              <w:rPr>
                                <w:rFonts w:eastAsia="Times New Roman"/>
                                <w:lang w:val="en-US"/>
                              </w:rPr>
                              <w:t xml:space="preserve"> </w:t>
                            </w:r>
                            <w:r>
                              <w:rPr>
                                <w:rFonts w:eastAsia="Times New Roman"/>
                                <w:lang w:val="en-GB"/>
                              </w:rPr>
                              <w:t xml:space="preserve">vaccines. NIP vaccines must show benefits for the Australian population or high-risk population </w:t>
                            </w:r>
                            <w:proofErr w:type="gramStart"/>
                            <w:r>
                              <w:rPr>
                                <w:rFonts w:eastAsia="Times New Roman"/>
                                <w:lang w:val="en-GB"/>
                              </w:rPr>
                              <w:t>groups, and</w:t>
                            </w:r>
                            <w:proofErr w:type="gramEnd"/>
                            <w:r>
                              <w:rPr>
                                <w:rFonts w:eastAsia="Times New Roman"/>
                                <w:lang w:val="en-GB"/>
                              </w:rPr>
                              <w:t xml:space="preserve"> be cost-effective.</w:t>
                            </w:r>
                          </w:p>
                          <w:p w14:paraId="3F4B1CC3" w14:textId="77777777" w:rsidR="007E71CE" w:rsidRDefault="007E71CE" w:rsidP="00DC6573">
                            <w:pPr>
                              <w:pStyle w:val="Heading3"/>
                              <w:spacing w:before="100" w:after="100"/>
                              <w:rPr>
                                <w:lang w:val="en-GB"/>
                              </w:rPr>
                            </w:pPr>
                            <w:r>
                              <w:rPr>
                                <w:lang w:val="en-GB"/>
                              </w:rPr>
                              <w:t>Specific priorities for 2023</w:t>
                            </w:r>
                          </w:p>
                          <w:p w14:paraId="3F9B2FEB" w14:textId="500A1FC7" w:rsidR="007E71CE" w:rsidRDefault="007E71CE" w:rsidP="00DC6573">
                            <w:pPr>
                              <w:pStyle w:val="Heading4"/>
                              <w:spacing w:before="100" w:after="100"/>
                              <w:rPr>
                                <w:lang w:val="en-GB"/>
                              </w:rPr>
                            </w:pPr>
                            <w:r>
                              <w:rPr>
                                <w:lang w:val="en-GB"/>
                              </w:rPr>
                              <w:t>COVID</w:t>
                            </w:r>
                            <w:r w:rsidR="00DC6573">
                              <w:rPr>
                                <w:lang w:val="en-GB"/>
                              </w:rPr>
                              <w:t>-</w:t>
                            </w:r>
                            <w:r>
                              <w:rPr>
                                <w:lang w:val="en-GB"/>
                              </w:rPr>
                              <w:t>19 immunisation program</w:t>
                            </w:r>
                          </w:p>
                          <w:p w14:paraId="3F8A245C" w14:textId="6029CE6A" w:rsidR="007E71CE" w:rsidRDefault="007E71CE" w:rsidP="00DC6573">
                            <w:pPr>
                              <w:numPr>
                                <w:ilvl w:val="0"/>
                                <w:numId w:val="22"/>
                              </w:numPr>
                              <w:spacing w:before="100" w:after="100" w:line="240" w:lineRule="auto"/>
                              <w:rPr>
                                <w:rFonts w:eastAsia="Times New Roman"/>
                                <w:lang w:val="en-GB"/>
                              </w:rPr>
                            </w:pPr>
                            <w:r>
                              <w:rPr>
                                <w:rFonts w:eastAsia="Times New Roman"/>
                                <w:lang w:val="en-GB"/>
                              </w:rPr>
                              <w:t>To continu</w:t>
                            </w:r>
                            <w:r w:rsidR="00DC6573">
                              <w:rPr>
                                <w:rFonts w:eastAsia="Times New Roman"/>
                                <w:lang w:val="en-GB"/>
                              </w:rPr>
                              <w:t>e</w:t>
                            </w:r>
                            <w:r>
                              <w:rPr>
                                <w:rFonts w:eastAsia="Times New Roman"/>
                                <w:lang w:val="en-GB"/>
                              </w:rPr>
                              <w:t xml:space="preserve"> to provide timely advice as the COVID-19 vaccination program integrates into a more routine national vaccination program. To continuing to advise on optimal vaccination schedules </w:t>
                            </w:r>
                            <w:proofErr w:type="gramStart"/>
                            <w:r>
                              <w:rPr>
                                <w:rFonts w:eastAsia="Times New Roman"/>
                                <w:lang w:val="en-GB"/>
                              </w:rPr>
                              <w:t>in light of</w:t>
                            </w:r>
                            <w:proofErr w:type="gramEnd"/>
                            <w:r>
                              <w:rPr>
                                <w:rFonts w:eastAsia="Times New Roman"/>
                                <w:lang w:val="en-GB"/>
                              </w:rPr>
                              <w:t xml:space="preserve"> new variants of concern and changing epidemiology.</w:t>
                            </w:r>
                          </w:p>
                          <w:p w14:paraId="31A1BD08" w14:textId="77777777" w:rsidR="007E71CE" w:rsidRDefault="007E71CE" w:rsidP="00DC6573">
                            <w:pPr>
                              <w:pStyle w:val="Heading4"/>
                              <w:spacing w:before="100" w:after="100"/>
                              <w:rPr>
                                <w:lang w:val="en-GB"/>
                              </w:rPr>
                            </w:pPr>
                            <w:r>
                              <w:rPr>
                                <w:lang w:val="en-GB"/>
                              </w:rPr>
                              <w:t>Routine vaccination in Australia</w:t>
                            </w:r>
                          </w:p>
                          <w:p w14:paraId="24DDAD0E" w14:textId="4D2C5A86" w:rsidR="007E71CE" w:rsidRDefault="007E71CE" w:rsidP="00DC6573">
                            <w:pPr>
                              <w:numPr>
                                <w:ilvl w:val="0"/>
                                <w:numId w:val="23"/>
                              </w:numPr>
                              <w:spacing w:before="100" w:after="100" w:line="240" w:lineRule="auto"/>
                              <w:rPr>
                                <w:rFonts w:eastAsia="Times New Roman"/>
                                <w:lang w:val="en-GB"/>
                              </w:rPr>
                            </w:pPr>
                            <w:r>
                              <w:rPr>
                                <w:rFonts w:eastAsia="Times New Roman"/>
                                <w:lang w:val="en-GB"/>
                              </w:rPr>
                              <w:t>To advis</w:t>
                            </w:r>
                            <w:r w:rsidR="00DC6573">
                              <w:rPr>
                                <w:rFonts w:eastAsia="Times New Roman"/>
                                <w:lang w:val="en-GB"/>
                              </w:rPr>
                              <w:t>e</w:t>
                            </w:r>
                            <w:r>
                              <w:rPr>
                                <w:rFonts w:eastAsia="Times New Roman"/>
                                <w:lang w:val="en-GB"/>
                              </w:rPr>
                              <w:t xml:space="preserve"> on ways to improve uptake of influenza vaccine, given the increasing disease burden.</w:t>
                            </w:r>
                          </w:p>
                          <w:p w14:paraId="6744C10F" w14:textId="55230653" w:rsidR="007E71CE" w:rsidRDefault="007E71CE" w:rsidP="00DC6573">
                            <w:pPr>
                              <w:numPr>
                                <w:ilvl w:val="0"/>
                                <w:numId w:val="23"/>
                              </w:numPr>
                              <w:spacing w:before="100" w:after="100" w:line="240" w:lineRule="auto"/>
                              <w:rPr>
                                <w:rFonts w:eastAsia="Times New Roman"/>
                                <w:lang w:val="en-GB"/>
                              </w:rPr>
                            </w:pPr>
                            <w:r>
                              <w:rPr>
                                <w:rFonts w:eastAsia="Times New Roman"/>
                                <w:lang w:val="en-GB"/>
                              </w:rPr>
                              <w:t>To continu</w:t>
                            </w:r>
                            <w:r w:rsidR="00DC6573">
                              <w:rPr>
                                <w:rFonts w:eastAsia="Times New Roman"/>
                                <w:lang w:val="en-GB"/>
                              </w:rPr>
                              <w:t>e</w:t>
                            </w:r>
                            <w:r>
                              <w:rPr>
                                <w:rFonts w:eastAsia="Times New Roman"/>
                                <w:lang w:val="en-GB"/>
                              </w:rPr>
                              <w:t xml:space="preserve"> to advise on the optimal schedule for existing vaccination programs in Australia, such as the program for pneumococcal disease.</w:t>
                            </w:r>
                          </w:p>
                          <w:p w14:paraId="53AF4785" w14:textId="77777777" w:rsidR="007E71CE" w:rsidRDefault="007E71CE" w:rsidP="00DC6573">
                            <w:pPr>
                              <w:numPr>
                                <w:ilvl w:val="0"/>
                                <w:numId w:val="23"/>
                              </w:numPr>
                              <w:spacing w:before="100" w:after="100" w:line="240" w:lineRule="auto"/>
                              <w:rPr>
                                <w:rFonts w:eastAsia="Times New Roman"/>
                                <w:lang w:val="en-GB"/>
                              </w:rPr>
                            </w:pPr>
                            <w:r>
                              <w:rPr>
                                <w:rFonts w:eastAsia="Times New Roman"/>
                                <w:lang w:val="en-GB"/>
                              </w:rPr>
                              <w:t xml:space="preserve">To maintain high coverage for routine vaccinations such as measles, </w:t>
                            </w:r>
                            <w:proofErr w:type="gramStart"/>
                            <w:r>
                              <w:rPr>
                                <w:rFonts w:eastAsia="Times New Roman"/>
                                <w:lang w:val="en-GB"/>
                              </w:rPr>
                              <w:t>diphtheria</w:t>
                            </w:r>
                            <w:proofErr w:type="gramEnd"/>
                            <w:r>
                              <w:rPr>
                                <w:rFonts w:eastAsia="Times New Roman"/>
                                <w:lang w:val="en-GB"/>
                              </w:rPr>
                              <w:t xml:space="preserve"> and polio, given re-emergence of these diseases globally.</w:t>
                            </w:r>
                          </w:p>
                          <w:p w14:paraId="0657A8D0" w14:textId="77777777" w:rsidR="007E71CE" w:rsidRDefault="007E71CE" w:rsidP="00DC6573">
                            <w:pPr>
                              <w:pStyle w:val="Heading4"/>
                              <w:spacing w:before="100" w:after="100"/>
                              <w:rPr>
                                <w:lang w:val="en-GB"/>
                              </w:rPr>
                            </w:pPr>
                            <w:r>
                              <w:rPr>
                                <w:lang w:val="en-GB"/>
                              </w:rPr>
                              <w:t>Emerging and re-emerging vaccine-preventable diseases</w:t>
                            </w:r>
                          </w:p>
                          <w:p w14:paraId="6BF3F1D3" w14:textId="1504222D" w:rsidR="007E71CE" w:rsidRDefault="007E71CE" w:rsidP="00DC6573">
                            <w:pPr>
                              <w:numPr>
                                <w:ilvl w:val="0"/>
                                <w:numId w:val="24"/>
                              </w:numPr>
                              <w:spacing w:before="100" w:after="100" w:line="240" w:lineRule="auto"/>
                              <w:rPr>
                                <w:rFonts w:eastAsia="Times New Roman"/>
                                <w:lang w:val="en-GB"/>
                              </w:rPr>
                            </w:pPr>
                            <w:r>
                              <w:rPr>
                                <w:rFonts w:eastAsia="Times New Roman"/>
                                <w:lang w:val="en-GB"/>
                              </w:rPr>
                              <w:t>To advis</w:t>
                            </w:r>
                            <w:r w:rsidR="00DC6573">
                              <w:rPr>
                                <w:rFonts w:eastAsia="Times New Roman"/>
                                <w:lang w:val="en-GB"/>
                              </w:rPr>
                              <w:t>e</w:t>
                            </w:r>
                            <w:r>
                              <w:rPr>
                                <w:rFonts w:eastAsia="Times New Roman"/>
                                <w:lang w:val="en-GB"/>
                              </w:rPr>
                              <w:t xml:space="preserve"> on implementation of vaccine programs for emerging and re-emerging diseases, including JE, </w:t>
                            </w:r>
                            <w:proofErr w:type="spellStart"/>
                            <w:r>
                              <w:rPr>
                                <w:rFonts w:eastAsia="Times New Roman"/>
                                <w:lang w:val="en-GB"/>
                              </w:rPr>
                              <w:t>mpox</w:t>
                            </w:r>
                            <w:proofErr w:type="spellEnd"/>
                            <w:r>
                              <w:rPr>
                                <w:rFonts w:eastAsia="Times New Roman"/>
                                <w:lang w:val="en-GB"/>
                              </w:rPr>
                              <w:t xml:space="preserve"> and poliomyelitis.</w:t>
                            </w:r>
                          </w:p>
                          <w:p w14:paraId="089129AF" w14:textId="77777777" w:rsidR="007E71CE" w:rsidRDefault="007E71CE" w:rsidP="00DC6573">
                            <w:pPr>
                              <w:pStyle w:val="Heading4"/>
                              <w:spacing w:before="100" w:after="100"/>
                              <w:rPr>
                                <w:lang w:val="en-GB"/>
                              </w:rPr>
                            </w:pPr>
                            <w:r>
                              <w:rPr>
                                <w:lang w:val="en-GB"/>
                              </w:rPr>
                              <w:t>Horizon scanning, monitoring and evaluation</w:t>
                            </w:r>
                          </w:p>
                          <w:p w14:paraId="43F8E621" w14:textId="77777777" w:rsidR="007E71CE" w:rsidRDefault="007E71CE" w:rsidP="00DC6573">
                            <w:pPr>
                              <w:numPr>
                                <w:ilvl w:val="0"/>
                                <w:numId w:val="25"/>
                              </w:numPr>
                              <w:spacing w:before="100" w:after="100" w:line="240" w:lineRule="auto"/>
                              <w:rPr>
                                <w:rFonts w:eastAsia="Times New Roman"/>
                                <w:lang w:val="en-GB"/>
                              </w:rPr>
                            </w:pPr>
                            <w:r>
                              <w:rPr>
                                <w:rFonts w:eastAsia="Times New Roman"/>
                                <w:lang w:val="en-GB"/>
                              </w:rPr>
                              <w:t>To plan for the introduction of new vaccines, including RSV vaccine.</w:t>
                            </w:r>
                          </w:p>
                          <w:p w14:paraId="3EA16BBC" w14:textId="77777777" w:rsidR="007E71CE" w:rsidRDefault="007E71CE" w:rsidP="00DC6573">
                            <w:pPr>
                              <w:numPr>
                                <w:ilvl w:val="0"/>
                                <w:numId w:val="25"/>
                              </w:numPr>
                              <w:spacing w:before="100" w:after="100" w:line="240" w:lineRule="auto"/>
                              <w:rPr>
                                <w:rFonts w:eastAsia="Times New Roman"/>
                                <w:lang w:val="en-GB"/>
                              </w:rPr>
                            </w:pPr>
                            <w:r>
                              <w:rPr>
                                <w:rFonts w:eastAsia="Times New Roman"/>
                                <w:lang w:val="en-GB"/>
                              </w:rPr>
                              <w:t>To evaluate the new one-dose schedule for the HPV vaccination program.</w:t>
                            </w:r>
                          </w:p>
                          <w:p w14:paraId="02E6890D" w14:textId="69BEC8E9" w:rsidR="007E71CE" w:rsidRPr="0003118D" w:rsidRDefault="007E71CE" w:rsidP="00DC6573">
                            <w:pPr>
                              <w:numPr>
                                <w:ilvl w:val="0"/>
                                <w:numId w:val="25"/>
                              </w:numPr>
                              <w:spacing w:before="100" w:after="100" w:line="240" w:lineRule="auto"/>
                              <w:rPr>
                                <w:rFonts w:eastAsia="Times New Roman"/>
                                <w:lang w:val="en-GB"/>
                              </w:rPr>
                            </w:pPr>
                            <w:r>
                              <w:rPr>
                                <w:rFonts w:eastAsia="Times New Roman"/>
                                <w:lang w:val="en-GB"/>
                              </w:rPr>
                              <w:t xml:space="preserve">To monitor and evaluate newly established vaccine programs, including JE and </w:t>
                            </w:r>
                            <w:proofErr w:type="spellStart"/>
                            <w:r>
                              <w:rPr>
                                <w:rFonts w:eastAsia="Times New Roman"/>
                                <w:lang w:val="en-GB"/>
                              </w:rPr>
                              <w:t>mpox</w:t>
                            </w:r>
                            <w:proofErr w:type="spellEnd"/>
                            <w:r>
                              <w:rPr>
                                <w:rFonts w:eastAsia="Times New Roman"/>
                                <w:lang w:val="en-GB"/>
                              </w:rPr>
                              <w:t>.</w:t>
                            </w:r>
                          </w:p>
                        </w:txbxContent>
                      </wps:txbx>
                      <wps:bodyPr rot="0" vert="horz" wrap="square" lIns="91440" tIns="45720" rIns="91440" bIns="45720" anchor="t" anchorCtr="0">
                        <a:noAutofit/>
                      </wps:bodyPr>
                    </wps:wsp>
                  </a:graphicData>
                </a:graphic>
              </wp:inline>
            </w:drawing>
          </mc:Choice>
          <mc:Fallback>
            <w:pict>
              <v:shapetype w14:anchorId="04460885" id="_x0000_t202" coordsize="21600,21600" o:spt="202" path="m,l,21600r21600,l21600,xe">
                <v:stroke joinstyle="miter"/>
                <v:path gradientshapeok="t" o:connecttype="rect"/>
              </v:shapetype>
              <v:shape id="Text Box 6" o:spid="_x0000_s1029" type="#_x0000_t202" alt="Table 4 lists ATAGI’s ongoing and specific priorities for 2023." style="width:521.7pt;height:6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" fillcolor="#f7ecdd" stroked="f">
                <v:textbox>
                  <w:txbxContent>
                    <w:p w14:paraId="1B1881A4" w14:textId="77777777" w:rsidR="007E71CE" w:rsidRDefault="007E71CE" w:rsidP="00DC6573">
                      <w:pPr>
                        <w:pStyle w:val="Heading2"/>
                        <w:spacing w:before="100" w:after="100"/>
                        <w:rPr>
                          <w:lang w:val="en-GB"/>
                        </w:rPr>
                      </w:pPr>
                      <w:r>
                        <w:rPr>
                          <w:lang w:val="en-GB"/>
                        </w:rPr>
                        <w:t>Ongoing priorities</w:t>
                      </w:r>
                    </w:p>
                    <w:p w14:paraId="163243C0" w14:textId="77777777" w:rsidR="007E71CE" w:rsidRDefault="007E71CE" w:rsidP="00DC6573">
                      <w:pPr>
                        <w:numPr>
                          <w:ilvl w:val="0"/>
                          <w:numId w:val="21"/>
                        </w:numPr>
                        <w:spacing w:before="100" w:after="100" w:line="240" w:lineRule="auto"/>
                        <w:rPr>
                          <w:rFonts w:eastAsia="Times New Roman"/>
                          <w:lang w:val="en-GB"/>
                        </w:rPr>
                      </w:pPr>
                      <w:r>
                        <w:rPr>
                          <w:rFonts w:eastAsia="Times New Roman"/>
                          <w:lang w:val="en-GB"/>
                        </w:rPr>
                        <w:t xml:space="preserve">To advise on immunisation policies that improve access to NIP-funded vaccines for priority population groups, as well as reliable systems to capture uptake in these groups. Priorities for consideration include: </w:t>
                      </w:r>
                    </w:p>
                    <w:p w14:paraId="215DE80E" w14:textId="77777777" w:rsidR="007E71CE" w:rsidRDefault="007E71CE" w:rsidP="00DC6573">
                      <w:pPr>
                        <w:numPr>
                          <w:ilvl w:val="1"/>
                          <w:numId w:val="21"/>
                        </w:numPr>
                        <w:spacing w:before="100" w:after="100" w:line="240" w:lineRule="auto"/>
                        <w:rPr>
                          <w:rFonts w:eastAsia="Times New Roman"/>
                          <w:lang w:val="en-GB"/>
                        </w:rPr>
                      </w:pPr>
                      <w:r>
                        <w:rPr>
                          <w:rFonts w:eastAsia="Times New Roman"/>
                          <w:lang w:val="en-GB"/>
                        </w:rPr>
                        <w:t>hepatitis B vaccination for non-immune adults from First Nations communities;</w:t>
                      </w:r>
                    </w:p>
                    <w:p w14:paraId="2A9C299E" w14:textId="77777777" w:rsidR="007E71CE" w:rsidRDefault="007E71CE" w:rsidP="00DC6573">
                      <w:pPr>
                        <w:numPr>
                          <w:ilvl w:val="1"/>
                          <w:numId w:val="21"/>
                        </w:numPr>
                        <w:spacing w:before="100" w:after="100" w:line="240" w:lineRule="auto"/>
                        <w:rPr>
                          <w:rFonts w:eastAsia="Times New Roman"/>
                          <w:lang w:val="en-GB"/>
                        </w:rPr>
                      </w:pPr>
                      <w:r>
                        <w:rPr>
                          <w:rFonts w:eastAsia="Times New Roman"/>
                          <w:lang w:val="en-GB"/>
                        </w:rPr>
                        <w:t>pneumococcal vaccination for younger adults from First Nations communities (aged under 50 years);</w:t>
                      </w:r>
                    </w:p>
                    <w:p w14:paraId="43F565A5" w14:textId="77777777" w:rsidR="007E71CE" w:rsidRDefault="007E71CE" w:rsidP="00DC6573">
                      <w:pPr>
                        <w:numPr>
                          <w:ilvl w:val="1"/>
                          <w:numId w:val="21"/>
                        </w:numPr>
                        <w:spacing w:before="100" w:after="100" w:line="240" w:lineRule="auto"/>
                        <w:rPr>
                          <w:rFonts w:eastAsia="Times New Roman"/>
                          <w:lang w:val="en-GB"/>
                        </w:rPr>
                      </w:pPr>
                      <w:r>
                        <w:rPr>
                          <w:rFonts w:eastAsia="Times New Roman"/>
                          <w:lang w:val="en-GB"/>
                        </w:rPr>
                        <w:t>expanding eligible medical risk conditions for receiving NIP-funded influenza vaccines; and</w:t>
                      </w:r>
                    </w:p>
                    <w:p w14:paraId="38493D37" w14:textId="77777777" w:rsidR="007E71CE" w:rsidRDefault="007E71CE" w:rsidP="00DC6573">
                      <w:pPr>
                        <w:numPr>
                          <w:ilvl w:val="1"/>
                          <w:numId w:val="21"/>
                        </w:numPr>
                        <w:spacing w:before="100" w:after="100" w:line="240" w:lineRule="auto"/>
                        <w:rPr>
                          <w:rFonts w:eastAsia="Times New Roman"/>
                          <w:lang w:val="en-GB"/>
                        </w:rPr>
                      </w:pPr>
                      <w:r>
                        <w:rPr>
                          <w:rFonts w:eastAsia="Times New Roman"/>
                          <w:lang w:val="en-GB"/>
                        </w:rPr>
                        <w:t>catch-up measles vaccination for non-immune people born since 1966.</w:t>
                      </w:r>
                    </w:p>
                    <w:p w14:paraId="6CBE2B63" w14:textId="1CDF15D7" w:rsidR="007E71CE" w:rsidRDefault="007E71CE" w:rsidP="00DC6573">
                      <w:pPr>
                        <w:numPr>
                          <w:ilvl w:val="0"/>
                          <w:numId w:val="21"/>
                        </w:numPr>
                        <w:spacing w:before="100" w:after="100" w:line="240" w:lineRule="auto"/>
                        <w:rPr>
                          <w:rFonts w:eastAsia="Times New Roman"/>
                          <w:lang w:val="en-GB"/>
                        </w:rPr>
                      </w:pPr>
                      <w:r>
                        <w:rPr>
                          <w:rFonts w:eastAsia="Times New Roman"/>
                          <w:lang w:val="en-GB"/>
                        </w:rPr>
                        <w:t xml:space="preserve">To strengthen the evaluation of evidence and continue publishing evidence-based immunisation recommendations through the </w:t>
                      </w:r>
                      <w:r>
                        <w:rPr>
                          <w:rFonts w:eastAsia="Times New Roman"/>
                          <w:lang w:val="en-US"/>
                        </w:rPr>
                        <w:t>Australian Immunisation Handbook.</w:t>
                      </w:r>
                      <w:r w:rsidR="00DC6573">
                        <w:rPr>
                          <w:rFonts w:eastAsia="Times New Roman"/>
                          <w:vertAlign w:val="superscript"/>
                          <w:lang w:val="en-US"/>
                        </w:rPr>
                        <w:t>a</w:t>
                      </w:r>
                      <w:r w:rsidRPr="00BE3E98">
                        <w:rPr>
                          <w:rFonts w:eastAsia="Times New Roman"/>
                          <w:vertAlign w:val="superscript"/>
                          <w:lang w:val="en-GB"/>
                        </w:rPr>
                        <w:t>i</w:t>
                      </w:r>
                      <w:r>
                        <w:rPr>
                          <w:rFonts w:eastAsia="Times New Roman"/>
                          <w:lang w:val="en-GB"/>
                        </w:rPr>
                        <w:t xml:space="preserve"> This includes continuing to work closely with </w:t>
                      </w:r>
                      <w:r>
                        <w:rPr>
                          <w:rFonts w:eastAsia="Times New Roman"/>
                          <w:lang w:val="en-US"/>
                        </w:rPr>
                        <w:t>the National Health and Medical Research Council to streamline its endorsement of Handbook recommendations.</w:t>
                      </w:r>
                    </w:p>
                    <w:p w14:paraId="56936EF2" w14:textId="77777777" w:rsidR="007E71CE" w:rsidRDefault="007E71CE" w:rsidP="00DC6573">
                      <w:pPr>
                        <w:numPr>
                          <w:ilvl w:val="0"/>
                          <w:numId w:val="21"/>
                        </w:numPr>
                        <w:spacing w:before="100" w:after="100" w:line="240" w:lineRule="auto"/>
                        <w:rPr>
                          <w:rFonts w:eastAsia="Times New Roman"/>
                          <w:lang w:val="en-GB"/>
                        </w:rPr>
                      </w:pPr>
                      <w:r>
                        <w:rPr>
                          <w:rFonts w:eastAsia="Times New Roman"/>
                          <w:lang w:val="en-US"/>
                        </w:rPr>
                        <w:t>To continue to work with international partners, including national immunisation technical advisory groups of other countries.</w:t>
                      </w:r>
                    </w:p>
                    <w:p w14:paraId="71142F06" w14:textId="77777777" w:rsidR="007E71CE" w:rsidRDefault="007E71CE" w:rsidP="00DC6573">
                      <w:pPr>
                        <w:numPr>
                          <w:ilvl w:val="0"/>
                          <w:numId w:val="21"/>
                        </w:numPr>
                        <w:spacing w:before="100" w:after="100" w:line="240" w:lineRule="auto"/>
                        <w:rPr>
                          <w:rFonts w:eastAsia="Times New Roman"/>
                          <w:lang w:val="en-GB"/>
                        </w:rPr>
                      </w:pPr>
                      <w:r>
                        <w:rPr>
                          <w:rFonts w:eastAsia="Times New Roman"/>
                          <w:lang w:val="en-GB"/>
                        </w:rPr>
                        <w:t>To support the development of evidence-based immunisation resources that are culturally sensitive and appropriate for unique First Nations communities.</w:t>
                      </w:r>
                    </w:p>
                    <w:p w14:paraId="2E5CF5B6" w14:textId="77777777" w:rsidR="007E71CE" w:rsidRDefault="007E71CE" w:rsidP="00DC6573">
                      <w:pPr>
                        <w:numPr>
                          <w:ilvl w:val="0"/>
                          <w:numId w:val="21"/>
                        </w:numPr>
                        <w:spacing w:before="100" w:after="100" w:line="240" w:lineRule="auto"/>
                        <w:rPr>
                          <w:rFonts w:eastAsia="Times New Roman"/>
                          <w:lang w:val="en-GB"/>
                        </w:rPr>
                      </w:pPr>
                      <w:r>
                        <w:rPr>
                          <w:rFonts w:eastAsia="Times New Roman"/>
                          <w:lang w:val="en-GB"/>
                        </w:rPr>
                        <w:t>To scope vaccines on the horizon for potential inclusion in the NIP. These may include newer influenza, herpes zoster and pneumococcal vaccines; and new RSV vaccines and group B Streptococcus</w:t>
                      </w:r>
                      <w:r>
                        <w:rPr>
                          <w:rFonts w:eastAsia="Times New Roman"/>
                          <w:lang w:val="en-US"/>
                        </w:rPr>
                        <w:t xml:space="preserve"> </w:t>
                      </w:r>
                      <w:r>
                        <w:rPr>
                          <w:rFonts w:eastAsia="Times New Roman"/>
                          <w:lang w:val="en-GB"/>
                        </w:rPr>
                        <w:t>vaccines. NIP vaccines must show benefits for the Australian population or high-risk population groups, and be cost-effective.</w:t>
                      </w:r>
                    </w:p>
                    <w:p w14:paraId="3F4B1CC3" w14:textId="77777777" w:rsidR="007E71CE" w:rsidRDefault="007E71CE" w:rsidP="00DC6573">
                      <w:pPr>
                        <w:pStyle w:val="Heading3"/>
                        <w:spacing w:before="100" w:after="100"/>
                        <w:rPr>
                          <w:lang w:val="en-GB"/>
                        </w:rPr>
                      </w:pPr>
                      <w:r>
                        <w:rPr>
                          <w:lang w:val="en-GB"/>
                        </w:rPr>
                        <w:t>Specific priorities for 2023</w:t>
                      </w:r>
                    </w:p>
                    <w:p w14:paraId="3F9B2FEB" w14:textId="500A1FC7" w:rsidR="007E71CE" w:rsidRDefault="007E71CE" w:rsidP="00DC6573">
                      <w:pPr>
                        <w:pStyle w:val="Heading4"/>
                        <w:spacing w:before="100" w:after="100"/>
                        <w:rPr>
                          <w:lang w:val="en-GB"/>
                        </w:rPr>
                      </w:pPr>
                      <w:r>
                        <w:rPr>
                          <w:lang w:val="en-GB"/>
                        </w:rPr>
                        <w:t>COVID</w:t>
                      </w:r>
                      <w:r w:rsidR="00DC6573">
                        <w:rPr>
                          <w:lang w:val="en-GB"/>
                        </w:rPr>
                        <w:t>-</w:t>
                      </w:r>
                      <w:r>
                        <w:rPr>
                          <w:lang w:val="en-GB"/>
                        </w:rPr>
                        <w:t>19 immunisation program</w:t>
                      </w:r>
                    </w:p>
                    <w:p w14:paraId="3F8A245C" w14:textId="6029CE6A" w:rsidR="007E71CE" w:rsidRDefault="007E71CE" w:rsidP="00DC6573">
                      <w:pPr>
                        <w:numPr>
                          <w:ilvl w:val="0"/>
                          <w:numId w:val="22"/>
                        </w:numPr>
                        <w:spacing w:before="100" w:after="100" w:line="240" w:lineRule="auto"/>
                        <w:rPr>
                          <w:rFonts w:eastAsia="Times New Roman"/>
                          <w:lang w:val="en-GB"/>
                        </w:rPr>
                      </w:pPr>
                      <w:r>
                        <w:rPr>
                          <w:rFonts w:eastAsia="Times New Roman"/>
                          <w:lang w:val="en-GB"/>
                        </w:rPr>
                        <w:t>To continu</w:t>
                      </w:r>
                      <w:r w:rsidR="00DC6573">
                        <w:rPr>
                          <w:rFonts w:eastAsia="Times New Roman"/>
                          <w:lang w:val="en-GB"/>
                        </w:rPr>
                        <w:t>e</w:t>
                      </w:r>
                      <w:r>
                        <w:rPr>
                          <w:rFonts w:eastAsia="Times New Roman"/>
                          <w:lang w:val="en-GB"/>
                        </w:rPr>
                        <w:t xml:space="preserve"> to provide timely advice as the COVID-19 vaccination program integrates into a more routine national vaccination program. To continuing to advise on optimal vaccination schedules in light of new variants of concern and changing epidemiology.</w:t>
                      </w:r>
                    </w:p>
                    <w:p w14:paraId="31A1BD08" w14:textId="77777777" w:rsidR="007E71CE" w:rsidRDefault="007E71CE" w:rsidP="00DC6573">
                      <w:pPr>
                        <w:pStyle w:val="Heading4"/>
                        <w:spacing w:before="100" w:after="100"/>
                        <w:rPr>
                          <w:lang w:val="en-GB"/>
                        </w:rPr>
                      </w:pPr>
                      <w:r>
                        <w:rPr>
                          <w:lang w:val="en-GB"/>
                        </w:rPr>
                        <w:t>Routine vaccination in Australia</w:t>
                      </w:r>
                    </w:p>
                    <w:p w14:paraId="24DDAD0E" w14:textId="4D2C5A86" w:rsidR="007E71CE" w:rsidRDefault="007E71CE" w:rsidP="00DC6573">
                      <w:pPr>
                        <w:numPr>
                          <w:ilvl w:val="0"/>
                          <w:numId w:val="23"/>
                        </w:numPr>
                        <w:spacing w:before="100" w:after="100" w:line="240" w:lineRule="auto"/>
                        <w:rPr>
                          <w:rFonts w:eastAsia="Times New Roman"/>
                          <w:lang w:val="en-GB"/>
                        </w:rPr>
                      </w:pPr>
                      <w:r>
                        <w:rPr>
                          <w:rFonts w:eastAsia="Times New Roman"/>
                          <w:lang w:val="en-GB"/>
                        </w:rPr>
                        <w:t>To advis</w:t>
                      </w:r>
                      <w:r w:rsidR="00DC6573">
                        <w:rPr>
                          <w:rFonts w:eastAsia="Times New Roman"/>
                          <w:lang w:val="en-GB"/>
                        </w:rPr>
                        <w:t>e</w:t>
                      </w:r>
                      <w:r>
                        <w:rPr>
                          <w:rFonts w:eastAsia="Times New Roman"/>
                          <w:lang w:val="en-GB"/>
                        </w:rPr>
                        <w:t xml:space="preserve"> on ways to improve uptake of influenza vaccine, given the increasing disease burden.</w:t>
                      </w:r>
                    </w:p>
                    <w:p w14:paraId="6744C10F" w14:textId="55230653" w:rsidR="007E71CE" w:rsidRDefault="007E71CE" w:rsidP="00DC6573">
                      <w:pPr>
                        <w:numPr>
                          <w:ilvl w:val="0"/>
                          <w:numId w:val="23"/>
                        </w:numPr>
                        <w:spacing w:before="100" w:after="100" w:line="240" w:lineRule="auto"/>
                        <w:rPr>
                          <w:rFonts w:eastAsia="Times New Roman"/>
                          <w:lang w:val="en-GB"/>
                        </w:rPr>
                      </w:pPr>
                      <w:r>
                        <w:rPr>
                          <w:rFonts w:eastAsia="Times New Roman"/>
                          <w:lang w:val="en-GB"/>
                        </w:rPr>
                        <w:t>To continu</w:t>
                      </w:r>
                      <w:r w:rsidR="00DC6573">
                        <w:rPr>
                          <w:rFonts w:eastAsia="Times New Roman"/>
                          <w:lang w:val="en-GB"/>
                        </w:rPr>
                        <w:t>e</w:t>
                      </w:r>
                      <w:r>
                        <w:rPr>
                          <w:rFonts w:eastAsia="Times New Roman"/>
                          <w:lang w:val="en-GB"/>
                        </w:rPr>
                        <w:t xml:space="preserve"> to advise on the optimal schedule for existing vaccination programs in Australia, such as the program for pneumococcal disease.</w:t>
                      </w:r>
                    </w:p>
                    <w:p w14:paraId="53AF4785" w14:textId="77777777" w:rsidR="007E71CE" w:rsidRDefault="007E71CE" w:rsidP="00DC6573">
                      <w:pPr>
                        <w:numPr>
                          <w:ilvl w:val="0"/>
                          <w:numId w:val="23"/>
                        </w:numPr>
                        <w:spacing w:before="100" w:after="100" w:line="240" w:lineRule="auto"/>
                        <w:rPr>
                          <w:rFonts w:eastAsia="Times New Roman"/>
                          <w:lang w:val="en-GB"/>
                        </w:rPr>
                      </w:pPr>
                      <w:r>
                        <w:rPr>
                          <w:rFonts w:eastAsia="Times New Roman"/>
                          <w:lang w:val="en-GB"/>
                        </w:rPr>
                        <w:t>To maintain high coverage for routine vaccinations such as measles, diphtheria and polio, given re-emergence of these diseases globally.</w:t>
                      </w:r>
                    </w:p>
                    <w:p w14:paraId="0657A8D0" w14:textId="77777777" w:rsidR="007E71CE" w:rsidRDefault="007E71CE" w:rsidP="00DC6573">
                      <w:pPr>
                        <w:pStyle w:val="Heading4"/>
                        <w:spacing w:before="100" w:after="100"/>
                        <w:rPr>
                          <w:lang w:val="en-GB"/>
                        </w:rPr>
                      </w:pPr>
                      <w:r>
                        <w:rPr>
                          <w:lang w:val="en-GB"/>
                        </w:rPr>
                        <w:t>Emerging and re-emerging vaccine-preventable diseases</w:t>
                      </w:r>
                    </w:p>
                    <w:p w14:paraId="6BF3F1D3" w14:textId="1504222D" w:rsidR="007E71CE" w:rsidRDefault="007E71CE" w:rsidP="00DC6573">
                      <w:pPr>
                        <w:numPr>
                          <w:ilvl w:val="0"/>
                          <w:numId w:val="24"/>
                        </w:numPr>
                        <w:spacing w:before="100" w:after="100" w:line="240" w:lineRule="auto"/>
                        <w:rPr>
                          <w:rFonts w:eastAsia="Times New Roman"/>
                          <w:lang w:val="en-GB"/>
                        </w:rPr>
                      </w:pPr>
                      <w:r>
                        <w:rPr>
                          <w:rFonts w:eastAsia="Times New Roman"/>
                          <w:lang w:val="en-GB"/>
                        </w:rPr>
                        <w:t>To advis</w:t>
                      </w:r>
                      <w:r w:rsidR="00DC6573">
                        <w:rPr>
                          <w:rFonts w:eastAsia="Times New Roman"/>
                          <w:lang w:val="en-GB"/>
                        </w:rPr>
                        <w:t>e</w:t>
                      </w:r>
                      <w:r>
                        <w:rPr>
                          <w:rFonts w:eastAsia="Times New Roman"/>
                          <w:lang w:val="en-GB"/>
                        </w:rPr>
                        <w:t xml:space="preserve"> on implementation of vaccine programs for emerging and re-emerging diseases, including JE, mpox and poliomyelitis.</w:t>
                      </w:r>
                    </w:p>
                    <w:p w14:paraId="089129AF" w14:textId="77777777" w:rsidR="007E71CE" w:rsidRDefault="007E71CE" w:rsidP="00DC6573">
                      <w:pPr>
                        <w:pStyle w:val="Heading4"/>
                        <w:spacing w:before="100" w:after="100"/>
                        <w:rPr>
                          <w:lang w:val="en-GB"/>
                        </w:rPr>
                      </w:pPr>
                      <w:r>
                        <w:rPr>
                          <w:lang w:val="en-GB"/>
                        </w:rPr>
                        <w:t>Horizon scanning, monitoring and evaluation</w:t>
                      </w:r>
                    </w:p>
                    <w:p w14:paraId="43F8E621" w14:textId="77777777" w:rsidR="007E71CE" w:rsidRDefault="007E71CE" w:rsidP="00DC6573">
                      <w:pPr>
                        <w:numPr>
                          <w:ilvl w:val="0"/>
                          <w:numId w:val="25"/>
                        </w:numPr>
                        <w:spacing w:before="100" w:after="100" w:line="240" w:lineRule="auto"/>
                        <w:rPr>
                          <w:rFonts w:eastAsia="Times New Roman"/>
                          <w:lang w:val="en-GB"/>
                        </w:rPr>
                      </w:pPr>
                      <w:r>
                        <w:rPr>
                          <w:rFonts w:eastAsia="Times New Roman"/>
                          <w:lang w:val="en-GB"/>
                        </w:rPr>
                        <w:t>To plan for the introduction of new vaccines, including RSV vaccine.</w:t>
                      </w:r>
                    </w:p>
                    <w:p w14:paraId="3EA16BBC" w14:textId="77777777" w:rsidR="007E71CE" w:rsidRDefault="007E71CE" w:rsidP="00DC6573">
                      <w:pPr>
                        <w:numPr>
                          <w:ilvl w:val="0"/>
                          <w:numId w:val="25"/>
                        </w:numPr>
                        <w:spacing w:before="100" w:after="100" w:line="240" w:lineRule="auto"/>
                        <w:rPr>
                          <w:rFonts w:eastAsia="Times New Roman"/>
                          <w:lang w:val="en-GB"/>
                        </w:rPr>
                      </w:pPr>
                      <w:r>
                        <w:rPr>
                          <w:rFonts w:eastAsia="Times New Roman"/>
                          <w:lang w:val="en-GB"/>
                        </w:rPr>
                        <w:t>To evaluate the new one-dose schedule for the HPV vaccination program.</w:t>
                      </w:r>
                    </w:p>
                    <w:p w14:paraId="02E6890D" w14:textId="69BEC8E9" w:rsidR="007E71CE" w:rsidRPr="0003118D" w:rsidRDefault="007E71CE" w:rsidP="00DC6573">
                      <w:pPr>
                        <w:numPr>
                          <w:ilvl w:val="0"/>
                          <w:numId w:val="25"/>
                        </w:numPr>
                        <w:spacing w:before="100" w:after="100" w:line="240" w:lineRule="auto"/>
                        <w:rPr>
                          <w:rFonts w:eastAsia="Times New Roman"/>
                          <w:lang w:val="en-GB"/>
                        </w:rPr>
                      </w:pPr>
                      <w:r>
                        <w:rPr>
                          <w:rFonts w:eastAsia="Times New Roman"/>
                          <w:lang w:val="en-GB"/>
                        </w:rPr>
                        <w:t>To monitor and evaluate newly established vaccine programs, including JE and mpox.</w:t>
                      </w:r>
                    </w:p>
                  </w:txbxContent>
                </v:textbox>
                <w10:anchorlock/>
              </v:shape>
            </w:pict>
          </mc:Fallback>
        </mc:AlternateContent>
      </w:r>
    </w:p>
    <w:p w14:paraId="7EF21A96" w14:textId="0BD5E7F5" w:rsidR="00BE3E98" w:rsidRPr="00BE3E98" w:rsidRDefault="00DC6573" w:rsidP="00BE3E98">
      <w:pPr>
        <w:pStyle w:val="CDIfootnotes"/>
        <w:divId w:val="812717687"/>
      </w:pPr>
      <w:r w:rsidRPr="00DC6573">
        <w:t>a</w:t>
      </w:r>
      <w:r w:rsidRPr="00DC6573">
        <w:tab/>
        <w:t>https://immunisationhandbook.health.gov.au/.</w:t>
      </w:r>
    </w:p>
    <w:p w14:paraId="65AA23D2" w14:textId="4602FF1B" w:rsidR="00E52252" w:rsidRDefault="00E52252">
      <w:pPr>
        <w:pStyle w:val="Heading1"/>
        <w:divId w:val="812717687"/>
        <w:rPr>
          <w:rFonts w:eastAsia="Times New Roman"/>
        </w:rPr>
      </w:pPr>
      <w:r>
        <w:rPr>
          <w:rFonts w:eastAsia="Times New Roman"/>
        </w:rPr>
        <w:lastRenderedPageBreak/>
        <w:t xml:space="preserve">Acknowledgments </w:t>
      </w:r>
    </w:p>
    <w:p w14:paraId="4B2D2E98" w14:textId="77777777" w:rsidR="00E52252" w:rsidRDefault="00E52252">
      <w:pPr>
        <w:pStyle w:val="NormalWeb"/>
        <w:divId w:val="812717687"/>
      </w:pPr>
      <w:r>
        <w:t xml:space="preserve">The authors </w:t>
      </w:r>
      <w:proofErr w:type="gramStart"/>
      <w:r>
        <w:t>wish to thank</w:t>
      </w:r>
      <w:proofErr w:type="gramEnd"/>
      <w:r>
        <w:t xml:space="preserve"> the following additional ATAGI members and ATAGI ex-officio members for their contributions. </w:t>
      </w:r>
    </w:p>
    <w:p w14:paraId="1F614800" w14:textId="371E1191" w:rsidR="00E52252" w:rsidRDefault="00E52252">
      <w:pPr>
        <w:pStyle w:val="NormalWeb"/>
        <w:divId w:val="812717687"/>
      </w:pPr>
      <w:r>
        <w:t xml:space="preserve">Prof Allen Cheng, Ms Karen Bellamy, Prof Katie Flanagan, Dr Katherine Gibney, Dr Penelope Burns, Prof Cheryl Jones, Prof Tony </w:t>
      </w:r>
      <w:proofErr w:type="spellStart"/>
      <w:r>
        <w:t>Korman</w:t>
      </w:r>
      <w:proofErr w:type="spellEnd"/>
      <w:r>
        <w:t xml:space="preserve">, A/Prof Bette Liu, Dr Nicholas Silberstein, Dr James Wood, Ms Diane Walsh, Prof Tom Snelling, Ms Kristy Cooper, Ms Catherine </w:t>
      </w:r>
      <w:proofErr w:type="spellStart"/>
      <w:r>
        <w:t>Radkowksi</w:t>
      </w:r>
      <w:proofErr w:type="spellEnd"/>
      <w:r>
        <w:t xml:space="preserve">, Dr Louise Flood. </w:t>
      </w:r>
    </w:p>
    <w:p w14:paraId="7213E61D" w14:textId="77777777" w:rsidR="00E52252" w:rsidRDefault="00E52252">
      <w:pPr>
        <w:pStyle w:val="NormalWeb"/>
        <w:divId w:val="812717687"/>
      </w:pPr>
      <w:r>
        <w:t xml:space="preserve">The authors also </w:t>
      </w:r>
      <w:proofErr w:type="gramStart"/>
      <w:r>
        <w:t>wish to thank</w:t>
      </w:r>
      <w:proofErr w:type="gramEnd"/>
      <w:r>
        <w:t xml:space="preserve"> Alexandra Hendry and Brynley Hull at the National Centre for Immunisation Research and Surveillance, for providing vaccination coverage data based on Australian Immunisation Register, for this Annual Statement. </w:t>
      </w:r>
    </w:p>
    <w:p w14:paraId="006FD6A2" w14:textId="77777777" w:rsidR="00E52252" w:rsidRDefault="00E52252">
      <w:pPr>
        <w:pStyle w:val="Heading2"/>
        <w:divId w:val="812717687"/>
        <w:rPr>
          <w:rFonts w:eastAsia="Times New Roman"/>
        </w:rPr>
      </w:pPr>
      <w:r>
        <w:rPr>
          <w:rFonts w:eastAsia="Times New Roman"/>
        </w:rPr>
        <w:t xml:space="preserve">Author details </w:t>
      </w:r>
    </w:p>
    <w:p w14:paraId="5D89AE23" w14:textId="77777777" w:rsidR="00E52252" w:rsidRDefault="00E52252">
      <w:pPr>
        <w:pStyle w:val="NormalWeb"/>
        <w:divId w:val="812717687"/>
      </w:pPr>
      <w:r>
        <w:t>Madeline Valeri</w:t>
      </w:r>
      <w:r>
        <w:rPr>
          <w:vertAlign w:val="superscript"/>
        </w:rPr>
        <w:t>1</w:t>
      </w:r>
      <w:r>
        <w:t>, Shireen Durrani</w:t>
      </w:r>
      <w:r>
        <w:rPr>
          <w:vertAlign w:val="superscript"/>
        </w:rPr>
        <w:t>1</w:t>
      </w:r>
      <w:r>
        <w:t>, Catherine Tran</w:t>
      </w:r>
      <w:r>
        <w:rPr>
          <w:vertAlign w:val="superscript"/>
        </w:rPr>
        <w:t>1</w:t>
      </w:r>
      <w:r>
        <w:t>, Clayton Chiu</w:t>
      </w:r>
      <w:r>
        <w:rPr>
          <w:vertAlign w:val="superscript"/>
        </w:rPr>
        <w:t>1,2</w:t>
      </w:r>
      <w:r>
        <w:t>, Kristine K Macartney</w:t>
      </w:r>
      <w:r>
        <w:rPr>
          <w:vertAlign w:val="superscript"/>
        </w:rPr>
        <w:t>1,2,3</w:t>
      </w:r>
      <w:r>
        <w:t>, Michelle L Giles</w:t>
      </w:r>
      <w:r>
        <w:rPr>
          <w:vertAlign w:val="superscript"/>
        </w:rPr>
        <w:t>3,</w:t>
      </w:r>
      <w:proofErr w:type="gramStart"/>
      <w:r>
        <w:rPr>
          <w:vertAlign w:val="superscript"/>
        </w:rPr>
        <w:t>4,5,</w:t>
      </w:r>
      <w:r>
        <w:t>,</w:t>
      </w:r>
      <w:proofErr w:type="gramEnd"/>
      <w:r>
        <w:t xml:space="preserve"> Nigel W Crawford</w:t>
      </w:r>
      <w:r>
        <w:rPr>
          <w:vertAlign w:val="superscript"/>
        </w:rPr>
        <w:t xml:space="preserve">3,6,7 </w:t>
      </w:r>
    </w:p>
    <w:p w14:paraId="05EA51C8" w14:textId="77777777" w:rsidR="00E52252" w:rsidRDefault="00E52252" w:rsidP="00E52252">
      <w:pPr>
        <w:numPr>
          <w:ilvl w:val="0"/>
          <w:numId w:val="12"/>
        </w:numPr>
        <w:spacing w:before="100" w:beforeAutospacing="1" w:after="100" w:afterAutospacing="1" w:line="240" w:lineRule="auto"/>
        <w:divId w:val="812717687"/>
        <w:rPr>
          <w:rFonts w:eastAsia="Times New Roman"/>
        </w:rPr>
      </w:pPr>
      <w:r>
        <w:rPr>
          <w:rFonts w:eastAsia="Times New Roman"/>
        </w:rPr>
        <w:t xml:space="preserve">National Centre for Immunisation Research and Surveillance, Children’s Hospital at Westmead, Sydney, New South Wales, Australia </w:t>
      </w:r>
    </w:p>
    <w:p w14:paraId="0950152A" w14:textId="77777777" w:rsidR="00E52252" w:rsidRDefault="00E52252" w:rsidP="00E52252">
      <w:pPr>
        <w:numPr>
          <w:ilvl w:val="0"/>
          <w:numId w:val="12"/>
        </w:numPr>
        <w:spacing w:before="100" w:beforeAutospacing="1" w:after="100" w:afterAutospacing="1" w:line="240" w:lineRule="auto"/>
        <w:divId w:val="812717687"/>
        <w:rPr>
          <w:rFonts w:eastAsia="Times New Roman"/>
        </w:rPr>
      </w:pPr>
      <w:r>
        <w:rPr>
          <w:rFonts w:eastAsia="Times New Roman"/>
        </w:rPr>
        <w:t xml:space="preserve">Discipline of Child and Adolescent Health, Sydney Medical School, University of Sydney </w:t>
      </w:r>
    </w:p>
    <w:p w14:paraId="6048A5E0" w14:textId="77777777" w:rsidR="00E52252" w:rsidRDefault="00E52252" w:rsidP="00E52252">
      <w:pPr>
        <w:numPr>
          <w:ilvl w:val="0"/>
          <w:numId w:val="12"/>
        </w:numPr>
        <w:spacing w:before="100" w:beforeAutospacing="1" w:after="100" w:afterAutospacing="1" w:line="240" w:lineRule="auto"/>
        <w:divId w:val="812717687"/>
        <w:rPr>
          <w:rFonts w:eastAsia="Times New Roman"/>
        </w:rPr>
      </w:pPr>
      <w:r>
        <w:rPr>
          <w:rFonts w:eastAsia="Times New Roman"/>
        </w:rPr>
        <w:t xml:space="preserve">Australian Technical Advisory Group on Immunisation, Department of Health, Australian Government, Canberra, Australian Capital Territory, Australia </w:t>
      </w:r>
    </w:p>
    <w:p w14:paraId="5E10765D" w14:textId="77777777" w:rsidR="00E52252" w:rsidRDefault="00E52252" w:rsidP="00E52252">
      <w:pPr>
        <w:numPr>
          <w:ilvl w:val="0"/>
          <w:numId w:val="12"/>
        </w:numPr>
        <w:spacing w:before="100" w:beforeAutospacing="1" w:after="100" w:afterAutospacing="1" w:line="240" w:lineRule="auto"/>
        <w:divId w:val="812717687"/>
        <w:rPr>
          <w:rFonts w:eastAsia="Times New Roman"/>
        </w:rPr>
      </w:pPr>
      <w:r>
        <w:rPr>
          <w:rFonts w:eastAsia="Times New Roman"/>
        </w:rPr>
        <w:t xml:space="preserve">Department of Obstetrics and Gynaecology, Monash University, Melbourne, Victoria, Australia </w:t>
      </w:r>
    </w:p>
    <w:p w14:paraId="3899AE85" w14:textId="77777777" w:rsidR="00E52252" w:rsidRDefault="00E52252" w:rsidP="00E52252">
      <w:pPr>
        <w:numPr>
          <w:ilvl w:val="0"/>
          <w:numId w:val="12"/>
        </w:numPr>
        <w:spacing w:before="100" w:beforeAutospacing="1" w:after="100" w:afterAutospacing="1" w:line="240" w:lineRule="auto"/>
        <w:divId w:val="812717687"/>
        <w:rPr>
          <w:rFonts w:eastAsia="Times New Roman"/>
        </w:rPr>
      </w:pPr>
      <w:r>
        <w:rPr>
          <w:rFonts w:eastAsia="Times New Roman"/>
        </w:rPr>
        <w:t xml:space="preserve">Department of Infectious Diseases, University of Melbourne, Melbourne, Victoria, Australia </w:t>
      </w:r>
    </w:p>
    <w:p w14:paraId="7AC8EAE5" w14:textId="77777777" w:rsidR="00E52252" w:rsidRDefault="00E52252" w:rsidP="00E52252">
      <w:pPr>
        <w:numPr>
          <w:ilvl w:val="0"/>
          <w:numId w:val="12"/>
        </w:numPr>
        <w:spacing w:before="100" w:beforeAutospacing="1" w:after="100" w:afterAutospacing="1" w:line="240" w:lineRule="auto"/>
        <w:divId w:val="812717687"/>
        <w:rPr>
          <w:rFonts w:eastAsia="Times New Roman"/>
        </w:rPr>
      </w:pPr>
      <w:r>
        <w:rPr>
          <w:rFonts w:eastAsia="Times New Roman"/>
        </w:rPr>
        <w:t xml:space="preserve">Department of General Paediatrics, Royal Children’s Hospital, Melbourne, Victoria, Australia </w:t>
      </w:r>
    </w:p>
    <w:p w14:paraId="08E85772" w14:textId="77777777" w:rsidR="00E52252" w:rsidRDefault="00E52252" w:rsidP="00E52252">
      <w:pPr>
        <w:numPr>
          <w:ilvl w:val="0"/>
          <w:numId w:val="12"/>
        </w:numPr>
        <w:spacing w:before="100" w:beforeAutospacing="1" w:after="100" w:afterAutospacing="1" w:line="240" w:lineRule="auto"/>
        <w:divId w:val="812717687"/>
        <w:rPr>
          <w:rFonts w:eastAsia="Times New Roman"/>
        </w:rPr>
      </w:pPr>
      <w:r>
        <w:rPr>
          <w:rFonts w:eastAsia="Times New Roman"/>
        </w:rPr>
        <w:t xml:space="preserve">Infection and Immunity, Murdoch Children’s Research Institute and University of Melbourne, Victoria, Australia </w:t>
      </w:r>
    </w:p>
    <w:p w14:paraId="546F5474" w14:textId="77777777" w:rsidR="00E52252" w:rsidRDefault="00E52252">
      <w:pPr>
        <w:pStyle w:val="Heading2"/>
        <w:divId w:val="812717687"/>
        <w:rPr>
          <w:rFonts w:eastAsia="Times New Roman"/>
        </w:rPr>
      </w:pPr>
      <w:r>
        <w:rPr>
          <w:rFonts w:eastAsia="Times New Roman"/>
        </w:rPr>
        <w:t xml:space="preserve">Corresponding author </w:t>
      </w:r>
    </w:p>
    <w:p w14:paraId="4E07CE24" w14:textId="77777777" w:rsidR="00E52252" w:rsidRDefault="00E52252" w:rsidP="00CB091B">
      <w:pPr>
        <w:pStyle w:val="NoSpacing"/>
        <w:divId w:val="812717687"/>
      </w:pPr>
      <w:r>
        <w:t xml:space="preserve">Australian Technical Advisory Group on Immunisation (ATAGI) secretariat, Immunisation Branch, Australian Government </w:t>
      </w:r>
    </w:p>
    <w:p w14:paraId="1C7C196A" w14:textId="77777777" w:rsidR="00E52252" w:rsidRDefault="00E52252" w:rsidP="00CB091B">
      <w:pPr>
        <w:pStyle w:val="NoSpacing"/>
        <w:divId w:val="812717687"/>
      </w:pPr>
      <w:r>
        <w:t xml:space="preserve">Department of Health and Aged Care, GPO Box 9848 – MDP 13, Canberra ACT 2601 </w:t>
      </w:r>
    </w:p>
    <w:p w14:paraId="5FE7C548" w14:textId="77777777" w:rsidR="00E52252" w:rsidRDefault="00E52252" w:rsidP="00CB091B">
      <w:pPr>
        <w:pStyle w:val="NoSpacing"/>
        <w:divId w:val="812717687"/>
      </w:pPr>
      <w:r>
        <w:t xml:space="preserve">Email: atagi.secretariat@health.gov.au </w:t>
      </w:r>
    </w:p>
    <w:p w14:paraId="24606810" w14:textId="77777777" w:rsidR="007738C3" w:rsidRDefault="007738C3">
      <w:pPr>
        <w:rPr>
          <w:rFonts w:asciiTheme="majorHAnsi" w:eastAsia="Times New Roman" w:hAnsiTheme="majorHAnsi" w:cstheme="majorBidi"/>
          <w:b/>
          <w:bCs/>
          <w:sz w:val="32"/>
          <w:szCs w:val="28"/>
        </w:rPr>
      </w:pPr>
      <w:r>
        <w:rPr>
          <w:rFonts w:eastAsia="Times New Roman"/>
        </w:rPr>
        <w:br w:type="page"/>
      </w:r>
    </w:p>
    <w:p w14:paraId="598849D3" w14:textId="51B4E921" w:rsidR="00E52252" w:rsidRDefault="00E52252">
      <w:pPr>
        <w:pStyle w:val="Heading1"/>
        <w:divId w:val="812717687"/>
        <w:rPr>
          <w:rFonts w:eastAsia="Times New Roman"/>
        </w:rPr>
      </w:pPr>
      <w:r>
        <w:rPr>
          <w:rFonts w:eastAsia="Times New Roman"/>
        </w:rPr>
        <w:lastRenderedPageBreak/>
        <w:t xml:space="preserve">References </w:t>
      </w:r>
    </w:p>
    <w:p w14:paraId="5C85085B" w14:textId="77777777" w:rsidR="00E52252" w:rsidRDefault="00E52252" w:rsidP="00CB091B">
      <w:pPr>
        <w:numPr>
          <w:ilvl w:val="0"/>
          <w:numId w:val="13"/>
        </w:numPr>
        <w:spacing w:before="100" w:beforeAutospacing="1" w:after="100" w:afterAutospacing="1" w:line="240" w:lineRule="auto"/>
        <w:divId w:val="812717687"/>
        <w:rPr>
          <w:rFonts w:eastAsia="Times New Roman"/>
        </w:rPr>
      </w:pPr>
      <w:r>
        <w:rPr>
          <w:rFonts w:eastAsia="Times New Roman"/>
        </w:rPr>
        <w:t xml:space="preserve">Australian Government Department of Health and Aged Care. Japanese encephalitis virus situation declared a Communicable Disease Incident of National Significance. [Internet.] Canberra: Australian Government Department of Health and Aged Care; 4 March 2022. Available from: https://www.health.gov.au/news/japanese-encephalitis-virus-situation-declared-a-communicable-disease-incident-of-national-significance. </w:t>
      </w:r>
    </w:p>
    <w:p w14:paraId="769E69B1" w14:textId="77777777" w:rsidR="00E52252" w:rsidRDefault="00E52252" w:rsidP="00CB091B">
      <w:pPr>
        <w:numPr>
          <w:ilvl w:val="0"/>
          <w:numId w:val="13"/>
        </w:numPr>
        <w:spacing w:before="100" w:beforeAutospacing="1" w:after="100" w:afterAutospacing="1" w:line="240" w:lineRule="auto"/>
        <w:divId w:val="812717687"/>
        <w:rPr>
          <w:rFonts w:eastAsia="Times New Roman"/>
        </w:rPr>
      </w:pPr>
      <w:r>
        <w:rPr>
          <w:rFonts w:eastAsia="Times New Roman"/>
        </w:rPr>
        <w:t xml:space="preserve">Australian Government Department of Health and Aged Care. ATAGI clinical guidance on Japanese encephalitis virus vaccines. [Internet.] Canberra: Australian Government Department of Health and Aged Care; 23 December 2022. Available from: https://www.health.gov.au/health-alerts/japanese-encephalitis-virus-jev/atagi-clinical-guidance-on-japanese-encephalitis-virus-vaccines. </w:t>
      </w:r>
    </w:p>
    <w:p w14:paraId="364994F3" w14:textId="77777777" w:rsidR="00E52252" w:rsidRDefault="00E52252" w:rsidP="00CB091B">
      <w:pPr>
        <w:numPr>
          <w:ilvl w:val="0"/>
          <w:numId w:val="13"/>
        </w:numPr>
        <w:spacing w:before="100" w:beforeAutospacing="1" w:after="100" w:afterAutospacing="1" w:line="240" w:lineRule="auto"/>
        <w:divId w:val="812717687"/>
        <w:rPr>
          <w:rFonts w:eastAsia="Times New Roman"/>
        </w:rPr>
      </w:pPr>
      <w:r>
        <w:rPr>
          <w:rFonts w:eastAsia="Times New Roman"/>
        </w:rPr>
        <w:t xml:space="preserve">World Health Organization (WHO). Disease outbreak news. Multi-country monkeypox outbreak in non-endemic countries. [Internet.] Geneva: WHO; 21 May 2022. Available from: https://www.who.int/emergencies/disease-outbreak-news/item/2022-DON385. </w:t>
      </w:r>
    </w:p>
    <w:p w14:paraId="3FE40C9D" w14:textId="77777777" w:rsidR="00E52252" w:rsidRDefault="00E52252" w:rsidP="00CB091B">
      <w:pPr>
        <w:numPr>
          <w:ilvl w:val="0"/>
          <w:numId w:val="13"/>
        </w:numPr>
        <w:spacing w:before="100" w:beforeAutospacing="1" w:after="100" w:afterAutospacing="1" w:line="240" w:lineRule="auto"/>
        <w:divId w:val="812717687"/>
        <w:rPr>
          <w:rFonts w:eastAsia="Times New Roman"/>
        </w:rPr>
      </w:pPr>
      <w:r>
        <w:rPr>
          <w:rFonts w:eastAsia="Times New Roman"/>
        </w:rPr>
        <w:t xml:space="preserve">Australian Government Department of Health and Aged Care. Chief Medical Officer’s statement declaring monkeypox a Communicable Disease Incident of National Significance. [Internet.] Canberra: Australian Government Department of Health and Aged Care; 28 July 2022. Available from: https://www.health.gov.au/news/chief-medical-officers-statement-declaring-monkeypox-a-communicable-disease-incident-of-national-significance. </w:t>
      </w:r>
    </w:p>
    <w:p w14:paraId="2AC4B0D0" w14:textId="77777777" w:rsidR="00E52252" w:rsidRDefault="00E52252" w:rsidP="00CB091B">
      <w:pPr>
        <w:numPr>
          <w:ilvl w:val="0"/>
          <w:numId w:val="13"/>
        </w:numPr>
        <w:spacing w:before="100" w:beforeAutospacing="1" w:after="100" w:afterAutospacing="1" w:line="240" w:lineRule="auto"/>
        <w:divId w:val="812717687"/>
        <w:rPr>
          <w:rFonts w:eastAsia="Times New Roman"/>
        </w:rPr>
      </w:pPr>
      <w:r>
        <w:rPr>
          <w:rFonts w:eastAsia="Times New Roman"/>
        </w:rPr>
        <w:t xml:space="preserve">Australian Government Department of Health and Aged Care. ATAGI clinical guidance on vaccination against Monkeypox. [Internet.] Canberra: Australian Government Department of Health and Aged Care; 12 December 2022. Available from: https://www.health.gov.au/resources/publications/atagi-clinical-guidance-on-vaccination-against-monkeypox. </w:t>
      </w:r>
    </w:p>
    <w:p w14:paraId="56BFE3DE" w14:textId="77777777" w:rsidR="00E52252" w:rsidRDefault="00E52252" w:rsidP="00CB091B">
      <w:pPr>
        <w:numPr>
          <w:ilvl w:val="0"/>
          <w:numId w:val="13"/>
        </w:numPr>
        <w:spacing w:before="100" w:beforeAutospacing="1" w:after="100" w:afterAutospacing="1" w:line="240" w:lineRule="auto"/>
        <w:divId w:val="812717687"/>
        <w:rPr>
          <w:rFonts w:eastAsia="Times New Roman"/>
        </w:rPr>
      </w:pPr>
      <w:r>
        <w:rPr>
          <w:rFonts w:eastAsia="Times New Roman"/>
        </w:rPr>
        <w:t xml:space="preserve">Global Polio Eradication Initiative (GPEI). Outbreak Countries [Internet.] Geneva: WHO, GPEI. Available from: https://polioeradication.org/where-we-work/polio-outbreak-countries/. </w:t>
      </w:r>
    </w:p>
    <w:p w14:paraId="1A95A05B" w14:textId="77777777" w:rsidR="00E52252" w:rsidRDefault="00E52252" w:rsidP="00CB091B">
      <w:pPr>
        <w:numPr>
          <w:ilvl w:val="0"/>
          <w:numId w:val="13"/>
        </w:numPr>
        <w:spacing w:before="100" w:beforeAutospacing="1" w:after="100" w:afterAutospacing="1" w:line="240" w:lineRule="auto"/>
        <w:divId w:val="812717687"/>
        <w:rPr>
          <w:rFonts w:eastAsia="Times New Roman"/>
        </w:rPr>
      </w:pPr>
      <w:r>
        <w:rPr>
          <w:rFonts w:eastAsia="Times New Roman"/>
        </w:rPr>
        <w:t xml:space="preserve">WHO. </w:t>
      </w:r>
      <w:proofErr w:type="gramStart"/>
      <w:r>
        <w:rPr>
          <w:rFonts w:eastAsia="Times New Roman"/>
        </w:rPr>
        <w:t>Nearly 40</w:t>
      </w:r>
      <w:proofErr w:type="gramEnd"/>
      <w:r>
        <w:rPr>
          <w:rFonts w:eastAsia="Times New Roman"/>
        </w:rPr>
        <w:t xml:space="preserve"> million children are dangerously susceptible to growing measles threat. [Internet.] Geneva: WHO; 23 November 2022. Available from: https://www.who.int/news/item/23-11-2022-nearly-40-million-children-are-dangerously-susceptible-to-growing-measles-threat. </w:t>
      </w:r>
    </w:p>
    <w:p w14:paraId="79357B54" w14:textId="77777777" w:rsidR="00E52252" w:rsidRDefault="00E52252" w:rsidP="00CB091B">
      <w:pPr>
        <w:numPr>
          <w:ilvl w:val="0"/>
          <w:numId w:val="13"/>
        </w:numPr>
        <w:spacing w:before="100" w:beforeAutospacing="1" w:after="100" w:afterAutospacing="1" w:line="240" w:lineRule="auto"/>
        <w:divId w:val="812717687"/>
        <w:rPr>
          <w:rFonts w:eastAsia="Times New Roman"/>
        </w:rPr>
      </w:pPr>
      <w:r>
        <w:rPr>
          <w:rFonts w:eastAsia="Times New Roman"/>
        </w:rPr>
        <w:t xml:space="preserve">Australian Government Department of Health and Aged Care. ATAGI clinical guidance for COVID-19 vaccine providers. [Internet.] Canberra: Australian Government Department of Health and Aged Care; 2021. Available from: https://www.health.gov.au/our-work/covid-19-vaccines/advice-for-providers/clinical-guidance. </w:t>
      </w:r>
    </w:p>
    <w:p w14:paraId="13C92F2B" w14:textId="77777777" w:rsidR="00E52252" w:rsidRDefault="00E52252" w:rsidP="00CB091B">
      <w:pPr>
        <w:numPr>
          <w:ilvl w:val="0"/>
          <w:numId w:val="13"/>
        </w:numPr>
        <w:spacing w:before="100" w:beforeAutospacing="1" w:after="100" w:afterAutospacing="1" w:line="240" w:lineRule="auto"/>
        <w:divId w:val="812717687"/>
        <w:rPr>
          <w:rFonts w:eastAsia="Times New Roman"/>
        </w:rPr>
      </w:pPr>
      <w:r>
        <w:rPr>
          <w:rFonts w:eastAsia="Times New Roman"/>
        </w:rPr>
        <w:t xml:space="preserve">Australian Government Department of Health and Aged Care. COVID-19 vaccination – Provider resources [Internet.] Canberra: Australian Government Department of Health and Aged Care; 6 May 2021. Available from: https://www.health.gov.au/resources/collections/covid-19-vaccination-provider-resources. </w:t>
      </w:r>
    </w:p>
    <w:p w14:paraId="28233C98" w14:textId="77777777" w:rsidR="00E52252" w:rsidRDefault="00E52252" w:rsidP="00CB091B">
      <w:pPr>
        <w:numPr>
          <w:ilvl w:val="0"/>
          <w:numId w:val="13"/>
        </w:numPr>
        <w:spacing w:before="100" w:beforeAutospacing="1" w:after="100" w:afterAutospacing="1" w:line="240" w:lineRule="auto"/>
        <w:divId w:val="812717687"/>
        <w:rPr>
          <w:rFonts w:eastAsia="Times New Roman"/>
        </w:rPr>
      </w:pPr>
      <w:r>
        <w:rPr>
          <w:rFonts w:eastAsia="Times New Roman"/>
        </w:rPr>
        <w:t xml:space="preserve">Australian Government Department of Health and Aged Care. COVID-19 vaccination – Patient resources. [Internet.] Canberra: Australian Government Department of Health and Aged Care; 6 May 2021. Available from: https://www.health.gov.au/resources/collections/covid-19-vaccination-patient-resources. </w:t>
      </w:r>
    </w:p>
    <w:p w14:paraId="6AD860FE" w14:textId="77777777" w:rsidR="00E52252" w:rsidRDefault="00E52252" w:rsidP="00CB091B">
      <w:pPr>
        <w:numPr>
          <w:ilvl w:val="0"/>
          <w:numId w:val="13"/>
        </w:numPr>
        <w:spacing w:before="100" w:beforeAutospacing="1" w:after="100" w:afterAutospacing="1" w:line="240" w:lineRule="auto"/>
        <w:divId w:val="812717687"/>
        <w:rPr>
          <w:rFonts w:eastAsia="Times New Roman"/>
        </w:rPr>
      </w:pPr>
      <w:r>
        <w:rPr>
          <w:rFonts w:eastAsia="Times New Roman"/>
        </w:rPr>
        <w:t xml:space="preserve">Therapeutic Goods Administration (TGA). COVID-19 vaccines undergoing evaluation. [Internet.] Canberra: Australian Government Department of Health and Aged Care, TGA; updated 24 April 2023. Available from: https://www.tga.gov.au/products/covid-19/covid-19-vaccines/covid-19-vaccines-undergoing-evaluation. </w:t>
      </w:r>
    </w:p>
    <w:p w14:paraId="0A0DDEF2" w14:textId="77777777" w:rsidR="00E52252" w:rsidRDefault="00E52252" w:rsidP="00CB091B">
      <w:pPr>
        <w:numPr>
          <w:ilvl w:val="0"/>
          <w:numId w:val="13"/>
        </w:numPr>
        <w:spacing w:before="100" w:beforeAutospacing="1" w:after="100" w:afterAutospacing="1" w:line="240" w:lineRule="auto"/>
        <w:divId w:val="812717687"/>
        <w:rPr>
          <w:rFonts w:eastAsia="Times New Roman"/>
        </w:rPr>
      </w:pPr>
      <w:r>
        <w:rPr>
          <w:rFonts w:eastAsia="Times New Roman"/>
        </w:rPr>
        <w:t xml:space="preserve">Australian Government Department of Health and Aged Care. ATAGI update following weekly COVID-19 meeting – 12 January 2022. [Internet.] Canberra: Australian Government Department of Health and Aged Care; 17 January 2022. Available from: https://www.health.gov.au/news/atagi-update-following-weekly-covid-19-meeting-12-january-2022. </w:t>
      </w:r>
    </w:p>
    <w:p w14:paraId="512EA854" w14:textId="77777777" w:rsidR="00E52252" w:rsidRDefault="00E52252" w:rsidP="00CB091B">
      <w:pPr>
        <w:numPr>
          <w:ilvl w:val="0"/>
          <w:numId w:val="13"/>
        </w:numPr>
        <w:spacing w:before="100" w:beforeAutospacing="1" w:after="100" w:afterAutospacing="1" w:line="240" w:lineRule="auto"/>
        <w:divId w:val="812717687"/>
        <w:rPr>
          <w:rFonts w:eastAsia="Times New Roman"/>
        </w:rPr>
      </w:pPr>
      <w:r>
        <w:rPr>
          <w:rFonts w:eastAsia="Times New Roman"/>
        </w:rPr>
        <w:t xml:space="preserve">Australian Government Department of Health and Aged Care. ATAGI statement on the use of Novavax COVID-19 vaccine (Nuvaxovid). [Internet.] Canberra: Australian Government Department of Health and Aged Care; 24 January 2022. Available from: https://www.health.gov.au/news/atagi-statement-on-the-use-of-novavax-covid-19-vaccine-nuvaxovid. </w:t>
      </w:r>
    </w:p>
    <w:p w14:paraId="05FC841F" w14:textId="77777777" w:rsidR="00E52252" w:rsidRDefault="00E52252" w:rsidP="00CB091B">
      <w:pPr>
        <w:numPr>
          <w:ilvl w:val="0"/>
          <w:numId w:val="13"/>
        </w:numPr>
        <w:spacing w:before="100" w:beforeAutospacing="1" w:after="100" w:afterAutospacing="1" w:line="240" w:lineRule="auto"/>
        <w:divId w:val="812717687"/>
        <w:rPr>
          <w:rFonts w:eastAsia="Times New Roman"/>
        </w:rPr>
      </w:pPr>
      <w:r>
        <w:rPr>
          <w:rFonts w:eastAsia="Times New Roman"/>
        </w:rPr>
        <w:t xml:space="preserve">Australian Government Department of Health and Aged Care. ATAGI recommendations for use of Pfizer COVID-19 vaccine as a booster dose in adolescents aged 16-17 years. [Internet.] Canberra: Australian Government Department of Health and Aged Care; 3 February 2022. Available from: </w:t>
      </w:r>
      <w:r>
        <w:rPr>
          <w:rFonts w:eastAsia="Times New Roman"/>
        </w:rPr>
        <w:lastRenderedPageBreak/>
        <w:t xml:space="preserve">https://www.health.gov.au/news/atagi-recommendations-for-use-of-pfizer-covid-19-vaccine-as-a-booster-dose-in-adolescents-aged-16-17-years. </w:t>
      </w:r>
    </w:p>
    <w:p w14:paraId="4365586D" w14:textId="77777777" w:rsidR="00E52252" w:rsidRDefault="00E52252" w:rsidP="00CB091B">
      <w:pPr>
        <w:numPr>
          <w:ilvl w:val="0"/>
          <w:numId w:val="13"/>
        </w:numPr>
        <w:spacing w:before="100" w:beforeAutospacing="1" w:after="100" w:afterAutospacing="1" w:line="240" w:lineRule="auto"/>
        <w:divId w:val="812717687"/>
        <w:rPr>
          <w:rFonts w:eastAsia="Times New Roman"/>
        </w:rPr>
      </w:pPr>
      <w:r>
        <w:rPr>
          <w:rFonts w:eastAsia="Times New Roman"/>
        </w:rPr>
        <w:t xml:space="preserve">Australian Government Department of Health and Aged Care. ATAGI recommendations on the use of Spikevax (Moderna) COVID-19 vaccine in children aged 6 to 11 years. [Internet.] Canberra: Australian Government Department of Health and Aged Care; 23 February 2022. Available from: https://www.health.gov.au/news/atagi-recommendations-on-the-use-of-spikevax-moderna-covid-19-vaccine-in-children-aged-6-to-11-years. </w:t>
      </w:r>
    </w:p>
    <w:p w14:paraId="21FE2C29" w14:textId="77777777" w:rsidR="00E52252" w:rsidRDefault="00E52252" w:rsidP="00CB091B">
      <w:pPr>
        <w:numPr>
          <w:ilvl w:val="0"/>
          <w:numId w:val="13"/>
        </w:numPr>
        <w:spacing w:before="100" w:beforeAutospacing="1" w:after="100" w:afterAutospacing="1" w:line="240" w:lineRule="auto"/>
        <w:divId w:val="812717687"/>
        <w:rPr>
          <w:rFonts w:eastAsia="Times New Roman"/>
        </w:rPr>
      </w:pPr>
      <w:r>
        <w:rPr>
          <w:rFonts w:eastAsia="Times New Roman"/>
        </w:rPr>
        <w:t xml:space="preserve">Australian Government Department of Health and Aged Care. ATAGI statement on recommendations on a winter booster dose of COVID-19 vaccine. [Internet.] Canberra: Australian Government Department of Health and Aged Care; 25 March 2022. Available from: https://www.health.gov.au/news/atagi-statement-on-recommendations-on-a-winter-booster-dose-of-covid-19-vaccine. </w:t>
      </w:r>
    </w:p>
    <w:p w14:paraId="2EF0DD37" w14:textId="77777777" w:rsidR="00E52252" w:rsidRDefault="00E52252" w:rsidP="00CB091B">
      <w:pPr>
        <w:numPr>
          <w:ilvl w:val="0"/>
          <w:numId w:val="13"/>
        </w:numPr>
        <w:spacing w:before="100" w:beforeAutospacing="1" w:after="100" w:afterAutospacing="1" w:line="240" w:lineRule="auto"/>
        <w:divId w:val="812717687"/>
        <w:rPr>
          <w:rFonts w:eastAsia="Times New Roman"/>
        </w:rPr>
      </w:pPr>
      <w:r>
        <w:rPr>
          <w:rFonts w:eastAsia="Times New Roman"/>
        </w:rPr>
        <w:t xml:space="preserve">Australian Government Department of Health and Aged Care. Expanded ATAGI recommendations on winter COVID-19 booster doses for people at increased risk of severe COVID-19. [Internet.] Canberra: Australian Government Department of Health and Aged Care; 25 May 2022. Available from: https://www.health.gov.au/news/expanded-atagi-recommendations-on-winter-covid-19-booster-doses-for-people-at-increased-risk-of-severe-covid-19. </w:t>
      </w:r>
    </w:p>
    <w:p w14:paraId="696342EC" w14:textId="77777777" w:rsidR="00E52252" w:rsidRDefault="00E52252" w:rsidP="00CB091B">
      <w:pPr>
        <w:numPr>
          <w:ilvl w:val="0"/>
          <w:numId w:val="13"/>
        </w:numPr>
        <w:spacing w:before="100" w:beforeAutospacing="1" w:after="100" w:afterAutospacing="1" w:line="240" w:lineRule="auto"/>
        <w:divId w:val="812717687"/>
        <w:rPr>
          <w:rFonts w:eastAsia="Times New Roman"/>
        </w:rPr>
      </w:pPr>
      <w:r>
        <w:rPr>
          <w:rFonts w:eastAsia="Times New Roman"/>
        </w:rPr>
        <w:t xml:space="preserve">Australian Government Department of Health and Aged Care. ATAGI recommendations on first booster dose in adolescents aged 12-15 years. [Internet.] Canberra: Australian Government Department of Health and Aged Care; 9 June 2022. Available from: https://www.health.gov.au/news/atagi-recommendations-on-first-booster-dose-in-adolescents-aged-12-15-years. </w:t>
      </w:r>
    </w:p>
    <w:p w14:paraId="200B3D90" w14:textId="77777777" w:rsidR="00E52252" w:rsidRDefault="00E52252" w:rsidP="00CB091B">
      <w:pPr>
        <w:numPr>
          <w:ilvl w:val="0"/>
          <w:numId w:val="13"/>
        </w:numPr>
        <w:spacing w:before="100" w:beforeAutospacing="1" w:after="100" w:afterAutospacing="1" w:line="240" w:lineRule="auto"/>
        <w:divId w:val="812717687"/>
        <w:rPr>
          <w:rFonts w:eastAsia="Times New Roman"/>
        </w:rPr>
      </w:pPr>
      <w:r>
        <w:rPr>
          <w:rFonts w:eastAsia="Times New Roman"/>
        </w:rPr>
        <w:t xml:space="preserve">Australian Government Department of Health and Aged Care. ATAGI updated recommendations for a winter dose of COVID-19 vaccine. [Internet.] Canberra: Australian Government Department of Health and Aged Care; 7 July 2022. Available from: https://www.health.gov.au/news/atagi-updated-recommendations-for-a-winter-dose-of-covid-19-vaccine. </w:t>
      </w:r>
    </w:p>
    <w:p w14:paraId="6A459161" w14:textId="77777777" w:rsidR="00E52252" w:rsidRDefault="00E52252" w:rsidP="00CB091B">
      <w:pPr>
        <w:numPr>
          <w:ilvl w:val="0"/>
          <w:numId w:val="13"/>
        </w:numPr>
        <w:spacing w:before="100" w:beforeAutospacing="1" w:after="100" w:afterAutospacing="1" w:line="240" w:lineRule="auto"/>
        <w:divId w:val="812717687"/>
        <w:rPr>
          <w:rFonts w:eastAsia="Times New Roman"/>
        </w:rPr>
      </w:pPr>
      <w:r>
        <w:rPr>
          <w:rFonts w:eastAsia="Times New Roman"/>
        </w:rPr>
        <w:t xml:space="preserve">Australian Government Department of Health and Aged Care. ATAGI recommendations on COVID-19 vaccine use in children aged 6 months to &lt;5 years. [Internet.] Canberra: Australian Government Department of Health and Aged Care; 3 August 2022. Available from: https://www.health.gov.au/news/atagi-recommendations-on-covid-19-vaccine-use-in-children-aged-6-months-to. </w:t>
      </w:r>
    </w:p>
    <w:p w14:paraId="09E72ECD" w14:textId="77777777" w:rsidR="00E52252" w:rsidRDefault="00E52252" w:rsidP="00CB091B">
      <w:pPr>
        <w:numPr>
          <w:ilvl w:val="0"/>
          <w:numId w:val="13"/>
        </w:numPr>
        <w:spacing w:before="100" w:beforeAutospacing="1" w:after="100" w:afterAutospacing="1" w:line="240" w:lineRule="auto"/>
        <w:divId w:val="812717687"/>
        <w:rPr>
          <w:rFonts w:eastAsia="Times New Roman"/>
        </w:rPr>
      </w:pPr>
      <w:r>
        <w:rPr>
          <w:rFonts w:eastAsia="Times New Roman"/>
        </w:rPr>
        <w:t xml:space="preserve">Australian Government Department of Health and Aged Care. Novavax vaccine for adolescents aged 12–17 years. [Internet.] Canberra: Australian Government Department of Health and Aged Care; 25 August 2022. Available from: https://www.health.gov.au/news/novavax-vaccine-for-adolescents-aged-12-17-years. </w:t>
      </w:r>
    </w:p>
    <w:p w14:paraId="04FB2BEB" w14:textId="77777777" w:rsidR="00E52252" w:rsidRDefault="00E52252" w:rsidP="00CB091B">
      <w:pPr>
        <w:numPr>
          <w:ilvl w:val="0"/>
          <w:numId w:val="13"/>
        </w:numPr>
        <w:spacing w:before="100" w:beforeAutospacing="1" w:after="100" w:afterAutospacing="1" w:line="240" w:lineRule="auto"/>
        <w:divId w:val="812717687"/>
        <w:rPr>
          <w:rFonts w:eastAsia="Times New Roman"/>
        </w:rPr>
      </w:pPr>
      <w:r>
        <w:rPr>
          <w:rFonts w:eastAsia="Times New Roman"/>
        </w:rPr>
        <w:t xml:space="preserve">Australian Government Department of Health and Aged Care. ATAGI statement on use of the Moderna bivalent Original/Omicron vaccine. [Internet.] Canberra: Australian Government Department of Health and Aged Care; 12 September 2022. Available from: https://www.health.gov.au/news/atagi-statement-on-use-of-the-moderna-bivalent-originalomicron-vaccine. </w:t>
      </w:r>
    </w:p>
    <w:p w14:paraId="32D087C0" w14:textId="77777777" w:rsidR="00E52252" w:rsidRDefault="00E52252" w:rsidP="00CB091B">
      <w:pPr>
        <w:numPr>
          <w:ilvl w:val="0"/>
          <w:numId w:val="13"/>
        </w:numPr>
        <w:spacing w:before="100" w:beforeAutospacing="1" w:after="100" w:afterAutospacing="1" w:line="240" w:lineRule="auto"/>
        <w:divId w:val="812717687"/>
        <w:rPr>
          <w:rFonts w:eastAsia="Times New Roman"/>
        </w:rPr>
      </w:pPr>
      <w:r>
        <w:rPr>
          <w:rFonts w:eastAsia="Times New Roman"/>
        </w:rPr>
        <w:t xml:space="preserve">Australian Government Department of Health and Aged Care. ATAGI recommendations for a booster dose of the paediatric Pfizer COVID-19 vaccine in children aged 5 to 11 years. [Internet.] Canberra: Australian Government Department of Health and Aged Care; 24 October 2022. Available from: https://www.health.gov.au/news/atagi-recommendations-for-a-booster-dose-of-the-paediatric-pfizer-covid-19-vaccine-in-children-aged-5-to-11-years. </w:t>
      </w:r>
    </w:p>
    <w:p w14:paraId="04F49F21" w14:textId="77777777" w:rsidR="00E52252" w:rsidRDefault="00E52252" w:rsidP="00CB091B">
      <w:pPr>
        <w:numPr>
          <w:ilvl w:val="0"/>
          <w:numId w:val="13"/>
        </w:numPr>
        <w:spacing w:before="100" w:beforeAutospacing="1" w:after="100" w:afterAutospacing="1" w:line="240" w:lineRule="auto"/>
        <w:divId w:val="812717687"/>
        <w:rPr>
          <w:rFonts w:eastAsia="Times New Roman"/>
        </w:rPr>
      </w:pPr>
      <w:r>
        <w:rPr>
          <w:rFonts w:eastAsia="Times New Roman"/>
        </w:rPr>
        <w:t xml:space="preserve">Australian Government Department of Health and Aged Care. ATAGI recommendations on use of the Pfizer bivalent (Original/Omicron BA.1) COVID-19 vaccine. [Internet.] Canberra: Australian Government Department of Health and Aged Care; 14 November 2022. Available from: https://www.health.gov.au/news/atagi-recommendations-on-use-of-the-pfizer-bivalent-originalomicron-ba1-covid-19-vaccine. </w:t>
      </w:r>
    </w:p>
    <w:p w14:paraId="37896851" w14:textId="77777777" w:rsidR="00E52252" w:rsidRDefault="00E52252" w:rsidP="00CB091B">
      <w:pPr>
        <w:numPr>
          <w:ilvl w:val="0"/>
          <w:numId w:val="13"/>
        </w:numPr>
        <w:spacing w:before="100" w:beforeAutospacing="1" w:after="100" w:afterAutospacing="1" w:line="240" w:lineRule="auto"/>
        <w:divId w:val="812717687"/>
        <w:rPr>
          <w:rFonts w:eastAsia="Times New Roman"/>
        </w:rPr>
      </w:pPr>
      <w:r>
        <w:rPr>
          <w:rFonts w:eastAsia="Times New Roman"/>
        </w:rPr>
        <w:t xml:space="preserve">Australian Government Department of Health and Aged Care. ATAGI recommendations on use of the Pfizer COVID-19 vaccine for children aged 6 months to 4 years. [Internet.] Canberra: Australian Government Department of Health and Aged Care; 14 November 2022. Available from: https://www.health.gov.au/news/atagi-recommendations-on-use-of-the-pfizer-covid-19-vaccine-for-children-aged-6-months-to-4-years. </w:t>
      </w:r>
    </w:p>
    <w:p w14:paraId="2D73AF2A" w14:textId="77777777" w:rsidR="00E52252" w:rsidRDefault="00E52252" w:rsidP="00CB091B">
      <w:pPr>
        <w:numPr>
          <w:ilvl w:val="0"/>
          <w:numId w:val="13"/>
        </w:numPr>
        <w:spacing w:before="100" w:beforeAutospacing="1" w:after="100" w:afterAutospacing="1" w:line="240" w:lineRule="auto"/>
        <w:divId w:val="812717687"/>
        <w:rPr>
          <w:rFonts w:eastAsia="Times New Roman"/>
        </w:rPr>
      </w:pPr>
      <w:r>
        <w:rPr>
          <w:rFonts w:eastAsia="Times New Roman"/>
        </w:rPr>
        <w:t xml:space="preserve">TGA. COVID-19 vaccine safety reports. [Internet.] Canberra: Australian Government Department of Health and Aged Care, TGA. Available from: https://www.tga.gov.au/news/covid-19-vaccine-safety-reports. </w:t>
      </w:r>
    </w:p>
    <w:p w14:paraId="4A139987" w14:textId="77777777" w:rsidR="00E52252" w:rsidRDefault="00E52252" w:rsidP="00CB091B">
      <w:pPr>
        <w:numPr>
          <w:ilvl w:val="0"/>
          <w:numId w:val="13"/>
        </w:numPr>
        <w:spacing w:before="100" w:beforeAutospacing="1" w:after="100" w:afterAutospacing="1" w:line="240" w:lineRule="auto"/>
        <w:divId w:val="812717687"/>
        <w:rPr>
          <w:rFonts w:eastAsia="Times New Roman"/>
        </w:rPr>
      </w:pPr>
      <w:proofErr w:type="spellStart"/>
      <w:r>
        <w:rPr>
          <w:rFonts w:eastAsia="Times New Roman"/>
        </w:rPr>
        <w:lastRenderedPageBreak/>
        <w:t>AusVaxSafety</w:t>
      </w:r>
      <w:proofErr w:type="spellEnd"/>
      <w:r>
        <w:rPr>
          <w:rFonts w:eastAsia="Times New Roman"/>
        </w:rPr>
        <w:t xml:space="preserve">. COVID-19 vaccines. [Internet.] Sydney: National Centre for Immunisation Research and Surveillance, </w:t>
      </w:r>
      <w:proofErr w:type="spellStart"/>
      <w:r>
        <w:rPr>
          <w:rFonts w:eastAsia="Times New Roman"/>
        </w:rPr>
        <w:t>AusVaxSafety</w:t>
      </w:r>
      <w:proofErr w:type="spellEnd"/>
      <w:r>
        <w:rPr>
          <w:rFonts w:eastAsia="Times New Roman"/>
        </w:rPr>
        <w:t xml:space="preserve">; 2021. Available from: https://ausvaxsafety.org.au/safety-data/covid-19-vaccines. </w:t>
      </w:r>
    </w:p>
    <w:p w14:paraId="6CF59D84" w14:textId="77777777" w:rsidR="00E52252" w:rsidRDefault="00E52252" w:rsidP="00CB091B">
      <w:pPr>
        <w:numPr>
          <w:ilvl w:val="0"/>
          <w:numId w:val="13"/>
        </w:numPr>
        <w:spacing w:before="100" w:beforeAutospacing="1" w:after="100" w:afterAutospacing="1" w:line="240" w:lineRule="auto"/>
        <w:divId w:val="812717687"/>
        <w:rPr>
          <w:rFonts w:eastAsia="Times New Roman"/>
        </w:rPr>
      </w:pPr>
      <w:r>
        <w:rPr>
          <w:rFonts w:eastAsia="Times New Roman"/>
        </w:rPr>
        <w:t xml:space="preserve">Australian Government Department of Health and Aged Care. COVID-19 vaccination – Guidance on myocarditis and pericarditis after COVID-19 vaccines. [Internet.] Canberra: Australian Government Department of Health and Aged Care; 23 September 2022. Available from: https://www.health.gov.au/resources/publications/covid-19-vaccination-guidance-on-myocarditis-and-pericarditis-after-covid-19-vaccines. </w:t>
      </w:r>
    </w:p>
    <w:p w14:paraId="25A8CA1D" w14:textId="77777777" w:rsidR="00E52252" w:rsidRDefault="00E52252" w:rsidP="00CB091B">
      <w:pPr>
        <w:numPr>
          <w:ilvl w:val="0"/>
          <w:numId w:val="13"/>
        </w:numPr>
        <w:spacing w:before="100" w:beforeAutospacing="1" w:after="100" w:afterAutospacing="1" w:line="240" w:lineRule="auto"/>
        <w:divId w:val="812717687"/>
        <w:rPr>
          <w:rFonts w:eastAsia="Times New Roman"/>
        </w:rPr>
      </w:pPr>
      <w:r>
        <w:rPr>
          <w:rFonts w:eastAsia="Times New Roman"/>
        </w:rPr>
        <w:t xml:space="preserve">Australian Government Department of Health and Aged Care. COVID-19 Vaccine Claims Scheme. [Internet.] Canberra: Australian Government Department of Health and Aged Care; 3 April 2023. Available from: https://www.health.gov.au/our-work/covid-19-vaccine-claims-scheme. </w:t>
      </w:r>
    </w:p>
    <w:p w14:paraId="575E896F" w14:textId="77777777" w:rsidR="00E52252" w:rsidRDefault="00E52252" w:rsidP="00CB091B">
      <w:pPr>
        <w:numPr>
          <w:ilvl w:val="0"/>
          <w:numId w:val="13"/>
        </w:numPr>
        <w:spacing w:before="100" w:beforeAutospacing="1" w:after="100" w:afterAutospacing="1" w:line="240" w:lineRule="auto"/>
        <w:divId w:val="812717687"/>
        <w:rPr>
          <w:rFonts w:eastAsia="Times New Roman"/>
        </w:rPr>
      </w:pPr>
      <w:r>
        <w:rPr>
          <w:rFonts w:eastAsia="Times New Roman"/>
        </w:rPr>
        <w:t xml:space="preserve">Australian Government Department of Health and Aged Care. </w:t>
      </w:r>
      <w:r w:rsidRPr="001B2C83">
        <w:rPr>
          <w:rStyle w:val="Emphasis"/>
          <w:rFonts w:eastAsia="Times New Roman"/>
          <w:b w:val="0"/>
          <w:bCs w:val="0"/>
        </w:rPr>
        <w:t>AISR – 2022 national influenza season summary</w:t>
      </w:r>
      <w:r>
        <w:rPr>
          <w:rFonts w:eastAsia="Times New Roman"/>
        </w:rPr>
        <w:t xml:space="preserve">. [Internet.] Canberra: Australian Government Department of Health and Aged Care; 20 December 2022. Available from: https://www.health.gov.au/resources/publications/aisr-2022-national-influenza-season-summary. </w:t>
      </w:r>
    </w:p>
    <w:p w14:paraId="60CB4B6D" w14:textId="77777777" w:rsidR="00E52252" w:rsidRDefault="00E52252" w:rsidP="00CB091B">
      <w:pPr>
        <w:numPr>
          <w:ilvl w:val="0"/>
          <w:numId w:val="13"/>
        </w:numPr>
        <w:spacing w:before="100" w:beforeAutospacing="1" w:after="100" w:afterAutospacing="1" w:line="240" w:lineRule="auto"/>
        <w:divId w:val="812717687"/>
        <w:rPr>
          <w:rFonts w:eastAsia="Times New Roman"/>
        </w:rPr>
      </w:pPr>
      <w:r>
        <w:rPr>
          <w:rFonts w:eastAsia="Times New Roman"/>
        </w:rPr>
        <w:t xml:space="preserve">Gidding HF, Burgess MA, Gilbert GL. Diphtheria in Australia, </w:t>
      </w:r>
      <w:proofErr w:type="gramStart"/>
      <w:r>
        <w:rPr>
          <w:rFonts w:eastAsia="Times New Roman"/>
        </w:rPr>
        <w:t>recent trends</w:t>
      </w:r>
      <w:proofErr w:type="gramEnd"/>
      <w:r>
        <w:rPr>
          <w:rFonts w:eastAsia="Times New Roman"/>
        </w:rPr>
        <w:t xml:space="preserve"> and future prevention strategies. </w:t>
      </w:r>
      <w:proofErr w:type="spellStart"/>
      <w:r w:rsidRPr="001B2C83">
        <w:rPr>
          <w:rStyle w:val="Emphasis"/>
          <w:rFonts w:eastAsia="Times New Roman"/>
          <w:b w:val="0"/>
          <w:bCs w:val="0"/>
        </w:rPr>
        <w:t>Commun</w:t>
      </w:r>
      <w:proofErr w:type="spellEnd"/>
      <w:r w:rsidRPr="001B2C83">
        <w:rPr>
          <w:rStyle w:val="Emphasis"/>
          <w:rFonts w:eastAsia="Times New Roman"/>
          <w:b w:val="0"/>
          <w:bCs w:val="0"/>
        </w:rPr>
        <w:t xml:space="preserve"> Dis </w:t>
      </w:r>
      <w:proofErr w:type="spellStart"/>
      <w:r w:rsidRPr="001B2C83">
        <w:rPr>
          <w:rStyle w:val="Emphasis"/>
          <w:rFonts w:eastAsia="Times New Roman"/>
          <w:b w:val="0"/>
          <w:bCs w:val="0"/>
        </w:rPr>
        <w:t>Intell</w:t>
      </w:r>
      <w:proofErr w:type="spellEnd"/>
      <w:r>
        <w:rPr>
          <w:rFonts w:eastAsia="Times New Roman"/>
        </w:rPr>
        <w:t xml:space="preserve">. 2000;24(6):165–7. </w:t>
      </w:r>
    </w:p>
    <w:p w14:paraId="72198836" w14:textId="77777777" w:rsidR="00E52252" w:rsidRDefault="00E52252" w:rsidP="00CB091B">
      <w:pPr>
        <w:numPr>
          <w:ilvl w:val="0"/>
          <w:numId w:val="13"/>
        </w:numPr>
        <w:spacing w:before="100" w:beforeAutospacing="1" w:after="100" w:afterAutospacing="1" w:line="240" w:lineRule="auto"/>
        <w:divId w:val="812717687"/>
        <w:rPr>
          <w:rFonts w:eastAsia="Times New Roman"/>
        </w:rPr>
      </w:pPr>
      <w:r>
        <w:rPr>
          <w:rFonts w:eastAsia="Times New Roman"/>
        </w:rPr>
        <w:t xml:space="preserve">Australian Government Department of Health and Aged Care. COVID-19 vaccine rollout update – 22 December 2022. [Internet.] Canberra: Australian Government Department of Health and Aged Care; 23 December 2022. Available from: https://www.health.gov.au/resources/publications/covid-19-vaccine-rollout-update-22-december-2022. </w:t>
      </w:r>
    </w:p>
    <w:p w14:paraId="588B63DF" w14:textId="77777777" w:rsidR="00E52252" w:rsidRDefault="00E52252" w:rsidP="00CB091B">
      <w:pPr>
        <w:numPr>
          <w:ilvl w:val="0"/>
          <w:numId w:val="13"/>
        </w:numPr>
        <w:spacing w:before="100" w:beforeAutospacing="1" w:after="100" w:afterAutospacing="1" w:line="240" w:lineRule="auto"/>
        <w:divId w:val="812717687"/>
        <w:rPr>
          <w:rFonts w:eastAsia="Times New Roman"/>
        </w:rPr>
      </w:pPr>
      <w:r>
        <w:rPr>
          <w:rFonts w:eastAsia="Times New Roman"/>
        </w:rPr>
        <w:t xml:space="preserve">Victoria State Government Department of Health. Victorian Pharmacist-Administered Vaccination Program Guidelines. [Internet.] Melbourne: Victoria State Government Department of Health; 3 October 2022. Available from: https://www.health.vic.gov.au/immunisation/victorian-pharmacist-administered-vaccination-program-guidelines. </w:t>
      </w:r>
    </w:p>
    <w:p w14:paraId="76833D59" w14:textId="77777777" w:rsidR="00E52252" w:rsidRDefault="00E52252" w:rsidP="00CB091B">
      <w:pPr>
        <w:numPr>
          <w:ilvl w:val="0"/>
          <w:numId w:val="13"/>
        </w:numPr>
        <w:spacing w:before="100" w:beforeAutospacing="1" w:after="100" w:afterAutospacing="1" w:line="240" w:lineRule="auto"/>
        <w:divId w:val="812717687"/>
        <w:rPr>
          <w:rFonts w:eastAsia="Times New Roman"/>
        </w:rPr>
      </w:pPr>
      <w:r>
        <w:rPr>
          <w:rFonts w:eastAsia="Times New Roman"/>
        </w:rPr>
        <w:t xml:space="preserve">New South Wales Government Department of Health (NSW Health). Pharmacist initiation and administration of vaccines. [Internet.] Sydney: NSW Health; 17 April 2023. Available from: https://www.health.nsw.gov.au/immunisation/Pages/pharmacist-vaccination-expansion.aspx. </w:t>
      </w:r>
    </w:p>
    <w:p w14:paraId="23D56948" w14:textId="77777777" w:rsidR="00E52252" w:rsidRDefault="00E52252" w:rsidP="00CB091B">
      <w:pPr>
        <w:numPr>
          <w:ilvl w:val="0"/>
          <w:numId w:val="13"/>
        </w:numPr>
        <w:spacing w:before="100" w:beforeAutospacing="1" w:after="100" w:afterAutospacing="1" w:line="240" w:lineRule="auto"/>
        <w:divId w:val="812717687"/>
        <w:rPr>
          <w:rFonts w:eastAsia="Times New Roman"/>
        </w:rPr>
      </w:pPr>
      <w:r>
        <w:rPr>
          <w:rFonts w:eastAsia="Times New Roman"/>
        </w:rPr>
        <w:t xml:space="preserve">TGA. Report a problem or side effect. [Webpage.] Canberra: Australian Government Department of Health and Aged Care, TGA. Available from: https://www.tga.gov.au/reporting-problems. </w:t>
      </w:r>
    </w:p>
    <w:p w14:paraId="4D34C300" w14:textId="77777777" w:rsidR="00E52252" w:rsidRDefault="00E52252" w:rsidP="00CB091B">
      <w:pPr>
        <w:numPr>
          <w:ilvl w:val="0"/>
          <w:numId w:val="13"/>
        </w:numPr>
        <w:spacing w:before="100" w:beforeAutospacing="1" w:after="100" w:afterAutospacing="1" w:line="240" w:lineRule="auto"/>
        <w:divId w:val="812717687"/>
        <w:rPr>
          <w:rFonts w:eastAsia="Times New Roman"/>
        </w:rPr>
      </w:pPr>
      <w:proofErr w:type="spellStart"/>
      <w:r>
        <w:rPr>
          <w:rFonts w:eastAsia="Times New Roman"/>
        </w:rPr>
        <w:t>AusvaxSafety</w:t>
      </w:r>
      <w:proofErr w:type="spellEnd"/>
      <w:r>
        <w:rPr>
          <w:rFonts w:eastAsia="Times New Roman"/>
        </w:rPr>
        <w:t xml:space="preserve">. Influenza vaccines. [Internet.] Sydney: NCIRS, </w:t>
      </w:r>
      <w:proofErr w:type="spellStart"/>
      <w:r>
        <w:rPr>
          <w:rFonts w:eastAsia="Times New Roman"/>
        </w:rPr>
        <w:t>AusVaxSafety</w:t>
      </w:r>
      <w:proofErr w:type="spellEnd"/>
      <w:r>
        <w:rPr>
          <w:rFonts w:eastAsia="Times New Roman"/>
        </w:rPr>
        <w:t xml:space="preserve">; 2022. Available from: https://ausvaxsafety.org.au/safety-data/influenza-vaccine. </w:t>
      </w:r>
    </w:p>
    <w:p w14:paraId="7C29BAA7" w14:textId="77777777" w:rsidR="00E52252" w:rsidRDefault="00E52252" w:rsidP="00CB091B">
      <w:pPr>
        <w:numPr>
          <w:ilvl w:val="0"/>
          <w:numId w:val="13"/>
        </w:numPr>
        <w:spacing w:before="100" w:beforeAutospacing="1" w:after="100" w:afterAutospacing="1" w:line="240" w:lineRule="auto"/>
        <w:divId w:val="812717687"/>
        <w:rPr>
          <w:rFonts w:eastAsia="Times New Roman"/>
        </w:rPr>
      </w:pPr>
      <w:r>
        <w:rPr>
          <w:rFonts w:eastAsia="Times New Roman"/>
        </w:rPr>
        <w:t xml:space="preserve">Islam N, Lau C, </w:t>
      </w:r>
      <w:proofErr w:type="spellStart"/>
      <w:r>
        <w:rPr>
          <w:rFonts w:eastAsia="Times New Roman"/>
        </w:rPr>
        <w:t>Leeb</w:t>
      </w:r>
      <w:proofErr w:type="spellEnd"/>
      <w:r>
        <w:rPr>
          <w:rFonts w:eastAsia="Times New Roman"/>
        </w:rPr>
        <w:t xml:space="preserve"> A, Mills D, </w:t>
      </w:r>
      <w:proofErr w:type="spellStart"/>
      <w:r>
        <w:rPr>
          <w:rFonts w:eastAsia="Times New Roman"/>
        </w:rPr>
        <w:t>Furuya</w:t>
      </w:r>
      <w:proofErr w:type="spellEnd"/>
      <w:r>
        <w:rPr>
          <w:rFonts w:eastAsia="Times New Roman"/>
        </w:rPr>
        <w:t xml:space="preserve">-Kanamori L. Safety profile comparison of chimeric live attenuated and Vero cell-derived inactivated Japanese encephalitis vaccines through an active surveillance system in Australia. </w:t>
      </w:r>
      <w:r w:rsidRPr="001B2C83">
        <w:rPr>
          <w:rStyle w:val="Emphasis"/>
          <w:rFonts w:eastAsia="Times New Roman"/>
          <w:b w:val="0"/>
          <w:bCs w:val="0"/>
        </w:rPr>
        <w:t xml:space="preserve">Hum </w:t>
      </w:r>
      <w:proofErr w:type="spellStart"/>
      <w:r w:rsidRPr="001B2C83">
        <w:rPr>
          <w:rStyle w:val="Emphasis"/>
          <w:rFonts w:eastAsia="Times New Roman"/>
          <w:b w:val="0"/>
          <w:bCs w:val="0"/>
        </w:rPr>
        <w:t>Vaccin</w:t>
      </w:r>
      <w:proofErr w:type="spellEnd"/>
      <w:r w:rsidRPr="001B2C83">
        <w:rPr>
          <w:rStyle w:val="Emphasis"/>
          <w:rFonts w:eastAsia="Times New Roman"/>
          <w:b w:val="0"/>
          <w:bCs w:val="0"/>
        </w:rPr>
        <w:t xml:space="preserve"> </w:t>
      </w:r>
      <w:proofErr w:type="spellStart"/>
      <w:r w:rsidRPr="001B2C83">
        <w:rPr>
          <w:rStyle w:val="Emphasis"/>
          <w:rFonts w:eastAsia="Times New Roman"/>
          <w:b w:val="0"/>
          <w:bCs w:val="0"/>
        </w:rPr>
        <w:t>Immunother</w:t>
      </w:r>
      <w:proofErr w:type="spellEnd"/>
      <w:r>
        <w:rPr>
          <w:rFonts w:eastAsia="Times New Roman"/>
        </w:rPr>
        <w:t xml:space="preserve">. 2022;18(1):2020573. </w:t>
      </w:r>
      <w:proofErr w:type="spellStart"/>
      <w:r>
        <w:rPr>
          <w:rFonts w:eastAsia="Times New Roman"/>
        </w:rPr>
        <w:t>doi</w:t>
      </w:r>
      <w:proofErr w:type="spellEnd"/>
      <w:r>
        <w:rPr>
          <w:rFonts w:eastAsia="Times New Roman"/>
        </w:rPr>
        <w:t xml:space="preserve">: https://doi.org/10.1080/21645515.2021.2020573. </w:t>
      </w:r>
    </w:p>
    <w:p w14:paraId="67EA88D5" w14:textId="77777777" w:rsidR="00E52252" w:rsidRDefault="00E52252" w:rsidP="00CB091B">
      <w:pPr>
        <w:numPr>
          <w:ilvl w:val="0"/>
          <w:numId w:val="13"/>
        </w:numPr>
        <w:spacing w:before="100" w:beforeAutospacing="1" w:after="100" w:afterAutospacing="1" w:line="240" w:lineRule="auto"/>
        <w:divId w:val="812717687"/>
        <w:rPr>
          <w:rFonts w:eastAsia="Times New Roman"/>
        </w:rPr>
      </w:pPr>
      <w:proofErr w:type="spellStart"/>
      <w:r>
        <w:rPr>
          <w:rFonts w:eastAsia="Times New Roman"/>
        </w:rPr>
        <w:t>AusVaxSafety</w:t>
      </w:r>
      <w:proofErr w:type="spellEnd"/>
      <w:r>
        <w:rPr>
          <w:rFonts w:eastAsia="Times New Roman"/>
        </w:rPr>
        <w:t xml:space="preserve">. </w:t>
      </w:r>
      <w:proofErr w:type="spellStart"/>
      <w:r>
        <w:rPr>
          <w:rFonts w:eastAsia="Times New Roman"/>
        </w:rPr>
        <w:t>Mpox</w:t>
      </w:r>
      <w:proofErr w:type="spellEnd"/>
      <w:r>
        <w:rPr>
          <w:rFonts w:eastAsia="Times New Roman"/>
        </w:rPr>
        <w:t xml:space="preserve"> (monkeypox) vaccine. [Internet.] Sydney: NCIRS, </w:t>
      </w:r>
      <w:proofErr w:type="spellStart"/>
      <w:r>
        <w:rPr>
          <w:rFonts w:eastAsia="Times New Roman"/>
        </w:rPr>
        <w:t>AusVaxSafety</w:t>
      </w:r>
      <w:proofErr w:type="spellEnd"/>
      <w:r>
        <w:rPr>
          <w:rFonts w:eastAsia="Times New Roman"/>
        </w:rPr>
        <w:t xml:space="preserve">; 2022. Available from: https://ausvaxsafety.org.au/vaccine-safety-data/mpox-monkeypox-vaccine. </w:t>
      </w:r>
    </w:p>
    <w:p w14:paraId="2B905070" w14:textId="77777777" w:rsidR="00E52252" w:rsidRDefault="00E52252" w:rsidP="00CB091B">
      <w:pPr>
        <w:numPr>
          <w:ilvl w:val="0"/>
          <w:numId w:val="13"/>
        </w:numPr>
        <w:spacing w:before="100" w:beforeAutospacing="1" w:after="100" w:afterAutospacing="1" w:line="240" w:lineRule="auto"/>
        <w:divId w:val="812717687"/>
        <w:rPr>
          <w:rFonts w:eastAsia="Times New Roman"/>
        </w:rPr>
      </w:pPr>
      <w:r>
        <w:rPr>
          <w:rFonts w:eastAsia="Times New Roman"/>
        </w:rPr>
        <w:t xml:space="preserve">Australian Government Department of Health and Aged Care. Operation COVID Shield COVID-19 Vaccine Sentiment Summaries. [Internet.] Canberra: Australian Government Department of Health and Aged Care. Available from: https://www.health.gov.au/resources/collections/operation-covid-shield-covid-19-vaccine-sentiment-summaries. </w:t>
      </w:r>
    </w:p>
    <w:p w14:paraId="5A6A923B" w14:textId="77777777" w:rsidR="00E52252" w:rsidRDefault="00E52252" w:rsidP="00CB091B">
      <w:pPr>
        <w:numPr>
          <w:ilvl w:val="0"/>
          <w:numId w:val="13"/>
        </w:numPr>
        <w:spacing w:before="100" w:beforeAutospacing="1" w:after="100" w:afterAutospacing="1" w:line="240" w:lineRule="auto"/>
        <w:divId w:val="812717687"/>
        <w:rPr>
          <w:rFonts w:eastAsia="Times New Roman"/>
        </w:rPr>
      </w:pPr>
      <w:r>
        <w:rPr>
          <w:rFonts w:eastAsia="Times New Roman"/>
        </w:rPr>
        <w:t xml:space="preserve">Australian Government Department of Health. ATAGI strategic intent. [Internet.] Canberra: Australian Government Department of Health and Aged Care; 9 January 2018. Available from: https://www.health.gov.au/resources/publications/atagi-strategic-intent. </w:t>
      </w:r>
    </w:p>
    <w:p w14:paraId="6F3C942E" w14:textId="77777777" w:rsidR="00C84BAD" w:rsidRDefault="00C84BAD">
      <w:pPr>
        <w:rPr>
          <w:rFonts w:asciiTheme="majorHAnsi" w:eastAsia="Times New Roman" w:hAnsiTheme="majorHAnsi" w:cstheme="majorBidi"/>
          <w:b/>
          <w:bCs/>
          <w:sz w:val="32"/>
          <w:szCs w:val="28"/>
        </w:rPr>
      </w:pPr>
      <w:r>
        <w:rPr>
          <w:rFonts w:eastAsia="Times New Roman"/>
        </w:rPr>
        <w:br w:type="page"/>
      </w:r>
    </w:p>
    <w:p w14:paraId="4578CE74" w14:textId="465613A6" w:rsidR="00E52252" w:rsidRDefault="00E52252">
      <w:pPr>
        <w:pStyle w:val="Heading1"/>
        <w:divId w:val="812717687"/>
        <w:rPr>
          <w:rFonts w:eastAsia="Times New Roman"/>
        </w:rPr>
      </w:pPr>
      <w:r>
        <w:rPr>
          <w:rFonts w:eastAsia="Times New Roman"/>
        </w:rPr>
        <w:lastRenderedPageBreak/>
        <w:t xml:space="preserve">Appendix A.1: about ATAGI </w:t>
      </w:r>
    </w:p>
    <w:p w14:paraId="46951CFE" w14:textId="77777777" w:rsidR="00E52252" w:rsidRDefault="00E52252">
      <w:pPr>
        <w:pStyle w:val="NormalWeb"/>
        <w:divId w:val="812717687"/>
      </w:pPr>
      <w:r>
        <w:t xml:space="preserve">The Australian Technical Advisory Group on Immunisation (ATAGI) </w:t>
      </w:r>
      <w:proofErr w:type="gramStart"/>
      <w:r>
        <w:t>advises</w:t>
      </w:r>
      <w:proofErr w:type="gramEnd"/>
      <w:r>
        <w:t xml:space="preserve"> the Minister for Health and Aged Care on the National Immunisation Program and on other immunisation issues. </w:t>
      </w:r>
    </w:p>
    <w:p w14:paraId="618628D8" w14:textId="77777777" w:rsidR="00E52252" w:rsidRDefault="00E52252">
      <w:pPr>
        <w:pStyle w:val="NormalWeb"/>
        <w:divId w:val="812717687"/>
      </w:pPr>
      <w:r>
        <w:t xml:space="preserve">ATAGI’s vision is to protect the Australian population from vaccine-preventable diseases (VPDs). This </w:t>
      </w:r>
      <w:proofErr w:type="gramStart"/>
      <w:r>
        <w:t>is shown</w:t>
      </w:r>
      <w:proofErr w:type="gramEnd"/>
      <w:r>
        <w:t xml:space="preserve"> in ATAGI’s strategic intent.</w:t>
      </w:r>
      <w:r>
        <w:rPr>
          <w:vertAlign w:val="superscript"/>
        </w:rPr>
        <w:t>40</w:t>
      </w:r>
      <w:r>
        <w:t xml:space="preserve"> </w:t>
      </w:r>
    </w:p>
    <w:p w14:paraId="72D9C7DF" w14:textId="77777777" w:rsidR="00E52252" w:rsidRDefault="00E52252">
      <w:pPr>
        <w:pStyle w:val="NormalWeb"/>
        <w:divId w:val="812717687"/>
      </w:pPr>
      <w:r>
        <w:t xml:space="preserve">ATAGI’s purpose is to </w:t>
      </w:r>
      <w:proofErr w:type="gramStart"/>
      <w:r>
        <w:t>provide</w:t>
      </w:r>
      <w:proofErr w:type="gramEnd"/>
      <w:r>
        <w:t xml:space="preserve"> evidence-based advice to the Minister for Health and other key policymakers on immunisation policies, immunisation programs, and future research priorities. This includes identifying and prioritising gaps in the immunisation landscape to improve the impact of immunisation programs; to raise confidence in immunisation programs, as well as the vaccines used in the programs; and to boost equity in access to, and outcomes of, immunisation programs. </w:t>
      </w:r>
    </w:p>
    <w:p w14:paraId="0E824948" w14:textId="3ADD196D" w:rsidR="008B5348" w:rsidRPr="00CB091B" w:rsidRDefault="00E52252" w:rsidP="00CB091B">
      <w:pPr>
        <w:pStyle w:val="NormalWeb"/>
        <w:divId w:val="812717687"/>
        <w:rPr>
          <w:rStyle w:val="A10"/>
          <w:rFonts w:cstheme="minorBidi"/>
          <w:color w:val="auto"/>
        </w:rPr>
      </w:pPr>
      <w:r>
        <w:t>ATAGI also develops and publishes the Australian Immunisation Handbook.</w:t>
      </w:r>
      <w:r w:rsidR="008B5348">
        <w:rPr>
          <w:rStyle w:val="A10"/>
        </w:rPr>
        <w:br w:type="page"/>
      </w:r>
    </w:p>
    <w:p w14:paraId="37421A63" w14:textId="77777777" w:rsidR="008B5348" w:rsidRDefault="008B5348">
      <w:pPr>
        <w:rPr>
          <w:rStyle w:val="A10"/>
        </w:rPr>
        <w:sectPr w:rsidR="008B5348" w:rsidSect="00A30C37">
          <w:footnotePr>
            <w:numFmt w:val="lowerRoman"/>
          </w:footnotePr>
          <w:pgSz w:w="11906" w:h="16838"/>
          <w:pgMar w:top="720" w:right="720" w:bottom="1134" w:left="720" w:header="709" w:footer="284" w:gutter="0"/>
          <w:cols w:space="708"/>
          <w:titlePg/>
          <w:docGrid w:linePitch="360"/>
        </w:sectPr>
      </w:pPr>
    </w:p>
    <w:p w14:paraId="7DFB0986"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22A95769"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558B2931" w14:textId="77777777" w:rsidR="000A5F42" w:rsidRPr="000606CC" w:rsidRDefault="000A5F42" w:rsidP="000A5F42">
      <w:pPr>
        <w:pStyle w:val="NoSpacing"/>
        <w:rPr>
          <w:rStyle w:val="URI"/>
          <w:rFonts w:cstheme="minorHAnsi"/>
          <w:sz w:val="20"/>
          <w:szCs w:val="18"/>
        </w:rPr>
      </w:pPr>
    </w:p>
    <w:p w14:paraId="56B812AB"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 xml:space="preserve">Communicable Diseases Intelligence (CDI) is a peer-reviewed scientific journal published by the Office of Health Protection, </w:t>
      </w:r>
      <w:r w:rsidR="001723AC">
        <w:rPr>
          <w:rStyle w:val="Strong"/>
          <w:rFonts w:cs="Calibri"/>
          <w:b w:val="0"/>
          <w:bCs w:val="0"/>
          <w:sz w:val="20"/>
          <w:szCs w:val="18"/>
        </w:rPr>
        <w:t xml:space="preserve">Department of </w:t>
      </w:r>
      <w:proofErr w:type="gramStart"/>
      <w:r w:rsidR="001723AC">
        <w:rPr>
          <w:rStyle w:val="Strong"/>
          <w:rFonts w:cs="Calibri"/>
          <w:b w:val="0"/>
          <w:bCs w:val="0"/>
          <w:sz w:val="20"/>
          <w:szCs w:val="18"/>
        </w:rPr>
        <w:t>Health</w:t>
      </w:r>
      <w:proofErr w:type="gramEnd"/>
      <w:r w:rsidR="001723AC">
        <w:rPr>
          <w:rStyle w:val="Strong"/>
          <w:rFonts w:cs="Calibri"/>
          <w:b w:val="0"/>
          <w:bCs w:val="0"/>
          <w:sz w:val="20"/>
          <w:szCs w:val="18"/>
        </w:rPr>
        <w:t xml:space="preserve"> and Aged Care</w:t>
      </w:r>
      <w:r w:rsidRPr="000606CC">
        <w:rPr>
          <w:rStyle w:val="Strong"/>
          <w:rFonts w:cs="Calibri"/>
          <w:b w:val="0"/>
          <w:bCs w:val="0"/>
          <w:sz w:val="20"/>
          <w:szCs w:val="18"/>
        </w:rPr>
        <w:t xml:space="preserve">. The journal aims to </w:t>
      </w:r>
      <w:proofErr w:type="gramStart"/>
      <w:r w:rsidRPr="000606CC">
        <w:rPr>
          <w:rStyle w:val="Strong"/>
          <w:rFonts w:cs="Calibri"/>
          <w:b w:val="0"/>
          <w:bCs w:val="0"/>
          <w:sz w:val="20"/>
          <w:szCs w:val="18"/>
        </w:rPr>
        <w:t>disseminate</w:t>
      </w:r>
      <w:proofErr w:type="gramEnd"/>
      <w:r w:rsidRPr="000606CC">
        <w:rPr>
          <w:rStyle w:val="Strong"/>
          <w:rFonts w:cs="Calibri"/>
          <w:b w:val="0"/>
          <w:bCs w:val="0"/>
          <w:sz w:val="20"/>
          <w:szCs w:val="18"/>
        </w:rPr>
        <w:t xml:space="preserve"> information on the epidemiology, surveillance, prevention and control of communicable diseases of relevance to Australia.</w:t>
      </w:r>
    </w:p>
    <w:p w14:paraId="6EB10A1A" w14:textId="77777777" w:rsidR="000A5F42" w:rsidRPr="000606CC" w:rsidRDefault="000A5F42" w:rsidP="000A5F42">
      <w:pPr>
        <w:pStyle w:val="NoSpacing"/>
        <w:rPr>
          <w:rStyle w:val="Strong"/>
          <w:rFonts w:cstheme="minorHAnsi"/>
          <w:sz w:val="20"/>
          <w:szCs w:val="18"/>
        </w:rPr>
      </w:pPr>
    </w:p>
    <w:p w14:paraId="18DD7B70"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8B62FF">
        <w:rPr>
          <w:rFonts w:cstheme="minorHAnsi"/>
          <w:sz w:val="20"/>
          <w:szCs w:val="18"/>
        </w:rPr>
        <w:t>Christina Bareja</w:t>
      </w:r>
    </w:p>
    <w:p w14:paraId="03D53210"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24EE3009"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60B580CA"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00CF75DF" w:rsidRPr="00CF75DF">
        <w:rPr>
          <w:rFonts w:cstheme="minorHAnsi"/>
          <w:sz w:val="20"/>
          <w:szCs w:val="18"/>
        </w:rPr>
        <w:t xml:space="preserve">David </w:t>
      </w:r>
      <w:proofErr w:type="spellStart"/>
      <w:r w:rsidR="00CF75DF" w:rsidRPr="00CF75DF">
        <w:rPr>
          <w:rFonts w:cstheme="minorHAnsi"/>
          <w:sz w:val="20"/>
          <w:szCs w:val="18"/>
        </w:rPr>
        <w:t>Durrheim</w:t>
      </w:r>
      <w:proofErr w:type="spellEnd"/>
      <w:r w:rsidR="00CF75DF" w:rsidRPr="00CF75DF">
        <w:rPr>
          <w:rFonts w:cstheme="minorHAnsi"/>
          <w:sz w:val="20"/>
          <w:szCs w:val="18"/>
        </w:rPr>
        <w:t xml:space="preserve">, Mark Ferson, Clare Huppatz, John Kaldor, Martyn Kirk, Meru </w:t>
      </w:r>
      <w:proofErr w:type="gramStart"/>
      <w:r w:rsidR="00CF75DF" w:rsidRPr="00CF75DF">
        <w:rPr>
          <w:rFonts w:cstheme="minorHAnsi"/>
          <w:sz w:val="20"/>
          <w:szCs w:val="18"/>
        </w:rPr>
        <w:t>Sheel</w:t>
      </w:r>
      <w:proofErr w:type="gramEnd"/>
      <w:r w:rsidR="00CF75DF" w:rsidRPr="00CF75DF">
        <w:rPr>
          <w:rFonts w:cstheme="minorHAnsi"/>
          <w:sz w:val="20"/>
          <w:szCs w:val="18"/>
        </w:rPr>
        <w:t xml:space="preserve"> and Steph</w:t>
      </w:r>
      <w:r w:rsidR="00CF75DF">
        <w:rPr>
          <w:rFonts w:cstheme="minorHAnsi"/>
          <w:sz w:val="20"/>
          <w:szCs w:val="18"/>
        </w:rPr>
        <w:t> </w:t>
      </w:r>
      <w:r w:rsidR="00CF75DF" w:rsidRPr="00CF75DF">
        <w:rPr>
          <w:rFonts w:cstheme="minorHAnsi"/>
          <w:sz w:val="20"/>
          <w:szCs w:val="18"/>
        </w:rPr>
        <w:t>Williams</w:t>
      </w:r>
    </w:p>
    <w:p w14:paraId="2E1AB614" w14:textId="77777777" w:rsidR="000A5F42" w:rsidRPr="000606CC" w:rsidRDefault="000A5F42" w:rsidP="000A5F42">
      <w:pPr>
        <w:pStyle w:val="NoSpacing"/>
        <w:rPr>
          <w:rStyle w:val="Strong"/>
          <w:rFonts w:cstheme="minorHAnsi"/>
          <w:sz w:val="20"/>
          <w:szCs w:val="18"/>
        </w:rPr>
      </w:pPr>
    </w:p>
    <w:p w14:paraId="51C7D7EF" w14:textId="303A3789"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4"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7AB3CE47" w14:textId="77777777" w:rsidR="000A5F42" w:rsidRPr="000606CC" w:rsidRDefault="000A5F42" w:rsidP="000A5F42">
      <w:pPr>
        <w:pStyle w:val="NoSpacing"/>
        <w:rPr>
          <w:rStyle w:val="Strong"/>
          <w:rFonts w:cstheme="minorHAnsi"/>
          <w:sz w:val="20"/>
          <w:szCs w:val="18"/>
        </w:rPr>
      </w:pPr>
    </w:p>
    <w:p w14:paraId="5EFD6D8E"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 xml:space="preserve">CDI </w:t>
      </w:r>
      <w:proofErr w:type="gramStart"/>
      <w:r w:rsidR="00E54BBD">
        <w:rPr>
          <w:rFonts w:cstheme="minorHAnsi"/>
          <w:sz w:val="20"/>
          <w:szCs w:val="18"/>
        </w:rPr>
        <w:t>is produced</w:t>
      </w:r>
      <w:proofErr w:type="gramEnd"/>
      <w:r w:rsidR="00E54BBD">
        <w:rPr>
          <w:rFonts w:cstheme="minorHAnsi"/>
          <w:sz w:val="20"/>
          <w:szCs w:val="18"/>
        </w:rPr>
        <w:t xml:space="preserve">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Australian Government Department of Health</w:t>
      </w:r>
      <w:r w:rsidR="00AE0209">
        <w:rPr>
          <w:rFonts w:cstheme="minorHAnsi"/>
          <w:sz w:val="20"/>
          <w:szCs w:val="18"/>
        </w:rPr>
        <w:t xml:space="preserve"> and Aged Care</w:t>
      </w:r>
      <w:r w:rsidR="00E54BBD" w:rsidRPr="00E54BBD">
        <w:rPr>
          <w:rFonts w:cstheme="minorHAnsi"/>
          <w:sz w:val="20"/>
          <w:szCs w:val="18"/>
        </w:rPr>
        <w:t>, GPO Box 9848, (MDP 6) CANBERRA ACT 2601</w:t>
      </w:r>
    </w:p>
    <w:p w14:paraId="3B60D2DA" w14:textId="77777777" w:rsidR="000A5F42" w:rsidRPr="000606CC" w:rsidRDefault="000A5F42" w:rsidP="000A5F42">
      <w:pPr>
        <w:pStyle w:val="NoSpacing"/>
        <w:rPr>
          <w:rStyle w:val="Strong"/>
          <w:rFonts w:cstheme="minorHAnsi"/>
          <w:sz w:val="20"/>
          <w:szCs w:val="18"/>
        </w:rPr>
      </w:pPr>
    </w:p>
    <w:p w14:paraId="0C85CF1D" w14:textId="3F755669"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5"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04673DD1" w14:textId="77777777" w:rsidR="000A5F42" w:rsidRPr="000606CC" w:rsidRDefault="000A5F42" w:rsidP="000A5F42">
      <w:pPr>
        <w:pStyle w:val="NoSpacing"/>
        <w:rPr>
          <w:rStyle w:val="Strong"/>
          <w:rFonts w:cstheme="minorHAnsi"/>
          <w:sz w:val="20"/>
          <w:szCs w:val="18"/>
        </w:rPr>
      </w:pPr>
    </w:p>
    <w:p w14:paraId="07BB29D6" w14:textId="4DE5A72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w:t>
      </w:r>
      <w:proofErr w:type="gramStart"/>
      <w:r w:rsidRPr="000606CC">
        <w:rPr>
          <w:rFonts w:cstheme="minorHAnsi"/>
          <w:sz w:val="20"/>
          <w:szCs w:val="18"/>
        </w:rPr>
        <w:t>regarding</w:t>
      </w:r>
      <w:proofErr w:type="gramEnd"/>
      <w:r w:rsidRPr="000606CC">
        <w:rPr>
          <w:rFonts w:cstheme="minorHAnsi"/>
          <w:sz w:val="20"/>
          <w:szCs w:val="18"/>
        </w:rPr>
        <w:t xml:space="preserve"> CDI can be found at: </w:t>
      </w:r>
      <w:hyperlink r:id="rId16"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32409EFB" w14:textId="05C9706F"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w:t>
      </w:r>
      <w:proofErr w:type="gramStart"/>
      <w:r w:rsidRPr="000606CC">
        <w:rPr>
          <w:rFonts w:cstheme="minorHAnsi"/>
          <w:sz w:val="20"/>
          <w:szCs w:val="18"/>
        </w:rPr>
        <w:t>be directed</w:t>
      </w:r>
      <w:proofErr w:type="gramEnd"/>
      <w:r w:rsidRPr="000606CC">
        <w:rPr>
          <w:rFonts w:cstheme="minorHAnsi"/>
          <w:sz w:val="20"/>
          <w:szCs w:val="18"/>
        </w:rPr>
        <w:t xml:space="preserve"> to: </w:t>
      </w:r>
      <w:hyperlink r:id="rId17" w:history="1">
        <w:r w:rsidRPr="000606CC">
          <w:rPr>
            <w:rStyle w:val="Hyperlink"/>
            <w:rFonts w:cstheme="minorHAnsi"/>
            <w:sz w:val="20"/>
            <w:szCs w:val="18"/>
          </w:rPr>
          <w:t>cdi.editor@health.gov.au</w:t>
        </w:r>
      </w:hyperlink>
      <w:r w:rsidRPr="000606CC">
        <w:rPr>
          <w:rFonts w:cstheme="minorHAnsi"/>
          <w:sz w:val="20"/>
          <w:szCs w:val="18"/>
        </w:rPr>
        <w:t>.</w:t>
      </w:r>
    </w:p>
    <w:p w14:paraId="741FCB69" w14:textId="77777777" w:rsidR="000A5F42" w:rsidRPr="000606CC" w:rsidRDefault="000A5F42" w:rsidP="000A5F42">
      <w:pPr>
        <w:pStyle w:val="NoSpacing"/>
        <w:pBdr>
          <w:bottom w:val="single" w:sz="6" w:space="1" w:color="auto"/>
        </w:pBdr>
        <w:rPr>
          <w:rStyle w:val="Strong"/>
          <w:rFonts w:cstheme="minorHAnsi"/>
          <w:sz w:val="12"/>
          <w:szCs w:val="18"/>
        </w:rPr>
      </w:pPr>
    </w:p>
    <w:p w14:paraId="02CB7F3F" w14:textId="77777777" w:rsidR="000A5F42" w:rsidRPr="000606CC" w:rsidRDefault="000A5F42" w:rsidP="000A5F42">
      <w:pPr>
        <w:pStyle w:val="NoSpacing"/>
        <w:rPr>
          <w:rFonts w:cstheme="minorHAnsi"/>
          <w:sz w:val="20"/>
          <w:szCs w:val="18"/>
        </w:rPr>
      </w:pPr>
    </w:p>
    <w:p w14:paraId="53DD505A"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w:t>
      </w:r>
      <w:proofErr w:type="gramStart"/>
      <w:r w:rsidRPr="000606CC">
        <w:rPr>
          <w:rFonts w:cstheme="minorHAnsi"/>
          <w:sz w:val="20"/>
          <w:szCs w:val="18"/>
        </w:rPr>
        <w:t>is indexed</w:t>
      </w:r>
      <w:proofErr w:type="gramEnd"/>
      <w:r w:rsidRPr="000606CC">
        <w:rPr>
          <w:rFonts w:cstheme="minorHAnsi"/>
          <w:sz w:val="20"/>
          <w:szCs w:val="18"/>
        </w:rPr>
        <w:t xml:space="preserve">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6C607CF0" w14:textId="77777777" w:rsidR="000A5F42" w:rsidRPr="000606CC" w:rsidRDefault="000A5F42" w:rsidP="000A5F42">
      <w:pPr>
        <w:pStyle w:val="NoSpacing"/>
        <w:rPr>
          <w:rFonts w:cstheme="minorHAnsi"/>
          <w:sz w:val="20"/>
          <w:szCs w:val="18"/>
        </w:rPr>
      </w:pPr>
    </w:p>
    <w:p w14:paraId="4CA5F7C7"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161F590C"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852E2B">
        <w:rPr>
          <w:rFonts w:cstheme="minorHAnsi"/>
          <w:sz w:val="20"/>
          <w:szCs w:val="18"/>
        </w:rPr>
        <w:fldChar w:fldCharType="begin"/>
      </w:r>
      <w:r w:rsidR="00852E2B">
        <w:rPr>
          <w:rFonts w:cstheme="minorHAnsi"/>
          <w:sz w:val="20"/>
          <w:szCs w:val="18"/>
        </w:rPr>
        <w:instrText xml:space="preserve"> DOCPROPERTY  Year  \* MERGEFORMAT </w:instrText>
      </w:r>
      <w:r w:rsidR="00852E2B">
        <w:rPr>
          <w:rFonts w:cstheme="minorHAnsi"/>
          <w:sz w:val="20"/>
          <w:szCs w:val="18"/>
        </w:rPr>
        <w:fldChar w:fldCharType="separate"/>
      </w:r>
      <w:r w:rsidR="00AF75BD">
        <w:rPr>
          <w:rFonts w:cstheme="minorHAnsi"/>
          <w:sz w:val="20"/>
          <w:szCs w:val="18"/>
        </w:rPr>
        <w:t>2023</w:t>
      </w:r>
      <w:r w:rsidR="00852E2B">
        <w:rPr>
          <w:rFonts w:cstheme="minorHAnsi"/>
          <w:sz w:val="20"/>
          <w:szCs w:val="18"/>
        </w:rPr>
        <w:fldChar w:fldCharType="end"/>
      </w:r>
      <w:r w:rsidR="00852E2B">
        <w:rPr>
          <w:rFonts w:cstheme="minorHAnsi"/>
          <w:sz w:val="20"/>
          <w:szCs w:val="18"/>
        </w:rPr>
        <w:t xml:space="preserve"> </w:t>
      </w:r>
      <w:r w:rsidRPr="000606CC">
        <w:rPr>
          <w:rFonts w:cstheme="minorHAnsi"/>
          <w:sz w:val="20"/>
          <w:szCs w:val="18"/>
        </w:rPr>
        <w:t xml:space="preserve">Commonwealth of Australia as represented by the </w:t>
      </w:r>
      <w:r w:rsidR="001723AC">
        <w:rPr>
          <w:rFonts w:cstheme="minorHAnsi"/>
          <w:sz w:val="20"/>
          <w:szCs w:val="18"/>
        </w:rPr>
        <w:t>Department of Health and Aged Care</w:t>
      </w:r>
    </w:p>
    <w:p w14:paraId="4BA7ED56" w14:textId="7AF36775"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8"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0448DD21" w14:textId="77777777" w:rsidR="000A5F42" w:rsidRPr="000606CC" w:rsidRDefault="000A5F42" w:rsidP="000A5F42">
      <w:pPr>
        <w:pStyle w:val="NoSpacing"/>
        <w:rPr>
          <w:rFonts w:cstheme="minorHAnsi"/>
          <w:sz w:val="20"/>
          <w:szCs w:val="18"/>
        </w:rPr>
      </w:pPr>
    </w:p>
    <w:p w14:paraId="7A57E924"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19980616" w14:textId="4D7173A6"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9"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782E4524"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w:t>
      </w:r>
      <w:r w:rsidR="001723AC">
        <w:rPr>
          <w:rFonts w:cstheme="minorHAnsi"/>
          <w:sz w:val="20"/>
          <w:szCs w:val="18"/>
        </w:rPr>
        <w:t>Department of Health and Aged Care</w:t>
      </w:r>
      <w:r w:rsidRPr="000606CC">
        <w:rPr>
          <w:rFonts w:cstheme="minorHAnsi"/>
          <w:sz w:val="20"/>
          <w:szCs w:val="18"/>
        </w:rPr>
        <w:t xml:space="preserve">’s logo) and </w:t>
      </w:r>
      <w:proofErr w:type="gramStart"/>
      <w:r w:rsidRPr="000606CC">
        <w:rPr>
          <w:rFonts w:cstheme="minorHAnsi"/>
          <w:sz w:val="20"/>
          <w:szCs w:val="18"/>
        </w:rPr>
        <w:t>trademarks;</w:t>
      </w:r>
      <w:proofErr w:type="gramEnd"/>
    </w:p>
    <w:p w14:paraId="221F7D67"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2D1A8DB2"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6EBA9EC2"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0869620E" w14:textId="77777777" w:rsidR="000A5F42" w:rsidRPr="000606CC" w:rsidRDefault="000A5F42" w:rsidP="000A5F42">
      <w:pPr>
        <w:pStyle w:val="NoSpacing"/>
        <w:rPr>
          <w:rStyle w:val="Strong"/>
          <w:rFonts w:cstheme="minorHAnsi"/>
          <w:sz w:val="20"/>
          <w:szCs w:val="18"/>
        </w:rPr>
      </w:pPr>
    </w:p>
    <w:p w14:paraId="4DE36403"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 xml:space="preserve">Opinions expressed in Communicable Diseases Intelligence are those of the authors and not necessarily those of the Australian Government </w:t>
      </w:r>
      <w:r w:rsidR="001723AC">
        <w:rPr>
          <w:rFonts w:cstheme="minorHAnsi"/>
          <w:sz w:val="20"/>
          <w:szCs w:val="18"/>
        </w:rPr>
        <w:t>Department of Health and Aged Care</w:t>
      </w:r>
      <w:r w:rsidRPr="000606CC">
        <w:rPr>
          <w:rFonts w:cstheme="minorHAnsi"/>
          <w:sz w:val="20"/>
          <w:szCs w:val="18"/>
        </w:rPr>
        <w:t xml:space="preserve"> or the Communicable Diseases Network Australia. Data may be subject to revision.</w:t>
      </w:r>
    </w:p>
    <w:p w14:paraId="2780B862" w14:textId="77777777" w:rsidR="000A5F42" w:rsidRPr="000606CC" w:rsidRDefault="000A5F42" w:rsidP="000A5F42">
      <w:pPr>
        <w:pStyle w:val="NoSpacing"/>
        <w:rPr>
          <w:rStyle w:val="Strong"/>
          <w:rFonts w:cstheme="minorHAnsi"/>
          <w:sz w:val="20"/>
          <w:szCs w:val="18"/>
        </w:rPr>
      </w:pPr>
    </w:p>
    <w:p w14:paraId="102E53A8" w14:textId="00902553"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w:t>
      </w:r>
      <w:r w:rsidR="001723AC">
        <w:rPr>
          <w:rFonts w:cstheme="minorHAnsi"/>
          <w:sz w:val="20"/>
          <w:szCs w:val="18"/>
        </w:rPr>
        <w:t>Department of Health and Aged Care</w:t>
      </w:r>
      <w:r w:rsidRPr="000606CC">
        <w:rPr>
          <w:rFonts w:cstheme="minorHAnsi"/>
          <w:sz w:val="20"/>
          <w:szCs w:val="18"/>
        </w:rPr>
        <w:t xml:space="preserve">, GPO Box 9848, Canberra ACT 2601, or via e-mail to: </w:t>
      </w:r>
      <w:hyperlink r:id="rId20"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5C4C1584" w14:textId="77777777" w:rsidR="000A5F42" w:rsidRPr="000606CC" w:rsidRDefault="000A5F42" w:rsidP="000A5F42">
      <w:pPr>
        <w:pStyle w:val="NoSpacing"/>
        <w:rPr>
          <w:rStyle w:val="URI"/>
          <w:rFonts w:cstheme="minorHAnsi"/>
          <w:sz w:val="20"/>
          <w:szCs w:val="18"/>
        </w:rPr>
      </w:pPr>
    </w:p>
    <w:p w14:paraId="6DE25FB6" w14:textId="6109EB25"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1" w:tooltip="Communicable Diseases Network Australia website" w:history="1">
        <w:r w:rsidRPr="000606CC">
          <w:rPr>
            <w:rStyle w:val="Hyperlink"/>
            <w:rFonts w:cstheme="minorHAnsi"/>
            <w:sz w:val="20"/>
            <w:szCs w:val="18"/>
          </w:rPr>
          <w:t>http://www.health.gov.au/cdna</w:t>
        </w:r>
      </w:hyperlink>
    </w:p>
    <w:sectPr w:rsidR="000A5F42" w:rsidRPr="000606CC" w:rsidSect="002B75A9">
      <w:headerReference w:type="default" r:id="rId22"/>
      <w:footnotePr>
        <w:numFmt w:val="lowerRoman"/>
      </w:footnotePr>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F0960" w14:textId="77777777" w:rsidR="00AF75BD" w:rsidRDefault="00AF75BD" w:rsidP="00E54DBA">
      <w:r>
        <w:separator/>
      </w:r>
    </w:p>
    <w:p w14:paraId="7B578C0D" w14:textId="77777777" w:rsidR="00AF75BD" w:rsidRDefault="00AF75BD"/>
    <w:p w14:paraId="68A4C94E" w14:textId="77777777" w:rsidR="00AF75BD" w:rsidRDefault="00AF75BD" w:rsidP="008714B0"/>
  </w:endnote>
  <w:endnote w:type="continuationSeparator" w:id="0">
    <w:p w14:paraId="6131F828" w14:textId="77777777" w:rsidR="00AF75BD" w:rsidRDefault="00AF75BD" w:rsidP="00E54DBA">
      <w:r>
        <w:continuationSeparator/>
      </w:r>
    </w:p>
    <w:p w14:paraId="5509EF05" w14:textId="77777777" w:rsidR="00AF75BD" w:rsidRDefault="00AF75BD"/>
    <w:p w14:paraId="79238082" w14:textId="77777777" w:rsidR="00AF75BD" w:rsidRDefault="00AF75BD"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20B0503030403090204"/>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Variable Concept">
    <w:altName w:val="Myriad Variable Concep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CF687" w14:textId="5839E934"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1B2C83">
      <w:rPr>
        <w:i/>
        <w:sz w:val="18"/>
      </w:rPr>
      <w:t>Commun</w:t>
    </w:r>
    <w:proofErr w:type="spellEnd"/>
    <w:r w:rsidR="00CE342B" w:rsidRPr="001B2C83">
      <w:rPr>
        <w:i/>
        <w:sz w:val="18"/>
      </w:rPr>
      <w:t xml:space="preserve"> Dis </w:t>
    </w:r>
    <w:proofErr w:type="spellStart"/>
    <w:r w:rsidR="00CE342B" w:rsidRPr="001B2C83">
      <w:rPr>
        <w:i/>
        <w:sz w:val="18"/>
      </w:rPr>
      <w:t>Intell</w:t>
    </w:r>
    <w:proofErr w:type="spellEnd"/>
    <w:r w:rsidR="00CE342B" w:rsidRPr="001B2C83">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AF75BD">
      <w:rPr>
        <w:sz w:val="18"/>
      </w:rPr>
      <w:t>2023</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AF75BD">
      <w:rPr>
        <w:sz w:val="18"/>
      </w:rPr>
      <w:t>47</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DB56D4">
      <w:rPr>
        <w:sz w:val="18"/>
      </w:rPr>
      <w:t>https://doi.org/10.33321/cdi.2023.47.42</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DB56D4">
      <w:rPr>
        <w:sz w:val="18"/>
      </w:rPr>
      <w:t>27/7/2023</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4E4F5" w14:textId="5178A088"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1B2C83">
      <w:rPr>
        <w:i/>
        <w:sz w:val="18"/>
      </w:rPr>
      <w:t>Commun</w:t>
    </w:r>
    <w:proofErr w:type="spellEnd"/>
    <w:r w:rsidR="00A164D5" w:rsidRPr="001B2C83">
      <w:rPr>
        <w:i/>
        <w:sz w:val="18"/>
      </w:rPr>
      <w:t xml:space="preserve"> Dis </w:t>
    </w:r>
    <w:proofErr w:type="spellStart"/>
    <w:r w:rsidR="00A164D5" w:rsidRPr="001B2C83">
      <w:rPr>
        <w:i/>
        <w:sz w:val="18"/>
      </w:rPr>
      <w:t>Intell</w:t>
    </w:r>
    <w:proofErr w:type="spellEnd"/>
    <w:r w:rsidR="00A164D5" w:rsidRPr="001B2C83">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AF75BD">
      <w:rPr>
        <w:sz w:val="18"/>
      </w:rPr>
      <w:t>2023</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AF75BD">
      <w:rPr>
        <w:sz w:val="18"/>
      </w:rPr>
      <w:t>47</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DB56D4">
      <w:rPr>
        <w:sz w:val="18"/>
      </w:rPr>
      <w:t>https://doi.org/10.33321/cdi.2023.47.42</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DB56D4">
      <w:rPr>
        <w:sz w:val="18"/>
      </w:rPr>
      <w:t>27/7/2023</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EC580" w14:textId="77777777" w:rsidR="00AF75BD" w:rsidRPr="00B91FB5" w:rsidRDefault="00AF75BD" w:rsidP="00B91FB5">
      <w:pPr>
        <w:spacing w:after="0" w:line="240" w:lineRule="auto"/>
        <w:rPr>
          <w:sz w:val="18"/>
          <w:szCs w:val="18"/>
        </w:rPr>
      </w:pPr>
      <w:r w:rsidRPr="00B91FB5">
        <w:rPr>
          <w:sz w:val="18"/>
          <w:szCs w:val="18"/>
        </w:rPr>
        <w:separator/>
      </w:r>
    </w:p>
  </w:footnote>
  <w:footnote w:type="continuationSeparator" w:id="0">
    <w:p w14:paraId="4A290FD5" w14:textId="77777777" w:rsidR="00AF75BD" w:rsidRDefault="00AF75BD" w:rsidP="00E54DBA">
      <w:r>
        <w:continuationSeparator/>
      </w:r>
    </w:p>
  </w:footnote>
  <w:footnote w:type="continuationNotice" w:id="1">
    <w:p w14:paraId="5C0BC0D3" w14:textId="77777777" w:rsidR="00AF75BD" w:rsidRPr="00224EFF" w:rsidRDefault="00AF75BD" w:rsidP="00224EFF">
      <w:pPr>
        <w:pStyle w:val="Footer"/>
      </w:pPr>
    </w:p>
  </w:footnote>
  <w:footnote w:id="2">
    <w:p w14:paraId="1737B177" w14:textId="144BC879" w:rsidR="00BE39D3" w:rsidRPr="00BE7448" w:rsidRDefault="00BE39D3" w:rsidP="009B4896">
      <w:pPr>
        <w:pStyle w:val="CDIfootnotes"/>
      </w:pPr>
      <w:r w:rsidRPr="00BE7448">
        <w:rPr>
          <w:rStyle w:val="FootnoteReference"/>
          <w:vertAlign w:val="baseline"/>
        </w:rPr>
        <w:footnoteRef/>
      </w:r>
      <w:r w:rsidRPr="00BE7448">
        <w:t xml:space="preserve"> </w:t>
      </w:r>
      <w:r w:rsidR="00641325" w:rsidRPr="00BE7448">
        <w:tab/>
      </w:r>
      <w:r w:rsidRPr="00BE7448">
        <w:t>https://immunisationhandbook.health.gov.au/contents/ vaccine-preventable-diseases/zoster-herpes-zoster.</w:t>
      </w:r>
    </w:p>
  </w:footnote>
  <w:footnote w:id="3">
    <w:p w14:paraId="0AA1A8C4" w14:textId="6BA0A306" w:rsidR="005F76A6" w:rsidRPr="00BE7448" w:rsidRDefault="005F76A6" w:rsidP="009B4896">
      <w:pPr>
        <w:pStyle w:val="CDIfootnotes"/>
      </w:pPr>
      <w:r w:rsidRPr="00BE7448">
        <w:rPr>
          <w:rStyle w:val="FootnoteReference"/>
          <w:vertAlign w:val="baseline"/>
        </w:rPr>
        <w:footnoteRef/>
      </w:r>
      <w:r w:rsidRPr="00BE7448">
        <w:t xml:space="preserve"> </w:t>
      </w:r>
      <w:r w:rsidRPr="00BE7448">
        <w:tab/>
        <w:t>https://immunisationhandbook.health.gov.au/contents/ vaccine-preventable-diseases/meningococcal-disease.</w:t>
      </w:r>
    </w:p>
  </w:footnote>
  <w:footnote w:id="4">
    <w:p w14:paraId="5DE100E0" w14:textId="4EB02EFF" w:rsidR="009254C3" w:rsidRPr="00BE7448" w:rsidRDefault="009254C3" w:rsidP="009B4896">
      <w:pPr>
        <w:pStyle w:val="CDIfootnotes"/>
      </w:pPr>
      <w:r w:rsidRPr="00BE7448">
        <w:rPr>
          <w:rStyle w:val="FootnoteReference"/>
          <w:vertAlign w:val="baseline"/>
        </w:rPr>
        <w:footnoteRef/>
      </w:r>
      <w:r w:rsidRPr="00BE7448">
        <w:t xml:space="preserve"> </w:t>
      </w:r>
      <w:r w:rsidRPr="00BE7448">
        <w:tab/>
        <w:t>https://immunisationhandbook.health.gov.au/contents/ vaccine-preventable-diseases/tuberculosis.</w:t>
      </w:r>
    </w:p>
  </w:footnote>
  <w:footnote w:id="5">
    <w:p w14:paraId="19C59BE4" w14:textId="366099D7" w:rsidR="00CD48E7" w:rsidRPr="00BE7448" w:rsidRDefault="00CD48E7" w:rsidP="009B4896">
      <w:pPr>
        <w:pStyle w:val="CDIfootnotes"/>
      </w:pPr>
      <w:r w:rsidRPr="00BE7448">
        <w:rPr>
          <w:rStyle w:val="FootnoteReference"/>
          <w:vertAlign w:val="baseline"/>
        </w:rPr>
        <w:footnoteRef/>
      </w:r>
      <w:r w:rsidRPr="00BE7448">
        <w:t xml:space="preserve"> </w:t>
      </w:r>
      <w:r w:rsidRPr="00BE7448">
        <w:tab/>
        <w:t>https://immunisationhandbook.health.gov.au/vaccination-for-special-risk-groups.</w:t>
      </w:r>
    </w:p>
  </w:footnote>
  <w:footnote w:id="6">
    <w:p w14:paraId="1B0657D7" w14:textId="1A6B8FA1" w:rsidR="00BE7448" w:rsidRPr="00BE7448" w:rsidRDefault="00BE7448" w:rsidP="009B4896">
      <w:pPr>
        <w:pStyle w:val="CDIfootnotes"/>
      </w:pPr>
      <w:r w:rsidRPr="00BE7448">
        <w:rPr>
          <w:rStyle w:val="FootnoteReference"/>
          <w:vertAlign w:val="baseline"/>
        </w:rPr>
        <w:footnoteRef/>
      </w:r>
      <w:r w:rsidRPr="00BE7448">
        <w:t xml:space="preserve"> </w:t>
      </w:r>
      <w:r w:rsidRPr="00BE7448">
        <w:tab/>
        <w:t>https://ausvaxsafety.org.au/.</w:t>
      </w:r>
    </w:p>
  </w:footnote>
  <w:footnote w:id="7">
    <w:p w14:paraId="2FC15001" w14:textId="543EF1C4" w:rsidR="009B4896" w:rsidRPr="009B4896" w:rsidRDefault="009B4896" w:rsidP="009B4896">
      <w:pPr>
        <w:pStyle w:val="CDIfootnotes"/>
      </w:pPr>
      <w:r w:rsidRPr="009B4896">
        <w:rPr>
          <w:rStyle w:val="FootnoteReference"/>
          <w:vertAlign w:val="baseline"/>
        </w:rPr>
        <w:footnoteRef/>
      </w:r>
      <w:r w:rsidRPr="009B4896">
        <w:t xml:space="preserve"> </w:t>
      </w:r>
      <w:r w:rsidRPr="009B4896">
        <w:tab/>
        <w:t>https://www.smartvax.com.au/.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881E2" w14:textId="7949A571" w:rsidR="00257484" w:rsidRPr="00A153B6" w:rsidRDefault="00D17929"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B638E0">
          <w:t>Notice to readers</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95A88" w14:textId="77777777" w:rsidR="008B5348" w:rsidRPr="000A5F42" w:rsidRDefault="008B5348" w:rsidP="009D797A">
    <w:pPr>
      <w:pStyle w:val="Header"/>
      <w:spacing w:after="0" w:line="240" w:lineRule="auto"/>
      <w:jc w:val="center"/>
      <w:rPr>
        <w:b/>
      </w:rPr>
    </w:pPr>
    <w:r w:rsidRPr="00E810C5">
      <w:rPr>
        <w:rFonts w:cs="Myriad Pro"/>
        <w:noProof/>
        <w:color w:val="211D1E"/>
        <w:sz w:val="16"/>
      </w:rPr>
      <w:drawing>
        <wp:inline distT="0" distB="0" distL="0" distR="0" wp14:anchorId="11146456" wp14:editId="5659FBF3">
          <wp:extent cx="1971924" cy="593062"/>
          <wp:effectExtent l="0" t="0" r="0" b="0"/>
          <wp:docPr id="1" name="Picture 1" descr="Australian Government -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 Department of Health and Aged Care"/>
                  <pic:cNvPicPr/>
                </pic:nvPicPr>
                <pic:blipFill rotWithShape="1">
                  <a:blip r:embed="rId1">
                    <a:extLst>
                      <a:ext uri="{28A0092B-C50C-407E-A947-70E740481C1C}">
                        <a14:useLocalDpi xmlns:a14="http://schemas.microsoft.com/office/drawing/2010/main" val="0"/>
                      </a:ext>
                    </a:extLst>
                  </a:blip>
                  <a:srcRect t="11900" b="7160"/>
                  <a:stretch/>
                </pic:blipFill>
                <pic:spPr bwMode="auto">
                  <a:xfrm>
                    <a:off x="0" y="0"/>
                    <a:ext cx="2009585" cy="60438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60979"/>
    <w:multiLevelType w:val="multilevel"/>
    <w:tmpl w:val="3B22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74D6037"/>
    <w:multiLevelType w:val="multilevel"/>
    <w:tmpl w:val="C0F89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141FE9"/>
    <w:multiLevelType w:val="multilevel"/>
    <w:tmpl w:val="C986C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A01AAB"/>
    <w:multiLevelType w:val="multilevel"/>
    <w:tmpl w:val="82EE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5971E0"/>
    <w:multiLevelType w:val="multilevel"/>
    <w:tmpl w:val="C9347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C73D00"/>
    <w:multiLevelType w:val="multilevel"/>
    <w:tmpl w:val="D06AE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D9D3A96"/>
    <w:multiLevelType w:val="multilevel"/>
    <w:tmpl w:val="87CAF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2E21D2"/>
    <w:multiLevelType w:val="multilevel"/>
    <w:tmpl w:val="72F6A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2933E0"/>
    <w:multiLevelType w:val="multilevel"/>
    <w:tmpl w:val="95404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CF03AF"/>
    <w:multiLevelType w:val="multilevel"/>
    <w:tmpl w:val="1944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470D3C"/>
    <w:multiLevelType w:val="multilevel"/>
    <w:tmpl w:val="B2CE3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4D4402"/>
    <w:multiLevelType w:val="multilevel"/>
    <w:tmpl w:val="6686B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3426FA"/>
    <w:multiLevelType w:val="multilevel"/>
    <w:tmpl w:val="FB800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1E7CDF"/>
    <w:multiLevelType w:val="multilevel"/>
    <w:tmpl w:val="A9300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2B5BE2"/>
    <w:multiLevelType w:val="multilevel"/>
    <w:tmpl w:val="6988F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F7F1F3D"/>
    <w:multiLevelType w:val="multilevel"/>
    <w:tmpl w:val="4E347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B63017"/>
    <w:multiLevelType w:val="multilevel"/>
    <w:tmpl w:val="50984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D17B51"/>
    <w:multiLevelType w:val="multilevel"/>
    <w:tmpl w:val="463CC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475BBB"/>
    <w:multiLevelType w:val="multilevel"/>
    <w:tmpl w:val="0C28A7B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9786772">
    <w:abstractNumId w:val="2"/>
  </w:num>
  <w:num w:numId="2" w16cid:durableId="1350251349">
    <w:abstractNumId w:val="8"/>
  </w:num>
  <w:num w:numId="3" w16cid:durableId="822312589">
    <w:abstractNumId w:val="9"/>
  </w:num>
  <w:num w:numId="4" w16cid:durableId="2103136154">
    <w:abstractNumId w:val="1"/>
  </w:num>
  <w:num w:numId="5" w16cid:durableId="1928074193">
    <w:abstractNumId w:val="19"/>
  </w:num>
  <w:num w:numId="6" w16cid:durableId="31463294">
    <w:abstractNumId w:val="20"/>
  </w:num>
  <w:num w:numId="7" w16cid:durableId="1298224600">
    <w:abstractNumId w:val="15"/>
  </w:num>
  <w:num w:numId="8" w16cid:durableId="724334438">
    <w:abstractNumId w:val="16"/>
  </w:num>
  <w:num w:numId="9" w16cid:durableId="281378466">
    <w:abstractNumId w:val="17"/>
  </w:num>
  <w:num w:numId="10" w16cid:durableId="508952957">
    <w:abstractNumId w:val="10"/>
  </w:num>
  <w:num w:numId="11" w16cid:durableId="1433549774">
    <w:abstractNumId w:val="3"/>
  </w:num>
  <w:num w:numId="12" w16cid:durableId="837615827">
    <w:abstractNumId w:val="12"/>
  </w:num>
  <w:num w:numId="13" w16cid:durableId="619607984">
    <w:abstractNumId w:val="24"/>
  </w:num>
  <w:num w:numId="14" w16cid:durableId="2057462487">
    <w:abstractNumId w:val="5"/>
  </w:num>
  <w:num w:numId="15" w16cid:durableId="1125152249">
    <w:abstractNumId w:val="4"/>
  </w:num>
  <w:num w:numId="16" w16cid:durableId="2028408568">
    <w:abstractNumId w:val="7"/>
  </w:num>
  <w:num w:numId="17" w16cid:durableId="464322581">
    <w:abstractNumId w:val="21"/>
  </w:num>
  <w:num w:numId="18" w16cid:durableId="2001225784">
    <w:abstractNumId w:val="18"/>
  </w:num>
  <w:num w:numId="19" w16cid:durableId="439225155">
    <w:abstractNumId w:val="22"/>
  </w:num>
  <w:num w:numId="20" w16cid:durableId="693384098">
    <w:abstractNumId w:val="0"/>
  </w:num>
  <w:num w:numId="21" w16cid:durableId="1417362260">
    <w:abstractNumId w:val="11"/>
  </w:num>
  <w:num w:numId="22" w16cid:durableId="1234968320">
    <w:abstractNumId w:val="23"/>
  </w:num>
  <w:num w:numId="23" w16cid:durableId="1392191848">
    <w:abstractNumId w:val="13"/>
  </w:num>
  <w:num w:numId="24" w16cid:durableId="983003684">
    <w:abstractNumId w:val="14"/>
  </w:num>
  <w:num w:numId="25" w16cid:durableId="7562954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20"/>
  <w:noPunctuationKerning/>
  <w:characterSpacingControl w:val="doNotCompress"/>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5BD"/>
    <w:rsid w:val="00000B5B"/>
    <w:rsid w:val="00001611"/>
    <w:rsid w:val="000104A8"/>
    <w:rsid w:val="0001246E"/>
    <w:rsid w:val="000124B1"/>
    <w:rsid w:val="00016FE6"/>
    <w:rsid w:val="00031064"/>
    <w:rsid w:val="0003118D"/>
    <w:rsid w:val="00031692"/>
    <w:rsid w:val="00032531"/>
    <w:rsid w:val="000325A0"/>
    <w:rsid w:val="000471BF"/>
    <w:rsid w:val="00047B68"/>
    <w:rsid w:val="00052600"/>
    <w:rsid w:val="0005643C"/>
    <w:rsid w:val="0006264A"/>
    <w:rsid w:val="00073D77"/>
    <w:rsid w:val="00081655"/>
    <w:rsid w:val="000864E0"/>
    <w:rsid w:val="000969B3"/>
    <w:rsid w:val="000A5F42"/>
    <w:rsid w:val="000D4B4D"/>
    <w:rsid w:val="001056F8"/>
    <w:rsid w:val="00113D58"/>
    <w:rsid w:val="001200CB"/>
    <w:rsid w:val="00125B24"/>
    <w:rsid w:val="001378A3"/>
    <w:rsid w:val="00155582"/>
    <w:rsid w:val="00161590"/>
    <w:rsid w:val="001647D9"/>
    <w:rsid w:val="00171CC0"/>
    <w:rsid w:val="001723AC"/>
    <w:rsid w:val="00175494"/>
    <w:rsid w:val="00175629"/>
    <w:rsid w:val="001830EC"/>
    <w:rsid w:val="00183534"/>
    <w:rsid w:val="0018758E"/>
    <w:rsid w:val="001A4A96"/>
    <w:rsid w:val="001A5D05"/>
    <w:rsid w:val="001A796C"/>
    <w:rsid w:val="001B2614"/>
    <w:rsid w:val="001B2C83"/>
    <w:rsid w:val="001B37B8"/>
    <w:rsid w:val="001B552F"/>
    <w:rsid w:val="001C0893"/>
    <w:rsid w:val="001C1303"/>
    <w:rsid w:val="001C70B2"/>
    <w:rsid w:val="001D37C7"/>
    <w:rsid w:val="001D6888"/>
    <w:rsid w:val="001E4E1D"/>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75C5C"/>
    <w:rsid w:val="00275C78"/>
    <w:rsid w:val="00280594"/>
    <w:rsid w:val="00281EE3"/>
    <w:rsid w:val="00284E4A"/>
    <w:rsid w:val="002870C7"/>
    <w:rsid w:val="002A02AE"/>
    <w:rsid w:val="002A3799"/>
    <w:rsid w:val="002A3BCC"/>
    <w:rsid w:val="002A4516"/>
    <w:rsid w:val="002A569F"/>
    <w:rsid w:val="002A7066"/>
    <w:rsid w:val="002B001E"/>
    <w:rsid w:val="002B09B7"/>
    <w:rsid w:val="002B75A9"/>
    <w:rsid w:val="002C21B0"/>
    <w:rsid w:val="002E2FB3"/>
    <w:rsid w:val="002F327B"/>
    <w:rsid w:val="00301626"/>
    <w:rsid w:val="00303ED5"/>
    <w:rsid w:val="003059EC"/>
    <w:rsid w:val="00316401"/>
    <w:rsid w:val="00316CCD"/>
    <w:rsid w:val="00324F7E"/>
    <w:rsid w:val="00327915"/>
    <w:rsid w:val="003323BC"/>
    <w:rsid w:val="00343A3B"/>
    <w:rsid w:val="00346D42"/>
    <w:rsid w:val="00346E11"/>
    <w:rsid w:val="003601C0"/>
    <w:rsid w:val="003635F5"/>
    <w:rsid w:val="00372A88"/>
    <w:rsid w:val="00381A0F"/>
    <w:rsid w:val="003A1B3A"/>
    <w:rsid w:val="003A40F5"/>
    <w:rsid w:val="003B5B8C"/>
    <w:rsid w:val="003C7841"/>
    <w:rsid w:val="003D79B1"/>
    <w:rsid w:val="003E74EE"/>
    <w:rsid w:val="003F0552"/>
    <w:rsid w:val="003F3BC2"/>
    <w:rsid w:val="003F725B"/>
    <w:rsid w:val="00401ED1"/>
    <w:rsid w:val="0040224C"/>
    <w:rsid w:val="00413EE1"/>
    <w:rsid w:val="004164BB"/>
    <w:rsid w:val="0042000E"/>
    <w:rsid w:val="00421ECE"/>
    <w:rsid w:val="00422FEB"/>
    <w:rsid w:val="0042435E"/>
    <w:rsid w:val="004315F5"/>
    <w:rsid w:val="00433456"/>
    <w:rsid w:val="00433DFA"/>
    <w:rsid w:val="00435D67"/>
    <w:rsid w:val="00464A58"/>
    <w:rsid w:val="00473D2D"/>
    <w:rsid w:val="004762B2"/>
    <w:rsid w:val="004A2125"/>
    <w:rsid w:val="004A38F6"/>
    <w:rsid w:val="004B4EB6"/>
    <w:rsid w:val="004C083C"/>
    <w:rsid w:val="004C67C6"/>
    <w:rsid w:val="004D29DE"/>
    <w:rsid w:val="00510EAC"/>
    <w:rsid w:val="00520FB3"/>
    <w:rsid w:val="00542A57"/>
    <w:rsid w:val="00565974"/>
    <w:rsid w:val="005732C0"/>
    <w:rsid w:val="0057336D"/>
    <w:rsid w:val="0057489A"/>
    <w:rsid w:val="00574ACF"/>
    <w:rsid w:val="00581588"/>
    <w:rsid w:val="00584D5F"/>
    <w:rsid w:val="0058540B"/>
    <w:rsid w:val="00587C87"/>
    <w:rsid w:val="00590B80"/>
    <w:rsid w:val="005B3134"/>
    <w:rsid w:val="005B4E61"/>
    <w:rsid w:val="005B595A"/>
    <w:rsid w:val="005B66C2"/>
    <w:rsid w:val="005C66A6"/>
    <w:rsid w:val="005D2465"/>
    <w:rsid w:val="005E33DD"/>
    <w:rsid w:val="005E4229"/>
    <w:rsid w:val="005E5181"/>
    <w:rsid w:val="005E540E"/>
    <w:rsid w:val="005E55FB"/>
    <w:rsid w:val="005F16BB"/>
    <w:rsid w:val="005F76A6"/>
    <w:rsid w:val="00607115"/>
    <w:rsid w:val="00617EAA"/>
    <w:rsid w:val="00620768"/>
    <w:rsid w:val="0062158A"/>
    <w:rsid w:val="00622815"/>
    <w:rsid w:val="0062594B"/>
    <w:rsid w:val="00631406"/>
    <w:rsid w:val="006324FF"/>
    <w:rsid w:val="006351D6"/>
    <w:rsid w:val="00636E0D"/>
    <w:rsid w:val="00637460"/>
    <w:rsid w:val="00641325"/>
    <w:rsid w:val="0064142F"/>
    <w:rsid w:val="00643CB4"/>
    <w:rsid w:val="0064558B"/>
    <w:rsid w:val="00656427"/>
    <w:rsid w:val="00660255"/>
    <w:rsid w:val="00663EA5"/>
    <w:rsid w:val="00676EDB"/>
    <w:rsid w:val="00687875"/>
    <w:rsid w:val="00692873"/>
    <w:rsid w:val="006971F3"/>
    <w:rsid w:val="006B278B"/>
    <w:rsid w:val="006C74A3"/>
    <w:rsid w:val="006D1381"/>
    <w:rsid w:val="006D31BC"/>
    <w:rsid w:val="006E7943"/>
    <w:rsid w:val="006F24EA"/>
    <w:rsid w:val="00704CA9"/>
    <w:rsid w:val="0071048D"/>
    <w:rsid w:val="00710F86"/>
    <w:rsid w:val="007111A8"/>
    <w:rsid w:val="00723B5F"/>
    <w:rsid w:val="00731BC3"/>
    <w:rsid w:val="00741192"/>
    <w:rsid w:val="00743A33"/>
    <w:rsid w:val="00746080"/>
    <w:rsid w:val="0075144A"/>
    <w:rsid w:val="00765CF9"/>
    <w:rsid w:val="0077255B"/>
    <w:rsid w:val="007738C3"/>
    <w:rsid w:val="00786329"/>
    <w:rsid w:val="00792C7D"/>
    <w:rsid w:val="00794A4D"/>
    <w:rsid w:val="007A5234"/>
    <w:rsid w:val="007B7854"/>
    <w:rsid w:val="007C56A1"/>
    <w:rsid w:val="007C6454"/>
    <w:rsid w:val="007E01E0"/>
    <w:rsid w:val="007E5CA0"/>
    <w:rsid w:val="007E71CE"/>
    <w:rsid w:val="007F0B93"/>
    <w:rsid w:val="007F2ECA"/>
    <w:rsid w:val="00802960"/>
    <w:rsid w:val="00811708"/>
    <w:rsid w:val="00816B90"/>
    <w:rsid w:val="00817799"/>
    <w:rsid w:val="00822F5F"/>
    <w:rsid w:val="00824FD3"/>
    <w:rsid w:val="00826589"/>
    <w:rsid w:val="00834BCC"/>
    <w:rsid w:val="008479B1"/>
    <w:rsid w:val="00850D54"/>
    <w:rsid w:val="00852E2B"/>
    <w:rsid w:val="008714B0"/>
    <w:rsid w:val="00876331"/>
    <w:rsid w:val="00880726"/>
    <w:rsid w:val="008A3544"/>
    <w:rsid w:val="008B48B8"/>
    <w:rsid w:val="008B5348"/>
    <w:rsid w:val="008B58F8"/>
    <w:rsid w:val="008B62FF"/>
    <w:rsid w:val="008C0712"/>
    <w:rsid w:val="008C4520"/>
    <w:rsid w:val="008C5F09"/>
    <w:rsid w:val="008D470F"/>
    <w:rsid w:val="008E1F8F"/>
    <w:rsid w:val="008E4768"/>
    <w:rsid w:val="008E761E"/>
    <w:rsid w:val="008E790A"/>
    <w:rsid w:val="008F77B3"/>
    <w:rsid w:val="009008F5"/>
    <w:rsid w:val="00904CC1"/>
    <w:rsid w:val="009066AF"/>
    <w:rsid w:val="00912050"/>
    <w:rsid w:val="00912E48"/>
    <w:rsid w:val="00912E68"/>
    <w:rsid w:val="009254C3"/>
    <w:rsid w:val="0092746F"/>
    <w:rsid w:val="00933BED"/>
    <w:rsid w:val="00935DC9"/>
    <w:rsid w:val="009446C0"/>
    <w:rsid w:val="0096082E"/>
    <w:rsid w:val="00961347"/>
    <w:rsid w:val="00967410"/>
    <w:rsid w:val="00967D73"/>
    <w:rsid w:val="0098119A"/>
    <w:rsid w:val="00984AAF"/>
    <w:rsid w:val="00991B09"/>
    <w:rsid w:val="00993CB2"/>
    <w:rsid w:val="009A5166"/>
    <w:rsid w:val="009A6867"/>
    <w:rsid w:val="009A76F8"/>
    <w:rsid w:val="009B2B83"/>
    <w:rsid w:val="009B4896"/>
    <w:rsid w:val="009C49F8"/>
    <w:rsid w:val="009D4B1C"/>
    <w:rsid w:val="009D77CC"/>
    <w:rsid w:val="009D797A"/>
    <w:rsid w:val="009E2423"/>
    <w:rsid w:val="009E55D7"/>
    <w:rsid w:val="009F4150"/>
    <w:rsid w:val="009F5665"/>
    <w:rsid w:val="009F5DAD"/>
    <w:rsid w:val="00A01BCA"/>
    <w:rsid w:val="00A10458"/>
    <w:rsid w:val="00A153B6"/>
    <w:rsid w:val="00A164D5"/>
    <w:rsid w:val="00A273C3"/>
    <w:rsid w:val="00A30C37"/>
    <w:rsid w:val="00A36C65"/>
    <w:rsid w:val="00A41BBE"/>
    <w:rsid w:val="00A443E3"/>
    <w:rsid w:val="00A45BDD"/>
    <w:rsid w:val="00A46A0A"/>
    <w:rsid w:val="00A553F8"/>
    <w:rsid w:val="00A6708F"/>
    <w:rsid w:val="00A71BF6"/>
    <w:rsid w:val="00A72AF9"/>
    <w:rsid w:val="00A86F9A"/>
    <w:rsid w:val="00AA35E6"/>
    <w:rsid w:val="00AA50B6"/>
    <w:rsid w:val="00AB3472"/>
    <w:rsid w:val="00AC7405"/>
    <w:rsid w:val="00AD0762"/>
    <w:rsid w:val="00AE0209"/>
    <w:rsid w:val="00AE3DCF"/>
    <w:rsid w:val="00AE4452"/>
    <w:rsid w:val="00AE7C38"/>
    <w:rsid w:val="00AF75BD"/>
    <w:rsid w:val="00B01F99"/>
    <w:rsid w:val="00B02B37"/>
    <w:rsid w:val="00B05276"/>
    <w:rsid w:val="00B132DB"/>
    <w:rsid w:val="00B31427"/>
    <w:rsid w:val="00B33861"/>
    <w:rsid w:val="00B40DE2"/>
    <w:rsid w:val="00B50210"/>
    <w:rsid w:val="00B50D8D"/>
    <w:rsid w:val="00B53955"/>
    <w:rsid w:val="00B53BFC"/>
    <w:rsid w:val="00B638E0"/>
    <w:rsid w:val="00B63C79"/>
    <w:rsid w:val="00B6408A"/>
    <w:rsid w:val="00B6478A"/>
    <w:rsid w:val="00B714B8"/>
    <w:rsid w:val="00B82C2C"/>
    <w:rsid w:val="00B8720B"/>
    <w:rsid w:val="00B876EF"/>
    <w:rsid w:val="00B91FB5"/>
    <w:rsid w:val="00BA4697"/>
    <w:rsid w:val="00BB2E17"/>
    <w:rsid w:val="00BB5378"/>
    <w:rsid w:val="00BC0BD3"/>
    <w:rsid w:val="00BD0107"/>
    <w:rsid w:val="00BE0C33"/>
    <w:rsid w:val="00BE262C"/>
    <w:rsid w:val="00BE39D3"/>
    <w:rsid w:val="00BE3E98"/>
    <w:rsid w:val="00BE4C25"/>
    <w:rsid w:val="00BE6C3D"/>
    <w:rsid w:val="00BE7448"/>
    <w:rsid w:val="00C07606"/>
    <w:rsid w:val="00C12542"/>
    <w:rsid w:val="00C130EE"/>
    <w:rsid w:val="00C24725"/>
    <w:rsid w:val="00C30BA9"/>
    <w:rsid w:val="00C3541E"/>
    <w:rsid w:val="00C36A8F"/>
    <w:rsid w:val="00C42834"/>
    <w:rsid w:val="00C42FFA"/>
    <w:rsid w:val="00C507D8"/>
    <w:rsid w:val="00C51F5A"/>
    <w:rsid w:val="00C52DB8"/>
    <w:rsid w:val="00C57018"/>
    <w:rsid w:val="00C62EAC"/>
    <w:rsid w:val="00C63F9F"/>
    <w:rsid w:val="00C7723C"/>
    <w:rsid w:val="00C838F5"/>
    <w:rsid w:val="00C841C0"/>
    <w:rsid w:val="00C84BAD"/>
    <w:rsid w:val="00CA1AF4"/>
    <w:rsid w:val="00CA6068"/>
    <w:rsid w:val="00CB091B"/>
    <w:rsid w:val="00CB15E1"/>
    <w:rsid w:val="00CB21F3"/>
    <w:rsid w:val="00CB3D46"/>
    <w:rsid w:val="00CD1A87"/>
    <w:rsid w:val="00CD35F3"/>
    <w:rsid w:val="00CD48E7"/>
    <w:rsid w:val="00CD5C93"/>
    <w:rsid w:val="00CE342B"/>
    <w:rsid w:val="00CF320C"/>
    <w:rsid w:val="00CF3A4B"/>
    <w:rsid w:val="00CF4001"/>
    <w:rsid w:val="00CF75DF"/>
    <w:rsid w:val="00D05837"/>
    <w:rsid w:val="00D11F75"/>
    <w:rsid w:val="00D12D8A"/>
    <w:rsid w:val="00D13E0C"/>
    <w:rsid w:val="00D25896"/>
    <w:rsid w:val="00D373A1"/>
    <w:rsid w:val="00D37C0F"/>
    <w:rsid w:val="00D45661"/>
    <w:rsid w:val="00D45943"/>
    <w:rsid w:val="00D47D22"/>
    <w:rsid w:val="00D51865"/>
    <w:rsid w:val="00D51D0C"/>
    <w:rsid w:val="00D74140"/>
    <w:rsid w:val="00DA6E56"/>
    <w:rsid w:val="00DA78DD"/>
    <w:rsid w:val="00DB1C65"/>
    <w:rsid w:val="00DB260C"/>
    <w:rsid w:val="00DB52D1"/>
    <w:rsid w:val="00DB56D4"/>
    <w:rsid w:val="00DC24E5"/>
    <w:rsid w:val="00DC6573"/>
    <w:rsid w:val="00DC6705"/>
    <w:rsid w:val="00DD2DE8"/>
    <w:rsid w:val="00DE38B4"/>
    <w:rsid w:val="00DE5D02"/>
    <w:rsid w:val="00DF2102"/>
    <w:rsid w:val="00E005A9"/>
    <w:rsid w:val="00E065BA"/>
    <w:rsid w:val="00E1166E"/>
    <w:rsid w:val="00E24DC0"/>
    <w:rsid w:val="00E2519C"/>
    <w:rsid w:val="00E25F2A"/>
    <w:rsid w:val="00E41455"/>
    <w:rsid w:val="00E42AD2"/>
    <w:rsid w:val="00E50856"/>
    <w:rsid w:val="00E52252"/>
    <w:rsid w:val="00E538CC"/>
    <w:rsid w:val="00E54BBD"/>
    <w:rsid w:val="00E54DBA"/>
    <w:rsid w:val="00E63D7C"/>
    <w:rsid w:val="00E640D5"/>
    <w:rsid w:val="00E66E2E"/>
    <w:rsid w:val="00E67691"/>
    <w:rsid w:val="00E90508"/>
    <w:rsid w:val="00E92237"/>
    <w:rsid w:val="00E951EF"/>
    <w:rsid w:val="00EA3D54"/>
    <w:rsid w:val="00EA56D9"/>
    <w:rsid w:val="00EA5CE3"/>
    <w:rsid w:val="00EB0A75"/>
    <w:rsid w:val="00EB51C1"/>
    <w:rsid w:val="00EB5AE1"/>
    <w:rsid w:val="00EB5E0B"/>
    <w:rsid w:val="00EC2171"/>
    <w:rsid w:val="00ED442D"/>
    <w:rsid w:val="00ED70C2"/>
    <w:rsid w:val="00EE18FF"/>
    <w:rsid w:val="00EE3E29"/>
    <w:rsid w:val="00EE489F"/>
    <w:rsid w:val="00EF3C2E"/>
    <w:rsid w:val="00EF65BB"/>
    <w:rsid w:val="00F05BC7"/>
    <w:rsid w:val="00F0647F"/>
    <w:rsid w:val="00F06ADB"/>
    <w:rsid w:val="00F10CE3"/>
    <w:rsid w:val="00F12006"/>
    <w:rsid w:val="00F13443"/>
    <w:rsid w:val="00F14F3B"/>
    <w:rsid w:val="00F16362"/>
    <w:rsid w:val="00F207C7"/>
    <w:rsid w:val="00F36B6D"/>
    <w:rsid w:val="00F43FA3"/>
    <w:rsid w:val="00F55648"/>
    <w:rsid w:val="00F64ACA"/>
    <w:rsid w:val="00F70046"/>
    <w:rsid w:val="00F748C2"/>
    <w:rsid w:val="00F74958"/>
    <w:rsid w:val="00F76C5C"/>
    <w:rsid w:val="00F81EF3"/>
    <w:rsid w:val="00F84496"/>
    <w:rsid w:val="00F85DCB"/>
    <w:rsid w:val="00F86F9C"/>
    <w:rsid w:val="00F90D76"/>
    <w:rsid w:val="00FC002E"/>
    <w:rsid w:val="00FC4C23"/>
    <w:rsid w:val="00FC642E"/>
    <w:rsid w:val="00FE2AE4"/>
    <w:rsid w:val="00FE689F"/>
    <w:rsid w:val="00FE7809"/>
    <w:rsid w:val="00FF27F6"/>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42D232"/>
  <w15:docId w15:val="{F3854600-8220-4534-90C4-C06885F43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460"/>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5E5181"/>
    <w:pPr>
      <w:spacing w:after="0" w:line="240" w:lineRule="auto"/>
      <w:jc w:val="center"/>
    </w:pPr>
    <w:rPr>
      <w:rFonts w:ascii="Calibri" w:hAnsi="Calibri"/>
      <w:color w:val="000000" w:themeColor="text1"/>
    </w:rPr>
    <w:tblPr>
      <w:tblStyleRowBandSize w:val="1"/>
      <w:tblCellMar>
        <w:top w:w="57" w:type="dxa"/>
        <w:left w:w="57" w:type="dxa"/>
        <w:bottom w:w="57" w:type="dxa"/>
        <w:right w:w="57" w:type="dxa"/>
      </w:tblCellMar>
    </w:tblPr>
    <w:tcPr>
      <w:vAlign w:val="center"/>
    </w:tcPr>
    <w:tblStylePr w:type="firstRow">
      <w:pPr>
        <w:jc w:val="center"/>
      </w:pPr>
      <w:rPr>
        <w:rFonts w:asciiTheme="minorHAnsi" w:hAnsiTheme="minorHAnsi"/>
        <w:b/>
        <w:color w:val="FFFFFF" w:themeColor="background1"/>
        <w:sz w:val="22"/>
      </w:rPr>
      <w:tblPr/>
      <w:tcPr>
        <w:tcBorders>
          <w:insideH w:val="single" w:sz="4" w:space="0" w:color="F7ECDD"/>
          <w:insideV w:val="single" w:sz="4" w:space="0" w:color="F7ECDD"/>
        </w:tcBorders>
        <w:shd w:val="clear" w:color="auto" w:fill="404040" w:themeFill="text1" w:themeFillTint="BF"/>
      </w:tcPr>
    </w:tblStylePr>
    <w:tblStylePr w:type="lastRow">
      <w:rPr>
        <w:b/>
      </w:rPr>
      <w:tblPr/>
      <w:tcPr>
        <w:shd w:val="clear" w:color="auto" w:fill="F7ECDD"/>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UnresolvedMention">
    <w:name w:val="Unresolved Mention"/>
    <w:basedOn w:val="DefaultParagraphFont"/>
    <w:uiPriority w:val="99"/>
    <w:semiHidden/>
    <w:unhideWhenUsed/>
    <w:rsid w:val="00B50D8D"/>
    <w:rPr>
      <w:color w:val="605E5C"/>
      <w:shd w:val="clear" w:color="auto" w:fill="E1DFDD"/>
    </w:rPr>
  </w:style>
  <w:style w:type="paragraph" w:customStyle="1" w:styleId="Pa3">
    <w:name w:val="Pa3"/>
    <w:basedOn w:val="Normal"/>
    <w:next w:val="Normal"/>
    <w:uiPriority w:val="99"/>
    <w:rsid w:val="00BE39D3"/>
    <w:pPr>
      <w:autoSpaceDE w:val="0"/>
      <w:autoSpaceDN w:val="0"/>
      <w:adjustRightInd w:val="0"/>
      <w:spacing w:after="0" w:line="241" w:lineRule="atLeast"/>
    </w:pPr>
    <w:rPr>
      <w:rFonts w:ascii="Myriad Variable Concept" w:hAnsi="Myriad Variable Concept"/>
      <w:sz w:val="24"/>
      <w:szCs w:val="24"/>
    </w:rPr>
  </w:style>
  <w:style w:type="paragraph" w:customStyle="1" w:styleId="Pa6">
    <w:name w:val="Pa6"/>
    <w:basedOn w:val="Normal"/>
    <w:next w:val="Normal"/>
    <w:uiPriority w:val="99"/>
    <w:rsid w:val="00BE7448"/>
    <w:pPr>
      <w:autoSpaceDE w:val="0"/>
      <w:autoSpaceDN w:val="0"/>
      <w:adjustRightInd w:val="0"/>
      <w:spacing w:after="0" w:line="241" w:lineRule="atLeas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8127176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creativecommons.org/licenses/by-nc-nd/4.0/legalcode" TargetMode="External"/><Relationship Id="rId3" Type="http://schemas.openxmlformats.org/officeDocument/2006/relationships/numbering" Target="numbering.xml"/><Relationship Id="rId21" Type="http://schemas.openxmlformats.org/officeDocument/2006/relationships/hyperlink" Target="http://www.health.gov.au/cdna"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cdi.editor@health.gov.au" TargetMode="External"/><Relationship Id="rId2" Type="http://schemas.openxmlformats.org/officeDocument/2006/relationships/customXml" Target="../customXml/item2.xml"/><Relationship Id="rId16" Type="http://schemas.openxmlformats.org/officeDocument/2006/relationships/hyperlink" Target="http://health.gov.au/cdi" TargetMode="External"/><Relationship Id="rId20" Type="http://schemas.openxmlformats.org/officeDocument/2006/relationships/hyperlink" Target="mailto:copyright@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cdi.editor@health.gov.au"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www.itsanhonour.gov.au/" TargetMode="External"/><Relationship Id="rId4" Type="http://schemas.openxmlformats.org/officeDocument/2006/relationships/styles" Target="styles.xml"/><Relationship Id="rId9" Type="http://schemas.openxmlformats.org/officeDocument/2006/relationships/hyperlink" Target="http://health.gov.au/cdi" TargetMode="External"/><Relationship Id="rId14" Type="http://schemas.openxmlformats.org/officeDocument/2006/relationships/hyperlink" Target="http://www.health.gov.au/cdi"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3\template-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template-2023.dotx</Template>
  <TotalTime>66</TotalTime>
  <Pages>20</Pages>
  <Words>6513</Words>
  <Characters>41838</Characters>
  <Application>Microsoft Office Word</Application>
  <DocSecurity>0</DocSecurity>
  <Lines>348</Lines>
  <Paragraphs>96</Paragraphs>
  <ScaleCrop>false</ScaleCrop>
  <HeadingPairs>
    <vt:vector size="2" baseType="variant">
      <vt:variant>
        <vt:lpstr>Title</vt:lpstr>
      </vt:variant>
      <vt:variant>
        <vt:i4>1</vt:i4>
      </vt:variant>
    </vt:vector>
  </HeadingPairs>
  <TitlesOfParts>
    <vt:vector size="1" baseType="lpstr">
      <vt:lpstr>Communicable Diseases Intelligence - ATAGI 2023 Annual Statement on Immunisation </vt:lpstr>
    </vt:vector>
  </TitlesOfParts>
  <Company>Australian Government, Department of Health</Company>
  <LinksUpToDate>false</LinksUpToDate>
  <CharactersWithSpaces>48255</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ATAGI 2023 Annual Statement on Immunisation </dc:title>
  <dc:subject>The Australian Technical Advisory Group on Immunisation (ATAGI) 2023 Annual Statement on Immunisation is the third publication in this series. It highlights the key successes, trends and challenges in the use of vaccines and control of vaccine preventable diseases (VPDs) in Australia in 2022. It also signals ATAGI’s priority actions for addressing key issues for 2023 and beyond.</dc:subject>
  <dc:creator>Madeline Valeri, Shireen Durrani, Catherine Tran, Clayton Chiu, Kristine K Macartney, Michelle L Giles, Nigel W Crawford on behalf of the Australian Technical Advisory Group on Immunisation </dc:creator>
  <dc:description>© Commonwealth of Australia CC BY-NC-ND ISSN: 2209-6051 (Online)</dc:description>
  <cp:lastModifiedBy>YOUSEFI, Kasra</cp:lastModifiedBy>
  <cp:revision>6</cp:revision>
  <cp:lastPrinted>2018-05-10T02:19:00Z</cp:lastPrinted>
  <dcterms:created xsi:type="dcterms:W3CDTF">2023-07-04T06:36:00Z</dcterms:created>
  <dcterms:modified xsi:type="dcterms:W3CDTF">2023-07-21T00:37:00Z</dcterms:modified>
  <cp:category>Notice to readers</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2023</vt:lpwstr>
  </property>
  <property fmtid="{D5CDD505-2E9C-101B-9397-08002B2CF9AE}" pid="3" name="Vol">
    <vt:i4>47</vt:i4>
  </property>
  <property fmtid="{D5CDD505-2E9C-101B-9397-08002B2CF9AE}" pid="4" name="ePubDate">
    <vt:lpwstr>27/7/2023</vt:lpwstr>
  </property>
  <property fmtid="{D5CDD505-2E9C-101B-9397-08002B2CF9AE}" pid="5" name="DOI">
    <vt:lpwstr>https://doi.org/10.33321/cdi.2023.47.42</vt:lpwstr>
  </property>
</Properties>
</file>