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90E" w:rsidRDefault="009B090E" w:rsidP="009B090E">
      <w:pPr>
        <w:pStyle w:val="Title"/>
        <w:rPr>
          <w:sz w:val="24"/>
          <w:szCs w:val="24"/>
        </w:rPr>
      </w:pPr>
      <w:r>
        <w:t xml:space="preserve">COVID-19 Australia: Epidemiology Report 34 </w:t>
      </w:r>
    </w:p>
    <w:p w:rsidR="009B090E" w:rsidRDefault="009B090E" w:rsidP="009B090E">
      <w:pPr>
        <w:pStyle w:val="Subtitle"/>
        <w:rPr>
          <w:rFonts w:eastAsia="Times New Roman"/>
        </w:rPr>
      </w:pPr>
      <w:r>
        <w:rPr>
          <w:rFonts w:eastAsia="Times New Roman"/>
        </w:rPr>
        <w:t xml:space="preserve">Reporting period ending 31 January 2021 </w:t>
      </w:r>
    </w:p>
    <w:p w:rsidR="009B090E" w:rsidRDefault="009B090E" w:rsidP="009B090E">
      <w:r>
        <w:t xml:space="preserve">COVID-19 National Incident Room Surveillance Team </w:t>
      </w:r>
    </w:p>
    <w:p w:rsidR="009B090E" w:rsidRPr="009B090E" w:rsidRDefault="009B090E" w:rsidP="009B090E">
      <w:pPr>
        <w:pStyle w:val="Heading1"/>
      </w:pPr>
      <w:r w:rsidRPr="009B090E">
        <w:t xml:space="preserve">Summary </w:t>
      </w:r>
    </w:p>
    <w:bookmarkStart w:id="0" w:name="_GoBack"/>
    <w:p w:rsidR="009B090E" w:rsidRDefault="009B090E" w:rsidP="009B090E">
      <w:pPr>
        <w:pStyle w:val="NormalWeb"/>
      </w:pPr>
      <w:r>
        <w:rPr>
          <w:noProof/>
        </w:rPr>
        <mc:AlternateContent>
          <mc:Choice Requires="wps">
            <w:drawing>
              <wp:inline distT="0" distB="0" distL="0" distR="0">
                <wp:extent cx="6625424" cy="6694999"/>
                <wp:effectExtent l="0" t="0" r="23495" b="1079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6694999"/>
                        </a:xfrm>
                        <a:prstGeom prst="rect">
                          <a:avLst/>
                        </a:prstGeom>
                        <a:solidFill>
                          <a:schemeClr val="accent6">
                            <a:lumMod val="20000"/>
                            <a:lumOff val="80000"/>
                            <a:alpha val="27843"/>
                          </a:schemeClr>
                        </a:solidFill>
                        <a:ln w="3175">
                          <a:solidFill>
                            <a:srgbClr val="FFC000"/>
                          </a:solidFill>
                          <a:miter lim="800000"/>
                          <a:headEnd/>
                          <a:tailEnd/>
                        </a:ln>
                      </wps:spPr>
                      <wps:txbx>
                        <w:txbxContent>
                          <w:p w:rsidR="004E6AC7" w:rsidRPr="009B090E" w:rsidRDefault="004E6AC7" w:rsidP="00B562A6">
                            <w:pPr>
                              <w:rPr>
                                <w:rFonts w:eastAsia="Times New Roman"/>
                              </w:rPr>
                            </w:pPr>
                            <w:r w:rsidRPr="009B090E">
                              <w:rPr>
                                <w:rStyle w:val="Strong"/>
                                <w:rFonts w:eastAsia="Times New Roman"/>
                                <w:bCs w:val="0"/>
                              </w:rPr>
                              <w:t>Two-week reporting period:</w:t>
                            </w:r>
                          </w:p>
                          <w:p w:rsidR="004E6AC7" w:rsidRDefault="004E6AC7" w:rsidP="00B562A6">
                            <w:r>
                              <w:rPr>
                                <w:rStyle w:val="Strong"/>
                              </w:rPr>
                              <w:t>Trends –</w:t>
                            </w:r>
                            <w:r>
                              <w:t xml:space="preserve"> Australia continues to report low numbers of COVID-19 cases. The daily average number of cases for this reporting period was six compared to an average of 13 cases per day in the previous fortnight. There were 82 cases of COVID-19 and no deaths this fortnight, bringing the cumulative case count to 28,794 with 909 deaths.</w:t>
                            </w:r>
                          </w:p>
                          <w:p w:rsidR="004E6AC7" w:rsidRDefault="004E6AC7" w:rsidP="00B562A6">
                            <w:r>
                              <w:rPr>
                                <w:rStyle w:val="Strong"/>
                              </w:rPr>
                              <w:t>Demographics –</w:t>
                            </w:r>
                            <w:r>
                              <w:t xml:space="preserve"> Demographic trends have remained consistent this reporting period: persons aged ≥ 90 years have the highest cumulative rate of infection; children aged 0–9 years have the lowest rate of infection; and cases in Aboriginal and Torres Strait Islander persons account for less than 1% of all confirmed cases.</w:t>
                            </w:r>
                          </w:p>
                          <w:p w:rsidR="004E6AC7" w:rsidRDefault="004E6AC7" w:rsidP="00B562A6">
                            <w:r>
                              <w:rPr>
                                <w:rStyle w:val="Strong"/>
                              </w:rPr>
                              <w:t>Local cases –</w:t>
                            </w:r>
                            <w:r>
                              <w:t xml:space="preserve"> There were no locally-acquired cases reported in Australia this fortnight, with one case under investigation. This case was linked to a hotel quarantine setting in Western Australia and reported at the end of the reporting period.</w:t>
                            </w:r>
                          </w:p>
                          <w:p w:rsidR="004E6AC7" w:rsidRDefault="004E6AC7" w:rsidP="00B562A6">
                            <w:r>
                              <w:rPr>
                                <w:rStyle w:val="Strong"/>
                              </w:rPr>
                              <w:t>Overseas cases –</w:t>
                            </w:r>
                            <w:r>
                              <w:t xml:space="preserve"> There were 81 overseas-acquired cases this reporting period. Of these, 41% (33/81) were from New South Wales, with the remainder dispersed across all jurisdictions.</w:t>
                            </w:r>
                          </w:p>
                          <w:p w:rsidR="004E6AC7" w:rsidRDefault="004E6AC7" w:rsidP="00B562A6">
                            <w:r>
                              <w:rPr>
                                <w:rStyle w:val="Strong"/>
                              </w:rPr>
                              <w:t xml:space="preserve">Testing – </w:t>
                            </w:r>
                            <w:r>
                              <w:t>Testing rates decreased by 44% compared to the previous fortnight, likely in response to a decrease in locally-acquired cases. The cumulative positivity rate remains low at 0.2%.</w:t>
                            </w:r>
                          </w:p>
                          <w:p w:rsidR="004E6AC7" w:rsidRDefault="004E6AC7" w:rsidP="00B562A6">
                            <w:r>
                              <w:rPr>
                                <w:rStyle w:val="Strong"/>
                              </w:rPr>
                              <w:t>Virology –</w:t>
                            </w:r>
                            <w:r>
                              <w:t xml:space="preserve"> Since 30 November 2020, there have been 64 sequences of the UK variant of concern (B.1.1.7 lineage), eight sequences of the South African variant (B.1.351 lineage) and no cases of the Brazilian variant (P.1 lineage) uploaded to GISAID in Australia as at the end of the reporting period.</w:t>
                            </w:r>
                          </w:p>
                          <w:p w:rsidR="004E6AC7" w:rsidRDefault="004E6AC7" w:rsidP="00B562A6">
                            <w:r>
                              <w:rPr>
                                <w:rStyle w:val="Strong"/>
                              </w:rPr>
                              <w:t>Four-week reporting period:</w:t>
                            </w:r>
                          </w:p>
                          <w:p w:rsidR="004E6AC7" w:rsidRDefault="004E6AC7" w:rsidP="00B562A6">
                            <w:r>
                              <w:rPr>
                                <w:rStyle w:val="Strong"/>
                              </w:rPr>
                              <w:t>Severity –</w:t>
                            </w:r>
                            <w:r>
                              <w:t xml:space="preserve"> For all cases since the beginning of the pandemic, 13% have been admitted to hospital. According to sentinel surveillance data, of hospitalised patients, 19% were admitted to the intensive care unit. The national level cumulative case fatality rate has decreased slightly since the last reporting period, to 3.1%.</w:t>
                            </w:r>
                          </w:p>
                          <w:p w:rsidR="004E6AC7" w:rsidRDefault="004E6AC7" w:rsidP="00B562A6">
                            <w:r>
                              <w:rPr>
                                <w:rStyle w:val="Strong"/>
                              </w:rPr>
                              <w:t>Public health measures –</w:t>
                            </w:r>
                            <w:r>
                              <w:t xml:space="preserve"> In response to cases of variants of concern, short-term lockdowns were implemented in Western Australia and Queensland. Nationally, a number of public health measures were implemented to limit the spread of variants of concern when travelling, including pre-flight testing for travellers entering Australia.</w:t>
                            </w:r>
                          </w:p>
                          <w:p w:rsidR="004E6AC7" w:rsidRDefault="004E6AC7">
                            <w:r>
                              <w:rPr>
                                <w:rStyle w:val="Strong"/>
                              </w:rPr>
                              <w:t>International situation –</w:t>
                            </w:r>
                            <w:r>
                              <w:t xml:space="preserve"> Cumulative global COVID-19 cases and deaths now exceed 100 million and 2 million respectively. A number of countries continued to report high numbers of cases and deaths, with some reporting over 500,000 new cases and 10,000 COVID-19 deaths in the past four weeks.</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521.7pt;height:52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" fillcolor="#fde9d9 [665]" strokecolor="#ffc000" strokeweight=".25pt">
                <v:fill opacity="18247f"/>
                <v:textbox>
                  <w:txbxContent>
                    <w:p w:rsidR="004E6AC7" w:rsidRPr="009B090E" w:rsidRDefault="004E6AC7" w:rsidP="00B562A6">
                      <w:pPr>
                        <w:rPr>
                          <w:rFonts w:eastAsia="Times New Roman"/>
                        </w:rPr>
                      </w:pPr>
                      <w:r w:rsidRPr="009B090E">
                        <w:rPr>
                          <w:rStyle w:val="Strong"/>
                          <w:rFonts w:eastAsia="Times New Roman"/>
                          <w:bCs w:val="0"/>
                        </w:rPr>
                        <w:t>Two-week reporting period:</w:t>
                      </w:r>
                    </w:p>
                    <w:p w:rsidR="004E6AC7" w:rsidRDefault="004E6AC7" w:rsidP="00B562A6">
                      <w:r>
                        <w:rPr>
                          <w:rStyle w:val="Strong"/>
                        </w:rPr>
                        <w:t>Trends –</w:t>
                      </w:r>
                      <w:r>
                        <w:t xml:space="preserve"> Australia continues to report low numbers of COVID-19 cases. The daily average number of cases for this reporting period was six compared to an average of 13 cases per day in the previous fortnight. There were 82 cases of COVID-19 and no deaths this fortnight, bringing the cumulative case count to 28,794 with 909 deaths.</w:t>
                      </w:r>
                    </w:p>
                    <w:p w:rsidR="004E6AC7" w:rsidRDefault="004E6AC7" w:rsidP="00B562A6">
                      <w:r>
                        <w:rPr>
                          <w:rStyle w:val="Strong"/>
                        </w:rPr>
                        <w:t>Demographics –</w:t>
                      </w:r>
                      <w:r>
                        <w:t xml:space="preserve"> Demographic trends have remained consistent this reporting period: persons aged ≥ 90 years have the highest cumulative rate of infection; children aged 0–9 years have the lowest rate of infection; and cases in Aboriginal and Torres Strait Islander persons account for less than 1% of all confirmed cases.</w:t>
                      </w:r>
                    </w:p>
                    <w:p w:rsidR="004E6AC7" w:rsidRDefault="004E6AC7" w:rsidP="00B562A6">
                      <w:r>
                        <w:rPr>
                          <w:rStyle w:val="Strong"/>
                        </w:rPr>
                        <w:t>Local cases –</w:t>
                      </w:r>
                      <w:r>
                        <w:t xml:space="preserve"> There were no locally-acquired cases reported in Australia this fortnight, with one case under investigation. This case was linked to a hotel quarantine setting in Western Australia and reported at the end of the reporting period.</w:t>
                      </w:r>
                    </w:p>
                    <w:p w:rsidR="004E6AC7" w:rsidRDefault="004E6AC7" w:rsidP="00B562A6">
                      <w:r>
                        <w:rPr>
                          <w:rStyle w:val="Strong"/>
                        </w:rPr>
                        <w:t>Overseas cases –</w:t>
                      </w:r>
                      <w:r>
                        <w:t xml:space="preserve"> There were 81 overseas-acquired cases this reporting period. Of these, 41% (33/81) were from New South Wales, with the remainder dispersed across all jurisdictions.</w:t>
                      </w:r>
                    </w:p>
                    <w:p w:rsidR="004E6AC7" w:rsidRDefault="004E6AC7" w:rsidP="00B562A6">
                      <w:r>
                        <w:rPr>
                          <w:rStyle w:val="Strong"/>
                        </w:rPr>
                        <w:t xml:space="preserve">Testing – </w:t>
                      </w:r>
                      <w:r>
                        <w:t>Testing rates decreased by 44% compared to the previous fortnight, likely in response to a decrease in locally-acquired cases. The cumulative positivity rate remains low at 0.2%.</w:t>
                      </w:r>
                    </w:p>
                    <w:p w:rsidR="004E6AC7" w:rsidRDefault="004E6AC7" w:rsidP="00B562A6">
                      <w:r>
                        <w:rPr>
                          <w:rStyle w:val="Strong"/>
                        </w:rPr>
                        <w:t>Virology –</w:t>
                      </w:r>
                      <w:r>
                        <w:t xml:space="preserve"> Since 30 November 2020, there have been 64 sequences of the UK variant of concern (B.1.1.7 lineage), eight sequences of the South African variant (B.1.351 lineage) and no cases of the Brazilian variant (P.1 lineage) uploaded to GISAID in Australia as at the end of the reporting period.</w:t>
                      </w:r>
                    </w:p>
                    <w:p w:rsidR="004E6AC7" w:rsidRDefault="004E6AC7" w:rsidP="00B562A6">
                      <w:r>
                        <w:rPr>
                          <w:rStyle w:val="Strong"/>
                        </w:rPr>
                        <w:t>Four-week reporting period:</w:t>
                      </w:r>
                    </w:p>
                    <w:p w:rsidR="004E6AC7" w:rsidRDefault="004E6AC7" w:rsidP="00B562A6">
                      <w:r>
                        <w:rPr>
                          <w:rStyle w:val="Strong"/>
                        </w:rPr>
                        <w:t>Severity –</w:t>
                      </w:r>
                      <w:r>
                        <w:t xml:space="preserve"> For all cases since the beginning of the pandemic, 13% have been admitted to hospital. According to sentinel surveillance data, of hospitalised patients, 19% were admitted to the intensive care unit. The national level cumulative case fatality rate has decreased slightly since the last reporting period, to 3.1%.</w:t>
                      </w:r>
                    </w:p>
                    <w:p w:rsidR="004E6AC7" w:rsidRDefault="004E6AC7" w:rsidP="00B562A6">
                      <w:r>
                        <w:rPr>
                          <w:rStyle w:val="Strong"/>
                        </w:rPr>
                        <w:t>Public health measures –</w:t>
                      </w:r>
                      <w:r>
                        <w:t xml:space="preserve"> In response to cases of variants of concern, short-term lockdowns were implemented in Western Australia and Queensland. Nationally, a number of public health measures were implemented to limit the spread of variants of concern when travelling, including pre-flight testing for travellers entering Australia.</w:t>
                      </w:r>
                    </w:p>
                    <w:p w:rsidR="004E6AC7" w:rsidRDefault="004E6AC7">
                      <w:r>
                        <w:rPr>
                          <w:rStyle w:val="Strong"/>
                        </w:rPr>
                        <w:t>International situation –</w:t>
                      </w:r>
                      <w:r>
                        <w:t xml:space="preserve"> Cumulative global COVID-19 cases and deaths now exceed 100 million and 2 million respectively. A number of countries continued to report high numbers of cases and deaths, with some reporting over 500,000 new cases and 10,000 COVID-19 deaths in the past four weeks.</w:t>
                      </w:r>
                    </w:p>
                  </w:txbxContent>
                </v:textbox>
                <w10:anchorlock/>
              </v:shape>
            </w:pict>
          </mc:Fallback>
        </mc:AlternateContent>
      </w:r>
      <w:bookmarkEnd w:id="0"/>
      <w:r>
        <w:br w:type="page"/>
      </w:r>
    </w:p>
    <w:p w:rsidR="009B090E" w:rsidRDefault="009B090E" w:rsidP="001D6DA8">
      <w:r>
        <w:lastRenderedPageBreak/>
        <w:t xml:space="preserve">Australia continues to report small numbers of COVID-19 cases when compared internationally. This fortnight, there were no locally-acquired cases reported in Australia, with one case reported as being under investigation in Western Australia at the time of </w:t>
      </w:r>
      <w:r w:rsidR="00330F8E" w:rsidRPr="00330F8E">
        <w:t>reporting</w:t>
      </w:r>
      <w:r>
        <w:t xml:space="preserve">. Recent locally-acquired cases linked to hotel quarantine settings have been associated with variants of concern in international arrivals. With the increasing incidence and concern over variant viruses internationally, a robust quarantine program in Australia remains a key strategy in preventing community transmission. </w:t>
      </w:r>
    </w:p>
    <w:p w:rsidR="009B090E" w:rsidRDefault="009B090E" w:rsidP="001D6DA8">
      <w:r>
        <w:t>At the end of this reporting period, it was one year since the first case of COVID-19 was reported in Australia. A year on, the response to this pandemic has changed dramatically. At the start of 2020, Australia was one of the first nations to introduce restrictions on international arrivals. By the end of March 2020, all international arrivals were required to quarantine for 14 days in a hotel.</w:t>
      </w:r>
      <w:r w:rsidR="004E6AC7">
        <w:rPr>
          <w:rStyle w:val="FootnoteReference"/>
        </w:rPr>
        <w:footnoteReference w:id="2"/>
      </w:r>
      <w:r>
        <w:t xml:space="preserve"> Throughout the year various measures were implemented to restrict human movement and ultimately reduce community transmission. Both the March and </w:t>
      </w:r>
      <w:r w:rsidR="00330F8E">
        <w:t>July</w:t>
      </w:r>
      <w:r>
        <w:t xml:space="preserve"> waves taught vital lessons in our pandemic response. Jurisdictions now have a range of public health measures in their toolbox</w:t>
      </w:r>
      <w:r w:rsidR="00DB153E">
        <w:t xml:space="preserve"> to</w:t>
      </w:r>
      <w:r>
        <w:t xml:space="preserve"> mitigate community transmission. Domestic border controls, mask wearing, restrictions on gatherings, whole genome sequencing, quarantine and self-isolation are now commonly employed to respond to new locally-acquired infections.</w:t>
      </w:r>
      <w:r w:rsidR="00B47EA3">
        <w:t xml:space="preserve"> </w:t>
      </w:r>
      <w:r>
        <w:t xml:space="preserve">As the COVID-19 vaccine program is rolled out in Australia and internationally, public health measures will continue to play an important role in mitigating the burden of COVID-19. </w:t>
      </w:r>
    </w:p>
    <w:p w:rsidR="009B090E" w:rsidRDefault="009B090E" w:rsidP="001D6DA8">
      <w:r>
        <w:t xml:space="preserve">This reporting period covers the last two weeks (18–31 January 2021). The previous reporting period is the preceding two weeks (4–17 January 2021). As Australia continues to experience low numbers of COVID-19 cases, this report is transitioning to a brief update on case numbers each fortnight and a more detailed analysis every four weeks. Acute respiratory illness, severity, clusters and outbreaks, public health response measures and the international situation are reported in detail on a four-weekly basis and are included in this report. The reporting period for these topics covers 4–31 January 2021. For comparability, the previous reporting period is the preceding four weeks (7 December 2020 – 3 January 2021). </w:t>
      </w:r>
    </w:p>
    <w:p w:rsidR="009B090E" w:rsidRDefault="009B090E" w:rsidP="001D6DA8">
      <w:r>
        <w:t xml:space="preserve">Keywords: SARS-CoV-2; novel coronavirus; 2019-nCoV; coronavirus disease 2019; COVID-19; acute respiratory disease; epidemiology; Australia </w:t>
      </w:r>
    </w:p>
    <w:p w:rsidR="004E6AC7" w:rsidRDefault="004E6AC7">
      <w:pPr>
        <w:rPr>
          <w:rFonts w:asciiTheme="majorHAnsi" w:eastAsia="Times New Roman" w:hAnsiTheme="majorHAnsi" w:cstheme="majorBidi"/>
          <w:b/>
          <w:bCs/>
          <w:sz w:val="32"/>
          <w:szCs w:val="28"/>
        </w:rPr>
      </w:pPr>
      <w:r>
        <w:br w:type="page"/>
      </w:r>
    </w:p>
    <w:p w:rsidR="009B090E" w:rsidRDefault="009B090E" w:rsidP="0005608D">
      <w:pPr>
        <w:pStyle w:val="greybackground"/>
      </w:pPr>
      <w:r>
        <w:lastRenderedPageBreak/>
        <w:t xml:space="preserve">Two-week reporting period (18–31 January 2021): </w:t>
      </w:r>
    </w:p>
    <w:p w:rsidR="004256B3" w:rsidRDefault="004256B3" w:rsidP="004256B3">
      <w:pPr>
        <w:pStyle w:val="Heading1"/>
      </w:pPr>
      <w:r w:rsidRPr="004256B3">
        <w:t xml:space="preserve">Background and data sources </w:t>
      </w:r>
    </w:p>
    <w:p w:rsidR="009B090E" w:rsidRDefault="009B090E" w:rsidP="001D6DA8">
      <w:r>
        <w:t>See the Technical Supplement for information on coronavirus disease 19 (COVID-19) including modes of transmission, common symptoms and severity.</w:t>
      </w:r>
      <w:r>
        <w:rPr>
          <w:vertAlign w:val="superscript"/>
        </w:rPr>
        <w:t xml:space="preserve">1 </w:t>
      </w:r>
    </w:p>
    <w:p w:rsidR="009B090E" w:rsidRDefault="009B090E">
      <w:pPr>
        <w:pStyle w:val="Heading1"/>
        <w:rPr>
          <w:rFonts w:eastAsia="Times New Roman"/>
        </w:rPr>
      </w:pPr>
      <w:r>
        <w:rPr>
          <w:rFonts w:eastAsia="Times New Roman"/>
        </w:rPr>
        <w:t xml:space="preserve">Activity </w:t>
      </w:r>
    </w:p>
    <w:p w:rsidR="008A4890" w:rsidRDefault="009B090E" w:rsidP="008A4890">
      <w:pPr>
        <w:pStyle w:val="Heading2"/>
        <w:rPr>
          <w:rFonts w:eastAsia="Times New Roman"/>
        </w:rPr>
      </w:pPr>
      <w:r>
        <w:rPr>
          <w:rFonts w:eastAsia="Times New Roman"/>
        </w:rPr>
        <w:t>Transmissi</w:t>
      </w:r>
      <w:r w:rsidR="008A4890">
        <w:rPr>
          <w:rFonts w:eastAsia="Times New Roman"/>
        </w:rPr>
        <w:t>on trends of confirmed COVID-19</w:t>
      </w:r>
    </w:p>
    <w:p w:rsidR="009B090E" w:rsidRPr="006B1385" w:rsidRDefault="009B090E" w:rsidP="004E6AC7">
      <w:pPr>
        <w:pStyle w:val="Heading3"/>
        <w:spacing w:before="0" w:after="240"/>
        <w:rPr>
          <w:rFonts w:eastAsia="Times New Roman"/>
          <w:b w:val="0"/>
          <w:i/>
        </w:rPr>
      </w:pPr>
      <w:r w:rsidRPr="006B1385">
        <w:rPr>
          <w:rFonts w:eastAsia="Times New Roman"/>
          <w:b w:val="0"/>
          <w:i/>
        </w:rPr>
        <w:t xml:space="preserve">(NNDSS and jurisdictional reporting to NIR) </w:t>
      </w:r>
    </w:p>
    <w:p w:rsidR="009B090E" w:rsidRDefault="009B090E" w:rsidP="001D6DA8">
      <w:r>
        <w:t xml:space="preserve">As at 31 January 2021, there were 28,794 COVID-19 cases including 909 deaths reported nationally, with two distinct peaks in March and July (Figure 1). In this reporting period, there were 82 cases and no deaths reported. On average, six cases were notified each day over this reporting period, a decrease from the average of 13 cases reported per day over the previous reporting period. The largest number of cases diagnosed this fortnight was from New South Wales (40%; 33/82), followed by Victoria (32%; 26/82) (Table 1). </w:t>
      </w:r>
    </w:p>
    <w:p w:rsidR="004E6AC7" w:rsidRDefault="004E6AC7">
      <w:pPr>
        <w:rPr>
          <w:b/>
        </w:rPr>
      </w:pPr>
      <w:r>
        <w:br w:type="page"/>
      </w:r>
    </w:p>
    <w:p w:rsidR="009B090E" w:rsidRDefault="009B090E" w:rsidP="007C603F">
      <w:pPr>
        <w:pStyle w:val="CDIFigures"/>
      </w:pPr>
      <w:r>
        <w:lastRenderedPageBreak/>
        <w:t>Figure 1: COVID-19 notified cases by source of acquisition and diagnosis date, Australia, week ending 31 January 2021</w:t>
      </w:r>
      <w:r w:rsidRPr="007C603F">
        <w:rPr>
          <w:vertAlign w:val="superscript"/>
        </w:rPr>
        <w:t>a</w:t>
      </w:r>
    </w:p>
    <w:p w:rsidR="009B090E" w:rsidRDefault="009B090E">
      <w:pPr>
        <w:rPr>
          <w:rFonts w:eastAsia="Times New Roman"/>
        </w:rPr>
      </w:pPr>
      <w:r>
        <w:rPr>
          <w:rFonts w:eastAsia="Times New Roman"/>
          <w:noProof/>
        </w:rPr>
        <w:drawing>
          <wp:inline distT="0" distB="0" distL="0" distR="0">
            <wp:extent cx="6625424" cy="5964534"/>
            <wp:effectExtent l="0" t="0" r="4445" b="0"/>
            <wp:docPr id="8" name="Picture 8" descr="A bar chart of new case notifications in Australia, by week of illness diagnosis and source of acquisition. There is an evident peak in notifications in the week ending 22 March 2020, with a majority of cases during this time overseas acquired. In contrast, almost all cases from 1 June to 11 October 2020 (and peaking in the weeks ending 26 July and 2 August) have been reported as locally acquired, with overseas-acquired cases once again dominant from mid-October to mid-December 2020. Locally-acquired cases increased again in mid-December, though as of 31 January 2021, there had been no new locally-acquired cases within the past fortn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ar chart of new case notifications in Australia, by week of illness diagnosis and source of acquisition. There is an evident peak in notifications in the week ending 22 March 2020, with a majority of cases during this time overseas acquired. In contrast, almost all cases from 1 June to 11 October 2020 (and peaking in the weeks ending 26 July and 2 August) have been reported as locally acquired, with overseas-acquired cases once again dominant from mid-October to mid-December 2020. Locally-acquired cases increased again in mid-December, though as of 31 January 2021, there had been no new locally-acquired cases within the past fortnight."/>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0663" cy="5969250"/>
                    </a:xfrm>
                    <a:prstGeom prst="rect">
                      <a:avLst/>
                    </a:prstGeom>
                  </pic:spPr>
                </pic:pic>
              </a:graphicData>
            </a:graphic>
          </wp:inline>
        </w:drawing>
      </w:r>
    </w:p>
    <w:p w:rsidR="009B090E" w:rsidRDefault="009B090E" w:rsidP="007C603F">
      <w:pPr>
        <w:pStyle w:val="CDIfootnotes"/>
      </w:pPr>
      <w:proofErr w:type="gramStart"/>
      <w:r>
        <w:t>a</w:t>
      </w:r>
      <w:proofErr w:type="gramEnd"/>
      <w:r>
        <w:tab/>
        <w:t>Source: NNDSS.</w:t>
      </w:r>
    </w:p>
    <w:p w:rsidR="007C603F" w:rsidRDefault="007C603F">
      <w:pPr>
        <w:rPr>
          <w:b/>
        </w:rPr>
      </w:pPr>
      <w:r>
        <w:br w:type="page"/>
      </w:r>
    </w:p>
    <w:p w:rsidR="009B090E" w:rsidRDefault="009B090E" w:rsidP="007C603F">
      <w:pPr>
        <w:pStyle w:val="CDIFigures"/>
      </w:pPr>
      <w:r>
        <w:lastRenderedPageBreak/>
        <w:t>Table 1: COVID-19 notifications by jurisdiction and source of acquisition, Australia, 18–31 January 2021</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1 shows COVID-19 notifications by jurisdiction and by source of acquisition, for the current fortnightly reporting period. The largest number of new COVID-19 notifications (33/82) has been reported in New South Wales, all of which were overseas acquired.  Victoria reported 26 cases, Queensland reported ten cases, and South Australia and the Northern Territory each reported two cases, with all cases in these jurisdictions similarly overseas acquired. Of Western Australia's nine cases, eight were overseas acquired and one case was under investigation. Tasmania and the Australian Capital Territory did not report any cases in this reporting period."/>
      </w:tblPr>
      <w:tblGrid>
        <w:gridCol w:w="2353"/>
        <w:gridCol w:w="898"/>
        <w:gridCol w:w="899"/>
        <w:gridCol w:w="898"/>
        <w:gridCol w:w="899"/>
        <w:gridCol w:w="898"/>
        <w:gridCol w:w="899"/>
        <w:gridCol w:w="898"/>
        <w:gridCol w:w="856"/>
        <w:gridCol w:w="942"/>
      </w:tblGrid>
      <w:tr w:rsidR="007C603F" w:rsidRPr="007C603F" w:rsidTr="00E10964">
        <w:trPr>
          <w:cnfStyle w:val="100000000000" w:firstRow="1" w:lastRow="0" w:firstColumn="0" w:lastColumn="0" w:oddVBand="0" w:evenVBand="0" w:oddHBand="0" w:evenHBand="0" w:firstRowFirstColumn="0" w:firstRowLastColumn="0" w:lastRowFirstColumn="0" w:lastRowLastColumn="0"/>
          <w:tblHeader/>
        </w:trPr>
        <w:tc>
          <w:tcPr>
            <w:tcW w:w="2353" w:type="dxa"/>
            <w:tcBorders>
              <w:right w:val="single" w:sz="2" w:space="0" w:color="FFFFFF" w:themeColor="background1"/>
            </w:tcBorders>
            <w:hideMark/>
          </w:tcPr>
          <w:p w:rsidR="009B090E" w:rsidRPr="007C603F" w:rsidRDefault="009B090E">
            <w:pPr>
              <w:pStyle w:val="NormalWeb"/>
              <w:jc w:val="center"/>
              <w:rPr>
                <w:bCs/>
                <w:color w:val="FFFFFF" w:themeColor="background1"/>
              </w:rPr>
            </w:pPr>
            <w:r w:rsidRPr="007C603F">
              <w:rPr>
                <w:bCs/>
                <w:color w:val="FFFFFF" w:themeColor="background1"/>
              </w:rPr>
              <w:t>Source</w:t>
            </w:r>
          </w:p>
        </w:tc>
        <w:tc>
          <w:tcPr>
            <w:tcW w:w="898" w:type="dxa"/>
            <w:tcBorders>
              <w:left w:val="single" w:sz="2" w:space="0" w:color="FFFFFF" w:themeColor="background1"/>
              <w:right w:val="single" w:sz="2" w:space="0" w:color="FFFFFF" w:themeColor="background1"/>
            </w:tcBorders>
            <w:hideMark/>
          </w:tcPr>
          <w:p w:rsidR="009B090E" w:rsidRPr="007C603F" w:rsidRDefault="009B090E" w:rsidP="006E0F9F">
            <w:pPr>
              <w:pStyle w:val="NormalWeb"/>
              <w:jc w:val="center"/>
              <w:rPr>
                <w:bCs/>
                <w:color w:val="FFFFFF" w:themeColor="background1"/>
              </w:rPr>
            </w:pPr>
            <w:r w:rsidRPr="007C603F">
              <w:rPr>
                <w:bCs/>
                <w:color w:val="FFFFFF" w:themeColor="background1"/>
              </w:rPr>
              <w:t>NSW</w:t>
            </w:r>
          </w:p>
        </w:tc>
        <w:tc>
          <w:tcPr>
            <w:tcW w:w="899" w:type="dxa"/>
            <w:tcBorders>
              <w:left w:val="single" w:sz="2" w:space="0" w:color="FFFFFF" w:themeColor="background1"/>
              <w:right w:val="single" w:sz="2" w:space="0" w:color="FFFFFF" w:themeColor="background1"/>
            </w:tcBorders>
            <w:hideMark/>
          </w:tcPr>
          <w:p w:rsidR="009B090E" w:rsidRPr="007C603F" w:rsidRDefault="009B090E" w:rsidP="006E0F9F">
            <w:pPr>
              <w:pStyle w:val="NormalWeb"/>
              <w:jc w:val="center"/>
              <w:rPr>
                <w:bCs/>
                <w:color w:val="FFFFFF" w:themeColor="background1"/>
              </w:rPr>
            </w:pPr>
            <w:r w:rsidRPr="007C603F">
              <w:rPr>
                <w:bCs/>
                <w:color w:val="FFFFFF" w:themeColor="background1"/>
              </w:rPr>
              <w:t>Vic.</w:t>
            </w:r>
          </w:p>
        </w:tc>
        <w:tc>
          <w:tcPr>
            <w:tcW w:w="898" w:type="dxa"/>
            <w:tcBorders>
              <w:left w:val="single" w:sz="2" w:space="0" w:color="FFFFFF" w:themeColor="background1"/>
              <w:right w:val="single" w:sz="2" w:space="0" w:color="FFFFFF" w:themeColor="background1"/>
            </w:tcBorders>
            <w:hideMark/>
          </w:tcPr>
          <w:p w:rsidR="009B090E" w:rsidRPr="007C603F" w:rsidRDefault="009B090E" w:rsidP="006E0F9F">
            <w:pPr>
              <w:pStyle w:val="NormalWeb"/>
              <w:jc w:val="center"/>
              <w:rPr>
                <w:bCs/>
                <w:color w:val="FFFFFF" w:themeColor="background1"/>
              </w:rPr>
            </w:pPr>
            <w:r w:rsidRPr="007C603F">
              <w:rPr>
                <w:bCs/>
                <w:color w:val="FFFFFF" w:themeColor="background1"/>
              </w:rPr>
              <w:t>Qld</w:t>
            </w:r>
          </w:p>
        </w:tc>
        <w:tc>
          <w:tcPr>
            <w:tcW w:w="899" w:type="dxa"/>
            <w:tcBorders>
              <w:left w:val="single" w:sz="2" w:space="0" w:color="FFFFFF" w:themeColor="background1"/>
              <w:right w:val="single" w:sz="2" w:space="0" w:color="FFFFFF" w:themeColor="background1"/>
            </w:tcBorders>
            <w:hideMark/>
          </w:tcPr>
          <w:p w:rsidR="009B090E" w:rsidRPr="007C603F" w:rsidRDefault="009B090E" w:rsidP="006E0F9F">
            <w:pPr>
              <w:pStyle w:val="NormalWeb"/>
              <w:jc w:val="center"/>
              <w:rPr>
                <w:bCs/>
                <w:color w:val="FFFFFF" w:themeColor="background1"/>
              </w:rPr>
            </w:pPr>
            <w:proofErr w:type="spellStart"/>
            <w:r w:rsidRPr="007C603F">
              <w:rPr>
                <w:bCs/>
                <w:color w:val="FFFFFF" w:themeColor="background1"/>
              </w:rPr>
              <w:t>WA</w:t>
            </w:r>
            <w:r w:rsidRPr="006E0F9F">
              <w:rPr>
                <w:bCs/>
                <w:color w:val="FFFFFF" w:themeColor="background1"/>
                <w:vertAlign w:val="superscript"/>
              </w:rPr>
              <w:t>a</w:t>
            </w:r>
            <w:proofErr w:type="spellEnd"/>
          </w:p>
        </w:tc>
        <w:tc>
          <w:tcPr>
            <w:tcW w:w="898" w:type="dxa"/>
            <w:tcBorders>
              <w:left w:val="single" w:sz="2" w:space="0" w:color="FFFFFF" w:themeColor="background1"/>
              <w:right w:val="single" w:sz="2" w:space="0" w:color="FFFFFF" w:themeColor="background1"/>
            </w:tcBorders>
            <w:hideMark/>
          </w:tcPr>
          <w:p w:rsidR="009B090E" w:rsidRPr="007C603F" w:rsidRDefault="009B090E" w:rsidP="006E0F9F">
            <w:pPr>
              <w:pStyle w:val="NormalWeb"/>
              <w:jc w:val="center"/>
              <w:rPr>
                <w:bCs/>
                <w:color w:val="FFFFFF" w:themeColor="background1"/>
              </w:rPr>
            </w:pPr>
            <w:r w:rsidRPr="007C603F">
              <w:rPr>
                <w:bCs/>
                <w:color w:val="FFFFFF" w:themeColor="background1"/>
              </w:rPr>
              <w:t>SA</w:t>
            </w:r>
          </w:p>
        </w:tc>
        <w:tc>
          <w:tcPr>
            <w:tcW w:w="899" w:type="dxa"/>
            <w:tcBorders>
              <w:left w:val="single" w:sz="2" w:space="0" w:color="FFFFFF" w:themeColor="background1"/>
              <w:right w:val="single" w:sz="2" w:space="0" w:color="FFFFFF" w:themeColor="background1"/>
            </w:tcBorders>
            <w:hideMark/>
          </w:tcPr>
          <w:p w:rsidR="009B090E" w:rsidRPr="007C603F" w:rsidRDefault="009B090E" w:rsidP="006E0F9F">
            <w:pPr>
              <w:pStyle w:val="NormalWeb"/>
              <w:jc w:val="center"/>
              <w:rPr>
                <w:bCs/>
                <w:color w:val="FFFFFF" w:themeColor="background1"/>
              </w:rPr>
            </w:pPr>
            <w:r w:rsidRPr="007C603F">
              <w:rPr>
                <w:bCs/>
                <w:color w:val="FFFFFF" w:themeColor="background1"/>
              </w:rPr>
              <w:t>Tas.</w:t>
            </w:r>
          </w:p>
        </w:tc>
        <w:tc>
          <w:tcPr>
            <w:tcW w:w="898" w:type="dxa"/>
            <w:tcBorders>
              <w:left w:val="single" w:sz="2" w:space="0" w:color="FFFFFF" w:themeColor="background1"/>
              <w:right w:val="single" w:sz="2" w:space="0" w:color="FFFFFF" w:themeColor="background1"/>
            </w:tcBorders>
            <w:hideMark/>
          </w:tcPr>
          <w:p w:rsidR="009B090E" w:rsidRPr="007C603F" w:rsidRDefault="009B090E" w:rsidP="006E0F9F">
            <w:pPr>
              <w:pStyle w:val="NormalWeb"/>
              <w:jc w:val="center"/>
              <w:rPr>
                <w:bCs/>
                <w:color w:val="FFFFFF" w:themeColor="background1"/>
              </w:rPr>
            </w:pPr>
            <w:r w:rsidRPr="007C603F">
              <w:rPr>
                <w:bCs/>
                <w:color w:val="FFFFFF" w:themeColor="background1"/>
              </w:rPr>
              <w:t>NT</w:t>
            </w:r>
          </w:p>
        </w:tc>
        <w:tc>
          <w:tcPr>
            <w:tcW w:w="856" w:type="dxa"/>
            <w:tcBorders>
              <w:left w:val="single" w:sz="2" w:space="0" w:color="FFFFFF" w:themeColor="background1"/>
              <w:right w:val="single" w:sz="2" w:space="0" w:color="FFFFFF" w:themeColor="background1"/>
            </w:tcBorders>
            <w:hideMark/>
          </w:tcPr>
          <w:p w:rsidR="009B090E" w:rsidRPr="007C603F" w:rsidRDefault="009B090E" w:rsidP="006E0F9F">
            <w:pPr>
              <w:pStyle w:val="NormalWeb"/>
              <w:jc w:val="center"/>
              <w:rPr>
                <w:bCs/>
                <w:color w:val="FFFFFF" w:themeColor="background1"/>
              </w:rPr>
            </w:pPr>
            <w:r w:rsidRPr="007C603F">
              <w:rPr>
                <w:bCs/>
                <w:color w:val="FFFFFF" w:themeColor="background1"/>
              </w:rPr>
              <w:t>ACT</w:t>
            </w:r>
          </w:p>
        </w:tc>
        <w:tc>
          <w:tcPr>
            <w:tcW w:w="942" w:type="dxa"/>
            <w:tcBorders>
              <w:left w:val="single" w:sz="2" w:space="0" w:color="FFFFFF" w:themeColor="background1"/>
            </w:tcBorders>
            <w:hideMark/>
          </w:tcPr>
          <w:p w:rsidR="009B090E" w:rsidRPr="007C603F" w:rsidRDefault="009B090E" w:rsidP="006E0F9F">
            <w:pPr>
              <w:pStyle w:val="NormalWeb"/>
              <w:jc w:val="center"/>
              <w:rPr>
                <w:bCs/>
                <w:color w:val="FFFFFF" w:themeColor="background1"/>
              </w:rPr>
            </w:pPr>
            <w:r w:rsidRPr="007C603F">
              <w:rPr>
                <w:bCs/>
                <w:color w:val="FFFFFF" w:themeColor="background1"/>
              </w:rPr>
              <w:t>Australia</w:t>
            </w:r>
          </w:p>
        </w:tc>
      </w:tr>
      <w:tr w:rsidR="009B090E" w:rsidTr="006E0F9F">
        <w:tc>
          <w:tcPr>
            <w:tcW w:w="2353" w:type="dxa"/>
            <w:hideMark/>
          </w:tcPr>
          <w:p w:rsidR="009B090E" w:rsidRDefault="009B090E">
            <w:pPr>
              <w:pStyle w:val="NormalWeb"/>
            </w:pPr>
            <w:r>
              <w:t>Overseas</w:t>
            </w:r>
          </w:p>
        </w:tc>
        <w:tc>
          <w:tcPr>
            <w:tcW w:w="898" w:type="dxa"/>
            <w:hideMark/>
          </w:tcPr>
          <w:p w:rsidR="009B090E" w:rsidRDefault="009B090E" w:rsidP="006E0F9F">
            <w:pPr>
              <w:pStyle w:val="NormalWeb"/>
              <w:jc w:val="center"/>
            </w:pPr>
            <w:r>
              <w:t>33</w:t>
            </w:r>
          </w:p>
        </w:tc>
        <w:tc>
          <w:tcPr>
            <w:tcW w:w="899" w:type="dxa"/>
            <w:hideMark/>
          </w:tcPr>
          <w:p w:rsidR="009B090E" w:rsidRDefault="009B090E" w:rsidP="006E0F9F">
            <w:pPr>
              <w:pStyle w:val="NormalWeb"/>
              <w:jc w:val="center"/>
            </w:pPr>
            <w:r>
              <w:t>26</w:t>
            </w:r>
          </w:p>
        </w:tc>
        <w:tc>
          <w:tcPr>
            <w:tcW w:w="898" w:type="dxa"/>
            <w:hideMark/>
          </w:tcPr>
          <w:p w:rsidR="009B090E" w:rsidRDefault="009B090E" w:rsidP="006E0F9F">
            <w:pPr>
              <w:pStyle w:val="NormalWeb"/>
              <w:jc w:val="center"/>
            </w:pPr>
            <w:r>
              <w:t>10</w:t>
            </w:r>
          </w:p>
        </w:tc>
        <w:tc>
          <w:tcPr>
            <w:tcW w:w="899" w:type="dxa"/>
            <w:hideMark/>
          </w:tcPr>
          <w:p w:rsidR="009B090E" w:rsidRDefault="009B090E" w:rsidP="006E0F9F">
            <w:pPr>
              <w:pStyle w:val="NormalWeb"/>
              <w:jc w:val="center"/>
            </w:pPr>
            <w:r>
              <w:t>8</w:t>
            </w:r>
          </w:p>
        </w:tc>
        <w:tc>
          <w:tcPr>
            <w:tcW w:w="898" w:type="dxa"/>
            <w:hideMark/>
          </w:tcPr>
          <w:p w:rsidR="009B090E" w:rsidRDefault="009B090E" w:rsidP="006E0F9F">
            <w:pPr>
              <w:pStyle w:val="NormalWeb"/>
              <w:jc w:val="center"/>
            </w:pPr>
            <w:r>
              <w:t>2</w:t>
            </w:r>
          </w:p>
        </w:tc>
        <w:tc>
          <w:tcPr>
            <w:tcW w:w="899" w:type="dxa"/>
            <w:hideMark/>
          </w:tcPr>
          <w:p w:rsidR="009B090E" w:rsidRDefault="009B090E" w:rsidP="006E0F9F">
            <w:pPr>
              <w:pStyle w:val="NormalWeb"/>
              <w:jc w:val="center"/>
            </w:pPr>
            <w:r>
              <w:t>0</w:t>
            </w:r>
          </w:p>
        </w:tc>
        <w:tc>
          <w:tcPr>
            <w:tcW w:w="898" w:type="dxa"/>
            <w:hideMark/>
          </w:tcPr>
          <w:p w:rsidR="009B090E" w:rsidRDefault="009B090E" w:rsidP="006E0F9F">
            <w:pPr>
              <w:pStyle w:val="NormalWeb"/>
              <w:jc w:val="center"/>
            </w:pPr>
            <w:r>
              <w:t>2</w:t>
            </w:r>
          </w:p>
        </w:tc>
        <w:tc>
          <w:tcPr>
            <w:tcW w:w="856" w:type="dxa"/>
            <w:hideMark/>
          </w:tcPr>
          <w:p w:rsidR="009B090E" w:rsidRDefault="009B090E" w:rsidP="006E0F9F">
            <w:pPr>
              <w:pStyle w:val="NormalWeb"/>
              <w:jc w:val="center"/>
            </w:pPr>
            <w:r>
              <w:t>0</w:t>
            </w:r>
          </w:p>
        </w:tc>
        <w:tc>
          <w:tcPr>
            <w:tcW w:w="942" w:type="dxa"/>
            <w:hideMark/>
          </w:tcPr>
          <w:p w:rsidR="009B090E" w:rsidRDefault="009B090E" w:rsidP="006E0F9F">
            <w:pPr>
              <w:pStyle w:val="NormalWeb"/>
              <w:jc w:val="center"/>
            </w:pPr>
            <w:r>
              <w:t>81</w:t>
            </w:r>
          </w:p>
        </w:tc>
      </w:tr>
      <w:tr w:rsidR="006E0F9F" w:rsidTr="006E0F9F">
        <w:trPr>
          <w:cnfStyle w:val="000000010000" w:firstRow="0" w:lastRow="0" w:firstColumn="0" w:lastColumn="0" w:oddVBand="0" w:evenVBand="0" w:oddHBand="0" w:evenHBand="1" w:firstRowFirstColumn="0" w:firstRowLastColumn="0" w:lastRowFirstColumn="0" w:lastRowLastColumn="0"/>
        </w:trPr>
        <w:tc>
          <w:tcPr>
            <w:tcW w:w="2353" w:type="dxa"/>
            <w:hideMark/>
          </w:tcPr>
          <w:p w:rsidR="009B090E" w:rsidRDefault="009B090E">
            <w:pPr>
              <w:pStyle w:val="NormalWeb"/>
            </w:pPr>
            <w:r>
              <w:t>Local — source known</w:t>
            </w:r>
          </w:p>
        </w:tc>
        <w:tc>
          <w:tcPr>
            <w:tcW w:w="898" w:type="dxa"/>
            <w:hideMark/>
          </w:tcPr>
          <w:p w:rsidR="009B090E" w:rsidRDefault="009B090E" w:rsidP="006E0F9F">
            <w:pPr>
              <w:pStyle w:val="NormalWeb"/>
              <w:jc w:val="center"/>
            </w:pPr>
            <w:r>
              <w:t>0</w:t>
            </w:r>
          </w:p>
        </w:tc>
        <w:tc>
          <w:tcPr>
            <w:tcW w:w="899" w:type="dxa"/>
            <w:hideMark/>
          </w:tcPr>
          <w:p w:rsidR="009B090E" w:rsidRDefault="009B090E" w:rsidP="006E0F9F">
            <w:pPr>
              <w:pStyle w:val="NormalWeb"/>
              <w:jc w:val="center"/>
            </w:pPr>
            <w:r>
              <w:t>0</w:t>
            </w:r>
          </w:p>
        </w:tc>
        <w:tc>
          <w:tcPr>
            <w:tcW w:w="898" w:type="dxa"/>
            <w:hideMark/>
          </w:tcPr>
          <w:p w:rsidR="009B090E" w:rsidRDefault="009B090E" w:rsidP="006E0F9F">
            <w:pPr>
              <w:pStyle w:val="NormalWeb"/>
              <w:jc w:val="center"/>
            </w:pPr>
            <w:r>
              <w:t>0</w:t>
            </w:r>
          </w:p>
        </w:tc>
        <w:tc>
          <w:tcPr>
            <w:tcW w:w="899" w:type="dxa"/>
            <w:hideMark/>
          </w:tcPr>
          <w:p w:rsidR="009B090E" w:rsidRDefault="009B090E" w:rsidP="006E0F9F">
            <w:pPr>
              <w:pStyle w:val="NormalWeb"/>
              <w:jc w:val="center"/>
            </w:pPr>
            <w:r>
              <w:t>0</w:t>
            </w:r>
          </w:p>
        </w:tc>
        <w:tc>
          <w:tcPr>
            <w:tcW w:w="898" w:type="dxa"/>
            <w:hideMark/>
          </w:tcPr>
          <w:p w:rsidR="009B090E" w:rsidRDefault="009B090E" w:rsidP="006E0F9F">
            <w:pPr>
              <w:pStyle w:val="NormalWeb"/>
              <w:jc w:val="center"/>
            </w:pPr>
            <w:r>
              <w:t>0</w:t>
            </w:r>
          </w:p>
        </w:tc>
        <w:tc>
          <w:tcPr>
            <w:tcW w:w="899" w:type="dxa"/>
            <w:hideMark/>
          </w:tcPr>
          <w:p w:rsidR="009B090E" w:rsidRDefault="009B090E" w:rsidP="006E0F9F">
            <w:pPr>
              <w:pStyle w:val="NormalWeb"/>
              <w:jc w:val="center"/>
            </w:pPr>
            <w:r>
              <w:t>0</w:t>
            </w:r>
          </w:p>
        </w:tc>
        <w:tc>
          <w:tcPr>
            <w:tcW w:w="898" w:type="dxa"/>
            <w:hideMark/>
          </w:tcPr>
          <w:p w:rsidR="009B090E" w:rsidRDefault="009B090E" w:rsidP="006E0F9F">
            <w:pPr>
              <w:pStyle w:val="NormalWeb"/>
              <w:jc w:val="center"/>
            </w:pPr>
            <w:r>
              <w:t>0</w:t>
            </w:r>
          </w:p>
        </w:tc>
        <w:tc>
          <w:tcPr>
            <w:tcW w:w="856" w:type="dxa"/>
            <w:hideMark/>
          </w:tcPr>
          <w:p w:rsidR="009B090E" w:rsidRDefault="009B090E" w:rsidP="006E0F9F">
            <w:pPr>
              <w:pStyle w:val="NormalWeb"/>
              <w:jc w:val="center"/>
            </w:pPr>
            <w:r>
              <w:t>0</w:t>
            </w:r>
          </w:p>
        </w:tc>
        <w:tc>
          <w:tcPr>
            <w:tcW w:w="942" w:type="dxa"/>
            <w:hideMark/>
          </w:tcPr>
          <w:p w:rsidR="009B090E" w:rsidRDefault="009B090E" w:rsidP="006E0F9F">
            <w:pPr>
              <w:pStyle w:val="NormalWeb"/>
              <w:jc w:val="center"/>
            </w:pPr>
            <w:r>
              <w:t>0</w:t>
            </w:r>
          </w:p>
        </w:tc>
      </w:tr>
      <w:tr w:rsidR="009B090E" w:rsidTr="006E0F9F">
        <w:tc>
          <w:tcPr>
            <w:tcW w:w="2353" w:type="dxa"/>
            <w:hideMark/>
          </w:tcPr>
          <w:p w:rsidR="009B090E" w:rsidRDefault="009B090E">
            <w:pPr>
              <w:pStyle w:val="NormalWeb"/>
            </w:pPr>
            <w:r>
              <w:t>Local — source unknown</w:t>
            </w:r>
          </w:p>
        </w:tc>
        <w:tc>
          <w:tcPr>
            <w:tcW w:w="898" w:type="dxa"/>
            <w:hideMark/>
          </w:tcPr>
          <w:p w:rsidR="009B090E" w:rsidRDefault="009B090E" w:rsidP="006E0F9F">
            <w:pPr>
              <w:pStyle w:val="NormalWeb"/>
              <w:jc w:val="center"/>
            </w:pPr>
            <w:r>
              <w:t>0</w:t>
            </w:r>
          </w:p>
        </w:tc>
        <w:tc>
          <w:tcPr>
            <w:tcW w:w="899" w:type="dxa"/>
            <w:hideMark/>
          </w:tcPr>
          <w:p w:rsidR="009B090E" w:rsidRDefault="009B090E" w:rsidP="006E0F9F">
            <w:pPr>
              <w:pStyle w:val="NormalWeb"/>
              <w:jc w:val="center"/>
            </w:pPr>
            <w:r>
              <w:t>0</w:t>
            </w:r>
          </w:p>
        </w:tc>
        <w:tc>
          <w:tcPr>
            <w:tcW w:w="898" w:type="dxa"/>
            <w:hideMark/>
          </w:tcPr>
          <w:p w:rsidR="009B090E" w:rsidRDefault="009B090E" w:rsidP="006E0F9F">
            <w:pPr>
              <w:pStyle w:val="NormalWeb"/>
              <w:jc w:val="center"/>
            </w:pPr>
            <w:r>
              <w:t>0</w:t>
            </w:r>
          </w:p>
        </w:tc>
        <w:tc>
          <w:tcPr>
            <w:tcW w:w="899" w:type="dxa"/>
            <w:hideMark/>
          </w:tcPr>
          <w:p w:rsidR="009B090E" w:rsidRDefault="009B090E" w:rsidP="006E0F9F">
            <w:pPr>
              <w:pStyle w:val="NormalWeb"/>
              <w:jc w:val="center"/>
            </w:pPr>
            <w:r>
              <w:t>0</w:t>
            </w:r>
          </w:p>
        </w:tc>
        <w:tc>
          <w:tcPr>
            <w:tcW w:w="898" w:type="dxa"/>
            <w:hideMark/>
          </w:tcPr>
          <w:p w:rsidR="009B090E" w:rsidRDefault="009B090E" w:rsidP="006E0F9F">
            <w:pPr>
              <w:pStyle w:val="NormalWeb"/>
              <w:jc w:val="center"/>
            </w:pPr>
            <w:r>
              <w:t>0</w:t>
            </w:r>
          </w:p>
        </w:tc>
        <w:tc>
          <w:tcPr>
            <w:tcW w:w="899" w:type="dxa"/>
            <w:hideMark/>
          </w:tcPr>
          <w:p w:rsidR="009B090E" w:rsidRDefault="009B090E" w:rsidP="006E0F9F">
            <w:pPr>
              <w:pStyle w:val="NormalWeb"/>
              <w:jc w:val="center"/>
            </w:pPr>
            <w:r>
              <w:t>0</w:t>
            </w:r>
          </w:p>
        </w:tc>
        <w:tc>
          <w:tcPr>
            <w:tcW w:w="898" w:type="dxa"/>
            <w:hideMark/>
          </w:tcPr>
          <w:p w:rsidR="009B090E" w:rsidRDefault="009B090E" w:rsidP="006E0F9F">
            <w:pPr>
              <w:pStyle w:val="NormalWeb"/>
              <w:jc w:val="center"/>
            </w:pPr>
            <w:r>
              <w:t>0</w:t>
            </w:r>
          </w:p>
        </w:tc>
        <w:tc>
          <w:tcPr>
            <w:tcW w:w="856" w:type="dxa"/>
            <w:hideMark/>
          </w:tcPr>
          <w:p w:rsidR="009B090E" w:rsidRDefault="009B090E" w:rsidP="006E0F9F">
            <w:pPr>
              <w:pStyle w:val="NormalWeb"/>
              <w:jc w:val="center"/>
            </w:pPr>
            <w:r>
              <w:t>0</w:t>
            </w:r>
          </w:p>
        </w:tc>
        <w:tc>
          <w:tcPr>
            <w:tcW w:w="942" w:type="dxa"/>
            <w:hideMark/>
          </w:tcPr>
          <w:p w:rsidR="009B090E" w:rsidRDefault="009B090E" w:rsidP="006E0F9F">
            <w:pPr>
              <w:pStyle w:val="NormalWeb"/>
              <w:jc w:val="center"/>
            </w:pPr>
            <w:r>
              <w:t>0</w:t>
            </w:r>
          </w:p>
        </w:tc>
      </w:tr>
      <w:tr w:rsidR="006E0F9F" w:rsidTr="006E0F9F">
        <w:trPr>
          <w:cnfStyle w:val="000000010000" w:firstRow="0" w:lastRow="0" w:firstColumn="0" w:lastColumn="0" w:oddVBand="0" w:evenVBand="0" w:oddHBand="0" w:evenHBand="1" w:firstRowFirstColumn="0" w:firstRowLastColumn="0" w:lastRowFirstColumn="0" w:lastRowLastColumn="0"/>
        </w:trPr>
        <w:tc>
          <w:tcPr>
            <w:tcW w:w="2353" w:type="dxa"/>
            <w:hideMark/>
          </w:tcPr>
          <w:p w:rsidR="009B090E" w:rsidRDefault="009B090E">
            <w:pPr>
              <w:pStyle w:val="NormalWeb"/>
            </w:pPr>
            <w:r>
              <w:t>Local — interstate</w:t>
            </w:r>
          </w:p>
        </w:tc>
        <w:tc>
          <w:tcPr>
            <w:tcW w:w="898" w:type="dxa"/>
            <w:hideMark/>
          </w:tcPr>
          <w:p w:rsidR="009B090E" w:rsidRDefault="009B090E" w:rsidP="006E0F9F">
            <w:pPr>
              <w:pStyle w:val="NormalWeb"/>
              <w:jc w:val="center"/>
            </w:pPr>
            <w:r>
              <w:t>0</w:t>
            </w:r>
          </w:p>
        </w:tc>
        <w:tc>
          <w:tcPr>
            <w:tcW w:w="899" w:type="dxa"/>
            <w:hideMark/>
          </w:tcPr>
          <w:p w:rsidR="009B090E" w:rsidRDefault="009B090E" w:rsidP="006E0F9F">
            <w:pPr>
              <w:pStyle w:val="NormalWeb"/>
              <w:jc w:val="center"/>
            </w:pPr>
            <w:r>
              <w:t>0</w:t>
            </w:r>
          </w:p>
        </w:tc>
        <w:tc>
          <w:tcPr>
            <w:tcW w:w="898" w:type="dxa"/>
            <w:hideMark/>
          </w:tcPr>
          <w:p w:rsidR="009B090E" w:rsidRDefault="009B090E" w:rsidP="006E0F9F">
            <w:pPr>
              <w:pStyle w:val="NormalWeb"/>
              <w:jc w:val="center"/>
            </w:pPr>
            <w:r>
              <w:t>0</w:t>
            </w:r>
          </w:p>
        </w:tc>
        <w:tc>
          <w:tcPr>
            <w:tcW w:w="899" w:type="dxa"/>
            <w:hideMark/>
          </w:tcPr>
          <w:p w:rsidR="009B090E" w:rsidRDefault="009B090E" w:rsidP="006E0F9F">
            <w:pPr>
              <w:pStyle w:val="NormalWeb"/>
              <w:jc w:val="center"/>
            </w:pPr>
            <w:r>
              <w:t>0</w:t>
            </w:r>
          </w:p>
        </w:tc>
        <w:tc>
          <w:tcPr>
            <w:tcW w:w="898" w:type="dxa"/>
            <w:hideMark/>
          </w:tcPr>
          <w:p w:rsidR="009B090E" w:rsidRDefault="009B090E" w:rsidP="006E0F9F">
            <w:pPr>
              <w:pStyle w:val="NormalWeb"/>
              <w:jc w:val="center"/>
            </w:pPr>
            <w:r>
              <w:t>0</w:t>
            </w:r>
          </w:p>
        </w:tc>
        <w:tc>
          <w:tcPr>
            <w:tcW w:w="899" w:type="dxa"/>
            <w:hideMark/>
          </w:tcPr>
          <w:p w:rsidR="009B090E" w:rsidRDefault="009B090E" w:rsidP="006E0F9F">
            <w:pPr>
              <w:pStyle w:val="NormalWeb"/>
              <w:jc w:val="center"/>
            </w:pPr>
            <w:r>
              <w:t>0</w:t>
            </w:r>
          </w:p>
        </w:tc>
        <w:tc>
          <w:tcPr>
            <w:tcW w:w="898" w:type="dxa"/>
            <w:hideMark/>
          </w:tcPr>
          <w:p w:rsidR="009B090E" w:rsidRDefault="009B090E" w:rsidP="006E0F9F">
            <w:pPr>
              <w:pStyle w:val="NormalWeb"/>
              <w:jc w:val="center"/>
            </w:pPr>
            <w:r>
              <w:t>0</w:t>
            </w:r>
          </w:p>
        </w:tc>
        <w:tc>
          <w:tcPr>
            <w:tcW w:w="856" w:type="dxa"/>
            <w:hideMark/>
          </w:tcPr>
          <w:p w:rsidR="009B090E" w:rsidRDefault="009B090E" w:rsidP="006E0F9F">
            <w:pPr>
              <w:pStyle w:val="NormalWeb"/>
              <w:jc w:val="center"/>
            </w:pPr>
            <w:r>
              <w:t>0</w:t>
            </w:r>
          </w:p>
        </w:tc>
        <w:tc>
          <w:tcPr>
            <w:tcW w:w="942" w:type="dxa"/>
            <w:hideMark/>
          </w:tcPr>
          <w:p w:rsidR="009B090E" w:rsidRDefault="009B090E" w:rsidP="006E0F9F">
            <w:pPr>
              <w:pStyle w:val="NormalWeb"/>
              <w:jc w:val="center"/>
            </w:pPr>
            <w:r>
              <w:t>0</w:t>
            </w:r>
          </w:p>
        </w:tc>
      </w:tr>
      <w:tr w:rsidR="009B090E" w:rsidTr="006E0F9F">
        <w:tc>
          <w:tcPr>
            <w:tcW w:w="2353" w:type="dxa"/>
            <w:hideMark/>
          </w:tcPr>
          <w:p w:rsidR="009B090E" w:rsidRDefault="009B090E">
            <w:pPr>
              <w:pStyle w:val="NormalWeb"/>
            </w:pPr>
            <w:r>
              <w:t>Under investigation</w:t>
            </w:r>
          </w:p>
        </w:tc>
        <w:tc>
          <w:tcPr>
            <w:tcW w:w="898" w:type="dxa"/>
            <w:hideMark/>
          </w:tcPr>
          <w:p w:rsidR="009B090E" w:rsidRDefault="009B090E" w:rsidP="006E0F9F">
            <w:pPr>
              <w:pStyle w:val="NormalWeb"/>
              <w:jc w:val="center"/>
            </w:pPr>
            <w:r>
              <w:t>0</w:t>
            </w:r>
          </w:p>
        </w:tc>
        <w:tc>
          <w:tcPr>
            <w:tcW w:w="899" w:type="dxa"/>
            <w:hideMark/>
          </w:tcPr>
          <w:p w:rsidR="009B090E" w:rsidRDefault="009B090E" w:rsidP="006E0F9F">
            <w:pPr>
              <w:pStyle w:val="NormalWeb"/>
              <w:jc w:val="center"/>
            </w:pPr>
            <w:r>
              <w:t>0</w:t>
            </w:r>
          </w:p>
        </w:tc>
        <w:tc>
          <w:tcPr>
            <w:tcW w:w="898" w:type="dxa"/>
            <w:hideMark/>
          </w:tcPr>
          <w:p w:rsidR="009B090E" w:rsidRDefault="009B090E" w:rsidP="006E0F9F">
            <w:pPr>
              <w:pStyle w:val="NormalWeb"/>
              <w:jc w:val="center"/>
            </w:pPr>
            <w:r>
              <w:t>0</w:t>
            </w:r>
          </w:p>
        </w:tc>
        <w:tc>
          <w:tcPr>
            <w:tcW w:w="899" w:type="dxa"/>
            <w:hideMark/>
          </w:tcPr>
          <w:p w:rsidR="009B090E" w:rsidRDefault="009B090E" w:rsidP="006E0F9F">
            <w:pPr>
              <w:pStyle w:val="NormalWeb"/>
              <w:jc w:val="center"/>
            </w:pPr>
            <w:r>
              <w:t>1</w:t>
            </w:r>
          </w:p>
        </w:tc>
        <w:tc>
          <w:tcPr>
            <w:tcW w:w="898" w:type="dxa"/>
            <w:hideMark/>
          </w:tcPr>
          <w:p w:rsidR="009B090E" w:rsidRDefault="009B090E" w:rsidP="006E0F9F">
            <w:pPr>
              <w:pStyle w:val="NormalWeb"/>
              <w:jc w:val="center"/>
            </w:pPr>
            <w:r>
              <w:t>0</w:t>
            </w:r>
          </w:p>
        </w:tc>
        <w:tc>
          <w:tcPr>
            <w:tcW w:w="899" w:type="dxa"/>
            <w:hideMark/>
          </w:tcPr>
          <w:p w:rsidR="009B090E" w:rsidRDefault="009B090E" w:rsidP="006E0F9F">
            <w:pPr>
              <w:pStyle w:val="NormalWeb"/>
              <w:jc w:val="center"/>
            </w:pPr>
            <w:r>
              <w:t>0</w:t>
            </w:r>
          </w:p>
        </w:tc>
        <w:tc>
          <w:tcPr>
            <w:tcW w:w="898" w:type="dxa"/>
            <w:hideMark/>
          </w:tcPr>
          <w:p w:rsidR="009B090E" w:rsidRDefault="009B090E" w:rsidP="006E0F9F">
            <w:pPr>
              <w:pStyle w:val="NormalWeb"/>
              <w:jc w:val="center"/>
            </w:pPr>
            <w:r>
              <w:t>0</w:t>
            </w:r>
          </w:p>
        </w:tc>
        <w:tc>
          <w:tcPr>
            <w:tcW w:w="856" w:type="dxa"/>
            <w:hideMark/>
          </w:tcPr>
          <w:p w:rsidR="009B090E" w:rsidRDefault="009B090E" w:rsidP="006E0F9F">
            <w:pPr>
              <w:pStyle w:val="NormalWeb"/>
              <w:jc w:val="center"/>
            </w:pPr>
            <w:r>
              <w:t>0</w:t>
            </w:r>
          </w:p>
        </w:tc>
        <w:tc>
          <w:tcPr>
            <w:tcW w:w="942" w:type="dxa"/>
            <w:hideMark/>
          </w:tcPr>
          <w:p w:rsidR="009B090E" w:rsidRDefault="009B090E" w:rsidP="006E0F9F">
            <w:pPr>
              <w:pStyle w:val="NormalWeb"/>
              <w:jc w:val="center"/>
            </w:pPr>
            <w:r>
              <w:t>1</w:t>
            </w:r>
          </w:p>
        </w:tc>
      </w:tr>
      <w:tr w:rsidR="006E0F9F" w:rsidRPr="006E0F9F" w:rsidTr="006E0F9F">
        <w:trPr>
          <w:cnfStyle w:val="000000010000" w:firstRow="0" w:lastRow="0" w:firstColumn="0" w:lastColumn="0" w:oddVBand="0" w:evenVBand="0" w:oddHBand="0" w:evenHBand="1" w:firstRowFirstColumn="0" w:firstRowLastColumn="0" w:lastRowFirstColumn="0" w:lastRowLastColumn="0"/>
        </w:trPr>
        <w:tc>
          <w:tcPr>
            <w:tcW w:w="2353" w:type="dxa"/>
            <w:shd w:val="clear" w:color="auto" w:fill="FDE9D9" w:themeFill="accent6" w:themeFillTint="33"/>
            <w:hideMark/>
          </w:tcPr>
          <w:p w:rsidR="009B090E" w:rsidRPr="006E0F9F" w:rsidRDefault="009B090E">
            <w:pPr>
              <w:pStyle w:val="NormalWeb"/>
              <w:rPr>
                <w:b/>
              </w:rPr>
            </w:pPr>
            <w:r w:rsidRPr="006E0F9F">
              <w:rPr>
                <w:b/>
              </w:rPr>
              <w:t>Total</w:t>
            </w:r>
          </w:p>
        </w:tc>
        <w:tc>
          <w:tcPr>
            <w:tcW w:w="898" w:type="dxa"/>
            <w:shd w:val="clear" w:color="auto" w:fill="FDE9D9" w:themeFill="accent6" w:themeFillTint="33"/>
            <w:hideMark/>
          </w:tcPr>
          <w:p w:rsidR="009B090E" w:rsidRPr="006E0F9F" w:rsidRDefault="009B090E" w:rsidP="006E0F9F">
            <w:pPr>
              <w:pStyle w:val="NormalWeb"/>
              <w:jc w:val="center"/>
              <w:rPr>
                <w:b/>
              </w:rPr>
            </w:pPr>
            <w:r w:rsidRPr="006E0F9F">
              <w:rPr>
                <w:b/>
              </w:rPr>
              <w:t>33</w:t>
            </w:r>
          </w:p>
        </w:tc>
        <w:tc>
          <w:tcPr>
            <w:tcW w:w="899" w:type="dxa"/>
            <w:shd w:val="clear" w:color="auto" w:fill="FDE9D9" w:themeFill="accent6" w:themeFillTint="33"/>
            <w:hideMark/>
          </w:tcPr>
          <w:p w:rsidR="009B090E" w:rsidRPr="006E0F9F" w:rsidRDefault="009B090E" w:rsidP="006E0F9F">
            <w:pPr>
              <w:pStyle w:val="NormalWeb"/>
              <w:jc w:val="center"/>
              <w:rPr>
                <w:b/>
              </w:rPr>
            </w:pPr>
            <w:r w:rsidRPr="006E0F9F">
              <w:rPr>
                <w:b/>
              </w:rPr>
              <w:t>26</w:t>
            </w:r>
          </w:p>
        </w:tc>
        <w:tc>
          <w:tcPr>
            <w:tcW w:w="898" w:type="dxa"/>
            <w:shd w:val="clear" w:color="auto" w:fill="FDE9D9" w:themeFill="accent6" w:themeFillTint="33"/>
            <w:hideMark/>
          </w:tcPr>
          <w:p w:rsidR="009B090E" w:rsidRPr="006E0F9F" w:rsidRDefault="009B090E" w:rsidP="006E0F9F">
            <w:pPr>
              <w:pStyle w:val="NormalWeb"/>
              <w:jc w:val="center"/>
              <w:rPr>
                <w:b/>
              </w:rPr>
            </w:pPr>
            <w:r w:rsidRPr="006E0F9F">
              <w:rPr>
                <w:b/>
              </w:rPr>
              <w:t>10</w:t>
            </w:r>
          </w:p>
        </w:tc>
        <w:tc>
          <w:tcPr>
            <w:tcW w:w="899" w:type="dxa"/>
            <w:shd w:val="clear" w:color="auto" w:fill="FDE9D9" w:themeFill="accent6" w:themeFillTint="33"/>
            <w:hideMark/>
          </w:tcPr>
          <w:p w:rsidR="009B090E" w:rsidRPr="006E0F9F" w:rsidRDefault="009B090E" w:rsidP="006E0F9F">
            <w:pPr>
              <w:pStyle w:val="NormalWeb"/>
              <w:jc w:val="center"/>
              <w:rPr>
                <w:b/>
              </w:rPr>
            </w:pPr>
            <w:r w:rsidRPr="006E0F9F">
              <w:rPr>
                <w:b/>
              </w:rPr>
              <w:t>9</w:t>
            </w:r>
          </w:p>
        </w:tc>
        <w:tc>
          <w:tcPr>
            <w:tcW w:w="898" w:type="dxa"/>
            <w:shd w:val="clear" w:color="auto" w:fill="FDE9D9" w:themeFill="accent6" w:themeFillTint="33"/>
            <w:hideMark/>
          </w:tcPr>
          <w:p w:rsidR="009B090E" w:rsidRPr="006E0F9F" w:rsidRDefault="009B090E" w:rsidP="006E0F9F">
            <w:pPr>
              <w:pStyle w:val="NormalWeb"/>
              <w:jc w:val="center"/>
              <w:rPr>
                <w:b/>
              </w:rPr>
            </w:pPr>
            <w:r w:rsidRPr="006E0F9F">
              <w:rPr>
                <w:b/>
              </w:rPr>
              <w:t>2</w:t>
            </w:r>
          </w:p>
        </w:tc>
        <w:tc>
          <w:tcPr>
            <w:tcW w:w="899" w:type="dxa"/>
            <w:shd w:val="clear" w:color="auto" w:fill="FDE9D9" w:themeFill="accent6" w:themeFillTint="33"/>
            <w:hideMark/>
          </w:tcPr>
          <w:p w:rsidR="009B090E" w:rsidRPr="006E0F9F" w:rsidRDefault="009B090E" w:rsidP="006E0F9F">
            <w:pPr>
              <w:pStyle w:val="NormalWeb"/>
              <w:jc w:val="center"/>
              <w:rPr>
                <w:b/>
              </w:rPr>
            </w:pPr>
            <w:r w:rsidRPr="006E0F9F">
              <w:rPr>
                <w:b/>
              </w:rPr>
              <w:t>0</w:t>
            </w:r>
          </w:p>
        </w:tc>
        <w:tc>
          <w:tcPr>
            <w:tcW w:w="898" w:type="dxa"/>
            <w:shd w:val="clear" w:color="auto" w:fill="FDE9D9" w:themeFill="accent6" w:themeFillTint="33"/>
            <w:hideMark/>
          </w:tcPr>
          <w:p w:rsidR="009B090E" w:rsidRPr="006E0F9F" w:rsidRDefault="009B090E" w:rsidP="006E0F9F">
            <w:pPr>
              <w:pStyle w:val="NormalWeb"/>
              <w:jc w:val="center"/>
              <w:rPr>
                <w:b/>
              </w:rPr>
            </w:pPr>
            <w:r w:rsidRPr="006E0F9F">
              <w:rPr>
                <w:b/>
              </w:rPr>
              <w:t>2</w:t>
            </w:r>
          </w:p>
        </w:tc>
        <w:tc>
          <w:tcPr>
            <w:tcW w:w="856" w:type="dxa"/>
            <w:shd w:val="clear" w:color="auto" w:fill="FDE9D9" w:themeFill="accent6" w:themeFillTint="33"/>
            <w:hideMark/>
          </w:tcPr>
          <w:p w:rsidR="009B090E" w:rsidRPr="006E0F9F" w:rsidRDefault="009B090E" w:rsidP="006E0F9F">
            <w:pPr>
              <w:pStyle w:val="NormalWeb"/>
              <w:jc w:val="center"/>
              <w:rPr>
                <w:b/>
              </w:rPr>
            </w:pPr>
            <w:r w:rsidRPr="006E0F9F">
              <w:rPr>
                <w:b/>
              </w:rPr>
              <w:t>0</w:t>
            </w:r>
          </w:p>
        </w:tc>
        <w:tc>
          <w:tcPr>
            <w:tcW w:w="942" w:type="dxa"/>
            <w:shd w:val="clear" w:color="auto" w:fill="FDE9D9" w:themeFill="accent6" w:themeFillTint="33"/>
            <w:hideMark/>
          </w:tcPr>
          <w:p w:rsidR="009B090E" w:rsidRPr="006E0F9F" w:rsidRDefault="009B090E" w:rsidP="006E0F9F">
            <w:pPr>
              <w:pStyle w:val="NormalWeb"/>
              <w:jc w:val="center"/>
              <w:rPr>
                <w:b/>
              </w:rPr>
            </w:pPr>
            <w:r w:rsidRPr="006E0F9F">
              <w:rPr>
                <w:b/>
              </w:rPr>
              <w:t>82</w:t>
            </w:r>
          </w:p>
        </w:tc>
      </w:tr>
    </w:tbl>
    <w:p w:rsidR="009B090E" w:rsidRPr="00B47EA3" w:rsidRDefault="009B090E" w:rsidP="00B47EA3">
      <w:pPr>
        <w:pStyle w:val="CDIfootnotes"/>
      </w:pPr>
      <w:proofErr w:type="gramStart"/>
      <w:r w:rsidRPr="00B47EA3">
        <w:t>a</w:t>
      </w:r>
      <w:proofErr w:type="gramEnd"/>
      <w:r w:rsidRPr="00B47EA3">
        <w:tab/>
        <w:t>Western Australia</w:t>
      </w:r>
      <w:r w:rsidR="007C603F" w:rsidRPr="00B47EA3">
        <w:t>’</w:t>
      </w:r>
      <w:r w:rsidRPr="00B47EA3">
        <w:t>s locally-acquired infection was classified as under investigation at the time of reporting.</w:t>
      </w:r>
    </w:p>
    <w:p w:rsidR="006E0F9F" w:rsidRDefault="006E0F9F" w:rsidP="006E0F9F">
      <w:pPr>
        <w:pStyle w:val="Heading2"/>
        <w:rPr>
          <w:rFonts w:eastAsia="Times New Roman"/>
        </w:rPr>
      </w:pPr>
      <w:r>
        <w:rPr>
          <w:rFonts w:eastAsia="Times New Roman"/>
        </w:rPr>
        <w:t>Source of acquisition</w:t>
      </w:r>
    </w:p>
    <w:p w:rsidR="009B090E" w:rsidRPr="006B1385" w:rsidRDefault="009B090E" w:rsidP="004E6AC7">
      <w:pPr>
        <w:pStyle w:val="Heading3"/>
        <w:spacing w:before="0" w:after="240"/>
        <w:rPr>
          <w:rFonts w:eastAsia="Times New Roman"/>
          <w:b w:val="0"/>
          <w:i/>
        </w:rPr>
      </w:pPr>
      <w:r w:rsidRPr="006B1385">
        <w:rPr>
          <w:rFonts w:eastAsia="Times New Roman"/>
          <w:b w:val="0"/>
          <w:i/>
        </w:rPr>
        <w:t xml:space="preserve">(NNDSS) </w:t>
      </w:r>
    </w:p>
    <w:p w:rsidR="009B090E" w:rsidRDefault="009B090E" w:rsidP="001D6DA8">
      <w:r>
        <w:t>In this reporting period, the majority of cases were reported as overseas acquired (99%; 81/82). There were no locally-acquired cases, a decrease from 23 locally-acquired cases in the previous fortnight. At the end of this reporting period, one case linked to a hotel quarantine setting in Western Australia was under investigation (Table</w:t>
      </w:r>
      <w:r w:rsidR="00B47EA3">
        <w:t> </w:t>
      </w:r>
      <w:r>
        <w:t xml:space="preserve">1). </w:t>
      </w:r>
    </w:p>
    <w:p w:rsidR="009B090E" w:rsidRDefault="009B090E" w:rsidP="001D6DA8">
      <w:r>
        <w:t>Cumulatively, the infection rate to date for all locally-acquired cases was highest in Victoria with 294 infections per 100,000 population (Table 2). The rate of infection in Tasmania was 27.9 infections per 100,000 population, largely as a result of an outbreak in North West Tasmanian hospitals in April 2020, which represented half of all their cases. Nationally, it has been 16 days since there was a locally-acquired case of unknown source (Table 3).</w:t>
      </w:r>
    </w:p>
    <w:p w:rsidR="009B090E" w:rsidRDefault="009B090E" w:rsidP="001D6DA8">
      <w:pPr>
        <w:pStyle w:val="CDIFigures"/>
      </w:pPr>
      <w:r>
        <w:t>Table 2: Locally-acquired COVID-19 case numbers and rates per 100,000 population by jurisdiction and reporting period, Australia, 31 January 2021</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the locally-acquired case notifications within each jurisdiction for the current two-week reporting period, the previous two-week reporting period, and the cumulative case numbers and rates per 100,000 population for each jurisdiction. For this reporting period, there were no locally-acquired cases. This compares with 23 locally-acquired cases in the previous reporting period, which saw most locally-acquired cases (17) in New South Wales. Victoria has the highest cumulative number of locally-acquired cases (19,387) and the highest cumulative locally-acquired case rate (294.0 cases per 100,000 population). Nationwide, the cumulative locally-acquired case rate is 88.1 cases per 100,000 population."/>
      </w:tblPr>
      <w:tblGrid>
        <w:gridCol w:w="1156"/>
        <w:gridCol w:w="1813"/>
        <w:gridCol w:w="1924"/>
        <w:gridCol w:w="1650"/>
        <w:gridCol w:w="3897"/>
      </w:tblGrid>
      <w:tr w:rsidR="001D6DA8" w:rsidRPr="001D6DA8" w:rsidTr="008111A9">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rsidR="009B090E" w:rsidRPr="001D6DA8" w:rsidRDefault="009B090E">
            <w:pPr>
              <w:pStyle w:val="NormalWeb"/>
              <w:jc w:val="center"/>
              <w:rPr>
                <w:bCs/>
                <w:color w:val="FFFFFF" w:themeColor="background1"/>
              </w:rPr>
            </w:pPr>
            <w:r w:rsidRPr="001D6DA8">
              <w:rPr>
                <w:bCs/>
                <w:color w:val="FFFFFF" w:themeColor="background1"/>
              </w:rPr>
              <w:t>Jurisdiction</w:t>
            </w:r>
          </w:p>
        </w:tc>
        <w:tc>
          <w:tcPr>
            <w:tcW w:w="0" w:type="auto"/>
            <w:tcBorders>
              <w:left w:val="single" w:sz="2" w:space="0" w:color="FFFFFF" w:themeColor="background1"/>
              <w:bottom w:val="single" w:sz="2" w:space="0" w:color="FFFFFF" w:themeColor="background1"/>
              <w:right w:val="single" w:sz="2" w:space="0" w:color="FFFFFF" w:themeColor="background1"/>
            </w:tcBorders>
            <w:hideMark/>
          </w:tcPr>
          <w:p w:rsidR="009B090E" w:rsidRPr="001D6DA8" w:rsidRDefault="009B090E" w:rsidP="008111A9">
            <w:pPr>
              <w:pStyle w:val="NormalWeb"/>
              <w:jc w:val="center"/>
              <w:rPr>
                <w:bCs/>
                <w:color w:val="FFFFFF" w:themeColor="background1"/>
              </w:rPr>
            </w:pPr>
            <w:r w:rsidRPr="001D6DA8">
              <w:rPr>
                <w:bCs/>
                <w:color w:val="FFFFFF" w:themeColor="background1"/>
              </w:rPr>
              <w:t>Reporting period</w:t>
            </w:r>
          </w:p>
          <w:p w:rsidR="009B090E" w:rsidRPr="001D6DA8" w:rsidRDefault="009B090E" w:rsidP="008111A9">
            <w:pPr>
              <w:pStyle w:val="NormalWeb"/>
              <w:jc w:val="center"/>
              <w:rPr>
                <w:bCs/>
                <w:color w:val="FFFFFF" w:themeColor="background1"/>
              </w:rPr>
            </w:pPr>
            <w:r w:rsidRPr="001D6DA8">
              <w:rPr>
                <w:bCs/>
                <w:color w:val="FFFFFF" w:themeColor="background1"/>
              </w:rPr>
              <w:t>4–17 January 2021</w:t>
            </w:r>
          </w:p>
        </w:tc>
        <w:tc>
          <w:tcPr>
            <w:tcW w:w="0" w:type="auto"/>
            <w:tcBorders>
              <w:left w:val="single" w:sz="2" w:space="0" w:color="FFFFFF" w:themeColor="background1"/>
              <w:bottom w:val="single" w:sz="2" w:space="0" w:color="FFFFFF" w:themeColor="background1"/>
              <w:right w:val="single" w:sz="2" w:space="0" w:color="FFFFFF" w:themeColor="background1"/>
            </w:tcBorders>
            <w:hideMark/>
          </w:tcPr>
          <w:p w:rsidR="009B090E" w:rsidRPr="001D6DA8" w:rsidRDefault="009B090E" w:rsidP="008111A9">
            <w:pPr>
              <w:pStyle w:val="NormalWeb"/>
              <w:jc w:val="center"/>
              <w:rPr>
                <w:bCs/>
                <w:color w:val="FFFFFF" w:themeColor="background1"/>
              </w:rPr>
            </w:pPr>
            <w:r w:rsidRPr="001D6DA8">
              <w:rPr>
                <w:bCs/>
                <w:color w:val="FFFFFF" w:themeColor="background1"/>
              </w:rPr>
              <w:t>Reporting period</w:t>
            </w:r>
          </w:p>
          <w:p w:rsidR="009B090E" w:rsidRPr="001D6DA8" w:rsidRDefault="009B090E" w:rsidP="008111A9">
            <w:pPr>
              <w:pStyle w:val="NormalWeb"/>
              <w:jc w:val="center"/>
              <w:rPr>
                <w:bCs/>
                <w:color w:val="FFFFFF" w:themeColor="background1"/>
              </w:rPr>
            </w:pPr>
            <w:r w:rsidRPr="001D6DA8">
              <w:rPr>
                <w:bCs/>
                <w:color w:val="FFFFFF" w:themeColor="background1"/>
              </w:rPr>
              <w:t>18–31 January 2021</w:t>
            </w:r>
          </w:p>
        </w:tc>
        <w:tc>
          <w:tcPr>
            <w:tcW w:w="5547" w:type="dxa"/>
            <w:gridSpan w:val="2"/>
            <w:tcBorders>
              <w:left w:val="single" w:sz="2" w:space="0" w:color="FFFFFF" w:themeColor="background1"/>
              <w:bottom w:val="single" w:sz="2" w:space="0" w:color="FFFFFF" w:themeColor="background1"/>
            </w:tcBorders>
            <w:hideMark/>
          </w:tcPr>
          <w:p w:rsidR="009B090E" w:rsidRPr="001D6DA8" w:rsidRDefault="009B090E" w:rsidP="008111A9">
            <w:pPr>
              <w:pStyle w:val="NormalWeb"/>
              <w:jc w:val="center"/>
              <w:rPr>
                <w:bCs/>
                <w:color w:val="FFFFFF" w:themeColor="background1"/>
              </w:rPr>
            </w:pPr>
            <w:r w:rsidRPr="001D6DA8">
              <w:rPr>
                <w:bCs/>
                <w:color w:val="FFFFFF" w:themeColor="background1"/>
              </w:rPr>
              <w:t>Cumulative cases</w:t>
            </w:r>
          </w:p>
          <w:p w:rsidR="009B090E" w:rsidRPr="001D6DA8" w:rsidRDefault="009B090E" w:rsidP="008111A9">
            <w:pPr>
              <w:pStyle w:val="NormalWeb"/>
              <w:jc w:val="center"/>
              <w:rPr>
                <w:bCs/>
                <w:color w:val="FFFFFF" w:themeColor="background1"/>
              </w:rPr>
            </w:pPr>
            <w:r w:rsidRPr="001D6DA8">
              <w:rPr>
                <w:bCs/>
                <w:color w:val="FFFFFF" w:themeColor="background1"/>
              </w:rPr>
              <w:t>23 January 2020 – 31 January 2021</w:t>
            </w:r>
          </w:p>
        </w:tc>
      </w:tr>
      <w:tr w:rsidR="001D6DA8" w:rsidRPr="001D6DA8" w:rsidTr="008111A9">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rsidR="009B090E" w:rsidRPr="001D6DA8" w:rsidRDefault="009B090E">
            <w:pPr>
              <w:rPr>
                <w:bCs/>
                <w:color w:val="FFFFFF" w:themeColor="background1"/>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9B090E" w:rsidRPr="001D6DA8" w:rsidRDefault="009B090E" w:rsidP="008111A9">
            <w:pPr>
              <w:pStyle w:val="NormalWeb"/>
              <w:jc w:val="center"/>
              <w:rPr>
                <w:bCs/>
                <w:color w:val="FFFFFF" w:themeColor="background1"/>
              </w:rPr>
            </w:pPr>
            <w:r w:rsidRPr="001D6DA8">
              <w:rPr>
                <w:bCs/>
                <w:color w:val="FFFFFF" w:themeColor="background1"/>
              </w:rPr>
              <w:t>Number of cases</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9B090E" w:rsidRPr="001D6DA8" w:rsidRDefault="009B090E" w:rsidP="008111A9">
            <w:pPr>
              <w:pStyle w:val="NormalWeb"/>
              <w:jc w:val="center"/>
              <w:rPr>
                <w:bCs/>
                <w:color w:val="FFFFFF" w:themeColor="background1"/>
              </w:rPr>
            </w:pPr>
            <w:r w:rsidRPr="001D6DA8">
              <w:rPr>
                <w:bCs/>
                <w:color w:val="FFFFFF" w:themeColor="background1"/>
              </w:rPr>
              <w:t>Number of cases</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9B090E" w:rsidRPr="001D6DA8" w:rsidRDefault="009B090E" w:rsidP="008111A9">
            <w:pPr>
              <w:pStyle w:val="NormalWeb"/>
              <w:jc w:val="center"/>
              <w:rPr>
                <w:bCs/>
                <w:color w:val="FFFFFF" w:themeColor="background1"/>
              </w:rPr>
            </w:pPr>
            <w:r w:rsidRPr="001D6DA8">
              <w:rPr>
                <w:bCs/>
                <w:color w:val="FFFFFF" w:themeColor="background1"/>
              </w:rPr>
              <w:t>Number of cases</w:t>
            </w:r>
          </w:p>
        </w:tc>
        <w:tc>
          <w:tcPr>
            <w:tcW w:w="3868" w:type="dxa"/>
            <w:tcBorders>
              <w:top w:val="single" w:sz="2" w:space="0" w:color="FFFFFF" w:themeColor="background1"/>
              <w:left w:val="single" w:sz="2" w:space="0" w:color="FFFFFF" w:themeColor="background1"/>
            </w:tcBorders>
            <w:hideMark/>
          </w:tcPr>
          <w:p w:rsidR="009B090E" w:rsidRPr="001D6DA8" w:rsidRDefault="009B090E" w:rsidP="008111A9">
            <w:pPr>
              <w:pStyle w:val="NormalWeb"/>
              <w:jc w:val="center"/>
              <w:rPr>
                <w:bCs/>
                <w:color w:val="FFFFFF" w:themeColor="background1"/>
              </w:rPr>
            </w:pPr>
            <w:r w:rsidRPr="001D6DA8">
              <w:rPr>
                <w:bCs/>
                <w:color w:val="FFFFFF" w:themeColor="background1"/>
              </w:rPr>
              <w:t>Rate per 100,000 population</w:t>
            </w:r>
          </w:p>
        </w:tc>
      </w:tr>
      <w:tr w:rsidR="009B090E" w:rsidTr="008111A9">
        <w:tc>
          <w:tcPr>
            <w:tcW w:w="0" w:type="auto"/>
            <w:hideMark/>
          </w:tcPr>
          <w:p w:rsidR="009B090E" w:rsidRDefault="009B090E">
            <w:pPr>
              <w:pStyle w:val="NormalWeb"/>
            </w:pPr>
            <w:r>
              <w:t>NSW</w:t>
            </w:r>
          </w:p>
        </w:tc>
        <w:tc>
          <w:tcPr>
            <w:tcW w:w="0" w:type="auto"/>
            <w:hideMark/>
          </w:tcPr>
          <w:p w:rsidR="009B090E" w:rsidRDefault="009B090E" w:rsidP="008111A9">
            <w:pPr>
              <w:pStyle w:val="NormalWeb"/>
              <w:jc w:val="center"/>
            </w:pPr>
            <w:r>
              <w:t>17</w:t>
            </w:r>
          </w:p>
        </w:tc>
        <w:tc>
          <w:tcPr>
            <w:tcW w:w="0" w:type="auto"/>
            <w:hideMark/>
          </w:tcPr>
          <w:p w:rsidR="009B090E" w:rsidRDefault="009B090E" w:rsidP="008111A9">
            <w:pPr>
              <w:pStyle w:val="NormalWeb"/>
              <w:jc w:val="center"/>
            </w:pPr>
            <w:r>
              <w:t>0</w:t>
            </w:r>
          </w:p>
        </w:tc>
        <w:tc>
          <w:tcPr>
            <w:tcW w:w="0" w:type="auto"/>
            <w:hideMark/>
          </w:tcPr>
          <w:p w:rsidR="009B090E" w:rsidRDefault="009B090E" w:rsidP="008111A9">
            <w:pPr>
              <w:pStyle w:val="NormalWeb"/>
              <w:jc w:val="center"/>
            </w:pPr>
            <w:r>
              <w:t>2,176</w:t>
            </w:r>
          </w:p>
        </w:tc>
        <w:tc>
          <w:tcPr>
            <w:tcW w:w="3868" w:type="dxa"/>
            <w:hideMark/>
          </w:tcPr>
          <w:p w:rsidR="009B090E" w:rsidRDefault="009B090E" w:rsidP="008111A9">
            <w:pPr>
              <w:pStyle w:val="NormalWeb"/>
              <w:jc w:val="center"/>
            </w:pPr>
            <w:r>
              <w:t>26.9</w:t>
            </w:r>
          </w:p>
        </w:tc>
      </w:tr>
      <w:tr w:rsidR="009B090E" w:rsidTr="008111A9">
        <w:trPr>
          <w:cnfStyle w:val="000000010000" w:firstRow="0" w:lastRow="0" w:firstColumn="0" w:lastColumn="0" w:oddVBand="0" w:evenVBand="0" w:oddHBand="0" w:evenHBand="1" w:firstRowFirstColumn="0" w:firstRowLastColumn="0" w:lastRowFirstColumn="0" w:lastRowLastColumn="0"/>
        </w:trPr>
        <w:tc>
          <w:tcPr>
            <w:tcW w:w="0" w:type="auto"/>
            <w:hideMark/>
          </w:tcPr>
          <w:p w:rsidR="009B090E" w:rsidRDefault="009B090E">
            <w:pPr>
              <w:pStyle w:val="NormalWeb"/>
            </w:pPr>
            <w:r>
              <w:t>Vic.</w:t>
            </w:r>
          </w:p>
        </w:tc>
        <w:tc>
          <w:tcPr>
            <w:tcW w:w="0" w:type="auto"/>
            <w:hideMark/>
          </w:tcPr>
          <w:p w:rsidR="009B090E" w:rsidRDefault="009B090E" w:rsidP="008111A9">
            <w:pPr>
              <w:pStyle w:val="NormalWeb"/>
              <w:jc w:val="center"/>
            </w:pPr>
            <w:r>
              <w:t>2</w:t>
            </w:r>
          </w:p>
        </w:tc>
        <w:tc>
          <w:tcPr>
            <w:tcW w:w="0" w:type="auto"/>
            <w:hideMark/>
          </w:tcPr>
          <w:p w:rsidR="009B090E" w:rsidRDefault="009B090E" w:rsidP="008111A9">
            <w:pPr>
              <w:pStyle w:val="NormalWeb"/>
              <w:jc w:val="center"/>
            </w:pPr>
            <w:r>
              <w:t>0</w:t>
            </w:r>
          </w:p>
        </w:tc>
        <w:tc>
          <w:tcPr>
            <w:tcW w:w="0" w:type="auto"/>
            <w:hideMark/>
          </w:tcPr>
          <w:p w:rsidR="009B090E" w:rsidRDefault="009B090E" w:rsidP="008111A9">
            <w:pPr>
              <w:pStyle w:val="NormalWeb"/>
              <w:jc w:val="center"/>
            </w:pPr>
            <w:r>
              <w:t>19,387</w:t>
            </w:r>
          </w:p>
        </w:tc>
        <w:tc>
          <w:tcPr>
            <w:tcW w:w="3868" w:type="dxa"/>
            <w:hideMark/>
          </w:tcPr>
          <w:p w:rsidR="009B090E" w:rsidRDefault="009B090E" w:rsidP="008111A9">
            <w:pPr>
              <w:pStyle w:val="NormalWeb"/>
              <w:jc w:val="center"/>
            </w:pPr>
            <w:r>
              <w:t>294.0</w:t>
            </w:r>
          </w:p>
        </w:tc>
      </w:tr>
      <w:tr w:rsidR="009B090E" w:rsidTr="008111A9">
        <w:tc>
          <w:tcPr>
            <w:tcW w:w="0" w:type="auto"/>
            <w:hideMark/>
          </w:tcPr>
          <w:p w:rsidR="009B090E" w:rsidRDefault="009B090E">
            <w:pPr>
              <w:pStyle w:val="NormalWeb"/>
            </w:pPr>
            <w:r>
              <w:t>Qld</w:t>
            </w:r>
          </w:p>
        </w:tc>
        <w:tc>
          <w:tcPr>
            <w:tcW w:w="0" w:type="auto"/>
            <w:hideMark/>
          </w:tcPr>
          <w:p w:rsidR="009B090E" w:rsidRDefault="009B090E" w:rsidP="008111A9">
            <w:pPr>
              <w:pStyle w:val="NormalWeb"/>
              <w:jc w:val="center"/>
            </w:pPr>
            <w:r>
              <w:t>4</w:t>
            </w:r>
          </w:p>
        </w:tc>
        <w:tc>
          <w:tcPr>
            <w:tcW w:w="0" w:type="auto"/>
            <w:hideMark/>
          </w:tcPr>
          <w:p w:rsidR="009B090E" w:rsidRDefault="009B090E" w:rsidP="008111A9">
            <w:pPr>
              <w:pStyle w:val="NormalWeb"/>
              <w:jc w:val="center"/>
            </w:pPr>
            <w:r>
              <w:t>0</w:t>
            </w:r>
          </w:p>
        </w:tc>
        <w:tc>
          <w:tcPr>
            <w:tcW w:w="0" w:type="auto"/>
            <w:hideMark/>
          </w:tcPr>
          <w:p w:rsidR="009B090E" w:rsidRDefault="009B090E" w:rsidP="008111A9">
            <w:pPr>
              <w:pStyle w:val="NormalWeb"/>
              <w:jc w:val="center"/>
            </w:pPr>
            <w:r>
              <w:t>302</w:t>
            </w:r>
          </w:p>
        </w:tc>
        <w:tc>
          <w:tcPr>
            <w:tcW w:w="3868" w:type="dxa"/>
            <w:hideMark/>
          </w:tcPr>
          <w:p w:rsidR="009B090E" w:rsidRDefault="009B090E" w:rsidP="008111A9">
            <w:pPr>
              <w:pStyle w:val="NormalWeb"/>
              <w:jc w:val="center"/>
            </w:pPr>
            <w:r>
              <w:t>5.9</w:t>
            </w:r>
          </w:p>
        </w:tc>
      </w:tr>
      <w:tr w:rsidR="009B090E" w:rsidTr="008111A9">
        <w:trPr>
          <w:cnfStyle w:val="000000010000" w:firstRow="0" w:lastRow="0" w:firstColumn="0" w:lastColumn="0" w:oddVBand="0" w:evenVBand="0" w:oddHBand="0" w:evenHBand="1" w:firstRowFirstColumn="0" w:firstRowLastColumn="0" w:lastRowFirstColumn="0" w:lastRowLastColumn="0"/>
        </w:trPr>
        <w:tc>
          <w:tcPr>
            <w:tcW w:w="0" w:type="auto"/>
            <w:hideMark/>
          </w:tcPr>
          <w:p w:rsidR="009B090E" w:rsidRDefault="009B090E">
            <w:pPr>
              <w:pStyle w:val="NormalWeb"/>
            </w:pPr>
            <w:proofErr w:type="spellStart"/>
            <w:r>
              <w:t>WA</w:t>
            </w:r>
            <w:r w:rsidRPr="009672DD">
              <w:rPr>
                <w:vertAlign w:val="superscript"/>
              </w:rPr>
              <w:t>a</w:t>
            </w:r>
            <w:proofErr w:type="spellEnd"/>
          </w:p>
        </w:tc>
        <w:tc>
          <w:tcPr>
            <w:tcW w:w="0" w:type="auto"/>
            <w:hideMark/>
          </w:tcPr>
          <w:p w:rsidR="009B090E" w:rsidRDefault="009B090E" w:rsidP="008111A9">
            <w:pPr>
              <w:pStyle w:val="NormalWeb"/>
              <w:jc w:val="center"/>
            </w:pPr>
            <w:r>
              <w:t>0</w:t>
            </w:r>
          </w:p>
        </w:tc>
        <w:tc>
          <w:tcPr>
            <w:tcW w:w="0" w:type="auto"/>
            <w:hideMark/>
          </w:tcPr>
          <w:p w:rsidR="009B090E" w:rsidRDefault="009B090E" w:rsidP="008111A9">
            <w:pPr>
              <w:pStyle w:val="NormalWeb"/>
              <w:jc w:val="center"/>
            </w:pPr>
            <w:r>
              <w:t>0</w:t>
            </w:r>
          </w:p>
        </w:tc>
        <w:tc>
          <w:tcPr>
            <w:tcW w:w="0" w:type="auto"/>
            <w:hideMark/>
          </w:tcPr>
          <w:p w:rsidR="009B090E" w:rsidRDefault="009B090E" w:rsidP="008111A9">
            <w:pPr>
              <w:pStyle w:val="NormalWeb"/>
              <w:jc w:val="center"/>
            </w:pPr>
            <w:r>
              <w:t>98</w:t>
            </w:r>
          </w:p>
        </w:tc>
        <w:tc>
          <w:tcPr>
            <w:tcW w:w="3868" w:type="dxa"/>
            <w:hideMark/>
          </w:tcPr>
          <w:p w:rsidR="009B090E" w:rsidRDefault="009B090E" w:rsidP="008111A9">
            <w:pPr>
              <w:pStyle w:val="NormalWeb"/>
              <w:jc w:val="center"/>
            </w:pPr>
            <w:r>
              <w:t>3.7</w:t>
            </w:r>
          </w:p>
        </w:tc>
      </w:tr>
      <w:tr w:rsidR="009B090E" w:rsidTr="008111A9">
        <w:tc>
          <w:tcPr>
            <w:tcW w:w="0" w:type="auto"/>
            <w:hideMark/>
          </w:tcPr>
          <w:p w:rsidR="009B090E" w:rsidRDefault="009B090E">
            <w:pPr>
              <w:pStyle w:val="NormalWeb"/>
            </w:pPr>
            <w:r>
              <w:t>SA</w:t>
            </w:r>
          </w:p>
        </w:tc>
        <w:tc>
          <w:tcPr>
            <w:tcW w:w="0" w:type="auto"/>
            <w:hideMark/>
          </w:tcPr>
          <w:p w:rsidR="009B090E" w:rsidRDefault="009B090E" w:rsidP="008111A9">
            <w:pPr>
              <w:pStyle w:val="NormalWeb"/>
              <w:jc w:val="center"/>
            </w:pPr>
            <w:r>
              <w:t>0</w:t>
            </w:r>
          </w:p>
        </w:tc>
        <w:tc>
          <w:tcPr>
            <w:tcW w:w="0" w:type="auto"/>
            <w:hideMark/>
          </w:tcPr>
          <w:p w:rsidR="009B090E" w:rsidRDefault="009B090E" w:rsidP="008111A9">
            <w:pPr>
              <w:pStyle w:val="NormalWeb"/>
              <w:jc w:val="center"/>
            </w:pPr>
            <w:r>
              <w:t>0</w:t>
            </w:r>
          </w:p>
        </w:tc>
        <w:tc>
          <w:tcPr>
            <w:tcW w:w="0" w:type="auto"/>
            <w:hideMark/>
          </w:tcPr>
          <w:p w:rsidR="009B090E" w:rsidRDefault="009B090E" w:rsidP="008111A9">
            <w:pPr>
              <w:pStyle w:val="NormalWeb"/>
              <w:jc w:val="center"/>
            </w:pPr>
            <w:r>
              <w:t>184</w:t>
            </w:r>
          </w:p>
        </w:tc>
        <w:tc>
          <w:tcPr>
            <w:tcW w:w="3868" w:type="dxa"/>
            <w:hideMark/>
          </w:tcPr>
          <w:p w:rsidR="009B090E" w:rsidRDefault="009B090E" w:rsidP="008111A9">
            <w:pPr>
              <w:pStyle w:val="NormalWeb"/>
              <w:jc w:val="center"/>
            </w:pPr>
            <w:r>
              <w:t>10.5</w:t>
            </w:r>
          </w:p>
        </w:tc>
      </w:tr>
      <w:tr w:rsidR="009B090E" w:rsidTr="008111A9">
        <w:trPr>
          <w:cnfStyle w:val="000000010000" w:firstRow="0" w:lastRow="0" w:firstColumn="0" w:lastColumn="0" w:oddVBand="0" w:evenVBand="0" w:oddHBand="0" w:evenHBand="1" w:firstRowFirstColumn="0" w:firstRowLastColumn="0" w:lastRowFirstColumn="0" w:lastRowLastColumn="0"/>
        </w:trPr>
        <w:tc>
          <w:tcPr>
            <w:tcW w:w="0" w:type="auto"/>
            <w:hideMark/>
          </w:tcPr>
          <w:p w:rsidR="009B090E" w:rsidRDefault="009B090E">
            <w:pPr>
              <w:pStyle w:val="NormalWeb"/>
            </w:pPr>
            <w:r>
              <w:t>Tas.</w:t>
            </w:r>
          </w:p>
        </w:tc>
        <w:tc>
          <w:tcPr>
            <w:tcW w:w="0" w:type="auto"/>
            <w:hideMark/>
          </w:tcPr>
          <w:p w:rsidR="009B090E" w:rsidRDefault="009B090E" w:rsidP="008111A9">
            <w:pPr>
              <w:pStyle w:val="NormalWeb"/>
              <w:jc w:val="center"/>
            </w:pPr>
            <w:r>
              <w:t>0</w:t>
            </w:r>
          </w:p>
        </w:tc>
        <w:tc>
          <w:tcPr>
            <w:tcW w:w="0" w:type="auto"/>
            <w:hideMark/>
          </w:tcPr>
          <w:p w:rsidR="009B090E" w:rsidRDefault="009B090E" w:rsidP="008111A9">
            <w:pPr>
              <w:pStyle w:val="NormalWeb"/>
              <w:jc w:val="center"/>
            </w:pPr>
            <w:r>
              <w:t>0</w:t>
            </w:r>
          </w:p>
        </w:tc>
        <w:tc>
          <w:tcPr>
            <w:tcW w:w="0" w:type="auto"/>
            <w:hideMark/>
          </w:tcPr>
          <w:p w:rsidR="009B090E" w:rsidRDefault="009B090E" w:rsidP="008111A9">
            <w:pPr>
              <w:pStyle w:val="NormalWeb"/>
              <w:jc w:val="center"/>
            </w:pPr>
            <w:r>
              <w:t>149</w:t>
            </w:r>
          </w:p>
        </w:tc>
        <w:tc>
          <w:tcPr>
            <w:tcW w:w="3868" w:type="dxa"/>
            <w:hideMark/>
          </w:tcPr>
          <w:p w:rsidR="009B090E" w:rsidRDefault="009B090E" w:rsidP="008111A9">
            <w:pPr>
              <w:pStyle w:val="NormalWeb"/>
              <w:jc w:val="center"/>
            </w:pPr>
            <w:r>
              <w:t>27.9</w:t>
            </w:r>
          </w:p>
        </w:tc>
      </w:tr>
      <w:tr w:rsidR="009B090E" w:rsidTr="008111A9">
        <w:tc>
          <w:tcPr>
            <w:tcW w:w="0" w:type="auto"/>
            <w:hideMark/>
          </w:tcPr>
          <w:p w:rsidR="009B090E" w:rsidRDefault="009B090E">
            <w:pPr>
              <w:pStyle w:val="NormalWeb"/>
            </w:pPr>
            <w:r>
              <w:t>NT</w:t>
            </w:r>
          </w:p>
        </w:tc>
        <w:tc>
          <w:tcPr>
            <w:tcW w:w="0" w:type="auto"/>
            <w:hideMark/>
          </w:tcPr>
          <w:p w:rsidR="009B090E" w:rsidRDefault="009B090E" w:rsidP="008111A9">
            <w:pPr>
              <w:pStyle w:val="NormalWeb"/>
              <w:jc w:val="center"/>
            </w:pPr>
            <w:r>
              <w:t>0</w:t>
            </w:r>
          </w:p>
        </w:tc>
        <w:tc>
          <w:tcPr>
            <w:tcW w:w="0" w:type="auto"/>
            <w:hideMark/>
          </w:tcPr>
          <w:p w:rsidR="009B090E" w:rsidRDefault="009B090E" w:rsidP="008111A9">
            <w:pPr>
              <w:pStyle w:val="NormalWeb"/>
              <w:jc w:val="center"/>
            </w:pPr>
            <w:r>
              <w:t>0</w:t>
            </w:r>
          </w:p>
        </w:tc>
        <w:tc>
          <w:tcPr>
            <w:tcW w:w="0" w:type="auto"/>
            <w:hideMark/>
          </w:tcPr>
          <w:p w:rsidR="009B090E" w:rsidRDefault="009B090E" w:rsidP="008111A9">
            <w:pPr>
              <w:pStyle w:val="NormalWeb"/>
              <w:jc w:val="center"/>
            </w:pPr>
            <w:r>
              <w:t>6</w:t>
            </w:r>
          </w:p>
        </w:tc>
        <w:tc>
          <w:tcPr>
            <w:tcW w:w="3868" w:type="dxa"/>
            <w:hideMark/>
          </w:tcPr>
          <w:p w:rsidR="009B090E" w:rsidRDefault="009B090E" w:rsidP="008111A9">
            <w:pPr>
              <w:pStyle w:val="NormalWeb"/>
              <w:jc w:val="center"/>
            </w:pPr>
            <w:r>
              <w:t>2.4</w:t>
            </w:r>
          </w:p>
        </w:tc>
      </w:tr>
      <w:tr w:rsidR="009B090E" w:rsidTr="008111A9">
        <w:trPr>
          <w:cnfStyle w:val="000000010000" w:firstRow="0" w:lastRow="0" w:firstColumn="0" w:lastColumn="0" w:oddVBand="0" w:evenVBand="0" w:oddHBand="0" w:evenHBand="1" w:firstRowFirstColumn="0" w:firstRowLastColumn="0" w:lastRowFirstColumn="0" w:lastRowLastColumn="0"/>
        </w:trPr>
        <w:tc>
          <w:tcPr>
            <w:tcW w:w="0" w:type="auto"/>
            <w:hideMark/>
          </w:tcPr>
          <w:p w:rsidR="009B090E" w:rsidRDefault="009B090E">
            <w:pPr>
              <w:pStyle w:val="NormalWeb"/>
            </w:pPr>
            <w:r>
              <w:t>ACT</w:t>
            </w:r>
          </w:p>
        </w:tc>
        <w:tc>
          <w:tcPr>
            <w:tcW w:w="0" w:type="auto"/>
            <w:hideMark/>
          </w:tcPr>
          <w:p w:rsidR="009B090E" w:rsidRDefault="009B090E" w:rsidP="008111A9">
            <w:pPr>
              <w:pStyle w:val="NormalWeb"/>
              <w:jc w:val="center"/>
            </w:pPr>
            <w:r>
              <w:t>0</w:t>
            </w:r>
          </w:p>
        </w:tc>
        <w:tc>
          <w:tcPr>
            <w:tcW w:w="0" w:type="auto"/>
            <w:hideMark/>
          </w:tcPr>
          <w:p w:rsidR="009B090E" w:rsidRDefault="009B090E" w:rsidP="008111A9">
            <w:pPr>
              <w:pStyle w:val="NormalWeb"/>
              <w:jc w:val="center"/>
            </w:pPr>
            <w:r>
              <w:t>0</w:t>
            </w:r>
          </w:p>
        </w:tc>
        <w:tc>
          <w:tcPr>
            <w:tcW w:w="0" w:type="auto"/>
            <w:hideMark/>
          </w:tcPr>
          <w:p w:rsidR="009B090E" w:rsidRDefault="009B090E" w:rsidP="008111A9">
            <w:pPr>
              <w:pStyle w:val="NormalWeb"/>
              <w:jc w:val="center"/>
            </w:pPr>
            <w:r>
              <w:t>29</w:t>
            </w:r>
          </w:p>
        </w:tc>
        <w:tc>
          <w:tcPr>
            <w:tcW w:w="3868" w:type="dxa"/>
            <w:hideMark/>
          </w:tcPr>
          <w:p w:rsidR="009B090E" w:rsidRDefault="009B090E" w:rsidP="008111A9">
            <w:pPr>
              <w:pStyle w:val="NormalWeb"/>
              <w:jc w:val="center"/>
            </w:pPr>
            <w:r>
              <w:t>6.8</w:t>
            </w:r>
          </w:p>
        </w:tc>
      </w:tr>
      <w:tr w:rsidR="008111A9" w:rsidRPr="008111A9" w:rsidTr="008111A9">
        <w:tc>
          <w:tcPr>
            <w:tcW w:w="0" w:type="auto"/>
            <w:shd w:val="clear" w:color="auto" w:fill="FDE9D9" w:themeFill="accent6" w:themeFillTint="33"/>
            <w:hideMark/>
          </w:tcPr>
          <w:p w:rsidR="009B090E" w:rsidRPr="008111A9" w:rsidRDefault="009B090E">
            <w:pPr>
              <w:pStyle w:val="NormalWeb"/>
              <w:rPr>
                <w:b/>
              </w:rPr>
            </w:pPr>
            <w:r w:rsidRPr="008111A9">
              <w:rPr>
                <w:b/>
              </w:rPr>
              <w:t>Australia</w:t>
            </w:r>
          </w:p>
        </w:tc>
        <w:tc>
          <w:tcPr>
            <w:tcW w:w="0" w:type="auto"/>
            <w:shd w:val="clear" w:color="auto" w:fill="FDE9D9" w:themeFill="accent6" w:themeFillTint="33"/>
            <w:hideMark/>
          </w:tcPr>
          <w:p w:rsidR="009B090E" w:rsidRPr="008111A9" w:rsidRDefault="009B090E" w:rsidP="008111A9">
            <w:pPr>
              <w:pStyle w:val="NormalWeb"/>
              <w:jc w:val="center"/>
              <w:rPr>
                <w:b/>
              </w:rPr>
            </w:pPr>
            <w:r w:rsidRPr="008111A9">
              <w:rPr>
                <w:b/>
              </w:rPr>
              <w:t>23</w:t>
            </w:r>
          </w:p>
        </w:tc>
        <w:tc>
          <w:tcPr>
            <w:tcW w:w="0" w:type="auto"/>
            <w:shd w:val="clear" w:color="auto" w:fill="FDE9D9" w:themeFill="accent6" w:themeFillTint="33"/>
            <w:hideMark/>
          </w:tcPr>
          <w:p w:rsidR="009B090E" w:rsidRPr="008111A9" w:rsidRDefault="009B090E" w:rsidP="008111A9">
            <w:pPr>
              <w:pStyle w:val="NormalWeb"/>
              <w:jc w:val="center"/>
              <w:rPr>
                <w:b/>
              </w:rPr>
            </w:pPr>
            <w:r w:rsidRPr="008111A9">
              <w:rPr>
                <w:b/>
              </w:rPr>
              <w:t>0</w:t>
            </w:r>
          </w:p>
        </w:tc>
        <w:tc>
          <w:tcPr>
            <w:tcW w:w="0" w:type="auto"/>
            <w:shd w:val="clear" w:color="auto" w:fill="FDE9D9" w:themeFill="accent6" w:themeFillTint="33"/>
            <w:hideMark/>
          </w:tcPr>
          <w:p w:rsidR="009B090E" w:rsidRPr="008111A9" w:rsidRDefault="009B090E" w:rsidP="008111A9">
            <w:pPr>
              <w:pStyle w:val="NormalWeb"/>
              <w:jc w:val="center"/>
              <w:rPr>
                <w:b/>
              </w:rPr>
            </w:pPr>
            <w:r w:rsidRPr="008111A9">
              <w:rPr>
                <w:b/>
              </w:rPr>
              <w:t>22,331</w:t>
            </w:r>
          </w:p>
        </w:tc>
        <w:tc>
          <w:tcPr>
            <w:tcW w:w="3868" w:type="dxa"/>
            <w:shd w:val="clear" w:color="auto" w:fill="FDE9D9" w:themeFill="accent6" w:themeFillTint="33"/>
            <w:hideMark/>
          </w:tcPr>
          <w:p w:rsidR="009B090E" w:rsidRPr="008111A9" w:rsidRDefault="009B090E" w:rsidP="008111A9">
            <w:pPr>
              <w:pStyle w:val="NormalWeb"/>
              <w:jc w:val="center"/>
              <w:rPr>
                <w:b/>
              </w:rPr>
            </w:pPr>
            <w:r w:rsidRPr="008111A9">
              <w:rPr>
                <w:b/>
              </w:rPr>
              <w:t>88.1</w:t>
            </w:r>
          </w:p>
        </w:tc>
      </w:tr>
    </w:tbl>
    <w:p w:rsidR="009B090E" w:rsidRDefault="009B090E" w:rsidP="00B47EA3">
      <w:pPr>
        <w:pStyle w:val="CDIfootnotes"/>
      </w:pPr>
      <w:proofErr w:type="gramStart"/>
      <w:r>
        <w:t>a</w:t>
      </w:r>
      <w:proofErr w:type="gramEnd"/>
      <w:r>
        <w:tab/>
        <w:t>Western Australia</w:t>
      </w:r>
      <w:r w:rsidR="008111A9">
        <w:t>’</w:t>
      </w:r>
      <w:r>
        <w:t>s locally-acquired infection was classified as under investigation at the time of reporting.</w:t>
      </w:r>
    </w:p>
    <w:p w:rsidR="009B090E" w:rsidRDefault="009B090E" w:rsidP="004602B1">
      <w:pPr>
        <w:pStyle w:val="CDIFigures"/>
      </w:pPr>
      <w:r>
        <w:lastRenderedPageBreak/>
        <w:t>Table 3: Days since last locally-acquired COVID-19 case (source known and source unknown), by jurisdiction, reported by notification received date, 31 January 2021</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the number of days elapsed since the last locally-acquired COVID-19 case with known source, and with unknown source, by jurisdiction. In New South Wales, as of the end of the current reporting period, there have been respectively 15 and 16 days since the most recently-notified locally-acquired cases with source known and with source unknown. In Victoria, the most recently-notified locally-acquired cases with source known and with source unknown were notified respectively 27 and 26 days prior to the end of the current reporting period. In Queensland, Western Australia and South Australia, there have been 19 days, 28 days and 63 days elapsed respectively since notification of any locally-acquired cases with known source. Outside of New South Wales and Victoria, no jurisdiction has reported any locally-acquired case with unknown source for more than 150 days, true also of locally-acquired cases with known source in Tasmania, the Northern Territory and the Australian Capital Territory."/>
      </w:tblPr>
      <w:tblGrid>
        <w:gridCol w:w="1156"/>
        <w:gridCol w:w="2327"/>
        <w:gridCol w:w="2328"/>
        <w:gridCol w:w="2327"/>
        <w:gridCol w:w="2328"/>
      </w:tblGrid>
      <w:tr w:rsidR="00865222" w:rsidRPr="00865222" w:rsidTr="00786C9D">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rsidR="009B090E" w:rsidRPr="00865222" w:rsidRDefault="009B090E">
            <w:pPr>
              <w:pStyle w:val="NormalWeb"/>
              <w:jc w:val="center"/>
              <w:rPr>
                <w:bCs/>
                <w:color w:val="FFFFFF" w:themeColor="background1"/>
              </w:rPr>
            </w:pPr>
            <w:r w:rsidRPr="00865222">
              <w:rPr>
                <w:bCs/>
                <w:color w:val="FFFFFF" w:themeColor="background1"/>
              </w:rPr>
              <w:t>Jurisdiction</w:t>
            </w:r>
          </w:p>
        </w:tc>
        <w:tc>
          <w:tcPr>
            <w:tcW w:w="4655" w:type="dxa"/>
            <w:gridSpan w:val="2"/>
            <w:tcBorders>
              <w:left w:val="single" w:sz="2" w:space="0" w:color="FFFFFF" w:themeColor="background1"/>
              <w:bottom w:val="single" w:sz="2" w:space="0" w:color="FFFFFF" w:themeColor="background1"/>
              <w:right w:val="single" w:sz="2" w:space="0" w:color="FFFFFF" w:themeColor="background1"/>
            </w:tcBorders>
            <w:hideMark/>
          </w:tcPr>
          <w:p w:rsidR="009B090E" w:rsidRPr="00865222" w:rsidRDefault="009B090E" w:rsidP="00865222">
            <w:pPr>
              <w:pStyle w:val="NormalWeb"/>
              <w:jc w:val="center"/>
              <w:rPr>
                <w:bCs/>
                <w:color w:val="FFFFFF" w:themeColor="background1"/>
              </w:rPr>
            </w:pPr>
            <w:r w:rsidRPr="00865222">
              <w:rPr>
                <w:bCs/>
                <w:color w:val="FFFFFF" w:themeColor="background1"/>
              </w:rPr>
              <w:t>Locally acquired — source unknown</w:t>
            </w:r>
          </w:p>
        </w:tc>
        <w:tc>
          <w:tcPr>
            <w:tcW w:w="4655" w:type="dxa"/>
            <w:gridSpan w:val="2"/>
            <w:tcBorders>
              <w:left w:val="single" w:sz="2" w:space="0" w:color="FFFFFF" w:themeColor="background1"/>
              <w:bottom w:val="single" w:sz="2" w:space="0" w:color="FFFFFF" w:themeColor="background1"/>
            </w:tcBorders>
            <w:hideMark/>
          </w:tcPr>
          <w:p w:rsidR="009B090E" w:rsidRPr="00865222" w:rsidRDefault="009B090E" w:rsidP="00865222">
            <w:pPr>
              <w:pStyle w:val="NormalWeb"/>
              <w:jc w:val="center"/>
              <w:rPr>
                <w:bCs/>
                <w:color w:val="FFFFFF" w:themeColor="background1"/>
              </w:rPr>
            </w:pPr>
            <w:r w:rsidRPr="00865222">
              <w:rPr>
                <w:bCs/>
                <w:color w:val="FFFFFF" w:themeColor="background1"/>
              </w:rPr>
              <w:t>Locally acquired — source known</w:t>
            </w:r>
          </w:p>
        </w:tc>
      </w:tr>
      <w:tr w:rsidR="00865222" w:rsidRPr="00865222" w:rsidTr="00786C9D">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rsidR="009B090E" w:rsidRPr="00865222" w:rsidRDefault="009B090E">
            <w:pPr>
              <w:rPr>
                <w:bCs/>
                <w:color w:val="FFFFFF" w:themeColor="background1"/>
                <w:sz w:val="24"/>
                <w:szCs w:val="24"/>
              </w:rPr>
            </w:pPr>
          </w:p>
        </w:tc>
        <w:tc>
          <w:tcPr>
            <w:tcW w:w="2327" w:type="dxa"/>
            <w:tcBorders>
              <w:top w:val="single" w:sz="2" w:space="0" w:color="FFFFFF" w:themeColor="background1"/>
              <w:left w:val="single" w:sz="2" w:space="0" w:color="FFFFFF" w:themeColor="background1"/>
              <w:right w:val="single" w:sz="2" w:space="0" w:color="FFFFFF" w:themeColor="background1"/>
            </w:tcBorders>
            <w:hideMark/>
          </w:tcPr>
          <w:p w:rsidR="009B090E" w:rsidRPr="00865222" w:rsidRDefault="009B090E" w:rsidP="00865222">
            <w:pPr>
              <w:pStyle w:val="NormalWeb"/>
              <w:jc w:val="center"/>
              <w:rPr>
                <w:bCs/>
                <w:color w:val="FFFFFF" w:themeColor="background1"/>
              </w:rPr>
            </w:pPr>
            <w:r w:rsidRPr="00865222">
              <w:rPr>
                <w:bCs/>
                <w:color w:val="FFFFFF" w:themeColor="background1"/>
              </w:rPr>
              <w:t>Date of last case</w:t>
            </w:r>
          </w:p>
        </w:tc>
        <w:tc>
          <w:tcPr>
            <w:tcW w:w="2328" w:type="dxa"/>
            <w:tcBorders>
              <w:top w:val="single" w:sz="2" w:space="0" w:color="FFFFFF" w:themeColor="background1"/>
              <w:left w:val="single" w:sz="2" w:space="0" w:color="FFFFFF" w:themeColor="background1"/>
              <w:right w:val="single" w:sz="2" w:space="0" w:color="FFFFFF" w:themeColor="background1"/>
            </w:tcBorders>
            <w:hideMark/>
          </w:tcPr>
          <w:p w:rsidR="009B090E" w:rsidRPr="00865222" w:rsidRDefault="009B090E" w:rsidP="00865222">
            <w:pPr>
              <w:pStyle w:val="NormalWeb"/>
              <w:jc w:val="center"/>
              <w:rPr>
                <w:bCs/>
                <w:color w:val="FFFFFF" w:themeColor="background1"/>
              </w:rPr>
            </w:pPr>
            <w:r w:rsidRPr="00865222">
              <w:rPr>
                <w:bCs/>
                <w:color w:val="FFFFFF" w:themeColor="background1"/>
              </w:rPr>
              <w:t>Days since last case</w:t>
            </w:r>
          </w:p>
        </w:tc>
        <w:tc>
          <w:tcPr>
            <w:tcW w:w="2327" w:type="dxa"/>
            <w:tcBorders>
              <w:top w:val="single" w:sz="2" w:space="0" w:color="FFFFFF" w:themeColor="background1"/>
              <w:left w:val="single" w:sz="2" w:space="0" w:color="FFFFFF" w:themeColor="background1"/>
              <w:right w:val="single" w:sz="2" w:space="0" w:color="FFFFFF" w:themeColor="background1"/>
            </w:tcBorders>
            <w:hideMark/>
          </w:tcPr>
          <w:p w:rsidR="009B090E" w:rsidRPr="00865222" w:rsidRDefault="009B090E" w:rsidP="00865222">
            <w:pPr>
              <w:pStyle w:val="NormalWeb"/>
              <w:jc w:val="center"/>
              <w:rPr>
                <w:bCs/>
                <w:color w:val="FFFFFF" w:themeColor="background1"/>
              </w:rPr>
            </w:pPr>
            <w:r w:rsidRPr="00865222">
              <w:rPr>
                <w:bCs/>
                <w:color w:val="FFFFFF" w:themeColor="background1"/>
              </w:rPr>
              <w:t>Date of last case</w:t>
            </w:r>
          </w:p>
        </w:tc>
        <w:tc>
          <w:tcPr>
            <w:tcW w:w="2328" w:type="dxa"/>
            <w:tcBorders>
              <w:top w:val="single" w:sz="2" w:space="0" w:color="FFFFFF" w:themeColor="background1"/>
              <w:left w:val="single" w:sz="2" w:space="0" w:color="FFFFFF" w:themeColor="background1"/>
            </w:tcBorders>
            <w:hideMark/>
          </w:tcPr>
          <w:p w:rsidR="009B090E" w:rsidRPr="00865222" w:rsidRDefault="009B090E" w:rsidP="00865222">
            <w:pPr>
              <w:pStyle w:val="NormalWeb"/>
              <w:jc w:val="center"/>
              <w:rPr>
                <w:bCs/>
                <w:color w:val="FFFFFF" w:themeColor="background1"/>
              </w:rPr>
            </w:pPr>
            <w:r w:rsidRPr="00865222">
              <w:rPr>
                <w:bCs/>
                <w:color w:val="FFFFFF" w:themeColor="background1"/>
              </w:rPr>
              <w:t>Days since last case</w:t>
            </w:r>
          </w:p>
        </w:tc>
      </w:tr>
      <w:tr w:rsidR="009B090E" w:rsidTr="00786C9D">
        <w:tc>
          <w:tcPr>
            <w:tcW w:w="0" w:type="auto"/>
            <w:hideMark/>
          </w:tcPr>
          <w:p w:rsidR="009B090E" w:rsidRDefault="009B090E">
            <w:pPr>
              <w:pStyle w:val="NormalWeb"/>
            </w:pPr>
            <w:r>
              <w:t>NSW</w:t>
            </w:r>
          </w:p>
        </w:tc>
        <w:tc>
          <w:tcPr>
            <w:tcW w:w="2327" w:type="dxa"/>
            <w:hideMark/>
          </w:tcPr>
          <w:p w:rsidR="009B090E" w:rsidRDefault="009B090E" w:rsidP="00865222">
            <w:pPr>
              <w:pStyle w:val="NormalWeb"/>
              <w:jc w:val="center"/>
            </w:pPr>
            <w:r>
              <w:t>15 January 2021</w:t>
            </w:r>
          </w:p>
        </w:tc>
        <w:tc>
          <w:tcPr>
            <w:tcW w:w="2328" w:type="dxa"/>
            <w:hideMark/>
          </w:tcPr>
          <w:p w:rsidR="009B090E" w:rsidRDefault="009B090E" w:rsidP="00865222">
            <w:pPr>
              <w:pStyle w:val="NormalWeb"/>
              <w:jc w:val="center"/>
            </w:pPr>
            <w:r>
              <w:t>16</w:t>
            </w:r>
          </w:p>
        </w:tc>
        <w:tc>
          <w:tcPr>
            <w:tcW w:w="2327" w:type="dxa"/>
            <w:hideMark/>
          </w:tcPr>
          <w:p w:rsidR="009B090E" w:rsidRDefault="009B090E" w:rsidP="00865222">
            <w:pPr>
              <w:pStyle w:val="NormalWeb"/>
              <w:jc w:val="center"/>
            </w:pPr>
            <w:r>
              <w:t>16 January 2021</w:t>
            </w:r>
          </w:p>
        </w:tc>
        <w:tc>
          <w:tcPr>
            <w:tcW w:w="2328" w:type="dxa"/>
            <w:hideMark/>
          </w:tcPr>
          <w:p w:rsidR="009B090E" w:rsidRDefault="009B090E" w:rsidP="00865222">
            <w:pPr>
              <w:pStyle w:val="NormalWeb"/>
              <w:jc w:val="center"/>
            </w:pPr>
            <w:r>
              <w:t>15</w:t>
            </w:r>
          </w:p>
        </w:tc>
      </w:tr>
      <w:tr w:rsidR="009B090E" w:rsidTr="00786C9D">
        <w:trPr>
          <w:cnfStyle w:val="000000010000" w:firstRow="0" w:lastRow="0" w:firstColumn="0" w:lastColumn="0" w:oddVBand="0" w:evenVBand="0" w:oddHBand="0" w:evenHBand="1" w:firstRowFirstColumn="0" w:firstRowLastColumn="0" w:lastRowFirstColumn="0" w:lastRowLastColumn="0"/>
        </w:trPr>
        <w:tc>
          <w:tcPr>
            <w:tcW w:w="0" w:type="auto"/>
            <w:hideMark/>
          </w:tcPr>
          <w:p w:rsidR="009B090E" w:rsidRDefault="009B090E">
            <w:pPr>
              <w:pStyle w:val="NormalWeb"/>
            </w:pPr>
            <w:r>
              <w:t>Vic.</w:t>
            </w:r>
          </w:p>
        </w:tc>
        <w:tc>
          <w:tcPr>
            <w:tcW w:w="2327" w:type="dxa"/>
            <w:hideMark/>
          </w:tcPr>
          <w:p w:rsidR="009B090E" w:rsidRDefault="009B090E" w:rsidP="00865222">
            <w:pPr>
              <w:pStyle w:val="NormalWeb"/>
              <w:jc w:val="center"/>
            </w:pPr>
            <w:r>
              <w:t>5 January 2021</w:t>
            </w:r>
          </w:p>
        </w:tc>
        <w:tc>
          <w:tcPr>
            <w:tcW w:w="2328" w:type="dxa"/>
            <w:hideMark/>
          </w:tcPr>
          <w:p w:rsidR="009B090E" w:rsidRDefault="009B090E" w:rsidP="00865222">
            <w:pPr>
              <w:pStyle w:val="NormalWeb"/>
              <w:jc w:val="center"/>
            </w:pPr>
            <w:r>
              <w:t>26</w:t>
            </w:r>
          </w:p>
        </w:tc>
        <w:tc>
          <w:tcPr>
            <w:tcW w:w="2327" w:type="dxa"/>
            <w:hideMark/>
          </w:tcPr>
          <w:p w:rsidR="009B090E" w:rsidRDefault="009B090E" w:rsidP="00865222">
            <w:pPr>
              <w:pStyle w:val="NormalWeb"/>
              <w:jc w:val="center"/>
            </w:pPr>
            <w:r>
              <w:t>4 January 2021</w:t>
            </w:r>
          </w:p>
        </w:tc>
        <w:tc>
          <w:tcPr>
            <w:tcW w:w="2328" w:type="dxa"/>
            <w:hideMark/>
          </w:tcPr>
          <w:p w:rsidR="009B090E" w:rsidRDefault="009B090E" w:rsidP="00865222">
            <w:pPr>
              <w:pStyle w:val="NormalWeb"/>
              <w:jc w:val="center"/>
            </w:pPr>
            <w:r>
              <w:t>27</w:t>
            </w:r>
          </w:p>
        </w:tc>
      </w:tr>
      <w:tr w:rsidR="009B090E" w:rsidTr="00786C9D">
        <w:tc>
          <w:tcPr>
            <w:tcW w:w="0" w:type="auto"/>
            <w:hideMark/>
          </w:tcPr>
          <w:p w:rsidR="009B090E" w:rsidRDefault="009B090E">
            <w:pPr>
              <w:pStyle w:val="NormalWeb"/>
            </w:pPr>
            <w:r>
              <w:t>Qld</w:t>
            </w:r>
          </w:p>
        </w:tc>
        <w:tc>
          <w:tcPr>
            <w:tcW w:w="2327" w:type="dxa"/>
            <w:hideMark/>
          </w:tcPr>
          <w:p w:rsidR="009B090E" w:rsidRDefault="009B090E" w:rsidP="00865222">
            <w:pPr>
              <w:pStyle w:val="NormalWeb"/>
              <w:jc w:val="center"/>
            </w:pPr>
            <w:r>
              <w:t>26 August 2020</w:t>
            </w:r>
          </w:p>
        </w:tc>
        <w:tc>
          <w:tcPr>
            <w:tcW w:w="2328" w:type="dxa"/>
            <w:hideMark/>
          </w:tcPr>
          <w:p w:rsidR="009B090E" w:rsidRDefault="009B090E" w:rsidP="00865222">
            <w:pPr>
              <w:pStyle w:val="NormalWeb"/>
              <w:jc w:val="center"/>
            </w:pPr>
            <w:r>
              <w:t>158</w:t>
            </w:r>
          </w:p>
        </w:tc>
        <w:tc>
          <w:tcPr>
            <w:tcW w:w="2327" w:type="dxa"/>
            <w:hideMark/>
          </w:tcPr>
          <w:p w:rsidR="009B090E" w:rsidRDefault="009B090E" w:rsidP="00865222">
            <w:pPr>
              <w:pStyle w:val="NormalWeb"/>
              <w:jc w:val="center"/>
            </w:pPr>
            <w:r>
              <w:t>12 January 2021</w:t>
            </w:r>
          </w:p>
        </w:tc>
        <w:tc>
          <w:tcPr>
            <w:tcW w:w="2328" w:type="dxa"/>
            <w:hideMark/>
          </w:tcPr>
          <w:p w:rsidR="009B090E" w:rsidRDefault="009B090E" w:rsidP="00865222">
            <w:pPr>
              <w:pStyle w:val="NormalWeb"/>
              <w:jc w:val="center"/>
            </w:pPr>
            <w:r>
              <w:t>19</w:t>
            </w:r>
          </w:p>
        </w:tc>
      </w:tr>
      <w:tr w:rsidR="009B090E" w:rsidTr="00786C9D">
        <w:trPr>
          <w:cnfStyle w:val="000000010000" w:firstRow="0" w:lastRow="0" w:firstColumn="0" w:lastColumn="0" w:oddVBand="0" w:evenVBand="0" w:oddHBand="0" w:evenHBand="1" w:firstRowFirstColumn="0" w:firstRowLastColumn="0" w:lastRowFirstColumn="0" w:lastRowLastColumn="0"/>
        </w:trPr>
        <w:tc>
          <w:tcPr>
            <w:tcW w:w="0" w:type="auto"/>
            <w:hideMark/>
          </w:tcPr>
          <w:p w:rsidR="009B090E" w:rsidRDefault="009B090E">
            <w:pPr>
              <w:pStyle w:val="NormalWeb"/>
            </w:pPr>
            <w:proofErr w:type="spellStart"/>
            <w:r>
              <w:t>WA</w:t>
            </w:r>
            <w:r w:rsidRPr="00786C9D">
              <w:rPr>
                <w:vertAlign w:val="superscript"/>
              </w:rPr>
              <w:t>a</w:t>
            </w:r>
            <w:proofErr w:type="spellEnd"/>
          </w:p>
        </w:tc>
        <w:tc>
          <w:tcPr>
            <w:tcW w:w="2327" w:type="dxa"/>
            <w:hideMark/>
          </w:tcPr>
          <w:p w:rsidR="009B090E" w:rsidRDefault="009B090E" w:rsidP="00865222">
            <w:pPr>
              <w:pStyle w:val="NormalWeb"/>
              <w:jc w:val="center"/>
            </w:pPr>
            <w:r>
              <w:t>12 April 2020</w:t>
            </w:r>
          </w:p>
        </w:tc>
        <w:tc>
          <w:tcPr>
            <w:tcW w:w="2328" w:type="dxa"/>
            <w:hideMark/>
          </w:tcPr>
          <w:p w:rsidR="009B090E" w:rsidRDefault="009B090E" w:rsidP="00865222">
            <w:pPr>
              <w:pStyle w:val="NormalWeb"/>
              <w:jc w:val="center"/>
            </w:pPr>
            <w:r>
              <w:t>294</w:t>
            </w:r>
          </w:p>
        </w:tc>
        <w:tc>
          <w:tcPr>
            <w:tcW w:w="2327" w:type="dxa"/>
            <w:hideMark/>
          </w:tcPr>
          <w:p w:rsidR="009B090E" w:rsidRDefault="009B090E" w:rsidP="00865222">
            <w:pPr>
              <w:pStyle w:val="NormalWeb"/>
              <w:jc w:val="center"/>
            </w:pPr>
            <w:r>
              <w:t>3 January 2021</w:t>
            </w:r>
          </w:p>
        </w:tc>
        <w:tc>
          <w:tcPr>
            <w:tcW w:w="2328" w:type="dxa"/>
            <w:hideMark/>
          </w:tcPr>
          <w:p w:rsidR="009B090E" w:rsidRDefault="009B090E" w:rsidP="00865222">
            <w:pPr>
              <w:pStyle w:val="NormalWeb"/>
              <w:jc w:val="center"/>
            </w:pPr>
            <w:r>
              <w:t>28</w:t>
            </w:r>
          </w:p>
        </w:tc>
      </w:tr>
      <w:tr w:rsidR="009B090E" w:rsidTr="00786C9D">
        <w:tc>
          <w:tcPr>
            <w:tcW w:w="0" w:type="auto"/>
            <w:hideMark/>
          </w:tcPr>
          <w:p w:rsidR="009B090E" w:rsidRDefault="009B090E">
            <w:pPr>
              <w:pStyle w:val="NormalWeb"/>
            </w:pPr>
            <w:r>
              <w:t>SA</w:t>
            </w:r>
          </w:p>
        </w:tc>
        <w:tc>
          <w:tcPr>
            <w:tcW w:w="2327" w:type="dxa"/>
            <w:hideMark/>
          </w:tcPr>
          <w:p w:rsidR="009B090E" w:rsidRDefault="009B090E" w:rsidP="00865222">
            <w:pPr>
              <w:pStyle w:val="NormalWeb"/>
              <w:jc w:val="center"/>
            </w:pPr>
            <w:r>
              <w:t>15 April 2020</w:t>
            </w:r>
          </w:p>
        </w:tc>
        <w:tc>
          <w:tcPr>
            <w:tcW w:w="2328" w:type="dxa"/>
            <w:hideMark/>
          </w:tcPr>
          <w:p w:rsidR="009B090E" w:rsidRDefault="009B090E" w:rsidP="00865222">
            <w:pPr>
              <w:pStyle w:val="NormalWeb"/>
              <w:jc w:val="center"/>
            </w:pPr>
            <w:r>
              <w:t>291</w:t>
            </w:r>
          </w:p>
        </w:tc>
        <w:tc>
          <w:tcPr>
            <w:tcW w:w="2327" w:type="dxa"/>
            <w:hideMark/>
          </w:tcPr>
          <w:p w:rsidR="009B090E" w:rsidRDefault="009B090E" w:rsidP="00865222">
            <w:pPr>
              <w:pStyle w:val="NormalWeb"/>
              <w:jc w:val="center"/>
            </w:pPr>
            <w:r>
              <w:t>29 November 2020</w:t>
            </w:r>
          </w:p>
        </w:tc>
        <w:tc>
          <w:tcPr>
            <w:tcW w:w="2328" w:type="dxa"/>
            <w:hideMark/>
          </w:tcPr>
          <w:p w:rsidR="009B090E" w:rsidRDefault="009B090E" w:rsidP="00865222">
            <w:pPr>
              <w:pStyle w:val="NormalWeb"/>
              <w:jc w:val="center"/>
            </w:pPr>
            <w:r>
              <w:t>63</w:t>
            </w:r>
          </w:p>
        </w:tc>
      </w:tr>
      <w:tr w:rsidR="009B090E" w:rsidTr="00786C9D">
        <w:trPr>
          <w:cnfStyle w:val="000000010000" w:firstRow="0" w:lastRow="0" w:firstColumn="0" w:lastColumn="0" w:oddVBand="0" w:evenVBand="0" w:oddHBand="0" w:evenHBand="1" w:firstRowFirstColumn="0" w:firstRowLastColumn="0" w:lastRowFirstColumn="0" w:lastRowLastColumn="0"/>
        </w:trPr>
        <w:tc>
          <w:tcPr>
            <w:tcW w:w="0" w:type="auto"/>
            <w:hideMark/>
          </w:tcPr>
          <w:p w:rsidR="009B090E" w:rsidRDefault="009B090E">
            <w:pPr>
              <w:pStyle w:val="NormalWeb"/>
            </w:pPr>
            <w:r>
              <w:t>Tas.</w:t>
            </w:r>
          </w:p>
        </w:tc>
        <w:tc>
          <w:tcPr>
            <w:tcW w:w="2327" w:type="dxa"/>
            <w:hideMark/>
          </w:tcPr>
          <w:p w:rsidR="009B090E" w:rsidRDefault="009B090E" w:rsidP="00865222">
            <w:pPr>
              <w:pStyle w:val="NormalWeb"/>
              <w:jc w:val="center"/>
            </w:pPr>
            <w:r>
              <w:t>11 August 2020</w:t>
            </w:r>
          </w:p>
        </w:tc>
        <w:tc>
          <w:tcPr>
            <w:tcW w:w="2328" w:type="dxa"/>
            <w:hideMark/>
          </w:tcPr>
          <w:p w:rsidR="009B090E" w:rsidRDefault="009B090E" w:rsidP="00865222">
            <w:pPr>
              <w:pStyle w:val="NormalWeb"/>
              <w:jc w:val="center"/>
            </w:pPr>
            <w:r>
              <w:t>173</w:t>
            </w:r>
          </w:p>
        </w:tc>
        <w:tc>
          <w:tcPr>
            <w:tcW w:w="2327" w:type="dxa"/>
            <w:hideMark/>
          </w:tcPr>
          <w:p w:rsidR="009B090E" w:rsidRDefault="009B090E" w:rsidP="00865222">
            <w:pPr>
              <w:pStyle w:val="NormalWeb"/>
              <w:jc w:val="center"/>
            </w:pPr>
            <w:r>
              <w:t>6 May 2020</w:t>
            </w:r>
          </w:p>
        </w:tc>
        <w:tc>
          <w:tcPr>
            <w:tcW w:w="2328" w:type="dxa"/>
            <w:hideMark/>
          </w:tcPr>
          <w:p w:rsidR="009B090E" w:rsidRDefault="009B090E" w:rsidP="00865222">
            <w:pPr>
              <w:pStyle w:val="NormalWeb"/>
              <w:jc w:val="center"/>
            </w:pPr>
            <w:r>
              <w:t>270</w:t>
            </w:r>
          </w:p>
        </w:tc>
      </w:tr>
      <w:tr w:rsidR="009B090E" w:rsidTr="00786C9D">
        <w:tc>
          <w:tcPr>
            <w:tcW w:w="0" w:type="auto"/>
            <w:hideMark/>
          </w:tcPr>
          <w:p w:rsidR="009B090E" w:rsidRDefault="009B090E">
            <w:pPr>
              <w:pStyle w:val="NormalWeb"/>
            </w:pPr>
            <w:proofErr w:type="spellStart"/>
            <w:r>
              <w:t>NT</w:t>
            </w:r>
            <w:r w:rsidRPr="0091276F">
              <w:rPr>
                <w:vertAlign w:val="superscript"/>
              </w:rPr>
              <w:t>b</w:t>
            </w:r>
            <w:proofErr w:type="spellEnd"/>
          </w:p>
        </w:tc>
        <w:tc>
          <w:tcPr>
            <w:tcW w:w="2327" w:type="dxa"/>
            <w:hideMark/>
          </w:tcPr>
          <w:p w:rsidR="009B090E" w:rsidRDefault="009B090E" w:rsidP="00865222">
            <w:pPr>
              <w:pStyle w:val="NormalWeb"/>
              <w:jc w:val="center"/>
            </w:pPr>
            <w:r>
              <w:t>NA</w:t>
            </w:r>
          </w:p>
        </w:tc>
        <w:tc>
          <w:tcPr>
            <w:tcW w:w="2328" w:type="dxa"/>
            <w:hideMark/>
          </w:tcPr>
          <w:p w:rsidR="009B090E" w:rsidRDefault="009B090E" w:rsidP="00865222">
            <w:pPr>
              <w:pStyle w:val="NormalWeb"/>
              <w:jc w:val="center"/>
            </w:pPr>
            <w:r>
              <w:t>NA</w:t>
            </w:r>
          </w:p>
        </w:tc>
        <w:tc>
          <w:tcPr>
            <w:tcW w:w="2327" w:type="dxa"/>
            <w:hideMark/>
          </w:tcPr>
          <w:p w:rsidR="009B090E" w:rsidRDefault="009B090E" w:rsidP="00865222">
            <w:pPr>
              <w:pStyle w:val="NormalWeb"/>
              <w:jc w:val="center"/>
            </w:pPr>
            <w:r>
              <w:t>4 April 2020</w:t>
            </w:r>
          </w:p>
        </w:tc>
        <w:tc>
          <w:tcPr>
            <w:tcW w:w="2328" w:type="dxa"/>
            <w:hideMark/>
          </w:tcPr>
          <w:p w:rsidR="009B090E" w:rsidRDefault="009B090E" w:rsidP="00865222">
            <w:pPr>
              <w:pStyle w:val="NormalWeb"/>
              <w:jc w:val="center"/>
            </w:pPr>
            <w:r>
              <w:t>302</w:t>
            </w:r>
          </w:p>
        </w:tc>
      </w:tr>
      <w:tr w:rsidR="009B090E" w:rsidTr="00786C9D">
        <w:trPr>
          <w:cnfStyle w:val="000000010000" w:firstRow="0" w:lastRow="0" w:firstColumn="0" w:lastColumn="0" w:oddVBand="0" w:evenVBand="0" w:oddHBand="0" w:evenHBand="1" w:firstRowFirstColumn="0" w:firstRowLastColumn="0" w:lastRowFirstColumn="0" w:lastRowLastColumn="0"/>
        </w:trPr>
        <w:tc>
          <w:tcPr>
            <w:tcW w:w="0" w:type="auto"/>
            <w:hideMark/>
          </w:tcPr>
          <w:p w:rsidR="009B090E" w:rsidRDefault="009B090E">
            <w:pPr>
              <w:pStyle w:val="NormalWeb"/>
            </w:pPr>
            <w:r>
              <w:t>ACT</w:t>
            </w:r>
          </w:p>
        </w:tc>
        <w:tc>
          <w:tcPr>
            <w:tcW w:w="2327" w:type="dxa"/>
            <w:hideMark/>
          </w:tcPr>
          <w:p w:rsidR="009B090E" w:rsidRDefault="009B090E" w:rsidP="00865222">
            <w:pPr>
              <w:pStyle w:val="NormalWeb"/>
              <w:jc w:val="center"/>
            </w:pPr>
            <w:r>
              <w:t>28 March 2020</w:t>
            </w:r>
          </w:p>
        </w:tc>
        <w:tc>
          <w:tcPr>
            <w:tcW w:w="2328" w:type="dxa"/>
            <w:hideMark/>
          </w:tcPr>
          <w:p w:rsidR="009B090E" w:rsidRDefault="009B090E" w:rsidP="00865222">
            <w:pPr>
              <w:pStyle w:val="NormalWeb"/>
              <w:jc w:val="center"/>
            </w:pPr>
            <w:r>
              <w:t>309</w:t>
            </w:r>
          </w:p>
        </w:tc>
        <w:tc>
          <w:tcPr>
            <w:tcW w:w="2327" w:type="dxa"/>
            <w:hideMark/>
          </w:tcPr>
          <w:p w:rsidR="009B090E" w:rsidRDefault="009B090E" w:rsidP="00865222">
            <w:pPr>
              <w:pStyle w:val="NormalWeb"/>
              <w:jc w:val="center"/>
            </w:pPr>
            <w:r>
              <w:t>9 July 2020</w:t>
            </w:r>
          </w:p>
        </w:tc>
        <w:tc>
          <w:tcPr>
            <w:tcW w:w="2328" w:type="dxa"/>
            <w:hideMark/>
          </w:tcPr>
          <w:p w:rsidR="009B090E" w:rsidRDefault="009B090E" w:rsidP="00865222">
            <w:pPr>
              <w:pStyle w:val="NormalWeb"/>
              <w:jc w:val="center"/>
            </w:pPr>
            <w:r>
              <w:t>206</w:t>
            </w:r>
          </w:p>
        </w:tc>
      </w:tr>
    </w:tbl>
    <w:p w:rsidR="009B090E" w:rsidRDefault="00FB08B2" w:rsidP="007C5238">
      <w:pPr>
        <w:pStyle w:val="CDIfootnotes"/>
      </w:pPr>
      <w:proofErr w:type="gramStart"/>
      <w:r>
        <w:t>a</w:t>
      </w:r>
      <w:proofErr w:type="gramEnd"/>
      <w:r>
        <w:tab/>
        <w:t>Western Australia’s locally-</w:t>
      </w:r>
      <w:r w:rsidR="009B090E">
        <w:t>acquired infection was classified as under investigation at the time of reporting</w:t>
      </w:r>
      <w:r>
        <w:t>.</w:t>
      </w:r>
    </w:p>
    <w:p w:rsidR="009B090E" w:rsidRDefault="009B090E" w:rsidP="007C5238">
      <w:pPr>
        <w:pStyle w:val="CDIfootnotes"/>
      </w:pPr>
      <w:proofErr w:type="gramStart"/>
      <w:r>
        <w:t>b</w:t>
      </w:r>
      <w:proofErr w:type="gramEnd"/>
      <w:r>
        <w:tab/>
        <w:t>The Northern Territory has not reported any locally-acquired cases with an unknown source of infection.</w:t>
      </w:r>
    </w:p>
    <w:p w:rsidR="009B090E" w:rsidRDefault="009B090E" w:rsidP="007C5238">
      <w:r>
        <w:t xml:space="preserve">In this reporting period, the largest number of overseas-acquired cases was reported in New South Wales (41%; 33/81), followed by Victoria (32%; 26/81). The higher number of overseas-acquired cases reported in New South Wales and Victoria reflects the number of managed </w:t>
      </w:r>
      <w:r w:rsidR="00330F8E" w:rsidRPr="00330F8E">
        <w:t>international arrivals</w:t>
      </w:r>
      <w:r w:rsidR="00330F8E">
        <w:t xml:space="preserve"> </w:t>
      </w:r>
      <w:r>
        <w:t xml:space="preserve">there. </w:t>
      </w:r>
    </w:p>
    <w:p w:rsidR="009B090E" w:rsidRDefault="009B090E" w:rsidP="007C5238">
      <w:r>
        <w:t xml:space="preserve">In this reporting period, the largest numbers of overseas-acquired cases were from the United States of America (36%; 29/81) followed by United Kingdom (17%; 14/81) and India (15%; 12/81), which is similar to the previous reporting period. The number of cases by country is influenced by travel patterns of returning Australians as well as by the prevalence of COVID-19 in the country the person is arriving from. </w:t>
      </w:r>
    </w:p>
    <w:p w:rsidR="007C5238" w:rsidRDefault="009B090E" w:rsidP="007C5238">
      <w:pPr>
        <w:pStyle w:val="Heading2"/>
        <w:rPr>
          <w:rFonts w:eastAsia="Times New Roman"/>
        </w:rPr>
      </w:pPr>
      <w:r>
        <w:rPr>
          <w:rFonts w:eastAsia="Times New Roman"/>
        </w:rPr>
        <w:t>Demographic features</w:t>
      </w:r>
    </w:p>
    <w:p w:rsidR="009B090E" w:rsidRPr="006B1385" w:rsidRDefault="009B090E" w:rsidP="004E6AC7">
      <w:pPr>
        <w:pStyle w:val="Heading3"/>
        <w:spacing w:before="0" w:after="240"/>
        <w:rPr>
          <w:rFonts w:eastAsia="Times New Roman"/>
          <w:b w:val="0"/>
          <w:i/>
        </w:rPr>
      </w:pPr>
      <w:r w:rsidRPr="006B1385">
        <w:rPr>
          <w:rFonts w:eastAsia="Times New Roman"/>
          <w:b w:val="0"/>
          <w:i/>
        </w:rPr>
        <w:t xml:space="preserve">(NNDSS) </w:t>
      </w:r>
    </w:p>
    <w:p w:rsidR="009B090E" w:rsidRDefault="009B090E" w:rsidP="007C5238">
      <w:r>
        <w:t xml:space="preserve">In this reporting period, the largest number of cases occurred in those aged 40 to 49 years (19/82 cases). For all notifications to date, the highest rate of infection was in those aged 90 and over with a rate of 386.8 per 100,000 population (Appendix A, Table A.1). Children under 10 years old had the lowest rate of infection (47.4 cases per 100,000 population). This age group also reported the lowest testing rate in the reporting period, approximately half that of those aged 30–39 years old. </w:t>
      </w:r>
    </w:p>
    <w:p w:rsidR="009B090E" w:rsidRDefault="009B090E" w:rsidP="007C5238">
      <w:r>
        <w:t>Cumulatively, the male-to-female rate ratio of cases was approximately 1:1 in most age groups. Notification rates were higher among females than among males in the 20–29 years age group and those aged ≥ 80 years old, and higher among males than among females in the 70–79 years age group (Figure 2). The largest difference in cumulative rates was in the 90 years and over age group, where the cumulative rate among males was 333.7 cases per 100,000 population and among females 413.3 cases per 100,000 population (Appendix A, Table A.1).</w:t>
      </w:r>
    </w:p>
    <w:p w:rsidR="00E66416" w:rsidRDefault="00E66416">
      <w:pPr>
        <w:rPr>
          <w:b/>
        </w:rPr>
      </w:pPr>
      <w:r>
        <w:br w:type="page"/>
      </w:r>
    </w:p>
    <w:p w:rsidR="009B090E" w:rsidRDefault="009B090E" w:rsidP="007C5238">
      <w:pPr>
        <w:pStyle w:val="CDIFigures"/>
      </w:pPr>
      <w:r>
        <w:lastRenderedPageBreak/>
        <w:t>Figure 2: Cumulative COVID-19 cases, by age group and sex, Australia, 23 January 2020 to 31 January 2021</w:t>
      </w:r>
    </w:p>
    <w:p w:rsidR="009B090E" w:rsidRDefault="009B090E">
      <w:pPr>
        <w:rPr>
          <w:rFonts w:eastAsia="Times New Roman"/>
        </w:rPr>
      </w:pPr>
      <w:r>
        <w:rPr>
          <w:rFonts w:eastAsia="Times New Roman"/>
          <w:noProof/>
        </w:rPr>
        <w:drawing>
          <wp:inline distT="0" distB="0" distL="0" distR="0">
            <wp:extent cx="6625424" cy="4507270"/>
            <wp:effectExtent l="0" t="0" r="4445" b="7620"/>
            <wp:docPr id="2" name="Picture 2" descr="A bar chart showing the cumulative rates per 100,000 population of confirmed COVID-19 cases as at 17 January 2021 by 10-year age group and sex. Cumulatively, since the outbreak’s onset, the highest notification rates have been in the 90 and over age group, followed by the 20 to 29 and 80 to 89 age groups. In all three of these age groups, females have a higher rate than males. In the 70 to 79 years age group, males have a higher rate than females. Across other age groups, cumulative notification rates show little dependence on s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ar chart showing the cumulative rates per 100,000 population of confirmed COVID-19 cases as at 17 January 2021 by 10-year age group and sex. Cumulatively, since the outbreak’s onset, the highest notification rates have been in the 90 and over age group, followed by the 20 to 29 and 80 to 89 age groups. In all three of these age groups, females have a higher rate than males. In the 70 to 79 years age group, males have a higher rate than females. Across other age groups, cumulative notification rates show little dependence on sex."/>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29083" cy="4509759"/>
                    </a:xfrm>
                    <a:prstGeom prst="rect">
                      <a:avLst/>
                    </a:prstGeom>
                  </pic:spPr>
                </pic:pic>
              </a:graphicData>
            </a:graphic>
          </wp:inline>
        </w:drawing>
      </w:r>
    </w:p>
    <w:p w:rsidR="009B090E" w:rsidRDefault="009B090E" w:rsidP="00E66416">
      <w:r>
        <w:t xml:space="preserve">Since the beginning of the epidemic in Australia, the median age of all cases was 37 years (interquartile range, IQR: 25–56) which has not changed since the beginning of August. Prior to 1 June 2020, COVID-19 cases were slightly older, with a median age of 46 years (IQR: 29–62), associated with a high proportion of cases having a recent travel history or acquisition on a cruise ship. In cases reported after 1 June 2020, the median age was 34 years (IQR: 23–53) reflecting transmission in the community and across a range of settings, especially in Victoria. The median age of cases in this reporting period was 33 years (IQR: 22–43). </w:t>
      </w:r>
    </w:p>
    <w:p w:rsidR="00E66416" w:rsidRDefault="009B090E" w:rsidP="00E66416">
      <w:pPr>
        <w:pStyle w:val="Heading2"/>
        <w:rPr>
          <w:rFonts w:eastAsia="Times New Roman"/>
        </w:rPr>
      </w:pPr>
      <w:r>
        <w:rPr>
          <w:rFonts w:eastAsia="Times New Roman"/>
        </w:rPr>
        <w:t>Aboriginal and Torres Strait Islander persons</w:t>
      </w:r>
    </w:p>
    <w:p w:rsidR="009B090E" w:rsidRPr="006B1385" w:rsidRDefault="009B090E" w:rsidP="004E6AC7">
      <w:pPr>
        <w:pStyle w:val="Heading3"/>
        <w:spacing w:before="0" w:after="240"/>
        <w:rPr>
          <w:rFonts w:eastAsia="Times New Roman"/>
          <w:b w:val="0"/>
          <w:i/>
        </w:rPr>
      </w:pPr>
      <w:r w:rsidRPr="006B1385">
        <w:rPr>
          <w:rFonts w:eastAsia="Times New Roman"/>
          <w:b w:val="0"/>
          <w:i/>
        </w:rPr>
        <w:t xml:space="preserve"> (NNDSS) </w:t>
      </w:r>
    </w:p>
    <w:p w:rsidR="009B090E" w:rsidRDefault="009B090E" w:rsidP="001D64F7">
      <w:r>
        <w:t>There have been 151 confirmed cases of COVID-19 notified in Aboriginal and Torres Strait Islander people since the beginning of the epidemic. Three additional Aboriginal and Torres Strait Islander cases were notified in the reporting period, two of which acquired their infection overseas and a third which was a historical case from South Australia’s cluster of locally-acquired cases in November 2020. This represents approximately 0.5% (151/28,794) of all confirmed cases. Table 4 compares the remoteness of cases in Aboriginal and Torres Strait Islander people with those in the non-Indigenous population.</w:t>
      </w:r>
    </w:p>
    <w:p w:rsidR="00BE71E6" w:rsidRDefault="00BE71E6">
      <w:pPr>
        <w:rPr>
          <w:b/>
        </w:rPr>
      </w:pPr>
      <w:r>
        <w:br w:type="page"/>
      </w:r>
    </w:p>
    <w:p w:rsidR="009B090E" w:rsidRDefault="009B090E" w:rsidP="001D64F7">
      <w:pPr>
        <w:pStyle w:val="CDIFigures"/>
      </w:pPr>
      <w:r>
        <w:lastRenderedPageBreak/>
        <w:t>Table 4: COVID-19 notifications by Aboriginal and Torres Strait Islander status by jurisdiction, source of acquisition and remoteness classification, Australia, 31 January 2021</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4 shows COVID-19 notifications among Aboriginal and Torres Strait Islander people and non-Indigenous Australians, by place of acquisition and (for locally acquired cases) remoteness classification. There have been 151 notifications in Aboriginal and Torres Strait Islander people: 33 of these cases have been overseas acquired; 91 locally acquired in a major city; 15 cases locally acquired in inner regional Australia; six cases acquired in outer regional Australia; one case locally acquired in remote or very remote Australia; four cases interstate acquired; and one case with unknown source of acquisition. Of 17 cases to date reported in remote or very remote Australia, one is in an Aboriginal or Torres Strait Islander person."/>
      </w:tblPr>
      <w:tblGrid>
        <w:gridCol w:w="1843"/>
        <w:gridCol w:w="992"/>
        <w:gridCol w:w="1276"/>
        <w:gridCol w:w="992"/>
        <w:gridCol w:w="1418"/>
        <w:gridCol w:w="992"/>
        <w:gridCol w:w="992"/>
        <w:gridCol w:w="1134"/>
        <w:gridCol w:w="827"/>
      </w:tblGrid>
      <w:tr w:rsidR="00BE71E6" w:rsidRPr="00BA65B1" w:rsidTr="00BA65B1">
        <w:trPr>
          <w:cnfStyle w:val="100000000000" w:firstRow="1" w:lastRow="0" w:firstColumn="0" w:lastColumn="0" w:oddVBand="0" w:evenVBand="0" w:oddHBand="0" w:evenHBand="0" w:firstRowFirstColumn="0" w:firstRowLastColumn="0" w:lastRowFirstColumn="0" w:lastRowLastColumn="0"/>
          <w:tblHeader/>
        </w:trPr>
        <w:tc>
          <w:tcPr>
            <w:tcW w:w="1843" w:type="dxa"/>
            <w:vMerge w:val="restart"/>
            <w:tcBorders>
              <w:bottom w:val="single" w:sz="2" w:space="0" w:color="FFFFFF" w:themeColor="background1"/>
              <w:right w:val="single" w:sz="2" w:space="0" w:color="FFFFFF" w:themeColor="background1"/>
            </w:tcBorders>
            <w:hideMark/>
          </w:tcPr>
          <w:p w:rsidR="009B090E" w:rsidRPr="00BA65B1" w:rsidRDefault="009B090E">
            <w:pPr>
              <w:rPr>
                <w:color w:val="FFFFFF" w:themeColor="background1"/>
                <w:sz w:val="18"/>
              </w:rPr>
            </w:pPr>
          </w:p>
        </w:tc>
        <w:tc>
          <w:tcPr>
            <w:tcW w:w="4678" w:type="dxa"/>
            <w:gridSpan w:val="4"/>
            <w:tcBorders>
              <w:left w:val="single" w:sz="2" w:space="0" w:color="FFFFFF" w:themeColor="background1"/>
              <w:bottom w:val="single" w:sz="2" w:space="0" w:color="FFFFFF" w:themeColor="background1"/>
              <w:right w:val="single" w:sz="2" w:space="0" w:color="FFFFFF" w:themeColor="background1"/>
            </w:tcBorders>
            <w:hideMark/>
          </w:tcPr>
          <w:p w:rsidR="009B090E" w:rsidRPr="00BA65B1" w:rsidRDefault="009B090E" w:rsidP="005C12EA">
            <w:pPr>
              <w:pStyle w:val="NormalWeb"/>
              <w:jc w:val="center"/>
              <w:rPr>
                <w:bCs/>
                <w:color w:val="FFFFFF" w:themeColor="background1"/>
                <w:sz w:val="18"/>
                <w:szCs w:val="24"/>
              </w:rPr>
            </w:pPr>
            <w:r w:rsidRPr="00BA65B1">
              <w:rPr>
                <w:bCs/>
                <w:color w:val="FFFFFF" w:themeColor="background1"/>
                <w:sz w:val="18"/>
              </w:rPr>
              <w:t>Locally acquired</w:t>
            </w:r>
          </w:p>
        </w:tc>
        <w:tc>
          <w:tcPr>
            <w:tcW w:w="992" w:type="dxa"/>
            <w:vMerge w:val="restart"/>
            <w:tcBorders>
              <w:left w:val="single" w:sz="2" w:space="0" w:color="FFFFFF" w:themeColor="background1"/>
              <w:bottom w:val="single" w:sz="2" w:space="0" w:color="FFFFFF" w:themeColor="background1"/>
              <w:right w:val="single" w:sz="2" w:space="0" w:color="FFFFFF" w:themeColor="background1"/>
            </w:tcBorders>
            <w:hideMark/>
          </w:tcPr>
          <w:p w:rsidR="009B090E" w:rsidRPr="00BA65B1" w:rsidRDefault="009B090E" w:rsidP="005C12EA">
            <w:pPr>
              <w:pStyle w:val="NormalWeb"/>
              <w:jc w:val="center"/>
              <w:rPr>
                <w:bCs/>
                <w:color w:val="FFFFFF" w:themeColor="background1"/>
                <w:sz w:val="18"/>
              </w:rPr>
            </w:pPr>
            <w:r w:rsidRPr="00BA65B1">
              <w:rPr>
                <w:bCs/>
                <w:color w:val="FFFFFF" w:themeColor="background1"/>
                <w:sz w:val="18"/>
              </w:rPr>
              <w:t>Interstate acquired</w:t>
            </w:r>
          </w:p>
        </w:tc>
        <w:tc>
          <w:tcPr>
            <w:tcW w:w="992" w:type="dxa"/>
            <w:vMerge w:val="restart"/>
            <w:tcBorders>
              <w:left w:val="single" w:sz="2" w:space="0" w:color="FFFFFF" w:themeColor="background1"/>
              <w:bottom w:val="single" w:sz="2" w:space="0" w:color="FFFFFF" w:themeColor="background1"/>
              <w:right w:val="single" w:sz="2" w:space="0" w:color="FFFFFF" w:themeColor="background1"/>
            </w:tcBorders>
            <w:hideMark/>
          </w:tcPr>
          <w:p w:rsidR="009B090E" w:rsidRPr="00BA65B1" w:rsidRDefault="009B090E" w:rsidP="005C12EA">
            <w:pPr>
              <w:pStyle w:val="NormalWeb"/>
              <w:jc w:val="center"/>
              <w:rPr>
                <w:bCs/>
                <w:color w:val="FFFFFF" w:themeColor="background1"/>
                <w:sz w:val="18"/>
              </w:rPr>
            </w:pPr>
            <w:r w:rsidRPr="00BA65B1">
              <w:rPr>
                <w:bCs/>
                <w:color w:val="FFFFFF" w:themeColor="background1"/>
                <w:sz w:val="18"/>
              </w:rPr>
              <w:t>Overseas acquired</w:t>
            </w:r>
          </w:p>
        </w:tc>
        <w:tc>
          <w:tcPr>
            <w:tcW w:w="1134" w:type="dxa"/>
            <w:vMerge w:val="restart"/>
            <w:tcBorders>
              <w:left w:val="single" w:sz="2" w:space="0" w:color="FFFFFF" w:themeColor="background1"/>
              <w:bottom w:val="single" w:sz="2" w:space="0" w:color="FFFFFF" w:themeColor="background1"/>
              <w:right w:val="single" w:sz="2" w:space="0" w:color="FFFFFF" w:themeColor="background1"/>
            </w:tcBorders>
            <w:hideMark/>
          </w:tcPr>
          <w:p w:rsidR="009B090E" w:rsidRPr="00BA65B1" w:rsidRDefault="009B090E" w:rsidP="005C12EA">
            <w:pPr>
              <w:pStyle w:val="NormalWeb"/>
              <w:jc w:val="center"/>
              <w:rPr>
                <w:bCs/>
                <w:color w:val="FFFFFF" w:themeColor="background1"/>
                <w:sz w:val="18"/>
              </w:rPr>
            </w:pPr>
            <w:proofErr w:type="spellStart"/>
            <w:r w:rsidRPr="00BA65B1">
              <w:rPr>
                <w:bCs/>
                <w:color w:val="FFFFFF" w:themeColor="background1"/>
                <w:sz w:val="18"/>
              </w:rPr>
              <w:t>Unknown</w:t>
            </w:r>
            <w:r w:rsidRPr="00BA65B1">
              <w:rPr>
                <w:bCs/>
                <w:color w:val="FFFFFF" w:themeColor="background1"/>
                <w:sz w:val="18"/>
                <w:vertAlign w:val="superscript"/>
              </w:rPr>
              <w:t>a</w:t>
            </w:r>
            <w:proofErr w:type="spellEnd"/>
          </w:p>
        </w:tc>
        <w:tc>
          <w:tcPr>
            <w:tcW w:w="827" w:type="dxa"/>
            <w:vMerge w:val="restart"/>
            <w:tcBorders>
              <w:left w:val="single" w:sz="2" w:space="0" w:color="FFFFFF" w:themeColor="background1"/>
              <w:bottom w:val="single" w:sz="2" w:space="0" w:color="FFFFFF" w:themeColor="background1"/>
            </w:tcBorders>
            <w:hideMark/>
          </w:tcPr>
          <w:p w:rsidR="009B090E" w:rsidRPr="00BA65B1" w:rsidRDefault="009B090E" w:rsidP="005C12EA">
            <w:pPr>
              <w:pStyle w:val="NormalWeb"/>
              <w:jc w:val="center"/>
              <w:rPr>
                <w:bCs/>
                <w:color w:val="FFFFFF" w:themeColor="background1"/>
                <w:sz w:val="18"/>
              </w:rPr>
            </w:pPr>
            <w:r w:rsidRPr="00BA65B1">
              <w:rPr>
                <w:bCs/>
                <w:color w:val="FFFFFF" w:themeColor="background1"/>
                <w:sz w:val="18"/>
              </w:rPr>
              <w:t>Total</w:t>
            </w:r>
          </w:p>
        </w:tc>
      </w:tr>
      <w:tr w:rsidR="00BE71E6" w:rsidRPr="00BA65B1" w:rsidTr="00BA65B1">
        <w:trPr>
          <w:cnfStyle w:val="100000000000" w:firstRow="1" w:lastRow="0" w:firstColumn="0" w:lastColumn="0" w:oddVBand="0" w:evenVBand="0" w:oddHBand="0" w:evenHBand="0" w:firstRowFirstColumn="0" w:firstRowLastColumn="0" w:lastRowFirstColumn="0" w:lastRowLastColumn="0"/>
          <w:tblHeader/>
        </w:trPr>
        <w:tc>
          <w:tcPr>
            <w:tcW w:w="1843" w:type="dxa"/>
            <w:vMerge/>
            <w:tcBorders>
              <w:top w:val="single" w:sz="2" w:space="0" w:color="FFFFFF" w:themeColor="background1"/>
              <w:right w:val="single" w:sz="2" w:space="0" w:color="FFFFFF" w:themeColor="background1"/>
            </w:tcBorders>
            <w:hideMark/>
          </w:tcPr>
          <w:p w:rsidR="009B090E" w:rsidRPr="00BA65B1" w:rsidRDefault="009B090E">
            <w:pPr>
              <w:rPr>
                <w:color w:val="FFFFFF" w:themeColor="background1"/>
                <w:sz w:val="18"/>
                <w:szCs w:val="24"/>
              </w:rPr>
            </w:pPr>
          </w:p>
        </w:tc>
        <w:tc>
          <w:tcPr>
            <w:tcW w:w="992" w:type="dxa"/>
            <w:tcBorders>
              <w:top w:val="single" w:sz="2" w:space="0" w:color="FFFFFF" w:themeColor="background1"/>
              <w:left w:val="single" w:sz="2" w:space="0" w:color="FFFFFF" w:themeColor="background1"/>
              <w:right w:val="single" w:sz="2" w:space="0" w:color="FFFFFF" w:themeColor="background1"/>
            </w:tcBorders>
            <w:hideMark/>
          </w:tcPr>
          <w:p w:rsidR="009B090E" w:rsidRPr="00BA65B1" w:rsidRDefault="009B090E" w:rsidP="005C12EA">
            <w:pPr>
              <w:pStyle w:val="NormalWeb"/>
              <w:jc w:val="center"/>
              <w:rPr>
                <w:bCs/>
                <w:color w:val="FFFFFF" w:themeColor="background1"/>
                <w:sz w:val="18"/>
              </w:rPr>
            </w:pPr>
            <w:r w:rsidRPr="00BA65B1">
              <w:rPr>
                <w:bCs/>
                <w:color w:val="FFFFFF" w:themeColor="background1"/>
                <w:sz w:val="18"/>
              </w:rPr>
              <w:t>Major Cities of Australia</w:t>
            </w:r>
          </w:p>
        </w:tc>
        <w:tc>
          <w:tcPr>
            <w:tcW w:w="1276" w:type="dxa"/>
            <w:tcBorders>
              <w:top w:val="single" w:sz="2" w:space="0" w:color="FFFFFF" w:themeColor="background1"/>
              <w:left w:val="single" w:sz="2" w:space="0" w:color="FFFFFF" w:themeColor="background1"/>
              <w:right w:val="single" w:sz="2" w:space="0" w:color="FFFFFF" w:themeColor="background1"/>
            </w:tcBorders>
            <w:hideMark/>
          </w:tcPr>
          <w:p w:rsidR="009B090E" w:rsidRPr="00BA65B1" w:rsidRDefault="009B090E" w:rsidP="005C12EA">
            <w:pPr>
              <w:pStyle w:val="NormalWeb"/>
              <w:jc w:val="center"/>
              <w:rPr>
                <w:bCs/>
                <w:color w:val="FFFFFF" w:themeColor="background1"/>
                <w:sz w:val="18"/>
              </w:rPr>
            </w:pPr>
            <w:r w:rsidRPr="00BA65B1">
              <w:rPr>
                <w:bCs/>
                <w:color w:val="FFFFFF" w:themeColor="background1"/>
                <w:sz w:val="18"/>
              </w:rPr>
              <w:t>Inner Regional Australia</w:t>
            </w:r>
          </w:p>
        </w:tc>
        <w:tc>
          <w:tcPr>
            <w:tcW w:w="992" w:type="dxa"/>
            <w:tcBorders>
              <w:top w:val="single" w:sz="2" w:space="0" w:color="FFFFFF" w:themeColor="background1"/>
              <w:left w:val="single" w:sz="2" w:space="0" w:color="FFFFFF" w:themeColor="background1"/>
              <w:right w:val="single" w:sz="2" w:space="0" w:color="FFFFFF" w:themeColor="background1"/>
            </w:tcBorders>
            <w:hideMark/>
          </w:tcPr>
          <w:p w:rsidR="009B090E" w:rsidRPr="00BA65B1" w:rsidRDefault="009B090E" w:rsidP="005C12EA">
            <w:pPr>
              <w:pStyle w:val="NormalWeb"/>
              <w:jc w:val="center"/>
              <w:rPr>
                <w:bCs/>
                <w:color w:val="FFFFFF" w:themeColor="background1"/>
                <w:sz w:val="18"/>
              </w:rPr>
            </w:pPr>
            <w:r w:rsidRPr="00BA65B1">
              <w:rPr>
                <w:bCs/>
                <w:color w:val="FFFFFF" w:themeColor="background1"/>
                <w:sz w:val="18"/>
              </w:rPr>
              <w:t>Outer Regional Australia</w:t>
            </w:r>
          </w:p>
        </w:tc>
        <w:tc>
          <w:tcPr>
            <w:tcW w:w="1418" w:type="dxa"/>
            <w:tcBorders>
              <w:top w:val="single" w:sz="2" w:space="0" w:color="FFFFFF" w:themeColor="background1"/>
              <w:left w:val="single" w:sz="2" w:space="0" w:color="FFFFFF" w:themeColor="background1"/>
              <w:right w:val="single" w:sz="2" w:space="0" w:color="FFFFFF" w:themeColor="background1"/>
            </w:tcBorders>
            <w:hideMark/>
          </w:tcPr>
          <w:p w:rsidR="009B090E" w:rsidRPr="00BA65B1" w:rsidRDefault="009B090E" w:rsidP="005C12EA">
            <w:pPr>
              <w:pStyle w:val="NormalWeb"/>
              <w:jc w:val="center"/>
              <w:rPr>
                <w:bCs/>
                <w:color w:val="FFFFFF" w:themeColor="background1"/>
                <w:sz w:val="18"/>
              </w:rPr>
            </w:pPr>
            <w:r w:rsidRPr="00BA65B1">
              <w:rPr>
                <w:bCs/>
                <w:color w:val="FFFFFF" w:themeColor="background1"/>
                <w:sz w:val="18"/>
              </w:rPr>
              <w:t>Remote / Very Remote Australia</w:t>
            </w:r>
          </w:p>
        </w:tc>
        <w:tc>
          <w:tcPr>
            <w:tcW w:w="992" w:type="dxa"/>
            <w:vMerge/>
            <w:tcBorders>
              <w:top w:val="single" w:sz="2" w:space="0" w:color="FFFFFF" w:themeColor="background1"/>
              <w:left w:val="single" w:sz="2" w:space="0" w:color="FFFFFF" w:themeColor="background1"/>
              <w:right w:val="single" w:sz="2" w:space="0" w:color="FFFFFF" w:themeColor="background1"/>
            </w:tcBorders>
            <w:hideMark/>
          </w:tcPr>
          <w:p w:rsidR="009B090E" w:rsidRPr="00BA65B1" w:rsidRDefault="009B090E" w:rsidP="005C12EA">
            <w:pPr>
              <w:jc w:val="center"/>
              <w:rPr>
                <w:bCs/>
                <w:color w:val="FFFFFF" w:themeColor="background1"/>
                <w:sz w:val="18"/>
                <w:szCs w:val="24"/>
              </w:rPr>
            </w:pPr>
          </w:p>
        </w:tc>
        <w:tc>
          <w:tcPr>
            <w:tcW w:w="992" w:type="dxa"/>
            <w:vMerge/>
            <w:tcBorders>
              <w:top w:val="single" w:sz="2" w:space="0" w:color="FFFFFF" w:themeColor="background1"/>
              <w:left w:val="single" w:sz="2" w:space="0" w:color="FFFFFF" w:themeColor="background1"/>
              <w:right w:val="single" w:sz="2" w:space="0" w:color="FFFFFF" w:themeColor="background1"/>
            </w:tcBorders>
            <w:hideMark/>
          </w:tcPr>
          <w:p w:rsidR="009B090E" w:rsidRPr="00BA65B1" w:rsidRDefault="009B090E" w:rsidP="005C12EA">
            <w:pPr>
              <w:jc w:val="center"/>
              <w:rPr>
                <w:bCs/>
                <w:color w:val="FFFFFF" w:themeColor="background1"/>
                <w:sz w:val="18"/>
                <w:szCs w:val="24"/>
              </w:rPr>
            </w:pPr>
          </w:p>
        </w:tc>
        <w:tc>
          <w:tcPr>
            <w:tcW w:w="1134" w:type="dxa"/>
            <w:vMerge/>
            <w:tcBorders>
              <w:top w:val="single" w:sz="2" w:space="0" w:color="FFFFFF" w:themeColor="background1"/>
              <w:left w:val="single" w:sz="2" w:space="0" w:color="FFFFFF" w:themeColor="background1"/>
              <w:right w:val="single" w:sz="2" w:space="0" w:color="FFFFFF" w:themeColor="background1"/>
            </w:tcBorders>
            <w:hideMark/>
          </w:tcPr>
          <w:p w:rsidR="009B090E" w:rsidRPr="00BA65B1" w:rsidRDefault="009B090E" w:rsidP="005C12EA">
            <w:pPr>
              <w:jc w:val="center"/>
              <w:rPr>
                <w:bCs/>
                <w:color w:val="FFFFFF" w:themeColor="background1"/>
                <w:sz w:val="18"/>
                <w:szCs w:val="24"/>
              </w:rPr>
            </w:pPr>
          </w:p>
        </w:tc>
        <w:tc>
          <w:tcPr>
            <w:tcW w:w="827" w:type="dxa"/>
            <w:vMerge/>
            <w:tcBorders>
              <w:top w:val="single" w:sz="2" w:space="0" w:color="FFFFFF" w:themeColor="background1"/>
              <w:left w:val="single" w:sz="2" w:space="0" w:color="FFFFFF" w:themeColor="background1"/>
            </w:tcBorders>
            <w:hideMark/>
          </w:tcPr>
          <w:p w:rsidR="009B090E" w:rsidRPr="00BA65B1" w:rsidRDefault="009B090E" w:rsidP="005C12EA">
            <w:pPr>
              <w:jc w:val="center"/>
              <w:rPr>
                <w:bCs/>
                <w:color w:val="FFFFFF" w:themeColor="background1"/>
                <w:sz w:val="18"/>
                <w:szCs w:val="24"/>
              </w:rPr>
            </w:pPr>
          </w:p>
        </w:tc>
      </w:tr>
      <w:tr w:rsidR="00BE71E6" w:rsidRPr="00BA65B1" w:rsidTr="00BA65B1">
        <w:tc>
          <w:tcPr>
            <w:tcW w:w="1843" w:type="dxa"/>
            <w:hideMark/>
          </w:tcPr>
          <w:p w:rsidR="009B090E" w:rsidRPr="00BA65B1" w:rsidRDefault="009B090E">
            <w:pPr>
              <w:pStyle w:val="NormalWeb"/>
              <w:rPr>
                <w:b/>
                <w:sz w:val="18"/>
              </w:rPr>
            </w:pPr>
            <w:r w:rsidRPr="00BA65B1">
              <w:rPr>
                <w:b/>
                <w:sz w:val="18"/>
              </w:rPr>
              <w:t>Aboriginal and</w:t>
            </w:r>
            <w:r w:rsidRPr="00BA65B1">
              <w:rPr>
                <w:b/>
                <w:sz w:val="18"/>
              </w:rPr>
              <w:br/>
              <w:t>Torres Strait Islander</w:t>
            </w:r>
          </w:p>
        </w:tc>
        <w:tc>
          <w:tcPr>
            <w:tcW w:w="992" w:type="dxa"/>
            <w:hideMark/>
          </w:tcPr>
          <w:p w:rsidR="009B090E" w:rsidRPr="00BA65B1" w:rsidRDefault="009B090E" w:rsidP="005C12EA">
            <w:pPr>
              <w:pStyle w:val="NormalWeb"/>
              <w:jc w:val="center"/>
              <w:rPr>
                <w:b/>
                <w:sz w:val="18"/>
              </w:rPr>
            </w:pPr>
            <w:r w:rsidRPr="00BA65B1">
              <w:rPr>
                <w:b/>
                <w:sz w:val="18"/>
              </w:rPr>
              <w:t>91</w:t>
            </w:r>
          </w:p>
        </w:tc>
        <w:tc>
          <w:tcPr>
            <w:tcW w:w="1276" w:type="dxa"/>
            <w:hideMark/>
          </w:tcPr>
          <w:p w:rsidR="009B090E" w:rsidRPr="00BA65B1" w:rsidRDefault="009B090E" w:rsidP="005C12EA">
            <w:pPr>
              <w:pStyle w:val="NormalWeb"/>
              <w:jc w:val="center"/>
              <w:rPr>
                <w:b/>
                <w:sz w:val="18"/>
              </w:rPr>
            </w:pPr>
            <w:r w:rsidRPr="00BA65B1">
              <w:rPr>
                <w:b/>
                <w:sz w:val="18"/>
              </w:rPr>
              <w:t>15</w:t>
            </w:r>
          </w:p>
        </w:tc>
        <w:tc>
          <w:tcPr>
            <w:tcW w:w="992" w:type="dxa"/>
            <w:hideMark/>
          </w:tcPr>
          <w:p w:rsidR="009B090E" w:rsidRPr="00BA65B1" w:rsidRDefault="009B090E" w:rsidP="005C12EA">
            <w:pPr>
              <w:pStyle w:val="NormalWeb"/>
              <w:jc w:val="center"/>
              <w:rPr>
                <w:b/>
                <w:sz w:val="18"/>
              </w:rPr>
            </w:pPr>
            <w:r w:rsidRPr="00BA65B1">
              <w:rPr>
                <w:b/>
                <w:sz w:val="18"/>
              </w:rPr>
              <w:t>6</w:t>
            </w:r>
          </w:p>
        </w:tc>
        <w:tc>
          <w:tcPr>
            <w:tcW w:w="1418" w:type="dxa"/>
            <w:hideMark/>
          </w:tcPr>
          <w:p w:rsidR="009B090E" w:rsidRPr="00BA65B1" w:rsidRDefault="009B090E" w:rsidP="005C12EA">
            <w:pPr>
              <w:pStyle w:val="NormalWeb"/>
              <w:jc w:val="center"/>
              <w:rPr>
                <w:b/>
                <w:sz w:val="18"/>
              </w:rPr>
            </w:pPr>
            <w:r w:rsidRPr="00BA65B1">
              <w:rPr>
                <w:b/>
                <w:sz w:val="18"/>
              </w:rPr>
              <w:t>1</w:t>
            </w:r>
          </w:p>
        </w:tc>
        <w:tc>
          <w:tcPr>
            <w:tcW w:w="992" w:type="dxa"/>
            <w:hideMark/>
          </w:tcPr>
          <w:p w:rsidR="009B090E" w:rsidRPr="00BA65B1" w:rsidRDefault="009B090E" w:rsidP="005C12EA">
            <w:pPr>
              <w:pStyle w:val="NormalWeb"/>
              <w:jc w:val="center"/>
              <w:rPr>
                <w:b/>
                <w:sz w:val="18"/>
              </w:rPr>
            </w:pPr>
            <w:r w:rsidRPr="00BA65B1">
              <w:rPr>
                <w:b/>
                <w:sz w:val="18"/>
              </w:rPr>
              <w:t>4</w:t>
            </w:r>
          </w:p>
        </w:tc>
        <w:tc>
          <w:tcPr>
            <w:tcW w:w="992" w:type="dxa"/>
            <w:hideMark/>
          </w:tcPr>
          <w:p w:rsidR="009B090E" w:rsidRPr="00BA65B1" w:rsidRDefault="009B090E" w:rsidP="005C12EA">
            <w:pPr>
              <w:pStyle w:val="NormalWeb"/>
              <w:jc w:val="center"/>
              <w:rPr>
                <w:b/>
                <w:sz w:val="18"/>
              </w:rPr>
            </w:pPr>
            <w:r w:rsidRPr="00BA65B1">
              <w:rPr>
                <w:b/>
                <w:sz w:val="18"/>
              </w:rPr>
              <w:t>33</w:t>
            </w:r>
          </w:p>
        </w:tc>
        <w:tc>
          <w:tcPr>
            <w:tcW w:w="1134" w:type="dxa"/>
            <w:hideMark/>
          </w:tcPr>
          <w:p w:rsidR="009B090E" w:rsidRPr="00BA65B1" w:rsidRDefault="009B090E" w:rsidP="005C12EA">
            <w:pPr>
              <w:pStyle w:val="NormalWeb"/>
              <w:jc w:val="center"/>
              <w:rPr>
                <w:b/>
                <w:sz w:val="18"/>
              </w:rPr>
            </w:pPr>
            <w:r w:rsidRPr="00BA65B1">
              <w:rPr>
                <w:b/>
                <w:sz w:val="18"/>
              </w:rPr>
              <w:t>1</w:t>
            </w:r>
          </w:p>
        </w:tc>
        <w:tc>
          <w:tcPr>
            <w:tcW w:w="827" w:type="dxa"/>
            <w:hideMark/>
          </w:tcPr>
          <w:p w:rsidR="009B090E" w:rsidRPr="00BA65B1" w:rsidRDefault="009B090E" w:rsidP="005C12EA">
            <w:pPr>
              <w:pStyle w:val="NormalWeb"/>
              <w:jc w:val="center"/>
              <w:rPr>
                <w:b/>
                <w:sz w:val="18"/>
              </w:rPr>
            </w:pPr>
            <w:r w:rsidRPr="00BA65B1">
              <w:rPr>
                <w:b/>
                <w:sz w:val="18"/>
              </w:rPr>
              <w:t>151</w:t>
            </w:r>
          </w:p>
        </w:tc>
      </w:tr>
      <w:tr w:rsidR="00BA65B1" w:rsidRPr="00BA65B1" w:rsidTr="00BA65B1">
        <w:trPr>
          <w:cnfStyle w:val="000000010000" w:firstRow="0" w:lastRow="0" w:firstColumn="0" w:lastColumn="0" w:oddVBand="0" w:evenVBand="0" w:oddHBand="0" w:evenHBand="1" w:firstRowFirstColumn="0" w:firstRowLastColumn="0" w:lastRowFirstColumn="0" w:lastRowLastColumn="0"/>
        </w:trPr>
        <w:tc>
          <w:tcPr>
            <w:tcW w:w="1843" w:type="dxa"/>
            <w:hideMark/>
          </w:tcPr>
          <w:p w:rsidR="009B090E" w:rsidRPr="00BA65B1" w:rsidRDefault="009B090E">
            <w:pPr>
              <w:pStyle w:val="NormalWeb"/>
              <w:rPr>
                <w:b/>
                <w:sz w:val="18"/>
              </w:rPr>
            </w:pPr>
            <w:r w:rsidRPr="00BA65B1">
              <w:rPr>
                <w:b/>
                <w:sz w:val="18"/>
              </w:rPr>
              <w:t>non-Indigenous</w:t>
            </w:r>
          </w:p>
        </w:tc>
        <w:tc>
          <w:tcPr>
            <w:tcW w:w="992" w:type="dxa"/>
            <w:hideMark/>
          </w:tcPr>
          <w:p w:rsidR="009B090E" w:rsidRPr="00BA65B1" w:rsidRDefault="009B090E" w:rsidP="005C12EA">
            <w:pPr>
              <w:pStyle w:val="NormalWeb"/>
              <w:jc w:val="center"/>
              <w:rPr>
                <w:b/>
                <w:sz w:val="18"/>
              </w:rPr>
            </w:pPr>
            <w:r w:rsidRPr="00BA65B1">
              <w:rPr>
                <w:b/>
                <w:sz w:val="18"/>
              </w:rPr>
              <w:t>20,678</w:t>
            </w:r>
          </w:p>
        </w:tc>
        <w:tc>
          <w:tcPr>
            <w:tcW w:w="1276" w:type="dxa"/>
            <w:hideMark/>
          </w:tcPr>
          <w:p w:rsidR="009B090E" w:rsidRPr="00BA65B1" w:rsidRDefault="009B090E" w:rsidP="005C12EA">
            <w:pPr>
              <w:pStyle w:val="NormalWeb"/>
              <w:jc w:val="center"/>
              <w:rPr>
                <w:b/>
                <w:sz w:val="18"/>
              </w:rPr>
            </w:pPr>
            <w:r w:rsidRPr="00BA65B1">
              <w:rPr>
                <w:b/>
                <w:sz w:val="18"/>
              </w:rPr>
              <w:t>915</w:t>
            </w:r>
          </w:p>
        </w:tc>
        <w:tc>
          <w:tcPr>
            <w:tcW w:w="992" w:type="dxa"/>
            <w:hideMark/>
          </w:tcPr>
          <w:p w:rsidR="009B090E" w:rsidRPr="00BA65B1" w:rsidRDefault="009B090E" w:rsidP="005C12EA">
            <w:pPr>
              <w:pStyle w:val="NormalWeb"/>
              <w:jc w:val="center"/>
              <w:rPr>
                <w:b/>
                <w:sz w:val="18"/>
              </w:rPr>
            </w:pPr>
            <w:r w:rsidRPr="00BA65B1">
              <w:rPr>
                <w:b/>
                <w:sz w:val="18"/>
              </w:rPr>
              <w:t>219</w:t>
            </w:r>
          </w:p>
        </w:tc>
        <w:tc>
          <w:tcPr>
            <w:tcW w:w="1418" w:type="dxa"/>
            <w:hideMark/>
          </w:tcPr>
          <w:p w:rsidR="009B090E" w:rsidRPr="00BA65B1" w:rsidRDefault="009B090E" w:rsidP="005C12EA">
            <w:pPr>
              <w:pStyle w:val="NormalWeb"/>
              <w:jc w:val="center"/>
              <w:rPr>
                <w:b/>
                <w:sz w:val="18"/>
              </w:rPr>
            </w:pPr>
            <w:r w:rsidRPr="00BA65B1">
              <w:rPr>
                <w:b/>
                <w:sz w:val="18"/>
              </w:rPr>
              <w:t>16</w:t>
            </w:r>
          </w:p>
        </w:tc>
        <w:tc>
          <w:tcPr>
            <w:tcW w:w="992" w:type="dxa"/>
            <w:hideMark/>
          </w:tcPr>
          <w:p w:rsidR="009B090E" w:rsidRPr="00BA65B1" w:rsidRDefault="009B090E" w:rsidP="005C12EA">
            <w:pPr>
              <w:pStyle w:val="NormalWeb"/>
              <w:jc w:val="center"/>
              <w:rPr>
                <w:b/>
                <w:sz w:val="18"/>
              </w:rPr>
            </w:pPr>
            <w:r w:rsidRPr="00BA65B1">
              <w:rPr>
                <w:b/>
                <w:sz w:val="18"/>
              </w:rPr>
              <w:t>147</w:t>
            </w:r>
          </w:p>
        </w:tc>
        <w:tc>
          <w:tcPr>
            <w:tcW w:w="992" w:type="dxa"/>
            <w:hideMark/>
          </w:tcPr>
          <w:p w:rsidR="009B090E" w:rsidRPr="00BA65B1" w:rsidRDefault="009B090E" w:rsidP="005C12EA">
            <w:pPr>
              <w:pStyle w:val="NormalWeb"/>
              <w:jc w:val="center"/>
              <w:rPr>
                <w:b/>
                <w:sz w:val="18"/>
              </w:rPr>
            </w:pPr>
            <w:r w:rsidRPr="00BA65B1">
              <w:rPr>
                <w:b/>
                <w:sz w:val="18"/>
              </w:rPr>
              <w:t>6,454</w:t>
            </w:r>
          </w:p>
        </w:tc>
        <w:tc>
          <w:tcPr>
            <w:tcW w:w="1134" w:type="dxa"/>
            <w:hideMark/>
          </w:tcPr>
          <w:p w:rsidR="009B090E" w:rsidRPr="00BA65B1" w:rsidRDefault="009B090E" w:rsidP="005C12EA">
            <w:pPr>
              <w:pStyle w:val="NormalWeb"/>
              <w:jc w:val="center"/>
              <w:rPr>
                <w:b/>
                <w:sz w:val="18"/>
              </w:rPr>
            </w:pPr>
            <w:r w:rsidRPr="00BA65B1">
              <w:rPr>
                <w:b/>
                <w:sz w:val="18"/>
              </w:rPr>
              <w:t>214</w:t>
            </w:r>
          </w:p>
        </w:tc>
        <w:tc>
          <w:tcPr>
            <w:tcW w:w="827" w:type="dxa"/>
            <w:hideMark/>
          </w:tcPr>
          <w:p w:rsidR="009B090E" w:rsidRPr="00BA65B1" w:rsidRDefault="009B090E" w:rsidP="005C12EA">
            <w:pPr>
              <w:pStyle w:val="NormalWeb"/>
              <w:jc w:val="center"/>
              <w:rPr>
                <w:b/>
                <w:sz w:val="18"/>
              </w:rPr>
            </w:pPr>
            <w:r w:rsidRPr="00BA65B1">
              <w:rPr>
                <w:b/>
                <w:sz w:val="18"/>
              </w:rPr>
              <w:t>28,643</w:t>
            </w:r>
          </w:p>
        </w:tc>
      </w:tr>
    </w:tbl>
    <w:p w:rsidR="009B090E" w:rsidRDefault="009B090E" w:rsidP="00BE71E6">
      <w:pPr>
        <w:pStyle w:val="CDIfootnotes"/>
      </w:pPr>
      <w:proofErr w:type="spellStart"/>
      <w:proofErr w:type="gramStart"/>
      <w:r>
        <w:t>a</w:t>
      </w:r>
      <w:proofErr w:type="spellEnd"/>
      <w:proofErr w:type="gramEnd"/>
      <w:r>
        <w:tab/>
        <w:t>Includes 26 non-Indigenous cases classified as overseas residents who were diagnosed in Australia.</w:t>
      </w:r>
    </w:p>
    <w:p w:rsidR="009B090E" w:rsidRDefault="009B090E" w:rsidP="00754557">
      <w:r>
        <w:t xml:space="preserve">The median age of COVID-19 cases in Aboriginal and Torres Strait Islander people was 31 years old (IQR: 21–49), which was younger than for non-Indigenous cases where the median age was 37 years old (IQR: 25–56). </w:t>
      </w:r>
    </w:p>
    <w:p w:rsidR="009B090E" w:rsidRDefault="009B090E" w:rsidP="00754557">
      <w:r>
        <w:t xml:space="preserve">The notification rate across all age groups was higher in non-Indigenous people than in Aboriginal and Torres Strait Islander people (Figure 3). The age-standardised Aboriginal and Torres Strait </w:t>
      </w:r>
      <w:proofErr w:type="spellStart"/>
      <w:r>
        <w:t>Islander:non-Indigenous</w:t>
      </w:r>
      <w:proofErr w:type="spellEnd"/>
      <w:r>
        <w:t xml:space="preserve"> notification rate ratio was 0.2, indicating that the Aboriginal and Torres Strait Islander population had a lower COVID-19 case rate than the non-Indigenous population after accounting for differences in age structure. Amongst Aboriginal and Torres Strait Islander cases, the highest notification rate was in those aged 70–79 years (36.0 cases per 100,000 population), followed by the 60–69 years age group (34.4 cases per 100,000 population). Similar to non-Indigenous cases, children aged 0–9 years had the lowest notification rate among Aboriginal and Torres Strait Islander cases (6.9 cases per 100,000 population). </w:t>
      </w:r>
    </w:p>
    <w:p w:rsidR="00206CEE" w:rsidRDefault="00206CEE">
      <w:pPr>
        <w:rPr>
          <w:b/>
        </w:rPr>
      </w:pPr>
      <w:r>
        <w:br w:type="page"/>
      </w:r>
    </w:p>
    <w:p w:rsidR="009B090E" w:rsidRDefault="009B090E" w:rsidP="00754557">
      <w:pPr>
        <w:pStyle w:val="CDIFigures"/>
      </w:pPr>
      <w:r>
        <w:lastRenderedPageBreak/>
        <w:t>Figure 3: National COVID-19 notification rate per 100,000 population by age group, Aboriginal and Torres Strait Islander people and non-Indigenous people, Australia, 23 January 2020 – 31 January 2021</w:t>
      </w:r>
    </w:p>
    <w:p w:rsidR="009B090E" w:rsidRDefault="009B090E">
      <w:pPr>
        <w:pStyle w:val="NormalWeb"/>
      </w:pPr>
      <w:r>
        <w:rPr>
          <w:noProof/>
        </w:rPr>
        <w:drawing>
          <wp:inline distT="0" distB="0" distL="0" distR="0">
            <wp:extent cx="6511124" cy="4822575"/>
            <wp:effectExtent l="0" t="0" r="4445" b="0"/>
            <wp:docPr id="3" name="Picture 3" descr="A bar chart showing the notification rate of confirmed COVID-19 cases by 10-year age group and Aboriginal and Torres Strait Islander status. Notification rates per 100,000 population are consistently higher among non-Indigenous persons than among Aboriginal and Torres Strait Islander persons, regardless of age group. Among Aboriginal and Torres Strait Islander persons, rates are highest among those in the 70 to 79 age group, followed by the 60 to 69 age group; among non-Indigenous persons, rates are highest in the 80 and over age group, followed by the 20 to 29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ar chart showing the notification rate of confirmed COVID-19 cases by 10-year age group and Aboriginal and Torres Strait Islander status. Notification rates per 100,000 population are consistently higher among non-Indigenous persons than among Aboriginal and Torres Strait Islander persons, regardless of age group. Among Aboriginal and Torres Strait Islander persons, rates are highest among those in the 70 to 79 age group, followed by the 60 to 69 age group; among non-Indigenous persons, rates are highest in the 80 and over age group, followed by the 20 to 29 age group."/>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516435" cy="4826508"/>
                    </a:xfrm>
                    <a:prstGeom prst="rect">
                      <a:avLst/>
                    </a:prstGeom>
                  </pic:spPr>
                </pic:pic>
              </a:graphicData>
            </a:graphic>
          </wp:inline>
        </w:drawing>
      </w:r>
    </w:p>
    <w:p w:rsidR="00206CEE" w:rsidRDefault="00206CEE" w:rsidP="00206CEE">
      <w:pPr>
        <w:pStyle w:val="Heading2"/>
      </w:pPr>
      <w:r>
        <w:t>Testing</w:t>
      </w:r>
    </w:p>
    <w:p w:rsidR="009B090E" w:rsidRPr="006B1385" w:rsidRDefault="009B090E" w:rsidP="004E6AC7">
      <w:pPr>
        <w:pStyle w:val="Heading3"/>
        <w:spacing w:before="0" w:after="240"/>
        <w:rPr>
          <w:b w:val="0"/>
          <w:i/>
        </w:rPr>
      </w:pPr>
      <w:r w:rsidRPr="006B1385">
        <w:rPr>
          <w:b w:val="0"/>
          <w:i/>
        </w:rPr>
        <w:t xml:space="preserve">(State and territory reporting) </w:t>
      </w:r>
    </w:p>
    <w:p w:rsidR="009B090E" w:rsidRDefault="009B090E" w:rsidP="00206CEE">
      <w:r>
        <w:t>As at 31 January 2021, a cumulative total of 12,951,776 tests were conducted in Australia. The cumulative nationwide proportion of positive tests remained low at 0.2% (Table 5). With the exception of Victoria, the cumulative testing positivity in individual jurisdictions was &lt; 0.2%.</w:t>
      </w:r>
    </w:p>
    <w:p w:rsidR="00206CEE" w:rsidRDefault="00206CEE">
      <w:pPr>
        <w:rPr>
          <w:b/>
        </w:rPr>
      </w:pPr>
      <w:r>
        <w:br w:type="page"/>
      </w:r>
    </w:p>
    <w:p w:rsidR="009B090E" w:rsidRDefault="009B090E" w:rsidP="00206CEE">
      <w:pPr>
        <w:pStyle w:val="CDIFigures"/>
      </w:pPr>
      <w:r>
        <w:lastRenderedPageBreak/>
        <w:t>Table 5: Diagnostic tests performed, by jurisdiction, Australia, 31 January 2021</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5 shows the cumulative number of SARS-CoV-2 diagnostic nucleic acid tests performed (and the percentage of such tests positive) within each jurisdiction by the end of this fortnightly reporting period, as well as at the end of the previous two-week period and cumulatively. Nationwide, for this reporting period there have been 545,822 tests performed, with a positivity rate of 0.02%. This is a substantially lower testing rate and a similar positivity compared to the previous two-week period (977,224 tests nationwide, with 0.02% positivity). Of all tests performed in Australia since 31 January 2020 (12,951,776 tests), the cumulative testing rate is 510.8 tests per 1,000 population and the positivity rate is 0.22%."/>
      </w:tblPr>
      <w:tblGrid>
        <w:gridCol w:w="1061"/>
        <w:gridCol w:w="774"/>
        <w:gridCol w:w="968"/>
        <w:gridCol w:w="1308"/>
        <w:gridCol w:w="774"/>
        <w:gridCol w:w="968"/>
        <w:gridCol w:w="1308"/>
        <w:gridCol w:w="1029"/>
        <w:gridCol w:w="968"/>
        <w:gridCol w:w="1308"/>
      </w:tblGrid>
      <w:tr w:rsidR="00206CEE" w:rsidRPr="005C12EA" w:rsidTr="005C12EA">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rsidR="009B090E" w:rsidRPr="005C12EA" w:rsidRDefault="009B090E">
            <w:pPr>
              <w:pStyle w:val="NormalWeb"/>
              <w:jc w:val="center"/>
              <w:rPr>
                <w:bCs/>
                <w:color w:val="FFFFFF" w:themeColor="background1"/>
                <w:sz w:val="20"/>
              </w:rPr>
            </w:pPr>
            <w:r w:rsidRPr="005C12EA">
              <w:rPr>
                <w:bCs/>
                <w:color w:val="FFFFFF" w:themeColor="background1"/>
                <w:sz w:val="20"/>
              </w:rPr>
              <w:t>Jurisdiction</w:t>
            </w:r>
          </w:p>
        </w:tc>
        <w:tc>
          <w:tcPr>
            <w:tcW w:w="0" w:type="auto"/>
            <w:gridSpan w:val="3"/>
            <w:tcBorders>
              <w:left w:val="single" w:sz="2" w:space="0" w:color="FFFFFF" w:themeColor="background1"/>
              <w:bottom w:val="single" w:sz="2" w:space="0" w:color="FFFFFF" w:themeColor="background1"/>
              <w:right w:val="single" w:sz="2" w:space="0" w:color="FFFFFF" w:themeColor="background1"/>
            </w:tcBorders>
            <w:hideMark/>
          </w:tcPr>
          <w:p w:rsidR="009B090E" w:rsidRPr="005C12EA" w:rsidRDefault="009B090E" w:rsidP="005C12EA">
            <w:pPr>
              <w:pStyle w:val="NormalWeb"/>
              <w:jc w:val="center"/>
              <w:rPr>
                <w:bCs/>
                <w:color w:val="FFFFFF" w:themeColor="background1"/>
                <w:sz w:val="20"/>
              </w:rPr>
            </w:pPr>
            <w:r w:rsidRPr="005C12EA">
              <w:rPr>
                <w:bCs/>
                <w:color w:val="FFFFFF" w:themeColor="background1"/>
                <w:sz w:val="20"/>
              </w:rPr>
              <w:t>Tests performed</w:t>
            </w:r>
            <w:r w:rsidRPr="005C12EA">
              <w:rPr>
                <w:bCs/>
                <w:color w:val="FFFFFF" w:themeColor="background1"/>
                <w:sz w:val="20"/>
              </w:rPr>
              <w:br/>
              <w:t>4–17 January 2021</w:t>
            </w:r>
          </w:p>
        </w:tc>
        <w:tc>
          <w:tcPr>
            <w:tcW w:w="0" w:type="auto"/>
            <w:gridSpan w:val="3"/>
            <w:tcBorders>
              <w:left w:val="single" w:sz="2" w:space="0" w:color="FFFFFF" w:themeColor="background1"/>
              <w:bottom w:val="single" w:sz="2" w:space="0" w:color="FFFFFF" w:themeColor="background1"/>
              <w:right w:val="single" w:sz="2" w:space="0" w:color="FFFFFF" w:themeColor="background1"/>
            </w:tcBorders>
            <w:hideMark/>
          </w:tcPr>
          <w:p w:rsidR="009B090E" w:rsidRPr="005C12EA" w:rsidRDefault="009B090E" w:rsidP="005C12EA">
            <w:pPr>
              <w:pStyle w:val="NormalWeb"/>
              <w:jc w:val="center"/>
              <w:rPr>
                <w:bCs/>
                <w:color w:val="FFFFFF" w:themeColor="background1"/>
                <w:sz w:val="20"/>
              </w:rPr>
            </w:pPr>
            <w:r w:rsidRPr="005C12EA">
              <w:rPr>
                <w:bCs/>
                <w:color w:val="FFFFFF" w:themeColor="background1"/>
                <w:sz w:val="20"/>
              </w:rPr>
              <w:t>Tests performed</w:t>
            </w:r>
            <w:r w:rsidRPr="005C12EA">
              <w:rPr>
                <w:bCs/>
                <w:color w:val="FFFFFF" w:themeColor="background1"/>
                <w:sz w:val="20"/>
              </w:rPr>
              <w:br/>
              <w:t>18–31 January</w:t>
            </w:r>
          </w:p>
        </w:tc>
        <w:tc>
          <w:tcPr>
            <w:tcW w:w="0" w:type="auto"/>
            <w:gridSpan w:val="3"/>
            <w:tcBorders>
              <w:left w:val="single" w:sz="2" w:space="0" w:color="FFFFFF" w:themeColor="background1"/>
              <w:bottom w:val="single" w:sz="2" w:space="0" w:color="FFFFFF" w:themeColor="background1"/>
            </w:tcBorders>
            <w:hideMark/>
          </w:tcPr>
          <w:p w:rsidR="009B090E" w:rsidRPr="005C12EA" w:rsidRDefault="009B090E" w:rsidP="005C12EA">
            <w:pPr>
              <w:pStyle w:val="NormalWeb"/>
              <w:jc w:val="center"/>
              <w:rPr>
                <w:bCs/>
                <w:color w:val="FFFFFF" w:themeColor="background1"/>
                <w:sz w:val="20"/>
              </w:rPr>
            </w:pPr>
            <w:r w:rsidRPr="005C12EA">
              <w:rPr>
                <w:bCs/>
                <w:color w:val="FFFFFF" w:themeColor="background1"/>
                <w:sz w:val="20"/>
              </w:rPr>
              <w:t>Cumulative tests performed</w:t>
            </w:r>
            <w:r w:rsidRPr="005C12EA">
              <w:rPr>
                <w:bCs/>
                <w:color w:val="FFFFFF" w:themeColor="background1"/>
                <w:sz w:val="20"/>
              </w:rPr>
              <w:br/>
              <w:t>to 31 January</w:t>
            </w:r>
          </w:p>
        </w:tc>
      </w:tr>
      <w:tr w:rsidR="00206CEE" w:rsidRPr="005C12EA" w:rsidTr="005C12E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rsidR="009B090E" w:rsidRPr="005C12EA" w:rsidRDefault="009B090E">
            <w:pPr>
              <w:rPr>
                <w:bCs/>
                <w:color w:val="FFFFFF" w:themeColor="background1"/>
                <w:sz w:val="20"/>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9B090E" w:rsidRPr="005C12EA" w:rsidRDefault="009B090E" w:rsidP="005C12EA">
            <w:pPr>
              <w:pStyle w:val="NormalWeb"/>
              <w:jc w:val="center"/>
              <w:rPr>
                <w:bCs/>
                <w:color w:val="FFFFFF" w:themeColor="background1"/>
                <w:sz w:val="20"/>
              </w:rPr>
            </w:pPr>
            <w:r w:rsidRPr="005C12EA">
              <w:rPr>
                <w:bCs/>
                <w:color w:val="FFFFFF" w:themeColor="background1"/>
                <w:sz w:val="20"/>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9B090E" w:rsidRPr="005C12EA" w:rsidRDefault="009B090E" w:rsidP="005C12EA">
            <w:pPr>
              <w:pStyle w:val="NormalWeb"/>
              <w:jc w:val="center"/>
              <w:rPr>
                <w:bCs/>
                <w:color w:val="FFFFFF" w:themeColor="background1"/>
                <w:sz w:val="20"/>
              </w:rPr>
            </w:pPr>
            <w:r w:rsidRPr="005C12EA">
              <w:rPr>
                <w:bCs/>
                <w:color w:val="FFFFFF" w:themeColor="background1"/>
                <w:sz w:val="20"/>
              </w:rPr>
              <w:t>Positivity (%)</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9B090E" w:rsidRPr="005C12EA" w:rsidRDefault="009B090E" w:rsidP="005C12EA">
            <w:pPr>
              <w:pStyle w:val="NormalWeb"/>
              <w:jc w:val="center"/>
              <w:rPr>
                <w:bCs/>
                <w:color w:val="FFFFFF" w:themeColor="background1"/>
                <w:sz w:val="20"/>
              </w:rPr>
            </w:pPr>
            <w:r w:rsidRPr="005C12EA">
              <w:rPr>
                <w:bCs/>
                <w:color w:val="FFFFFF" w:themeColor="background1"/>
                <w:sz w:val="20"/>
              </w:rPr>
              <w:t xml:space="preserve">Per 1,000 </w:t>
            </w:r>
            <w:proofErr w:type="spellStart"/>
            <w:r w:rsidRPr="005C12EA">
              <w:rPr>
                <w:bCs/>
                <w:color w:val="FFFFFF" w:themeColor="background1"/>
                <w:sz w:val="20"/>
              </w:rPr>
              <w:t>population</w:t>
            </w:r>
            <w:r w:rsidRPr="005C12EA">
              <w:rPr>
                <w:bCs/>
                <w:color w:val="FFFFFF" w:themeColor="background1"/>
                <w:sz w:val="20"/>
                <w:vertAlign w:val="superscript"/>
              </w:rPr>
              <w:t>a</w:t>
            </w:r>
            <w:proofErr w:type="spellEnd"/>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9B090E" w:rsidRPr="005C12EA" w:rsidRDefault="009B090E" w:rsidP="005C12EA">
            <w:pPr>
              <w:pStyle w:val="NormalWeb"/>
              <w:jc w:val="center"/>
              <w:rPr>
                <w:bCs/>
                <w:color w:val="FFFFFF" w:themeColor="background1"/>
                <w:sz w:val="20"/>
              </w:rPr>
            </w:pPr>
            <w:r w:rsidRPr="005C12EA">
              <w:rPr>
                <w:bCs/>
                <w:color w:val="FFFFFF" w:themeColor="background1"/>
                <w:sz w:val="20"/>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9B090E" w:rsidRPr="005C12EA" w:rsidRDefault="009B090E" w:rsidP="005C12EA">
            <w:pPr>
              <w:pStyle w:val="NormalWeb"/>
              <w:jc w:val="center"/>
              <w:rPr>
                <w:bCs/>
                <w:color w:val="FFFFFF" w:themeColor="background1"/>
                <w:sz w:val="20"/>
              </w:rPr>
            </w:pPr>
            <w:r w:rsidRPr="005C12EA">
              <w:rPr>
                <w:bCs/>
                <w:color w:val="FFFFFF" w:themeColor="background1"/>
                <w:sz w:val="20"/>
              </w:rPr>
              <w:t>Positivity (%)</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9B090E" w:rsidRPr="005C12EA" w:rsidRDefault="009B090E" w:rsidP="005C12EA">
            <w:pPr>
              <w:pStyle w:val="NormalWeb"/>
              <w:jc w:val="center"/>
              <w:rPr>
                <w:bCs/>
                <w:color w:val="FFFFFF" w:themeColor="background1"/>
                <w:sz w:val="20"/>
              </w:rPr>
            </w:pPr>
            <w:r w:rsidRPr="005C12EA">
              <w:rPr>
                <w:bCs/>
                <w:color w:val="FFFFFF" w:themeColor="background1"/>
                <w:sz w:val="20"/>
              </w:rPr>
              <w:t xml:space="preserve">Per 1,000 </w:t>
            </w:r>
            <w:proofErr w:type="spellStart"/>
            <w:r w:rsidRPr="005C12EA">
              <w:rPr>
                <w:bCs/>
                <w:color w:val="FFFFFF" w:themeColor="background1"/>
                <w:sz w:val="20"/>
              </w:rPr>
              <w:t>population</w:t>
            </w:r>
            <w:r w:rsidRPr="005C12EA">
              <w:rPr>
                <w:bCs/>
                <w:color w:val="FFFFFF" w:themeColor="background1"/>
                <w:sz w:val="20"/>
                <w:vertAlign w:val="superscript"/>
              </w:rPr>
              <w:t>a</w:t>
            </w:r>
            <w:proofErr w:type="spellEnd"/>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9B090E" w:rsidRPr="005C12EA" w:rsidRDefault="009B090E" w:rsidP="005C12EA">
            <w:pPr>
              <w:pStyle w:val="NormalWeb"/>
              <w:jc w:val="center"/>
              <w:rPr>
                <w:bCs/>
                <w:color w:val="FFFFFF" w:themeColor="background1"/>
                <w:sz w:val="20"/>
              </w:rPr>
            </w:pPr>
            <w:r w:rsidRPr="005C12EA">
              <w:rPr>
                <w:bCs/>
                <w:color w:val="FFFFFF" w:themeColor="background1"/>
                <w:sz w:val="20"/>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9B090E" w:rsidRPr="005C12EA" w:rsidRDefault="009B090E" w:rsidP="005C12EA">
            <w:pPr>
              <w:pStyle w:val="NormalWeb"/>
              <w:jc w:val="center"/>
              <w:rPr>
                <w:bCs/>
                <w:color w:val="FFFFFF" w:themeColor="background1"/>
                <w:sz w:val="20"/>
              </w:rPr>
            </w:pPr>
            <w:r w:rsidRPr="005C12EA">
              <w:rPr>
                <w:bCs/>
                <w:color w:val="FFFFFF" w:themeColor="background1"/>
                <w:sz w:val="20"/>
              </w:rPr>
              <w:t>Positivity (%)</w:t>
            </w:r>
          </w:p>
        </w:tc>
        <w:tc>
          <w:tcPr>
            <w:tcW w:w="0" w:type="auto"/>
            <w:tcBorders>
              <w:top w:val="single" w:sz="2" w:space="0" w:color="FFFFFF" w:themeColor="background1"/>
              <w:left w:val="single" w:sz="2" w:space="0" w:color="FFFFFF" w:themeColor="background1"/>
            </w:tcBorders>
            <w:hideMark/>
          </w:tcPr>
          <w:p w:rsidR="009B090E" w:rsidRPr="005C12EA" w:rsidRDefault="009B090E" w:rsidP="005C12EA">
            <w:pPr>
              <w:pStyle w:val="NormalWeb"/>
              <w:jc w:val="center"/>
              <w:rPr>
                <w:bCs/>
                <w:color w:val="FFFFFF" w:themeColor="background1"/>
                <w:sz w:val="20"/>
              </w:rPr>
            </w:pPr>
            <w:r w:rsidRPr="005C12EA">
              <w:rPr>
                <w:bCs/>
                <w:color w:val="FFFFFF" w:themeColor="background1"/>
                <w:sz w:val="20"/>
              </w:rPr>
              <w:t xml:space="preserve">Per 1,000 </w:t>
            </w:r>
            <w:proofErr w:type="spellStart"/>
            <w:r w:rsidRPr="005C12EA">
              <w:rPr>
                <w:bCs/>
                <w:color w:val="FFFFFF" w:themeColor="background1"/>
                <w:sz w:val="20"/>
              </w:rPr>
              <w:t>population</w:t>
            </w:r>
            <w:r w:rsidRPr="005C12EA">
              <w:rPr>
                <w:bCs/>
                <w:color w:val="FFFFFF" w:themeColor="background1"/>
                <w:sz w:val="20"/>
                <w:vertAlign w:val="superscript"/>
              </w:rPr>
              <w:t>a</w:t>
            </w:r>
            <w:proofErr w:type="spellEnd"/>
          </w:p>
        </w:tc>
      </w:tr>
      <w:tr w:rsidR="00206CEE" w:rsidRPr="005C12EA" w:rsidTr="005C12EA">
        <w:tc>
          <w:tcPr>
            <w:tcW w:w="0" w:type="auto"/>
            <w:hideMark/>
          </w:tcPr>
          <w:p w:rsidR="009B090E" w:rsidRPr="005C12EA" w:rsidRDefault="009B090E">
            <w:pPr>
              <w:pStyle w:val="NormalWeb"/>
              <w:rPr>
                <w:sz w:val="20"/>
              </w:rPr>
            </w:pPr>
            <w:r w:rsidRPr="005C12EA">
              <w:rPr>
                <w:sz w:val="20"/>
              </w:rPr>
              <w:t>NSW</w:t>
            </w:r>
          </w:p>
        </w:tc>
        <w:tc>
          <w:tcPr>
            <w:tcW w:w="0" w:type="auto"/>
            <w:hideMark/>
          </w:tcPr>
          <w:p w:rsidR="009B090E" w:rsidRPr="005C12EA" w:rsidRDefault="009B090E" w:rsidP="005C12EA">
            <w:pPr>
              <w:pStyle w:val="NormalWeb"/>
              <w:jc w:val="center"/>
              <w:rPr>
                <w:sz w:val="20"/>
              </w:rPr>
            </w:pPr>
            <w:r w:rsidRPr="005C12EA">
              <w:rPr>
                <w:sz w:val="20"/>
              </w:rPr>
              <w:t>302,550</w:t>
            </w:r>
          </w:p>
        </w:tc>
        <w:tc>
          <w:tcPr>
            <w:tcW w:w="0" w:type="auto"/>
            <w:hideMark/>
          </w:tcPr>
          <w:p w:rsidR="009B090E" w:rsidRPr="005C12EA" w:rsidRDefault="009B090E" w:rsidP="005C12EA">
            <w:pPr>
              <w:pStyle w:val="NormalWeb"/>
              <w:jc w:val="center"/>
              <w:rPr>
                <w:sz w:val="20"/>
              </w:rPr>
            </w:pPr>
            <w:r w:rsidRPr="005C12EA">
              <w:rPr>
                <w:sz w:val="20"/>
              </w:rPr>
              <w:t>0.04</w:t>
            </w:r>
          </w:p>
        </w:tc>
        <w:tc>
          <w:tcPr>
            <w:tcW w:w="0" w:type="auto"/>
            <w:hideMark/>
          </w:tcPr>
          <w:p w:rsidR="009B090E" w:rsidRPr="005C12EA" w:rsidRDefault="009B090E" w:rsidP="005C12EA">
            <w:pPr>
              <w:pStyle w:val="NormalWeb"/>
              <w:jc w:val="center"/>
              <w:rPr>
                <w:sz w:val="20"/>
              </w:rPr>
            </w:pPr>
            <w:r w:rsidRPr="005C12EA">
              <w:rPr>
                <w:sz w:val="20"/>
              </w:rPr>
              <w:t>37.4</w:t>
            </w:r>
          </w:p>
        </w:tc>
        <w:tc>
          <w:tcPr>
            <w:tcW w:w="0" w:type="auto"/>
            <w:hideMark/>
          </w:tcPr>
          <w:p w:rsidR="009B090E" w:rsidRPr="005C12EA" w:rsidRDefault="009B090E" w:rsidP="005C12EA">
            <w:pPr>
              <w:pStyle w:val="NormalWeb"/>
              <w:jc w:val="center"/>
              <w:rPr>
                <w:sz w:val="20"/>
              </w:rPr>
            </w:pPr>
            <w:r w:rsidRPr="005C12EA">
              <w:rPr>
                <w:sz w:val="20"/>
              </w:rPr>
              <w:t>156,936</w:t>
            </w:r>
          </w:p>
        </w:tc>
        <w:tc>
          <w:tcPr>
            <w:tcW w:w="0" w:type="auto"/>
            <w:hideMark/>
          </w:tcPr>
          <w:p w:rsidR="009B090E" w:rsidRPr="005C12EA" w:rsidRDefault="009B090E" w:rsidP="005C12EA">
            <w:pPr>
              <w:pStyle w:val="NormalWeb"/>
              <w:jc w:val="center"/>
              <w:rPr>
                <w:sz w:val="20"/>
              </w:rPr>
            </w:pPr>
            <w:r w:rsidRPr="005C12EA">
              <w:rPr>
                <w:sz w:val="20"/>
              </w:rPr>
              <w:t>0.03</w:t>
            </w:r>
          </w:p>
        </w:tc>
        <w:tc>
          <w:tcPr>
            <w:tcW w:w="0" w:type="auto"/>
            <w:hideMark/>
          </w:tcPr>
          <w:p w:rsidR="009B090E" w:rsidRPr="005C12EA" w:rsidRDefault="009B090E" w:rsidP="005C12EA">
            <w:pPr>
              <w:pStyle w:val="NormalWeb"/>
              <w:jc w:val="center"/>
              <w:rPr>
                <w:sz w:val="20"/>
              </w:rPr>
            </w:pPr>
            <w:r w:rsidRPr="005C12EA">
              <w:rPr>
                <w:sz w:val="20"/>
              </w:rPr>
              <w:t>19.4</w:t>
            </w:r>
          </w:p>
        </w:tc>
        <w:tc>
          <w:tcPr>
            <w:tcW w:w="0" w:type="auto"/>
            <w:hideMark/>
          </w:tcPr>
          <w:p w:rsidR="009B090E" w:rsidRPr="005C12EA" w:rsidRDefault="009B090E" w:rsidP="005C12EA">
            <w:pPr>
              <w:pStyle w:val="NormalWeb"/>
              <w:jc w:val="center"/>
              <w:rPr>
                <w:sz w:val="20"/>
              </w:rPr>
            </w:pPr>
            <w:r w:rsidRPr="005C12EA">
              <w:rPr>
                <w:sz w:val="20"/>
              </w:rPr>
              <w:t>4,629,852</w:t>
            </w:r>
          </w:p>
        </w:tc>
        <w:tc>
          <w:tcPr>
            <w:tcW w:w="0" w:type="auto"/>
            <w:hideMark/>
          </w:tcPr>
          <w:p w:rsidR="009B090E" w:rsidRPr="005C12EA" w:rsidRDefault="009B090E" w:rsidP="005C12EA">
            <w:pPr>
              <w:pStyle w:val="NormalWeb"/>
              <w:jc w:val="center"/>
              <w:rPr>
                <w:sz w:val="20"/>
              </w:rPr>
            </w:pPr>
            <w:r w:rsidRPr="005C12EA">
              <w:rPr>
                <w:sz w:val="20"/>
              </w:rPr>
              <w:t>0.11</w:t>
            </w:r>
          </w:p>
        </w:tc>
        <w:tc>
          <w:tcPr>
            <w:tcW w:w="0" w:type="auto"/>
            <w:hideMark/>
          </w:tcPr>
          <w:p w:rsidR="009B090E" w:rsidRPr="005C12EA" w:rsidRDefault="009B090E" w:rsidP="005C12EA">
            <w:pPr>
              <w:pStyle w:val="NormalWeb"/>
              <w:jc w:val="center"/>
              <w:rPr>
                <w:sz w:val="20"/>
              </w:rPr>
            </w:pPr>
            <w:r w:rsidRPr="005C12EA">
              <w:rPr>
                <w:sz w:val="20"/>
              </w:rPr>
              <w:t>572.6</w:t>
            </w:r>
          </w:p>
        </w:tc>
      </w:tr>
      <w:tr w:rsidR="005C12EA" w:rsidRPr="005C12EA" w:rsidTr="005C12EA">
        <w:trPr>
          <w:cnfStyle w:val="000000010000" w:firstRow="0" w:lastRow="0" w:firstColumn="0" w:lastColumn="0" w:oddVBand="0" w:evenVBand="0" w:oddHBand="0" w:evenHBand="1" w:firstRowFirstColumn="0" w:firstRowLastColumn="0" w:lastRowFirstColumn="0" w:lastRowLastColumn="0"/>
        </w:trPr>
        <w:tc>
          <w:tcPr>
            <w:tcW w:w="0" w:type="auto"/>
            <w:hideMark/>
          </w:tcPr>
          <w:p w:rsidR="009B090E" w:rsidRPr="005C12EA" w:rsidRDefault="009B090E">
            <w:pPr>
              <w:pStyle w:val="NormalWeb"/>
              <w:rPr>
                <w:sz w:val="20"/>
              </w:rPr>
            </w:pPr>
            <w:r w:rsidRPr="005C12EA">
              <w:rPr>
                <w:sz w:val="20"/>
              </w:rPr>
              <w:t>Vic</w:t>
            </w:r>
          </w:p>
        </w:tc>
        <w:tc>
          <w:tcPr>
            <w:tcW w:w="0" w:type="auto"/>
            <w:hideMark/>
          </w:tcPr>
          <w:p w:rsidR="009B090E" w:rsidRPr="005C12EA" w:rsidRDefault="009B090E" w:rsidP="005C12EA">
            <w:pPr>
              <w:pStyle w:val="NormalWeb"/>
              <w:jc w:val="center"/>
              <w:rPr>
                <w:sz w:val="20"/>
              </w:rPr>
            </w:pPr>
            <w:r w:rsidRPr="005C12EA">
              <w:rPr>
                <w:sz w:val="20"/>
              </w:rPr>
              <w:t>322,323</w:t>
            </w:r>
          </w:p>
        </w:tc>
        <w:tc>
          <w:tcPr>
            <w:tcW w:w="0" w:type="auto"/>
            <w:hideMark/>
          </w:tcPr>
          <w:p w:rsidR="009B090E" w:rsidRPr="005C12EA" w:rsidRDefault="009B090E" w:rsidP="005C12EA">
            <w:pPr>
              <w:pStyle w:val="NormalWeb"/>
              <w:jc w:val="center"/>
              <w:rPr>
                <w:sz w:val="20"/>
              </w:rPr>
            </w:pPr>
            <w:r w:rsidRPr="005C12EA">
              <w:rPr>
                <w:sz w:val="20"/>
              </w:rPr>
              <w:t>0.01</w:t>
            </w:r>
          </w:p>
        </w:tc>
        <w:tc>
          <w:tcPr>
            <w:tcW w:w="0" w:type="auto"/>
            <w:hideMark/>
          </w:tcPr>
          <w:p w:rsidR="009B090E" w:rsidRPr="005C12EA" w:rsidRDefault="009B090E" w:rsidP="005C12EA">
            <w:pPr>
              <w:pStyle w:val="NormalWeb"/>
              <w:jc w:val="center"/>
              <w:rPr>
                <w:sz w:val="20"/>
              </w:rPr>
            </w:pPr>
            <w:r w:rsidRPr="005C12EA">
              <w:rPr>
                <w:sz w:val="20"/>
              </w:rPr>
              <w:t>48.9</w:t>
            </w:r>
          </w:p>
        </w:tc>
        <w:tc>
          <w:tcPr>
            <w:tcW w:w="0" w:type="auto"/>
            <w:hideMark/>
          </w:tcPr>
          <w:p w:rsidR="009B090E" w:rsidRPr="005C12EA" w:rsidRDefault="009B090E" w:rsidP="005C12EA">
            <w:pPr>
              <w:pStyle w:val="NormalWeb"/>
              <w:jc w:val="center"/>
              <w:rPr>
                <w:sz w:val="20"/>
              </w:rPr>
            </w:pPr>
            <w:r w:rsidRPr="005C12EA">
              <w:rPr>
                <w:sz w:val="20"/>
              </w:rPr>
              <w:t>205,001</w:t>
            </w:r>
          </w:p>
        </w:tc>
        <w:tc>
          <w:tcPr>
            <w:tcW w:w="0" w:type="auto"/>
            <w:hideMark/>
          </w:tcPr>
          <w:p w:rsidR="009B090E" w:rsidRPr="005C12EA" w:rsidRDefault="009B090E" w:rsidP="005C12EA">
            <w:pPr>
              <w:pStyle w:val="NormalWeb"/>
              <w:jc w:val="center"/>
              <w:rPr>
                <w:sz w:val="20"/>
              </w:rPr>
            </w:pPr>
            <w:r w:rsidRPr="005C12EA">
              <w:rPr>
                <w:sz w:val="20"/>
              </w:rPr>
              <w:t>0.01</w:t>
            </w:r>
          </w:p>
        </w:tc>
        <w:tc>
          <w:tcPr>
            <w:tcW w:w="0" w:type="auto"/>
            <w:hideMark/>
          </w:tcPr>
          <w:p w:rsidR="009B090E" w:rsidRPr="005C12EA" w:rsidRDefault="009B090E" w:rsidP="005C12EA">
            <w:pPr>
              <w:pStyle w:val="NormalWeb"/>
              <w:jc w:val="center"/>
              <w:rPr>
                <w:sz w:val="20"/>
              </w:rPr>
            </w:pPr>
            <w:r w:rsidRPr="005C12EA">
              <w:rPr>
                <w:sz w:val="20"/>
              </w:rPr>
              <w:t>31.1</w:t>
            </w:r>
          </w:p>
        </w:tc>
        <w:tc>
          <w:tcPr>
            <w:tcW w:w="0" w:type="auto"/>
            <w:hideMark/>
          </w:tcPr>
          <w:p w:rsidR="009B090E" w:rsidRPr="005C12EA" w:rsidRDefault="009B090E" w:rsidP="005C12EA">
            <w:pPr>
              <w:pStyle w:val="NormalWeb"/>
              <w:jc w:val="center"/>
              <w:rPr>
                <w:sz w:val="20"/>
              </w:rPr>
            </w:pPr>
            <w:r w:rsidRPr="005C12EA">
              <w:rPr>
                <w:sz w:val="20"/>
              </w:rPr>
              <w:t>4,457,139</w:t>
            </w:r>
          </w:p>
        </w:tc>
        <w:tc>
          <w:tcPr>
            <w:tcW w:w="0" w:type="auto"/>
            <w:hideMark/>
          </w:tcPr>
          <w:p w:rsidR="009B090E" w:rsidRPr="005C12EA" w:rsidRDefault="009B090E" w:rsidP="005C12EA">
            <w:pPr>
              <w:pStyle w:val="NormalWeb"/>
              <w:jc w:val="center"/>
              <w:rPr>
                <w:sz w:val="20"/>
              </w:rPr>
            </w:pPr>
            <w:r w:rsidRPr="005C12EA">
              <w:rPr>
                <w:sz w:val="20"/>
              </w:rPr>
              <w:t>0.46</w:t>
            </w:r>
          </w:p>
        </w:tc>
        <w:tc>
          <w:tcPr>
            <w:tcW w:w="0" w:type="auto"/>
            <w:hideMark/>
          </w:tcPr>
          <w:p w:rsidR="009B090E" w:rsidRPr="005C12EA" w:rsidRDefault="009B090E" w:rsidP="005C12EA">
            <w:pPr>
              <w:pStyle w:val="NormalWeb"/>
              <w:jc w:val="center"/>
              <w:rPr>
                <w:sz w:val="20"/>
              </w:rPr>
            </w:pPr>
            <w:r w:rsidRPr="005C12EA">
              <w:rPr>
                <w:sz w:val="20"/>
              </w:rPr>
              <w:t>676</w:t>
            </w:r>
          </w:p>
        </w:tc>
      </w:tr>
      <w:tr w:rsidR="00206CEE" w:rsidRPr="005C12EA" w:rsidTr="005C12EA">
        <w:tc>
          <w:tcPr>
            <w:tcW w:w="0" w:type="auto"/>
            <w:hideMark/>
          </w:tcPr>
          <w:p w:rsidR="009B090E" w:rsidRPr="005C12EA" w:rsidRDefault="009B090E">
            <w:pPr>
              <w:pStyle w:val="NormalWeb"/>
              <w:rPr>
                <w:sz w:val="20"/>
              </w:rPr>
            </w:pPr>
            <w:r w:rsidRPr="005C12EA">
              <w:rPr>
                <w:sz w:val="20"/>
              </w:rPr>
              <w:t>Qld</w:t>
            </w:r>
          </w:p>
        </w:tc>
        <w:tc>
          <w:tcPr>
            <w:tcW w:w="0" w:type="auto"/>
            <w:hideMark/>
          </w:tcPr>
          <w:p w:rsidR="009B090E" w:rsidRPr="005C12EA" w:rsidRDefault="009B090E" w:rsidP="005C12EA">
            <w:pPr>
              <w:pStyle w:val="NormalWeb"/>
              <w:jc w:val="center"/>
              <w:rPr>
                <w:sz w:val="20"/>
              </w:rPr>
            </w:pPr>
            <w:r w:rsidRPr="005C12EA">
              <w:rPr>
                <w:sz w:val="20"/>
              </w:rPr>
              <w:t>193,106</w:t>
            </w:r>
          </w:p>
        </w:tc>
        <w:tc>
          <w:tcPr>
            <w:tcW w:w="0" w:type="auto"/>
            <w:hideMark/>
          </w:tcPr>
          <w:p w:rsidR="009B090E" w:rsidRPr="005C12EA" w:rsidRDefault="009B090E" w:rsidP="005C12EA">
            <w:pPr>
              <w:pStyle w:val="NormalWeb"/>
              <w:jc w:val="center"/>
              <w:rPr>
                <w:sz w:val="20"/>
              </w:rPr>
            </w:pPr>
            <w:r w:rsidRPr="005C12EA">
              <w:rPr>
                <w:sz w:val="20"/>
              </w:rPr>
              <w:t>0.02</w:t>
            </w:r>
          </w:p>
        </w:tc>
        <w:tc>
          <w:tcPr>
            <w:tcW w:w="0" w:type="auto"/>
            <w:hideMark/>
          </w:tcPr>
          <w:p w:rsidR="009B090E" w:rsidRPr="005C12EA" w:rsidRDefault="009B090E" w:rsidP="005C12EA">
            <w:pPr>
              <w:pStyle w:val="NormalWeb"/>
              <w:jc w:val="center"/>
              <w:rPr>
                <w:sz w:val="20"/>
              </w:rPr>
            </w:pPr>
            <w:r w:rsidRPr="005C12EA">
              <w:rPr>
                <w:sz w:val="20"/>
              </w:rPr>
              <w:t>37.9</w:t>
            </w:r>
          </w:p>
        </w:tc>
        <w:tc>
          <w:tcPr>
            <w:tcW w:w="0" w:type="auto"/>
            <w:hideMark/>
          </w:tcPr>
          <w:p w:rsidR="009B090E" w:rsidRPr="005C12EA" w:rsidRDefault="009B090E" w:rsidP="005C12EA">
            <w:pPr>
              <w:pStyle w:val="NormalWeb"/>
              <w:jc w:val="center"/>
              <w:rPr>
                <w:sz w:val="20"/>
              </w:rPr>
            </w:pPr>
            <w:r w:rsidRPr="005C12EA">
              <w:rPr>
                <w:sz w:val="20"/>
              </w:rPr>
              <w:t>83,079</w:t>
            </w:r>
          </w:p>
        </w:tc>
        <w:tc>
          <w:tcPr>
            <w:tcW w:w="0" w:type="auto"/>
            <w:hideMark/>
          </w:tcPr>
          <w:p w:rsidR="009B090E" w:rsidRPr="005C12EA" w:rsidRDefault="009B090E" w:rsidP="005C12EA">
            <w:pPr>
              <w:pStyle w:val="NormalWeb"/>
              <w:jc w:val="center"/>
              <w:rPr>
                <w:sz w:val="20"/>
              </w:rPr>
            </w:pPr>
            <w:r w:rsidRPr="005C12EA">
              <w:rPr>
                <w:sz w:val="20"/>
              </w:rPr>
              <w:t>0.02</w:t>
            </w:r>
          </w:p>
        </w:tc>
        <w:tc>
          <w:tcPr>
            <w:tcW w:w="0" w:type="auto"/>
            <w:hideMark/>
          </w:tcPr>
          <w:p w:rsidR="009B090E" w:rsidRPr="005C12EA" w:rsidRDefault="009B090E" w:rsidP="005C12EA">
            <w:pPr>
              <w:pStyle w:val="NormalWeb"/>
              <w:jc w:val="center"/>
              <w:rPr>
                <w:sz w:val="20"/>
              </w:rPr>
            </w:pPr>
            <w:r w:rsidRPr="005C12EA">
              <w:rPr>
                <w:sz w:val="20"/>
              </w:rPr>
              <w:t>16.3</w:t>
            </w:r>
          </w:p>
        </w:tc>
        <w:tc>
          <w:tcPr>
            <w:tcW w:w="0" w:type="auto"/>
            <w:hideMark/>
          </w:tcPr>
          <w:p w:rsidR="009B090E" w:rsidRPr="005C12EA" w:rsidRDefault="009B090E" w:rsidP="005C12EA">
            <w:pPr>
              <w:pStyle w:val="NormalWeb"/>
              <w:jc w:val="center"/>
              <w:rPr>
                <w:sz w:val="20"/>
              </w:rPr>
            </w:pPr>
            <w:r w:rsidRPr="005C12EA">
              <w:rPr>
                <w:sz w:val="20"/>
              </w:rPr>
              <w:t>1,764,500</w:t>
            </w:r>
          </w:p>
        </w:tc>
        <w:tc>
          <w:tcPr>
            <w:tcW w:w="0" w:type="auto"/>
            <w:hideMark/>
          </w:tcPr>
          <w:p w:rsidR="009B090E" w:rsidRPr="005C12EA" w:rsidRDefault="009B090E" w:rsidP="005C12EA">
            <w:pPr>
              <w:pStyle w:val="NormalWeb"/>
              <w:jc w:val="center"/>
              <w:rPr>
                <w:sz w:val="20"/>
              </w:rPr>
            </w:pPr>
            <w:r w:rsidRPr="005C12EA">
              <w:rPr>
                <w:sz w:val="20"/>
              </w:rPr>
              <w:t>0.07</w:t>
            </w:r>
          </w:p>
        </w:tc>
        <w:tc>
          <w:tcPr>
            <w:tcW w:w="0" w:type="auto"/>
            <w:hideMark/>
          </w:tcPr>
          <w:p w:rsidR="009B090E" w:rsidRPr="005C12EA" w:rsidRDefault="009B090E" w:rsidP="005C12EA">
            <w:pPr>
              <w:pStyle w:val="NormalWeb"/>
              <w:jc w:val="center"/>
              <w:rPr>
                <w:sz w:val="20"/>
              </w:rPr>
            </w:pPr>
            <w:r w:rsidRPr="005C12EA">
              <w:rPr>
                <w:sz w:val="20"/>
              </w:rPr>
              <w:t>346.5</w:t>
            </w:r>
          </w:p>
        </w:tc>
      </w:tr>
      <w:tr w:rsidR="005C12EA" w:rsidRPr="005C12EA" w:rsidTr="005C12EA">
        <w:trPr>
          <w:cnfStyle w:val="000000010000" w:firstRow="0" w:lastRow="0" w:firstColumn="0" w:lastColumn="0" w:oddVBand="0" w:evenVBand="0" w:oddHBand="0" w:evenHBand="1" w:firstRowFirstColumn="0" w:firstRowLastColumn="0" w:lastRowFirstColumn="0" w:lastRowLastColumn="0"/>
        </w:trPr>
        <w:tc>
          <w:tcPr>
            <w:tcW w:w="0" w:type="auto"/>
            <w:hideMark/>
          </w:tcPr>
          <w:p w:rsidR="009B090E" w:rsidRPr="005C12EA" w:rsidRDefault="009B090E">
            <w:pPr>
              <w:pStyle w:val="NormalWeb"/>
              <w:rPr>
                <w:sz w:val="20"/>
              </w:rPr>
            </w:pPr>
            <w:r w:rsidRPr="005C12EA">
              <w:rPr>
                <w:sz w:val="20"/>
              </w:rPr>
              <w:t>WA</w:t>
            </w:r>
          </w:p>
        </w:tc>
        <w:tc>
          <w:tcPr>
            <w:tcW w:w="0" w:type="auto"/>
            <w:hideMark/>
          </w:tcPr>
          <w:p w:rsidR="009B090E" w:rsidRPr="005C12EA" w:rsidRDefault="009B090E" w:rsidP="005C12EA">
            <w:pPr>
              <w:pStyle w:val="NormalWeb"/>
              <w:jc w:val="center"/>
              <w:rPr>
                <w:sz w:val="20"/>
              </w:rPr>
            </w:pPr>
            <w:r w:rsidRPr="005C12EA">
              <w:rPr>
                <w:sz w:val="20"/>
              </w:rPr>
              <w:t>56,875</w:t>
            </w:r>
          </w:p>
        </w:tc>
        <w:tc>
          <w:tcPr>
            <w:tcW w:w="0" w:type="auto"/>
            <w:hideMark/>
          </w:tcPr>
          <w:p w:rsidR="009B090E" w:rsidRPr="005C12EA" w:rsidRDefault="009B090E" w:rsidP="005C12EA">
            <w:pPr>
              <w:pStyle w:val="NormalWeb"/>
              <w:jc w:val="center"/>
              <w:rPr>
                <w:sz w:val="20"/>
              </w:rPr>
            </w:pPr>
            <w:r w:rsidRPr="005C12EA">
              <w:rPr>
                <w:sz w:val="20"/>
              </w:rPr>
              <w:t>0.04</w:t>
            </w:r>
          </w:p>
        </w:tc>
        <w:tc>
          <w:tcPr>
            <w:tcW w:w="0" w:type="auto"/>
            <w:hideMark/>
          </w:tcPr>
          <w:p w:rsidR="009B090E" w:rsidRPr="005C12EA" w:rsidRDefault="009B090E" w:rsidP="005C12EA">
            <w:pPr>
              <w:pStyle w:val="NormalWeb"/>
              <w:jc w:val="center"/>
              <w:rPr>
                <w:sz w:val="20"/>
              </w:rPr>
            </w:pPr>
            <w:r w:rsidRPr="005C12EA">
              <w:rPr>
                <w:sz w:val="20"/>
              </w:rPr>
              <w:t>21.7</w:t>
            </w:r>
          </w:p>
        </w:tc>
        <w:tc>
          <w:tcPr>
            <w:tcW w:w="0" w:type="auto"/>
            <w:hideMark/>
          </w:tcPr>
          <w:p w:rsidR="009B090E" w:rsidRPr="005C12EA" w:rsidRDefault="009B090E" w:rsidP="005C12EA">
            <w:pPr>
              <w:pStyle w:val="NormalWeb"/>
              <w:jc w:val="center"/>
              <w:rPr>
                <w:sz w:val="20"/>
              </w:rPr>
            </w:pPr>
            <w:r w:rsidRPr="005C12EA">
              <w:rPr>
                <w:sz w:val="20"/>
              </w:rPr>
              <w:t>38,637</w:t>
            </w:r>
          </w:p>
        </w:tc>
        <w:tc>
          <w:tcPr>
            <w:tcW w:w="0" w:type="auto"/>
            <w:hideMark/>
          </w:tcPr>
          <w:p w:rsidR="009B090E" w:rsidRPr="005C12EA" w:rsidRDefault="009B090E" w:rsidP="005C12EA">
            <w:pPr>
              <w:pStyle w:val="NormalWeb"/>
              <w:jc w:val="center"/>
              <w:rPr>
                <w:sz w:val="20"/>
              </w:rPr>
            </w:pPr>
            <w:r w:rsidRPr="005C12EA">
              <w:rPr>
                <w:sz w:val="20"/>
              </w:rPr>
              <w:t>0.04</w:t>
            </w:r>
          </w:p>
        </w:tc>
        <w:tc>
          <w:tcPr>
            <w:tcW w:w="0" w:type="auto"/>
            <w:hideMark/>
          </w:tcPr>
          <w:p w:rsidR="009B090E" w:rsidRPr="005C12EA" w:rsidRDefault="009B090E" w:rsidP="005C12EA">
            <w:pPr>
              <w:pStyle w:val="NormalWeb"/>
              <w:jc w:val="center"/>
              <w:rPr>
                <w:sz w:val="20"/>
              </w:rPr>
            </w:pPr>
            <w:r w:rsidRPr="005C12EA">
              <w:rPr>
                <w:sz w:val="20"/>
              </w:rPr>
              <w:t>14.7</w:t>
            </w:r>
          </w:p>
        </w:tc>
        <w:tc>
          <w:tcPr>
            <w:tcW w:w="0" w:type="auto"/>
            <w:hideMark/>
          </w:tcPr>
          <w:p w:rsidR="009B090E" w:rsidRPr="005C12EA" w:rsidRDefault="009B090E" w:rsidP="005C12EA">
            <w:pPr>
              <w:pStyle w:val="NormalWeb"/>
              <w:jc w:val="center"/>
              <w:rPr>
                <w:sz w:val="20"/>
              </w:rPr>
            </w:pPr>
            <w:r w:rsidRPr="005C12EA">
              <w:rPr>
                <w:sz w:val="20"/>
              </w:rPr>
              <w:t>721,959</w:t>
            </w:r>
          </w:p>
        </w:tc>
        <w:tc>
          <w:tcPr>
            <w:tcW w:w="0" w:type="auto"/>
            <w:hideMark/>
          </w:tcPr>
          <w:p w:rsidR="009B090E" w:rsidRPr="005C12EA" w:rsidRDefault="009B090E" w:rsidP="005C12EA">
            <w:pPr>
              <w:pStyle w:val="NormalWeb"/>
              <w:jc w:val="center"/>
              <w:rPr>
                <w:sz w:val="20"/>
              </w:rPr>
            </w:pPr>
            <w:r w:rsidRPr="005C12EA">
              <w:rPr>
                <w:sz w:val="20"/>
              </w:rPr>
              <w:t>0.12</w:t>
            </w:r>
          </w:p>
        </w:tc>
        <w:tc>
          <w:tcPr>
            <w:tcW w:w="0" w:type="auto"/>
            <w:hideMark/>
          </w:tcPr>
          <w:p w:rsidR="009B090E" w:rsidRPr="005C12EA" w:rsidRDefault="009B090E" w:rsidP="005C12EA">
            <w:pPr>
              <w:pStyle w:val="NormalWeb"/>
              <w:jc w:val="center"/>
              <w:rPr>
                <w:sz w:val="20"/>
              </w:rPr>
            </w:pPr>
            <w:r w:rsidRPr="005C12EA">
              <w:rPr>
                <w:sz w:val="20"/>
              </w:rPr>
              <w:t>275.4</w:t>
            </w:r>
          </w:p>
        </w:tc>
      </w:tr>
      <w:tr w:rsidR="00206CEE" w:rsidRPr="005C12EA" w:rsidTr="005C12EA">
        <w:tc>
          <w:tcPr>
            <w:tcW w:w="0" w:type="auto"/>
            <w:hideMark/>
          </w:tcPr>
          <w:p w:rsidR="009B090E" w:rsidRPr="005C12EA" w:rsidRDefault="009B090E">
            <w:pPr>
              <w:pStyle w:val="NormalWeb"/>
              <w:rPr>
                <w:sz w:val="20"/>
              </w:rPr>
            </w:pPr>
            <w:r w:rsidRPr="005C12EA">
              <w:rPr>
                <w:sz w:val="20"/>
              </w:rPr>
              <w:t>SA</w:t>
            </w:r>
          </w:p>
        </w:tc>
        <w:tc>
          <w:tcPr>
            <w:tcW w:w="0" w:type="auto"/>
            <w:hideMark/>
          </w:tcPr>
          <w:p w:rsidR="009B090E" w:rsidRPr="005C12EA" w:rsidRDefault="009B090E" w:rsidP="005C12EA">
            <w:pPr>
              <w:pStyle w:val="NormalWeb"/>
              <w:jc w:val="center"/>
              <w:rPr>
                <w:sz w:val="20"/>
              </w:rPr>
            </w:pPr>
            <w:r w:rsidRPr="005C12EA">
              <w:rPr>
                <w:sz w:val="20"/>
              </w:rPr>
              <w:t>71,460</w:t>
            </w:r>
          </w:p>
        </w:tc>
        <w:tc>
          <w:tcPr>
            <w:tcW w:w="0" w:type="auto"/>
            <w:hideMark/>
          </w:tcPr>
          <w:p w:rsidR="009B090E" w:rsidRPr="005C12EA" w:rsidRDefault="009B090E" w:rsidP="005C12EA">
            <w:pPr>
              <w:pStyle w:val="NormalWeb"/>
              <w:jc w:val="center"/>
              <w:rPr>
                <w:sz w:val="20"/>
              </w:rPr>
            </w:pPr>
            <w:r w:rsidRPr="005C12EA">
              <w:rPr>
                <w:sz w:val="20"/>
              </w:rPr>
              <w:t>0.02</w:t>
            </w:r>
          </w:p>
        </w:tc>
        <w:tc>
          <w:tcPr>
            <w:tcW w:w="0" w:type="auto"/>
            <w:hideMark/>
          </w:tcPr>
          <w:p w:rsidR="009B090E" w:rsidRPr="005C12EA" w:rsidRDefault="009B090E" w:rsidP="005C12EA">
            <w:pPr>
              <w:pStyle w:val="NormalWeb"/>
              <w:jc w:val="center"/>
              <w:rPr>
                <w:sz w:val="20"/>
              </w:rPr>
            </w:pPr>
            <w:r w:rsidRPr="005C12EA">
              <w:rPr>
                <w:sz w:val="20"/>
              </w:rPr>
              <w:t>40.8</w:t>
            </w:r>
          </w:p>
        </w:tc>
        <w:tc>
          <w:tcPr>
            <w:tcW w:w="0" w:type="auto"/>
            <w:hideMark/>
          </w:tcPr>
          <w:p w:rsidR="009B090E" w:rsidRPr="005C12EA" w:rsidRDefault="009B090E" w:rsidP="005C12EA">
            <w:pPr>
              <w:pStyle w:val="NormalWeb"/>
              <w:jc w:val="center"/>
              <w:rPr>
                <w:sz w:val="20"/>
              </w:rPr>
            </w:pPr>
            <w:r w:rsidRPr="005C12EA">
              <w:rPr>
                <w:sz w:val="20"/>
              </w:rPr>
              <w:t>43,451</w:t>
            </w:r>
          </w:p>
        </w:tc>
        <w:tc>
          <w:tcPr>
            <w:tcW w:w="0" w:type="auto"/>
            <w:hideMark/>
          </w:tcPr>
          <w:p w:rsidR="009B090E" w:rsidRPr="005C12EA" w:rsidRDefault="009B090E" w:rsidP="005C12EA">
            <w:pPr>
              <w:pStyle w:val="NormalWeb"/>
              <w:jc w:val="center"/>
              <w:rPr>
                <w:sz w:val="20"/>
              </w:rPr>
            </w:pPr>
            <w:r w:rsidRPr="005C12EA">
              <w:rPr>
                <w:sz w:val="20"/>
              </w:rPr>
              <w:t>0.01</w:t>
            </w:r>
          </w:p>
        </w:tc>
        <w:tc>
          <w:tcPr>
            <w:tcW w:w="0" w:type="auto"/>
            <w:hideMark/>
          </w:tcPr>
          <w:p w:rsidR="009B090E" w:rsidRPr="005C12EA" w:rsidRDefault="009B090E" w:rsidP="005C12EA">
            <w:pPr>
              <w:pStyle w:val="NormalWeb"/>
              <w:jc w:val="center"/>
              <w:rPr>
                <w:sz w:val="20"/>
              </w:rPr>
            </w:pPr>
            <w:r w:rsidRPr="005C12EA">
              <w:rPr>
                <w:sz w:val="20"/>
              </w:rPr>
              <w:t>24.8</w:t>
            </w:r>
          </w:p>
        </w:tc>
        <w:tc>
          <w:tcPr>
            <w:tcW w:w="0" w:type="auto"/>
            <w:hideMark/>
          </w:tcPr>
          <w:p w:rsidR="009B090E" w:rsidRPr="005C12EA" w:rsidRDefault="009B090E" w:rsidP="005C12EA">
            <w:pPr>
              <w:pStyle w:val="NormalWeb"/>
              <w:jc w:val="center"/>
              <w:rPr>
                <w:sz w:val="20"/>
              </w:rPr>
            </w:pPr>
            <w:r w:rsidRPr="005C12EA">
              <w:rPr>
                <w:sz w:val="20"/>
              </w:rPr>
              <w:t>961,700</w:t>
            </w:r>
          </w:p>
        </w:tc>
        <w:tc>
          <w:tcPr>
            <w:tcW w:w="0" w:type="auto"/>
            <w:hideMark/>
          </w:tcPr>
          <w:p w:rsidR="009B090E" w:rsidRPr="005C12EA" w:rsidRDefault="009B090E" w:rsidP="005C12EA">
            <w:pPr>
              <w:pStyle w:val="NormalWeb"/>
              <w:jc w:val="center"/>
              <w:rPr>
                <w:sz w:val="20"/>
              </w:rPr>
            </w:pPr>
            <w:r w:rsidRPr="005C12EA">
              <w:rPr>
                <w:sz w:val="20"/>
              </w:rPr>
              <w:t>0.06</w:t>
            </w:r>
          </w:p>
        </w:tc>
        <w:tc>
          <w:tcPr>
            <w:tcW w:w="0" w:type="auto"/>
            <w:hideMark/>
          </w:tcPr>
          <w:p w:rsidR="009B090E" w:rsidRPr="005C12EA" w:rsidRDefault="009B090E" w:rsidP="005C12EA">
            <w:pPr>
              <w:pStyle w:val="NormalWeb"/>
              <w:jc w:val="center"/>
              <w:rPr>
                <w:sz w:val="20"/>
              </w:rPr>
            </w:pPr>
            <w:r w:rsidRPr="005C12EA">
              <w:rPr>
                <w:sz w:val="20"/>
              </w:rPr>
              <w:t>548.8</w:t>
            </w:r>
          </w:p>
        </w:tc>
      </w:tr>
      <w:tr w:rsidR="005C12EA" w:rsidRPr="005C12EA" w:rsidTr="005C12EA">
        <w:trPr>
          <w:cnfStyle w:val="000000010000" w:firstRow="0" w:lastRow="0" w:firstColumn="0" w:lastColumn="0" w:oddVBand="0" w:evenVBand="0" w:oddHBand="0" w:evenHBand="1" w:firstRowFirstColumn="0" w:firstRowLastColumn="0" w:lastRowFirstColumn="0" w:lastRowLastColumn="0"/>
        </w:trPr>
        <w:tc>
          <w:tcPr>
            <w:tcW w:w="0" w:type="auto"/>
            <w:hideMark/>
          </w:tcPr>
          <w:p w:rsidR="009B090E" w:rsidRPr="005C12EA" w:rsidRDefault="009B090E">
            <w:pPr>
              <w:pStyle w:val="NormalWeb"/>
              <w:rPr>
                <w:sz w:val="20"/>
              </w:rPr>
            </w:pPr>
            <w:r w:rsidRPr="005C12EA">
              <w:rPr>
                <w:sz w:val="20"/>
              </w:rPr>
              <w:t>Tas</w:t>
            </w:r>
          </w:p>
        </w:tc>
        <w:tc>
          <w:tcPr>
            <w:tcW w:w="0" w:type="auto"/>
            <w:hideMark/>
          </w:tcPr>
          <w:p w:rsidR="009B090E" w:rsidRPr="005C12EA" w:rsidRDefault="009B090E" w:rsidP="005C12EA">
            <w:pPr>
              <w:pStyle w:val="NormalWeb"/>
              <w:jc w:val="center"/>
              <w:rPr>
                <w:sz w:val="20"/>
              </w:rPr>
            </w:pPr>
            <w:r w:rsidRPr="005C12EA">
              <w:rPr>
                <w:sz w:val="20"/>
              </w:rPr>
              <w:t>8,518</w:t>
            </w:r>
          </w:p>
        </w:tc>
        <w:tc>
          <w:tcPr>
            <w:tcW w:w="0" w:type="auto"/>
            <w:hideMark/>
          </w:tcPr>
          <w:p w:rsidR="009B090E" w:rsidRPr="005C12EA" w:rsidRDefault="009B090E" w:rsidP="005C12EA">
            <w:pPr>
              <w:pStyle w:val="NormalWeb"/>
              <w:jc w:val="center"/>
              <w:rPr>
                <w:sz w:val="20"/>
              </w:rPr>
            </w:pPr>
            <w:r w:rsidRPr="005C12EA">
              <w:rPr>
                <w:sz w:val="20"/>
              </w:rPr>
              <w:t>0.00</w:t>
            </w:r>
          </w:p>
        </w:tc>
        <w:tc>
          <w:tcPr>
            <w:tcW w:w="0" w:type="auto"/>
            <w:hideMark/>
          </w:tcPr>
          <w:p w:rsidR="009B090E" w:rsidRPr="005C12EA" w:rsidRDefault="009B090E" w:rsidP="005C12EA">
            <w:pPr>
              <w:pStyle w:val="NormalWeb"/>
              <w:jc w:val="center"/>
              <w:rPr>
                <w:sz w:val="20"/>
              </w:rPr>
            </w:pPr>
            <w:r w:rsidRPr="005C12EA">
              <w:rPr>
                <w:sz w:val="20"/>
              </w:rPr>
              <w:t>15.9</w:t>
            </w:r>
          </w:p>
        </w:tc>
        <w:tc>
          <w:tcPr>
            <w:tcW w:w="0" w:type="auto"/>
            <w:hideMark/>
          </w:tcPr>
          <w:p w:rsidR="009B090E" w:rsidRPr="005C12EA" w:rsidRDefault="009B090E" w:rsidP="005C12EA">
            <w:pPr>
              <w:pStyle w:val="NormalWeb"/>
              <w:jc w:val="center"/>
              <w:rPr>
                <w:sz w:val="20"/>
              </w:rPr>
            </w:pPr>
            <w:r w:rsidRPr="005C12EA">
              <w:rPr>
                <w:sz w:val="20"/>
              </w:rPr>
              <w:t>5,648</w:t>
            </w:r>
          </w:p>
        </w:tc>
        <w:tc>
          <w:tcPr>
            <w:tcW w:w="0" w:type="auto"/>
            <w:hideMark/>
          </w:tcPr>
          <w:p w:rsidR="009B090E" w:rsidRPr="005C12EA" w:rsidRDefault="009B090E" w:rsidP="005C12EA">
            <w:pPr>
              <w:pStyle w:val="NormalWeb"/>
              <w:jc w:val="center"/>
              <w:rPr>
                <w:sz w:val="20"/>
              </w:rPr>
            </w:pPr>
            <w:r w:rsidRPr="005C12EA">
              <w:rPr>
                <w:sz w:val="20"/>
              </w:rPr>
              <w:t>0.00</w:t>
            </w:r>
          </w:p>
        </w:tc>
        <w:tc>
          <w:tcPr>
            <w:tcW w:w="0" w:type="auto"/>
            <w:hideMark/>
          </w:tcPr>
          <w:p w:rsidR="009B090E" w:rsidRPr="005C12EA" w:rsidRDefault="009B090E" w:rsidP="005C12EA">
            <w:pPr>
              <w:pStyle w:val="NormalWeb"/>
              <w:jc w:val="center"/>
              <w:rPr>
                <w:sz w:val="20"/>
              </w:rPr>
            </w:pPr>
            <w:r w:rsidRPr="005C12EA">
              <w:rPr>
                <w:sz w:val="20"/>
              </w:rPr>
              <w:t>10.6</w:t>
            </w:r>
          </w:p>
        </w:tc>
        <w:tc>
          <w:tcPr>
            <w:tcW w:w="0" w:type="auto"/>
            <w:hideMark/>
          </w:tcPr>
          <w:p w:rsidR="009B090E" w:rsidRPr="005C12EA" w:rsidRDefault="009B090E" w:rsidP="005C12EA">
            <w:pPr>
              <w:pStyle w:val="NormalWeb"/>
              <w:jc w:val="center"/>
              <w:rPr>
                <w:sz w:val="20"/>
              </w:rPr>
            </w:pPr>
            <w:r w:rsidRPr="005C12EA">
              <w:rPr>
                <w:sz w:val="20"/>
              </w:rPr>
              <w:t>159,086</w:t>
            </w:r>
          </w:p>
        </w:tc>
        <w:tc>
          <w:tcPr>
            <w:tcW w:w="0" w:type="auto"/>
            <w:hideMark/>
          </w:tcPr>
          <w:p w:rsidR="009B090E" w:rsidRPr="005C12EA" w:rsidRDefault="009B090E" w:rsidP="005C12EA">
            <w:pPr>
              <w:pStyle w:val="NormalWeb"/>
              <w:jc w:val="center"/>
              <w:rPr>
                <w:sz w:val="20"/>
              </w:rPr>
            </w:pPr>
            <w:r w:rsidRPr="005C12EA">
              <w:rPr>
                <w:sz w:val="20"/>
              </w:rPr>
              <w:t>0.15</w:t>
            </w:r>
          </w:p>
        </w:tc>
        <w:tc>
          <w:tcPr>
            <w:tcW w:w="0" w:type="auto"/>
            <w:hideMark/>
          </w:tcPr>
          <w:p w:rsidR="009B090E" w:rsidRPr="005C12EA" w:rsidRDefault="009B090E" w:rsidP="005C12EA">
            <w:pPr>
              <w:pStyle w:val="NormalWeb"/>
              <w:jc w:val="center"/>
              <w:rPr>
                <w:sz w:val="20"/>
              </w:rPr>
            </w:pPr>
            <w:r w:rsidRPr="005C12EA">
              <w:rPr>
                <w:sz w:val="20"/>
              </w:rPr>
              <w:t>297.6</w:t>
            </w:r>
          </w:p>
        </w:tc>
      </w:tr>
      <w:tr w:rsidR="00206CEE" w:rsidRPr="005C12EA" w:rsidTr="005C12EA">
        <w:tc>
          <w:tcPr>
            <w:tcW w:w="0" w:type="auto"/>
            <w:hideMark/>
          </w:tcPr>
          <w:p w:rsidR="009B090E" w:rsidRPr="005C12EA" w:rsidRDefault="009B090E">
            <w:pPr>
              <w:pStyle w:val="NormalWeb"/>
              <w:rPr>
                <w:sz w:val="20"/>
              </w:rPr>
            </w:pPr>
            <w:r w:rsidRPr="005C12EA">
              <w:rPr>
                <w:sz w:val="20"/>
              </w:rPr>
              <w:t>NT</w:t>
            </w:r>
          </w:p>
        </w:tc>
        <w:tc>
          <w:tcPr>
            <w:tcW w:w="0" w:type="auto"/>
            <w:hideMark/>
          </w:tcPr>
          <w:p w:rsidR="009B090E" w:rsidRPr="005C12EA" w:rsidRDefault="009B090E" w:rsidP="005C12EA">
            <w:pPr>
              <w:pStyle w:val="NormalWeb"/>
              <w:jc w:val="center"/>
              <w:rPr>
                <w:sz w:val="20"/>
              </w:rPr>
            </w:pPr>
            <w:r w:rsidRPr="005C12EA">
              <w:rPr>
                <w:sz w:val="20"/>
              </w:rPr>
              <w:t>10,023</w:t>
            </w:r>
          </w:p>
        </w:tc>
        <w:tc>
          <w:tcPr>
            <w:tcW w:w="0" w:type="auto"/>
            <w:hideMark/>
          </w:tcPr>
          <w:p w:rsidR="009B090E" w:rsidRPr="005C12EA" w:rsidRDefault="009B090E" w:rsidP="005C12EA">
            <w:pPr>
              <w:pStyle w:val="NormalWeb"/>
              <w:jc w:val="center"/>
              <w:rPr>
                <w:sz w:val="20"/>
              </w:rPr>
            </w:pPr>
            <w:r w:rsidRPr="005C12EA">
              <w:rPr>
                <w:sz w:val="20"/>
              </w:rPr>
              <w:t>0.12</w:t>
            </w:r>
          </w:p>
        </w:tc>
        <w:tc>
          <w:tcPr>
            <w:tcW w:w="0" w:type="auto"/>
            <w:hideMark/>
          </w:tcPr>
          <w:p w:rsidR="009B090E" w:rsidRPr="005C12EA" w:rsidRDefault="009B090E" w:rsidP="005C12EA">
            <w:pPr>
              <w:pStyle w:val="NormalWeb"/>
              <w:jc w:val="center"/>
              <w:rPr>
                <w:sz w:val="20"/>
              </w:rPr>
            </w:pPr>
            <w:r w:rsidRPr="005C12EA">
              <w:rPr>
                <w:sz w:val="20"/>
              </w:rPr>
              <w:t>40.7</w:t>
            </w:r>
          </w:p>
        </w:tc>
        <w:tc>
          <w:tcPr>
            <w:tcW w:w="0" w:type="auto"/>
            <w:hideMark/>
          </w:tcPr>
          <w:p w:rsidR="009B090E" w:rsidRPr="005C12EA" w:rsidRDefault="009B090E" w:rsidP="005C12EA">
            <w:pPr>
              <w:pStyle w:val="NormalWeb"/>
              <w:jc w:val="center"/>
              <w:rPr>
                <w:sz w:val="20"/>
              </w:rPr>
            </w:pPr>
            <w:r w:rsidRPr="005C12EA">
              <w:rPr>
                <w:sz w:val="20"/>
              </w:rPr>
              <w:t>8,498</w:t>
            </w:r>
          </w:p>
        </w:tc>
        <w:tc>
          <w:tcPr>
            <w:tcW w:w="0" w:type="auto"/>
            <w:hideMark/>
          </w:tcPr>
          <w:p w:rsidR="009B090E" w:rsidRPr="005C12EA" w:rsidRDefault="009B090E" w:rsidP="005C12EA">
            <w:pPr>
              <w:pStyle w:val="NormalWeb"/>
              <w:jc w:val="center"/>
              <w:rPr>
                <w:sz w:val="20"/>
              </w:rPr>
            </w:pPr>
            <w:r w:rsidRPr="005C12EA">
              <w:rPr>
                <w:sz w:val="20"/>
              </w:rPr>
              <w:t>0.06</w:t>
            </w:r>
          </w:p>
        </w:tc>
        <w:tc>
          <w:tcPr>
            <w:tcW w:w="0" w:type="auto"/>
            <w:hideMark/>
          </w:tcPr>
          <w:p w:rsidR="009B090E" w:rsidRPr="005C12EA" w:rsidRDefault="009B090E" w:rsidP="005C12EA">
            <w:pPr>
              <w:pStyle w:val="NormalWeb"/>
              <w:jc w:val="center"/>
              <w:rPr>
                <w:sz w:val="20"/>
              </w:rPr>
            </w:pPr>
            <w:r w:rsidRPr="005C12EA">
              <w:rPr>
                <w:sz w:val="20"/>
              </w:rPr>
              <w:t>34.5</w:t>
            </w:r>
          </w:p>
        </w:tc>
        <w:tc>
          <w:tcPr>
            <w:tcW w:w="0" w:type="auto"/>
            <w:hideMark/>
          </w:tcPr>
          <w:p w:rsidR="009B090E" w:rsidRPr="005C12EA" w:rsidRDefault="009B090E" w:rsidP="005C12EA">
            <w:pPr>
              <w:pStyle w:val="NormalWeb"/>
              <w:jc w:val="center"/>
              <w:rPr>
                <w:sz w:val="20"/>
              </w:rPr>
            </w:pPr>
            <w:r w:rsidRPr="005C12EA">
              <w:rPr>
                <w:sz w:val="20"/>
              </w:rPr>
              <w:t>101,772</w:t>
            </w:r>
          </w:p>
        </w:tc>
        <w:tc>
          <w:tcPr>
            <w:tcW w:w="0" w:type="auto"/>
            <w:hideMark/>
          </w:tcPr>
          <w:p w:rsidR="009B090E" w:rsidRPr="005C12EA" w:rsidRDefault="009B090E" w:rsidP="005C12EA">
            <w:pPr>
              <w:pStyle w:val="NormalWeb"/>
              <w:jc w:val="center"/>
              <w:rPr>
                <w:sz w:val="20"/>
              </w:rPr>
            </w:pPr>
            <w:r w:rsidRPr="005C12EA">
              <w:rPr>
                <w:sz w:val="20"/>
              </w:rPr>
              <w:t>0.10</w:t>
            </w:r>
          </w:p>
        </w:tc>
        <w:tc>
          <w:tcPr>
            <w:tcW w:w="0" w:type="auto"/>
            <w:hideMark/>
          </w:tcPr>
          <w:p w:rsidR="009B090E" w:rsidRPr="005C12EA" w:rsidRDefault="009B090E" w:rsidP="005C12EA">
            <w:pPr>
              <w:pStyle w:val="NormalWeb"/>
              <w:jc w:val="center"/>
              <w:rPr>
                <w:sz w:val="20"/>
              </w:rPr>
            </w:pPr>
            <w:r w:rsidRPr="005C12EA">
              <w:rPr>
                <w:sz w:val="20"/>
              </w:rPr>
              <w:t>413.5</w:t>
            </w:r>
          </w:p>
        </w:tc>
      </w:tr>
      <w:tr w:rsidR="005C12EA" w:rsidRPr="005C12EA" w:rsidTr="005C12EA">
        <w:trPr>
          <w:cnfStyle w:val="000000010000" w:firstRow="0" w:lastRow="0" w:firstColumn="0" w:lastColumn="0" w:oddVBand="0" w:evenVBand="0" w:oddHBand="0" w:evenHBand="1" w:firstRowFirstColumn="0" w:firstRowLastColumn="0" w:lastRowFirstColumn="0" w:lastRowLastColumn="0"/>
        </w:trPr>
        <w:tc>
          <w:tcPr>
            <w:tcW w:w="0" w:type="auto"/>
            <w:hideMark/>
          </w:tcPr>
          <w:p w:rsidR="009B090E" w:rsidRPr="005C12EA" w:rsidRDefault="009B090E">
            <w:pPr>
              <w:pStyle w:val="NormalWeb"/>
              <w:rPr>
                <w:sz w:val="20"/>
              </w:rPr>
            </w:pPr>
            <w:r w:rsidRPr="005C12EA">
              <w:rPr>
                <w:sz w:val="20"/>
              </w:rPr>
              <w:t>ACT</w:t>
            </w:r>
          </w:p>
        </w:tc>
        <w:tc>
          <w:tcPr>
            <w:tcW w:w="0" w:type="auto"/>
            <w:hideMark/>
          </w:tcPr>
          <w:p w:rsidR="009B090E" w:rsidRPr="005C12EA" w:rsidRDefault="009B090E" w:rsidP="005C12EA">
            <w:pPr>
              <w:pStyle w:val="NormalWeb"/>
              <w:jc w:val="center"/>
              <w:rPr>
                <w:sz w:val="20"/>
              </w:rPr>
            </w:pPr>
            <w:r w:rsidRPr="005C12EA">
              <w:rPr>
                <w:sz w:val="20"/>
              </w:rPr>
              <w:t>12,369</w:t>
            </w:r>
          </w:p>
        </w:tc>
        <w:tc>
          <w:tcPr>
            <w:tcW w:w="0" w:type="auto"/>
            <w:hideMark/>
          </w:tcPr>
          <w:p w:rsidR="009B090E" w:rsidRPr="005C12EA" w:rsidRDefault="009B090E" w:rsidP="005C12EA">
            <w:pPr>
              <w:pStyle w:val="NormalWeb"/>
              <w:jc w:val="center"/>
              <w:rPr>
                <w:sz w:val="20"/>
              </w:rPr>
            </w:pPr>
            <w:r w:rsidRPr="005C12EA">
              <w:rPr>
                <w:sz w:val="20"/>
              </w:rPr>
              <w:t>0.00</w:t>
            </w:r>
          </w:p>
        </w:tc>
        <w:tc>
          <w:tcPr>
            <w:tcW w:w="0" w:type="auto"/>
            <w:hideMark/>
          </w:tcPr>
          <w:p w:rsidR="009B090E" w:rsidRPr="005C12EA" w:rsidRDefault="009B090E" w:rsidP="005C12EA">
            <w:pPr>
              <w:pStyle w:val="NormalWeb"/>
              <w:jc w:val="center"/>
              <w:rPr>
                <w:sz w:val="20"/>
              </w:rPr>
            </w:pPr>
            <w:r w:rsidRPr="005C12EA">
              <w:rPr>
                <w:sz w:val="20"/>
              </w:rPr>
              <w:t>29.0</w:t>
            </w:r>
          </w:p>
        </w:tc>
        <w:tc>
          <w:tcPr>
            <w:tcW w:w="0" w:type="auto"/>
            <w:hideMark/>
          </w:tcPr>
          <w:p w:rsidR="009B090E" w:rsidRPr="005C12EA" w:rsidRDefault="009B090E" w:rsidP="005C12EA">
            <w:pPr>
              <w:pStyle w:val="NormalWeb"/>
              <w:jc w:val="center"/>
              <w:rPr>
                <w:sz w:val="20"/>
              </w:rPr>
            </w:pPr>
            <w:r w:rsidRPr="005C12EA">
              <w:rPr>
                <w:sz w:val="20"/>
              </w:rPr>
              <w:t>4,572</w:t>
            </w:r>
          </w:p>
        </w:tc>
        <w:tc>
          <w:tcPr>
            <w:tcW w:w="0" w:type="auto"/>
            <w:hideMark/>
          </w:tcPr>
          <w:p w:rsidR="009B090E" w:rsidRPr="005C12EA" w:rsidRDefault="009B090E" w:rsidP="005C12EA">
            <w:pPr>
              <w:pStyle w:val="NormalWeb"/>
              <w:jc w:val="center"/>
              <w:rPr>
                <w:sz w:val="20"/>
              </w:rPr>
            </w:pPr>
            <w:r w:rsidRPr="005C12EA">
              <w:rPr>
                <w:sz w:val="20"/>
              </w:rPr>
              <w:t>0.00</w:t>
            </w:r>
          </w:p>
        </w:tc>
        <w:tc>
          <w:tcPr>
            <w:tcW w:w="0" w:type="auto"/>
            <w:hideMark/>
          </w:tcPr>
          <w:p w:rsidR="009B090E" w:rsidRPr="005C12EA" w:rsidRDefault="009B090E" w:rsidP="005C12EA">
            <w:pPr>
              <w:pStyle w:val="NormalWeb"/>
              <w:jc w:val="center"/>
              <w:rPr>
                <w:sz w:val="20"/>
              </w:rPr>
            </w:pPr>
            <w:r w:rsidRPr="005C12EA">
              <w:rPr>
                <w:sz w:val="20"/>
              </w:rPr>
              <w:t>10.7</w:t>
            </w:r>
          </w:p>
        </w:tc>
        <w:tc>
          <w:tcPr>
            <w:tcW w:w="0" w:type="auto"/>
            <w:hideMark/>
          </w:tcPr>
          <w:p w:rsidR="009B090E" w:rsidRPr="005C12EA" w:rsidRDefault="009B090E" w:rsidP="005C12EA">
            <w:pPr>
              <w:pStyle w:val="NormalWeb"/>
              <w:jc w:val="center"/>
              <w:rPr>
                <w:sz w:val="20"/>
              </w:rPr>
            </w:pPr>
            <w:r w:rsidRPr="005C12EA">
              <w:rPr>
                <w:sz w:val="20"/>
              </w:rPr>
              <w:t>155,768</w:t>
            </w:r>
          </w:p>
        </w:tc>
        <w:tc>
          <w:tcPr>
            <w:tcW w:w="0" w:type="auto"/>
            <w:hideMark/>
          </w:tcPr>
          <w:p w:rsidR="009B090E" w:rsidRPr="005C12EA" w:rsidRDefault="009B090E" w:rsidP="005C12EA">
            <w:pPr>
              <w:pStyle w:val="NormalWeb"/>
              <w:jc w:val="center"/>
              <w:rPr>
                <w:sz w:val="20"/>
              </w:rPr>
            </w:pPr>
            <w:r w:rsidRPr="005C12EA">
              <w:rPr>
                <w:sz w:val="20"/>
              </w:rPr>
              <w:t>0.08</w:t>
            </w:r>
          </w:p>
        </w:tc>
        <w:tc>
          <w:tcPr>
            <w:tcW w:w="0" w:type="auto"/>
            <w:hideMark/>
          </w:tcPr>
          <w:p w:rsidR="009B090E" w:rsidRPr="005C12EA" w:rsidRDefault="009B090E" w:rsidP="005C12EA">
            <w:pPr>
              <w:pStyle w:val="NormalWeb"/>
              <w:jc w:val="center"/>
              <w:rPr>
                <w:sz w:val="20"/>
              </w:rPr>
            </w:pPr>
            <w:r w:rsidRPr="005C12EA">
              <w:rPr>
                <w:sz w:val="20"/>
              </w:rPr>
              <w:t>365.5</w:t>
            </w:r>
          </w:p>
        </w:tc>
      </w:tr>
      <w:tr w:rsidR="005C12EA" w:rsidRPr="005C12EA" w:rsidTr="005C12EA">
        <w:tc>
          <w:tcPr>
            <w:tcW w:w="0" w:type="auto"/>
            <w:shd w:val="clear" w:color="auto" w:fill="FDE9D9" w:themeFill="accent6" w:themeFillTint="33"/>
            <w:hideMark/>
          </w:tcPr>
          <w:p w:rsidR="009B090E" w:rsidRPr="005C12EA" w:rsidRDefault="009B090E">
            <w:pPr>
              <w:pStyle w:val="NormalWeb"/>
              <w:rPr>
                <w:b/>
                <w:sz w:val="20"/>
              </w:rPr>
            </w:pPr>
            <w:r w:rsidRPr="005C12EA">
              <w:rPr>
                <w:b/>
                <w:sz w:val="20"/>
              </w:rPr>
              <w:t>Australia</w:t>
            </w:r>
          </w:p>
        </w:tc>
        <w:tc>
          <w:tcPr>
            <w:tcW w:w="0" w:type="auto"/>
            <w:shd w:val="clear" w:color="auto" w:fill="FDE9D9" w:themeFill="accent6" w:themeFillTint="33"/>
            <w:hideMark/>
          </w:tcPr>
          <w:p w:rsidR="009B090E" w:rsidRPr="005C12EA" w:rsidRDefault="009B090E" w:rsidP="005C12EA">
            <w:pPr>
              <w:pStyle w:val="NormalWeb"/>
              <w:jc w:val="center"/>
              <w:rPr>
                <w:b/>
                <w:sz w:val="20"/>
              </w:rPr>
            </w:pPr>
            <w:r w:rsidRPr="005C12EA">
              <w:rPr>
                <w:b/>
                <w:sz w:val="20"/>
              </w:rPr>
              <w:t>977,224</w:t>
            </w:r>
          </w:p>
        </w:tc>
        <w:tc>
          <w:tcPr>
            <w:tcW w:w="0" w:type="auto"/>
            <w:shd w:val="clear" w:color="auto" w:fill="FDE9D9" w:themeFill="accent6" w:themeFillTint="33"/>
            <w:hideMark/>
          </w:tcPr>
          <w:p w:rsidR="009B090E" w:rsidRPr="005C12EA" w:rsidRDefault="009B090E" w:rsidP="005C12EA">
            <w:pPr>
              <w:pStyle w:val="NormalWeb"/>
              <w:jc w:val="center"/>
              <w:rPr>
                <w:b/>
                <w:sz w:val="20"/>
              </w:rPr>
            </w:pPr>
            <w:r w:rsidRPr="005C12EA">
              <w:rPr>
                <w:b/>
                <w:sz w:val="20"/>
              </w:rPr>
              <w:t>0.02</w:t>
            </w:r>
          </w:p>
        </w:tc>
        <w:tc>
          <w:tcPr>
            <w:tcW w:w="0" w:type="auto"/>
            <w:shd w:val="clear" w:color="auto" w:fill="FDE9D9" w:themeFill="accent6" w:themeFillTint="33"/>
            <w:hideMark/>
          </w:tcPr>
          <w:p w:rsidR="009B090E" w:rsidRPr="005C12EA" w:rsidRDefault="009B090E" w:rsidP="005C12EA">
            <w:pPr>
              <w:pStyle w:val="NormalWeb"/>
              <w:jc w:val="center"/>
              <w:rPr>
                <w:b/>
                <w:sz w:val="20"/>
              </w:rPr>
            </w:pPr>
            <w:r w:rsidRPr="005C12EA">
              <w:rPr>
                <w:b/>
                <w:sz w:val="20"/>
              </w:rPr>
              <w:t>38.5</w:t>
            </w:r>
          </w:p>
        </w:tc>
        <w:tc>
          <w:tcPr>
            <w:tcW w:w="0" w:type="auto"/>
            <w:shd w:val="clear" w:color="auto" w:fill="FDE9D9" w:themeFill="accent6" w:themeFillTint="33"/>
            <w:hideMark/>
          </w:tcPr>
          <w:p w:rsidR="009B090E" w:rsidRPr="005C12EA" w:rsidRDefault="009B090E" w:rsidP="005C12EA">
            <w:pPr>
              <w:pStyle w:val="NormalWeb"/>
              <w:jc w:val="center"/>
              <w:rPr>
                <w:b/>
                <w:sz w:val="20"/>
              </w:rPr>
            </w:pPr>
            <w:r w:rsidRPr="005C12EA">
              <w:rPr>
                <w:b/>
                <w:sz w:val="20"/>
              </w:rPr>
              <w:t>545,822</w:t>
            </w:r>
          </w:p>
        </w:tc>
        <w:tc>
          <w:tcPr>
            <w:tcW w:w="0" w:type="auto"/>
            <w:shd w:val="clear" w:color="auto" w:fill="FDE9D9" w:themeFill="accent6" w:themeFillTint="33"/>
            <w:hideMark/>
          </w:tcPr>
          <w:p w:rsidR="009B090E" w:rsidRPr="005C12EA" w:rsidRDefault="009B090E" w:rsidP="005C12EA">
            <w:pPr>
              <w:pStyle w:val="NormalWeb"/>
              <w:jc w:val="center"/>
              <w:rPr>
                <w:b/>
                <w:sz w:val="20"/>
              </w:rPr>
            </w:pPr>
            <w:r w:rsidRPr="005C12EA">
              <w:rPr>
                <w:b/>
                <w:sz w:val="20"/>
              </w:rPr>
              <w:t>0.02</w:t>
            </w:r>
          </w:p>
        </w:tc>
        <w:tc>
          <w:tcPr>
            <w:tcW w:w="0" w:type="auto"/>
            <w:shd w:val="clear" w:color="auto" w:fill="FDE9D9" w:themeFill="accent6" w:themeFillTint="33"/>
            <w:hideMark/>
          </w:tcPr>
          <w:p w:rsidR="009B090E" w:rsidRPr="005C12EA" w:rsidRDefault="009B090E" w:rsidP="005C12EA">
            <w:pPr>
              <w:pStyle w:val="NormalWeb"/>
              <w:jc w:val="center"/>
              <w:rPr>
                <w:b/>
                <w:sz w:val="20"/>
              </w:rPr>
            </w:pPr>
            <w:r w:rsidRPr="005C12EA">
              <w:rPr>
                <w:b/>
                <w:sz w:val="20"/>
              </w:rPr>
              <w:t>21.5</w:t>
            </w:r>
          </w:p>
        </w:tc>
        <w:tc>
          <w:tcPr>
            <w:tcW w:w="0" w:type="auto"/>
            <w:shd w:val="clear" w:color="auto" w:fill="FDE9D9" w:themeFill="accent6" w:themeFillTint="33"/>
            <w:hideMark/>
          </w:tcPr>
          <w:p w:rsidR="009B090E" w:rsidRPr="005C12EA" w:rsidRDefault="009B090E" w:rsidP="005C12EA">
            <w:pPr>
              <w:pStyle w:val="NormalWeb"/>
              <w:jc w:val="center"/>
              <w:rPr>
                <w:b/>
                <w:sz w:val="20"/>
              </w:rPr>
            </w:pPr>
            <w:r w:rsidRPr="005C12EA">
              <w:rPr>
                <w:b/>
                <w:sz w:val="20"/>
              </w:rPr>
              <w:t>12,951,776</w:t>
            </w:r>
          </w:p>
        </w:tc>
        <w:tc>
          <w:tcPr>
            <w:tcW w:w="0" w:type="auto"/>
            <w:shd w:val="clear" w:color="auto" w:fill="FDE9D9" w:themeFill="accent6" w:themeFillTint="33"/>
            <w:hideMark/>
          </w:tcPr>
          <w:p w:rsidR="009B090E" w:rsidRPr="005C12EA" w:rsidRDefault="009B090E" w:rsidP="005C12EA">
            <w:pPr>
              <w:pStyle w:val="NormalWeb"/>
              <w:jc w:val="center"/>
              <w:rPr>
                <w:b/>
                <w:sz w:val="20"/>
              </w:rPr>
            </w:pPr>
            <w:r w:rsidRPr="005C12EA">
              <w:rPr>
                <w:b/>
                <w:sz w:val="20"/>
              </w:rPr>
              <w:t>0.22</w:t>
            </w:r>
          </w:p>
        </w:tc>
        <w:tc>
          <w:tcPr>
            <w:tcW w:w="0" w:type="auto"/>
            <w:shd w:val="clear" w:color="auto" w:fill="FDE9D9" w:themeFill="accent6" w:themeFillTint="33"/>
            <w:hideMark/>
          </w:tcPr>
          <w:p w:rsidR="009B090E" w:rsidRPr="005C12EA" w:rsidRDefault="009B090E" w:rsidP="005C12EA">
            <w:pPr>
              <w:pStyle w:val="NormalWeb"/>
              <w:jc w:val="center"/>
              <w:rPr>
                <w:b/>
                <w:sz w:val="20"/>
              </w:rPr>
            </w:pPr>
            <w:r w:rsidRPr="005C12EA">
              <w:rPr>
                <w:b/>
                <w:sz w:val="20"/>
              </w:rPr>
              <w:t>510.8</w:t>
            </w:r>
          </w:p>
        </w:tc>
      </w:tr>
    </w:tbl>
    <w:p w:rsidR="009B090E" w:rsidRPr="005C12EA" w:rsidRDefault="009B090E" w:rsidP="005C12EA">
      <w:pPr>
        <w:pStyle w:val="CDIfootnotes"/>
      </w:pPr>
      <w:proofErr w:type="gramStart"/>
      <w:r w:rsidRPr="005C12EA">
        <w:t>a</w:t>
      </w:r>
      <w:proofErr w:type="gramEnd"/>
      <w:r w:rsidRPr="005C12EA">
        <w:tab/>
        <w:t>Population data based on Australian Bureau of Statistics (ABS) Estimated Resident Population (ERP) as at 30 December 2019</w:t>
      </w:r>
    </w:p>
    <w:p w:rsidR="009B090E" w:rsidRDefault="009B090E" w:rsidP="00C32097">
      <w:r>
        <w:t xml:space="preserve">During this reporting period, 545,822 tests were conducted nationally, with a positivity rate of 0.02%. This represented a 44% decrease in tests conducted compared to the previous two-week reporting period; this decrease was consistent across all jurisdictions. Testing rates also decreased to an average of 10.8 tests per 1,000 population per week during this reporting period, consistent with a decrease in locally-acquired cases this period. Jurisdictional testing rates are driven by both current case numbers and numbers of people experiencing symptoms. All states reported a positivity rate of &lt; 0.1% in this reporting period. The low national positivity rate, along with high rates of testing, indicates a low prevalence of COVID-19 nationally. </w:t>
      </w:r>
    </w:p>
    <w:p w:rsidR="009B090E" w:rsidRDefault="009B090E" w:rsidP="00C32097">
      <w:r>
        <w:t xml:space="preserve">For the two-week period ending 31 January 2021, testing rates decreased among all age groups after a peak in early January (Figure 4). Testing rates among children and young adults aged 0–19 years tend to be lower than those of other age groups. Testing rates are highest in major cities and urban areas of Australia; lower testing rates, with little variation between classification areas, are seen across regional and remote areas across Australia. </w:t>
      </w:r>
    </w:p>
    <w:p w:rsidR="004A1DB7" w:rsidRDefault="004A1DB7">
      <w:pPr>
        <w:rPr>
          <w:b/>
        </w:rPr>
      </w:pPr>
      <w:r>
        <w:br w:type="page"/>
      </w:r>
    </w:p>
    <w:p w:rsidR="009B090E" w:rsidRDefault="009B090E" w:rsidP="00C32097">
      <w:pPr>
        <w:pStyle w:val="CDIFigures"/>
      </w:pPr>
      <w:r>
        <w:lastRenderedPageBreak/>
        <w:t>Figure 4: SARS-CoV-2 polymerase chain reaction (PCR) testing rates per 1,000 population per week by age group, Australia, 1 May 2020 – 29 January 2021</w:t>
      </w:r>
      <w:r w:rsidRPr="00C32097">
        <w:rPr>
          <w:vertAlign w:val="superscript"/>
        </w:rPr>
        <w:t>a</w:t>
      </w:r>
      <w:proofErr w:type="gramStart"/>
      <w:r w:rsidRPr="00C32097">
        <w:rPr>
          <w:vertAlign w:val="superscript"/>
        </w:rPr>
        <w:t>,b</w:t>
      </w:r>
      <w:proofErr w:type="gramEnd"/>
    </w:p>
    <w:p w:rsidR="009B090E" w:rsidRDefault="009B090E" w:rsidP="000053A0">
      <w:pPr>
        <w:jc w:val="center"/>
        <w:rPr>
          <w:rFonts w:eastAsia="Times New Roman"/>
        </w:rPr>
      </w:pPr>
      <w:r>
        <w:rPr>
          <w:rFonts w:eastAsia="Times New Roman"/>
          <w:noProof/>
        </w:rPr>
        <w:drawing>
          <wp:inline distT="0" distB="0" distL="0" distR="0">
            <wp:extent cx="6319542" cy="5510254"/>
            <wp:effectExtent l="0" t="0" r="0" b="0"/>
            <wp:docPr id="4" name="Picture 4" descr="A line graph showing the reported SARS-CoV-2 PCR testing rate per 1,000 population each week by age group. Weekly testing rates for all age groups have risen overall from 1 May 2020 to 1 January 2021, though rates of testing have fluctuated significantly across this period, with a broad peak in testing during July and August and two pronounced spikes in testing in the weeks ending 25 December 2020 and 8 January 2021. Throughout the second half of 2020 and the start of 2021, the highest testing rate has been seen in the 20–59 year age group, peaking at approximately 28 tests per 1,000 population in the week ending 8 January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line graph showing the reported SARS-CoV-2 PCR testing rate per 1,000 population each week by age group. Weekly testing rates for all age groups have risen overall from 1 May 2020 to 1 January 2021, though rates of testing have fluctuated significantly across this period, with a broad peak in testing during July and August and two pronounced spikes in testing in the weeks ending 25 December 2020 and 8 January 2021. Throughout the second half of 2020 and the start of 2021, the highest testing rate has been seen in the 20–59 year age group, peaking at approximately 28 tests per 1,000 population in the week ending 8 January 202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330591" cy="5519888"/>
                    </a:xfrm>
                    <a:prstGeom prst="rect">
                      <a:avLst/>
                    </a:prstGeom>
                  </pic:spPr>
                </pic:pic>
              </a:graphicData>
            </a:graphic>
          </wp:inline>
        </w:drawing>
      </w:r>
    </w:p>
    <w:p w:rsidR="009B090E" w:rsidRDefault="009B090E" w:rsidP="004A1DB7">
      <w:pPr>
        <w:pStyle w:val="CDIfootnotes"/>
      </w:pPr>
      <w:proofErr w:type="gramStart"/>
      <w:r>
        <w:t>a</w:t>
      </w:r>
      <w:proofErr w:type="gramEnd"/>
      <w:r>
        <w:tab/>
        <w:t>Data provided by jurisdictions to the NIR weekly.</w:t>
      </w:r>
    </w:p>
    <w:p w:rsidR="009B090E" w:rsidRDefault="009B090E" w:rsidP="004A1DB7">
      <w:pPr>
        <w:pStyle w:val="CDIfootnotes"/>
      </w:pPr>
      <w:proofErr w:type="gramStart"/>
      <w:r>
        <w:t>b</w:t>
      </w:r>
      <w:proofErr w:type="gramEnd"/>
      <w:r>
        <w:tab/>
        <w:t>The jurisdictions reporting each week (i.e. the denominator population) may vary.</w:t>
      </w:r>
    </w:p>
    <w:p w:rsidR="004A1DB7" w:rsidRDefault="004A1DB7" w:rsidP="004A1DB7">
      <w:pPr>
        <w:pStyle w:val="CDIfootnotes"/>
        <w:rPr>
          <w:rFonts w:eastAsia="Times New Roman"/>
        </w:rPr>
      </w:pPr>
    </w:p>
    <w:p w:rsidR="004A1DB7" w:rsidRDefault="004A1DB7" w:rsidP="004A1DB7">
      <w:pPr>
        <w:pStyle w:val="Heading2"/>
        <w:rPr>
          <w:rFonts w:eastAsia="Times New Roman"/>
        </w:rPr>
      </w:pPr>
      <w:r>
        <w:rPr>
          <w:rFonts w:eastAsia="Times New Roman"/>
        </w:rPr>
        <w:t>Virology</w:t>
      </w:r>
    </w:p>
    <w:p w:rsidR="009B090E" w:rsidRPr="006B1385" w:rsidRDefault="009B090E" w:rsidP="004E6AC7">
      <w:pPr>
        <w:pStyle w:val="Heading3"/>
        <w:spacing w:before="0" w:after="240"/>
        <w:rPr>
          <w:rFonts w:eastAsia="Times New Roman"/>
          <w:b w:val="0"/>
          <w:i/>
        </w:rPr>
      </w:pPr>
      <w:r w:rsidRPr="006B1385">
        <w:rPr>
          <w:rFonts w:eastAsia="Times New Roman"/>
          <w:b w:val="0"/>
          <w:i/>
        </w:rPr>
        <w:t xml:space="preserve">(GISAID) </w:t>
      </w:r>
    </w:p>
    <w:p w:rsidR="009B090E" w:rsidRDefault="009B090E" w:rsidP="004A1DB7">
      <w:r>
        <w:t>At the time of this report, there were 17,292 SARS-CoV-2 genome sequences available from Australian cases on the global sequence repository, GISAID.</w:t>
      </w:r>
      <w:r>
        <w:rPr>
          <w:vertAlign w:val="superscript"/>
        </w:rPr>
        <w:t>2</w:t>
      </w:r>
      <w:r>
        <w:t xml:space="preserve"> These sequences were dispersed throughout the global lineages, reflecting multiple concurrent introductions into Australia.</w:t>
      </w:r>
      <w:r>
        <w:rPr>
          <w:vertAlign w:val="superscript"/>
        </w:rPr>
        <w:t>3–5</w:t>
      </w:r>
      <w:r>
        <w:t xml:space="preserve"> In this fortnight, there were 14 new Australian sequences uploaded to GISAID, which was a decrease from the previous fortnight (92), noting that sequences are uploaded retrospectively. Uploads to GISAID this fortnight were from New South Wales (5) and Victoria (9). Half (7/14) of all sequences on GISAID this fortnight were of the United Kingdom (UK) variant of concern (B.1.1.7 lineage). </w:t>
      </w:r>
    </w:p>
    <w:p w:rsidR="009B090E" w:rsidRDefault="009B090E" w:rsidP="004A1DB7">
      <w:r>
        <w:t xml:space="preserve">Across Australia, there have been 38 uploaded sequences of the UK variant of concern in the last four weeks: Victoria (19); New South Wales (8); Western Australia (5); South Australia (1); and 5 sequences of this lineage with </w:t>
      </w:r>
      <w:r>
        <w:lastRenderedPageBreak/>
        <w:t>no jurisdictional information. Since 30 November 2020, there have been 64 sequences of this lineage uploaded. There were four sequences of the South African variant of concern (B.1.351) uploaded to GISAID in the past four weeks, three from New South Wales and one from South Australia, bringing the cumulative total on GISAID to eight sequences. It is important to note that there may be delays between jurisdictional reporting and uploads. All cases of these variants of concern have been linked to overseas arrivals in mandatory hotel quarantine. Australia has reported no cases of the P.1 Brazilian variant of concern. National genomic surveillance of SARS-CoV-2 has been implemented and laboratories across Australia are routinely monitoring sequences for variant strains.</w:t>
      </w:r>
    </w:p>
    <w:p w:rsidR="009B090E" w:rsidRDefault="009B090E" w:rsidP="0005608D">
      <w:pPr>
        <w:pStyle w:val="greybackground"/>
      </w:pPr>
      <w:r>
        <w:t xml:space="preserve">Four-week reporting period (4–31 January 2021): </w:t>
      </w:r>
    </w:p>
    <w:p w:rsidR="004E6AC7" w:rsidRDefault="009B090E" w:rsidP="004E6AC7">
      <w:pPr>
        <w:pStyle w:val="Heading2"/>
        <w:rPr>
          <w:rFonts w:eastAsia="Times New Roman"/>
        </w:rPr>
      </w:pPr>
      <w:r>
        <w:rPr>
          <w:rFonts w:eastAsia="Times New Roman"/>
        </w:rPr>
        <w:t xml:space="preserve">Acute respiratory illness </w:t>
      </w:r>
    </w:p>
    <w:p w:rsidR="009B090E" w:rsidRPr="004E6AC7" w:rsidRDefault="009B090E" w:rsidP="004E6AC7">
      <w:pPr>
        <w:pStyle w:val="Heading3"/>
        <w:spacing w:before="0" w:after="240"/>
        <w:rPr>
          <w:rFonts w:eastAsia="Times New Roman"/>
          <w:b w:val="0"/>
          <w:i/>
        </w:rPr>
      </w:pPr>
      <w:r w:rsidRPr="004E6AC7">
        <w:rPr>
          <w:rFonts w:eastAsia="Times New Roman"/>
          <w:b w:val="0"/>
          <w:i/>
        </w:rPr>
        <w:t xml:space="preserve">(FluTracking and Commonwealth Respiratory Clinics) </w:t>
      </w:r>
    </w:p>
    <w:p w:rsidR="0005608D" w:rsidRPr="000053A0" w:rsidRDefault="009B090E">
      <w:r>
        <w:t>Based on self-reported FluTracking data</w:t>
      </w:r>
      <w:proofErr w:type="gramStart"/>
      <w:r>
        <w:t>,</w:t>
      </w:r>
      <w:r>
        <w:rPr>
          <w:vertAlign w:val="superscript"/>
        </w:rPr>
        <w:t>6</w:t>
      </w:r>
      <w:proofErr w:type="gramEnd"/>
      <w:r>
        <w:t xml:space="preserve"> prevalence of fever and cough in the community remains low at less than 0.5% (Figure 5). Runny nose and sore throat symptoms in the community remained stable during this reporting period and the prevalence in the community remained at less than 1%. </w:t>
      </w:r>
    </w:p>
    <w:p w:rsidR="009B090E" w:rsidRDefault="009B090E" w:rsidP="0005608D">
      <w:pPr>
        <w:pStyle w:val="CDIFigures"/>
      </w:pPr>
      <w:r>
        <w:t>Figure 5: Weekly trends in respiratory illness amongst FluTracking survey participants (age-standardised) compared to the average of the previous five years, Australia, 1 March 2020 – 31 January 2021</w:t>
      </w:r>
      <w:r w:rsidRPr="0005608D">
        <w:rPr>
          <w:vertAlign w:val="superscript"/>
        </w:rPr>
        <w:t>a</w:t>
      </w:r>
    </w:p>
    <w:p w:rsidR="009B090E" w:rsidRDefault="009B090E" w:rsidP="000053A0">
      <w:pPr>
        <w:jc w:val="center"/>
        <w:rPr>
          <w:rFonts w:eastAsia="Times New Roman"/>
        </w:rPr>
      </w:pPr>
      <w:r>
        <w:rPr>
          <w:rFonts w:eastAsia="Times New Roman"/>
          <w:noProof/>
        </w:rPr>
        <w:drawing>
          <wp:inline distT="0" distB="0" distL="0" distR="0">
            <wp:extent cx="6625424" cy="4305866"/>
            <wp:effectExtent l="0" t="0" r="4445" b="0"/>
            <wp:docPr id="5" name="Picture 5" descr="A line graph comparing weekly fever and cough notifications, as an age-standardised percentage of FluTracking survey participants, since 1 March 2020 with the averaged notifications each week for the years 2015–2019. Fever and cough notifications for much of March last year were around 1.5% but, from April 2020 thereafter, have consistently remained below 0.5%. While in previous years, FluTracking notifications have only been reported from May onwards, it is evident from the trend of notifications for 2020 and the start of 2021 that they are well below the average for the previous five years, for which the reporting rate is typically between 1.5% and 2.5% across the weeks from the start of May into early October, peaking in August. The runny nose and sore throat notifications (for which there are no FluTracking data from earlier years) reported since April 2020 show a similar weekly trend to the fever and cough notifications during the same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line graph comparing weekly fever and cough notifications, as an age-standardised percentage of FluTracking survey participants, since 1 March 2020 with the averaged notifications each week for the years 2015–2019. Fever and cough notifications for much of March last year were around 1.5% but, from April 2020 thereafter, have consistently remained below 0.5%. While in previous years, FluTracking notifications have only been reported from May onwards, it is evident from the trend of notifications for 2020 and the start of 2021 that they are well below the average for the previous five years, for which the reporting rate is typically between 1.5% and 2.5% across the weeks from the start of May into early October, peaking in August. The runny nose and sore throat notifications (for which there are no FluTracking data from earlier years) reported since April 2020 show a similar weekly trend to the fever and cough notifications during the same period."/>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33933" cy="4311396"/>
                    </a:xfrm>
                    <a:prstGeom prst="rect">
                      <a:avLst/>
                    </a:prstGeom>
                  </pic:spPr>
                </pic:pic>
              </a:graphicData>
            </a:graphic>
          </wp:inline>
        </w:drawing>
      </w:r>
    </w:p>
    <w:p w:rsidR="009B090E" w:rsidRDefault="009B090E" w:rsidP="0005608D">
      <w:pPr>
        <w:pStyle w:val="CDIfootnotes"/>
      </w:pPr>
      <w:proofErr w:type="spellStart"/>
      <w:proofErr w:type="gramStart"/>
      <w:r>
        <w:t>a</w:t>
      </w:r>
      <w:proofErr w:type="spellEnd"/>
      <w:proofErr w:type="gramEnd"/>
      <w:r>
        <w:tab/>
        <w:t>In previous years, FluTracking was activated during the main Influenza season from May to October. A historical average beyond the week ending 11 October is therefore not available. In 2020, FluTracking commenced 10 weeks early to capture data for COVID-19. Data on runny nose and sore throat were only collected systematically after 29 March 2020, therefore a historical average for this symptom profile is unavailable.</w:t>
      </w:r>
    </w:p>
    <w:p w:rsidR="009B090E" w:rsidRDefault="009B090E" w:rsidP="0005608D">
      <w:r>
        <w:lastRenderedPageBreak/>
        <w:t xml:space="preserve">In this reporting period, acute respiratory illness was highest in those aged under 40 years old, based on both self-reported FluTracking data and presentations to Commonwealth Respiratory Clinics. Females reported respiratory illness more frequently than males. Rates of fever and cough by jurisdiction ranged from 1.1/1,000 FluTracking participants in the Australian Capital Territory to 4.2/1,000 participants in the Northern Territory. </w:t>
      </w:r>
    </w:p>
    <w:p w:rsidR="009B090E" w:rsidRDefault="009B090E" w:rsidP="0005608D">
      <w:r>
        <w:t xml:space="preserve">FluTracking data indicate that 61% of those in the community with ‘fever and cough’ and 29% of those with ‘runny nose and sore throat’ were tested for SARS-CoV-2. This represents an increase in testing among those with ‘fever and cough’ since the previous reporting period and a decrease in testing among those self-reporting ‘sore throat and runny nose’. Testing rates varied by jurisdiction and symptom. For fever and cough, rates were lowest in the Australian Capital Territory and highest in Northern Territory. For runny nose and sore throat, rates were lowest in Tasmania and highest in the Australian Capital Territory and Queensland. It is important to acknowledge that there may be legitimate reasons why people did not get tested, including barriers to accessing testing. Symptoms reported to Flutracking were not specific to COVID-19 and may also be due to chronic diseases. </w:t>
      </w:r>
    </w:p>
    <w:p w:rsidR="009B090E" w:rsidRDefault="009B090E" w:rsidP="0005608D">
      <w:r>
        <w:t xml:space="preserve">During this reporting period, there were 23,846 assessments at Commonwealth Respiratory Clinics with 95% tested for SARS-CoV-2. The positivity rate for SARS-CoV-2 at these clinics was &lt; 0.1% for this reporting period. </w:t>
      </w:r>
    </w:p>
    <w:p w:rsidR="009B090E" w:rsidRDefault="009B090E" w:rsidP="0005608D">
      <w:r>
        <w:t>In patients experiencing influenza-like illness in this reporting period who were tested through the Australian Sentinel Practice Research Network (ASPREN) and Victorian Sentinel Practice Influenza Network (</w:t>
      </w:r>
      <w:proofErr w:type="spellStart"/>
      <w:r>
        <w:t>VicSPIN</w:t>
      </w:r>
      <w:proofErr w:type="spellEnd"/>
      <w:r>
        <w:t xml:space="preserve">) general practitioner (GP) sentinel surveillance systems, the most frequent respiratory viruses detected were respiratory syncytial virus (RSV). </w:t>
      </w:r>
    </w:p>
    <w:p w:rsidR="009B090E" w:rsidRDefault="009B090E" w:rsidP="0005608D">
      <w:r>
        <w:t>Based on FluTracking data, the rate of self-reported fever and cough among Aboriginal and Torres Strait Islander peoples was higher than that of all other participants this reporting period. The rate for health care worker participants during the reporting period was similar to that observed for all other participants based on FluTracking</w:t>
      </w:r>
      <w:r w:rsidR="000053A0">
        <w:t> </w:t>
      </w:r>
      <w:r>
        <w:t xml:space="preserve">data. </w:t>
      </w:r>
    </w:p>
    <w:p w:rsidR="009B090E" w:rsidRDefault="009B090E" w:rsidP="0005608D">
      <w:r>
        <w:t xml:space="preserve">Based on all presentations to Commonwealth Respiratory Clinics to date, the principal symptoms reported in COVID-19 cases were cough, sore throat, tiredness, runny nose, and fever. </w:t>
      </w:r>
    </w:p>
    <w:p w:rsidR="0005608D" w:rsidRDefault="009B090E" w:rsidP="0005608D">
      <w:pPr>
        <w:pStyle w:val="Heading2"/>
        <w:rPr>
          <w:rFonts w:eastAsia="Times New Roman"/>
        </w:rPr>
      </w:pPr>
      <w:r>
        <w:rPr>
          <w:rFonts w:eastAsia="Times New Roman"/>
        </w:rPr>
        <w:t>Severity</w:t>
      </w:r>
    </w:p>
    <w:p w:rsidR="009B090E" w:rsidRPr="006B1385" w:rsidRDefault="009B090E" w:rsidP="004E6AC7">
      <w:pPr>
        <w:pStyle w:val="Heading3"/>
        <w:spacing w:before="0" w:after="240"/>
        <w:rPr>
          <w:rFonts w:eastAsia="Times New Roman"/>
          <w:b w:val="0"/>
          <w:i/>
        </w:rPr>
      </w:pPr>
      <w:r w:rsidRPr="006B1385">
        <w:rPr>
          <w:rFonts w:eastAsia="Times New Roman"/>
          <w:b w:val="0"/>
          <w:i/>
        </w:rPr>
        <w:t xml:space="preserve"> (NNDSS, FluCAN) </w:t>
      </w:r>
    </w:p>
    <w:p w:rsidR="009B090E" w:rsidRDefault="009B090E" w:rsidP="0005608D">
      <w:r>
        <w:t>Based on NNDSS data, the proportion of all COVID-19 cases hospitalised to date remains at 13%. It should be noted that cases may be hospitalised for isolation purposes and not severe disease. Since 16 March 2020, FluCAN has recorded 473 COVID-19 cases hospitalised in sentinel sites</w:t>
      </w:r>
      <w:proofErr w:type="gramStart"/>
      <w:r>
        <w:t>,</w:t>
      </w:r>
      <w:r>
        <w:rPr>
          <w:vertAlign w:val="superscript"/>
        </w:rPr>
        <w:t>7</w:t>
      </w:r>
      <w:proofErr w:type="gramEnd"/>
      <w:r>
        <w:t xml:space="preserve"> of which 92 (19%) have been subsequently admitted to an intensive care unit (ICU). There have been no hospital admissions for confirmed COVID-19 cases in participating sites since the last severity report (COVID-19 epidemiology report 32: data to 3 January 2021).</w:t>
      </w:r>
      <w:r>
        <w:rPr>
          <w:vertAlign w:val="superscript"/>
        </w:rPr>
        <w:t xml:space="preserve">8 </w:t>
      </w:r>
    </w:p>
    <w:p w:rsidR="009B090E" w:rsidRPr="0005608D" w:rsidRDefault="009B090E" w:rsidP="0005608D">
      <w:pPr>
        <w:pStyle w:val="Heading2"/>
      </w:pPr>
      <w:r w:rsidRPr="0005608D">
        <w:t xml:space="preserve">Length of hospital stay </w:t>
      </w:r>
    </w:p>
    <w:p w:rsidR="009B090E" w:rsidRDefault="009B090E" w:rsidP="0005608D">
      <w:r>
        <w:t>Length of hospital stay for patients with confirmed COVID-19 increases with advancing age category (Table 6). For those discharged alive (n = 375), the median length of stay remains at 8 days (IQR: 3.0–13.0); mean (</w:t>
      </w:r>
      <w:proofErr w:type="spellStart"/>
      <w:r>
        <w:t>sd</w:t>
      </w:r>
      <w:proofErr w:type="spellEnd"/>
      <w:r>
        <w:t>) = 10 days (11.6); this has not changed compared to the previous severity report (data to 3 January, 2020)</w:t>
      </w:r>
      <w:proofErr w:type="gramStart"/>
      <w:r>
        <w:t>,</w:t>
      </w:r>
      <w:r>
        <w:rPr>
          <w:vertAlign w:val="superscript"/>
        </w:rPr>
        <w:t>8</w:t>
      </w:r>
      <w:proofErr w:type="gramEnd"/>
      <w:r>
        <w:t xml:space="preserve"> with the discharge status of only six cases updated in the intervening four-week period. Length of stay in ICU for survivors can be found in a previous severity report (data to 22 November, 2021).</w:t>
      </w:r>
      <w:r>
        <w:rPr>
          <w:vertAlign w:val="superscript"/>
        </w:rPr>
        <w:t>9</w:t>
      </w:r>
      <w:r>
        <w:t xml:space="preserve"> </w:t>
      </w:r>
    </w:p>
    <w:p w:rsidR="00AD30D6" w:rsidRDefault="00AD30D6">
      <w:pPr>
        <w:rPr>
          <w:b/>
        </w:rPr>
      </w:pPr>
      <w:r>
        <w:br w:type="page"/>
      </w:r>
    </w:p>
    <w:p w:rsidR="009B090E" w:rsidRDefault="009B090E" w:rsidP="0005608D">
      <w:pPr>
        <w:pStyle w:val="CDIFigures"/>
      </w:pPr>
      <w:r>
        <w:lastRenderedPageBreak/>
        <w:t>Table 6: Hospital length of stay for confirmed COVID-19 cases discharged alive from sentinel sites Australia between March 16 2020 and 3 January 2021</w:t>
      </w:r>
      <w:r w:rsidRPr="0005608D">
        <w:rPr>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6 shows the median, interquartile range, mean and standard deviation for hospital length of stay, by age group, for cases discharged alive. There is an overall trend in increasing hospital length of stay with increasing age, rising from a mean value of 4.9 days for those under 18 years of age, to a mean value of 12.6 days for those aged 80 years and over."/>
      </w:tblPr>
      <w:tblGrid>
        <w:gridCol w:w="1726"/>
        <w:gridCol w:w="2873"/>
        <w:gridCol w:w="2873"/>
        <w:gridCol w:w="2873"/>
      </w:tblGrid>
      <w:tr w:rsidR="009B090E" w:rsidTr="00084C80">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rsidR="009B090E" w:rsidRPr="00084C80" w:rsidRDefault="009B090E">
            <w:pPr>
              <w:pStyle w:val="NormalWeb"/>
              <w:jc w:val="center"/>
              <w:rPr>
                <w:bCs/>
                <w:color w:val="FFFFFF" w:themeColor="background1"/>
              </w:rPr>
            </w:pPr>
            <w:r w:rsidRPr="00084C80">
              <w:rPr>
                <w:bCs/>
                <w:color w:val="FFFFFF" w:themeColor="background1"/>
              </w:rPr>
              <w:t>Age group (years)</w:t>
            </w:r>
          </w:p>
        </w:tc>
        <w:tc>
          <w:tcPr>
            <w:tcW w:w="8619" w:type="dxa"/>
            <w:gridSpan w:val="3"/>
            <w:tcBorders>
              <w:left w:val="single" w:sz="2" w:space="0" w:color="FFFFFF" w:themeColor="background1"/>
              <w:bottom w:val="single" w:sz="2" w:space="0" w:color="FFFFFF" w:themeColor="background1"/>
            </w:tcBorders>
            <w:hideMark/>
          </w:tcPr>
          <w:p w:rsidR="009B090E" w:rsidRPr="00084C80" w:rsidRDefault="009B090E" w:rsidP="00AD30D6">
            <w:pPr>
              <w:pStyle w:val="NormalWeb"/>
              <w:jc w:val="center"/>
              <w:rPr>
                <w:bCs/>
                <w:color w:val="FFFFFF" w:themeColor="background1"/>
              </w:rPr>
            </w:pPr>
            <w:r w:rsidRPr="00084C80">
              <w:rPr>
                <w:bCs/>
                <w:color w:val="FFFFFF" w:themeColor="background1"/>
              </w:rPr>
              <w:t xml:space="preserve">Hospital length of </w:t>
            </w:r>
            <w:proofErr w:type="spellStart"/>
            <w:r w:rsidRPr="00084C80">
              <w:rPr>
                <w:bCs/>
                <w:color w:val="FFFFFF" w:themeColor="background1"/>
              </w:rPr>
              <w:t>stay</w:t>
            </w:r>
            <w:r w:rsidRPr="00AD30D6">
              <w:rPr>
                <w:bCs/>
                <w:color w:val="FFFFFF" w:themeColor="background1"/>
                <w:vertAlign w:val="superscript"/>
              </w:rPr>
              <w:t>a</w:t>
            </w:r>
            <w:proofErr w:type="spellEnd"/>
          </w:p>
        </w:tc>
      </w:tr>
      <w:tr w:rsidR="009B090E" w:rsidTr="00084C80">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rsidR="009B090E" w:rsidRPr="00084C80" w:rsidRDefault="009B090E">
            <w:pPr>
              <w:rPr>
                <w:bCs/>
                <w:color w:val="FFFFFF" w:themeColor="background1"/>
                <w:sz w:val="24"/>
                <w:szCs w:val="24"/>
              </w:rPr>
            </w:pPr>
          </w:p>
        </w:tc>
        <w:tc>
          <w:tcPr>
            <w:tcW w:w="2873" w:type="dxa"/>
            <w:tcBorders>
              <w:top w:val="single" w:sz="2" w:space="0" w:color="FFFFFF" w:themeColor="background1"/>
              <w:left w:val="single" w:sz="2" w:space="0" w:color="FFFFFF" w:themeColor="background1"/>
              <w:right w:val="single" w:sz="2" w:space="0" w:color="FFFFFF" w:themeColor="background1"/>
            </w:tcBorders>
            <w:hideMark/>
          </w:tcPr>
          <w:p w:rsidR="009B090E" w:rsidRPr="00084C80" w:rsidRDefault="009B090E" w:rsidP="00AD30D6">
            <w:pPr>
              <w:pStyle w:val="NormalWeb"/>
              <w:jc w:val="center"/>
              <w:rPr>
                <w:bCs/>
                <w:color w:val="FFFFFF" w:themeColor="background1"/>
              </w:rPr>
            </w:pPr>
            <w:r w:rsidRPr="00084C80">
              <w:rPr>
                <w:bCs/>
                <w:color w:val="FFFFFF" w:themeColor="background1"/>
              </w:rPr>
              <w:t>n</w:t>
            </w:r>
          </w:p>
        </w:tc>
        <w:tc>
          <w:tcPr>
            <w:tcW w:w="2873" w:type="dxa"/>
            <w:tcBorders>
              <w:top w:val="single" w:sz="2" w:space="0" w:color="FFFFFF" w:themeColor="background1"/>
              <w:left w:val="single" w:sz="2" w:space="0" w:color="FFFFFF" w:themeColor="background1"/>
              <w:right w:val="single" w:sz="2" w:space="0" w:color="FFFFFF" w:themeColor="background1"/>
            </w:tcBorders>
            <w:hideMark/>
          </w:tcPr>
          <w:p w:rsidR="009B090E" w:rsidRPr="00084C80" w:rsidRDefault="009B090E" w:rsidP="00AD30D6">
            <w:pPr>
              <w:pStyle w:val="NormalWeb"/>
              <w:jc w:val="center"/>
              <w:rPr>
                <w:bCs/>
                <w:color w:val="FFFFFF" w:themeColor="background1"/>
              </w:rPr>
            </w:pPr>
            <w:r w:rsidRPr="00084C80">
              <w:rPr>
                <w:bCs/>
                <w:color w:val="FFFFFF" w:themeColor="background1"/>
              </w:rPr>
              <w:t>Median (IQR)</w:t>
            </w:r>
          </w:p>
        </w:tc>
        <w:tc>
          <w:tcPr>
            <w:tcW w:w="2873" w:type="dxa"/>
            <w:tcBorders>
              <w:top w:val="single" w:sz="2" w:space="0" w:color="FFFFFF" w:themeColor="background1"/>
              <w:left w:val="single" w:sz="2" w:space="0" w:color="FFFFFF" w:themeColor="background1"/>
            </w:tcBorders>
            <w:hideMark/>
          </w:tcPr>
          <w:p w:rsidR="009B090E" w:rsidRPr="00084C80" w:rsidRDefault="009B090E" w:rsidP="00AD30D6">
            <w:pPr>
              <w:pStyle w:val="NormalWeb"/>
              <w:jc w:val="center"/>
              <w:rPr>
                <w:bCs/>
                <w:color w:val="FFFFFF" w:themeColor="background1"/>
              </w:rPr>
            </w:pPr>
            <w:r w:rsidRPr="00084C80">
              <w:rPr>
                <w:bCs/>
                <w:color w:val="FFFFFF" w:themeColor="background1"/>
              </w:rPr>
              <w:t>Mean (SD)</w:t>
            </w:r>
          </w:p>
        </w:tc>
      </w:tr>
      <w:tr w:rsidR="009B090E" w:rsidTr="00084C80">
        <w:tc>
          <w:tcPr>
            <w:tcW w:w="0" w:type="auto"/>
            <w:hideMark/>
          </w:tcPr>
          <w:p w:rsidR="009B090E" w:rsidRDefault="009B090E">
            <w:pPr>
              <w:pStyle w:val="NormalWeb"/>
            </w:pPr>
            <w:r>
              <w:t>&lt; 18</w:t>
            </w:r>
          </w:p>
        </w:tc>
        <w:tc>
          <w:tcPr>
            <w:tcW w:w="2873" w:type="dxa"/>
            <w:hideMark/>
          </w:tcPr>
          <w:p w:rsidR="009B090E" w:rsidRDefault="009B090E" w:rsidP="00AD30D6">
            <w:pPr>
              <w:pStyle w:val="NormalWeb"/>
              <w:jc w:val="center"/>
            </w:pPr>
            <w:r>
              <w:t>41</w:t>
            </w:r>
          </w:p>
        </w:tc>
        <w:tc>
          <w:tcPr>
            <w:tcW w:w="2873" w:type="dxa"/>
            <w:hideMark/>
          </w:tcPr>
          <w:p w:rsidR="009B090E" w:rsidRDefault="009B090E" w:rsidP="00AD30D6">
            <w:pPr>
              <w:pStyle w:val="NormalWeb"/>
              <w:jc w:val="center"/>
            </w:pPr>
            <w:r>
              <w:t>2.0 (1.0–7.0)</w:t>
            </w:r>
          </w:p>
        </w:tc>
        <w:tc>
          <w:tcPr>
            <w:tcW w:w="2873" w:type="dxa"/>
            <w:hideMark/>
          </w:tcPr>
          <w:p w:rsidR="009B090E" w:rsidRDefault="009B090E" w:rsidP="00AD30D6">
            <w:pPr>
              <w:pStyle w:val="NormalWeb"/>
              <w:jc w:val="center"/>
            </w:pPr>
            <w:r>
              <w:t>4.9 (6.6)</w:t>
            </w:r>
          </w:p>
        </w:tc>
      </w:tr>
      <w:tr w:rsidR="009B090E" w:rsidTr="00084C80">
        <w:trPr>
          <w:cnfStyle w:val="000000010000" w:firstRow="0" w:lastRow="0" w:firstColumn="0" w:lastColumn="0" w:oddVBand="0" w:evenVBand="0" w:oddHBand="0" w:evenHBand="1" w:firstRowFirstColumn="0" w:firstRowLastColumn="0" w:lastRowFirstColumn="0" w:lastRowLastColumn="0"/>
        </w:trPr>
        <w:tc>
          <w:tcPr>
            <w:tcW w:w="0" w:type="auto"/>
            <w:hideMark/>
          </w:tcPr>
          <w:p w:rsidR="009B090E" w:rsidRDefault="009B090E">
            <w:pPr>
              <w:pStyle w:val="NormalWeb"/>
            </w:pPr>
            <w:r>
              <w:t>18–39</w:t>
            </w:r>
          </w:p>
        </w:tc>
        <w:tc>
          <w:tcPr>
            <w:tcW w:w="2873" w:type="dxa"/>
            <w:hideMark/>
          </w:tcPr>
          <w:p w:rsidR="009B090E" w:rsidRDefault="009B090E" w:rsidP="00AD30D6">
            <w:pPr>
              <w:pStyle w:val="NormalWeb"/>
              <w:jc w:val="center"/>
            </w:pPr>
            <w:r>
              <w:t>82</w:t>
            </w:r>
          </w:p>
        </w:tc>
        <w:tc>
          <w:tcPr>
            <w:tcW w:w="2873" w:type="dxa"/>
            <w:hideMark/>
          </w:tcPr>
          <w:p w:rsidR="009B090E" w:rsidRDefault="009B090E" w:rsidP="00AD30D6">
            <w:pPr>
              <w:pStyle w:val="NormalWeb"/>
              <w:jc w:val="center"/>
            </w:pPr>
            <w:r>
              <w:t>5.0 (2.0–10.0)</w:t>
            </w:r>
          </w:p>
        </w:tc>
        <w:tc>
          <w:tcPr>
            <w:tcW w:w="2873" w:type="dxa"/>
            <w:hideMark/>
          </w:tcPr>
          <w:p w:rsidR="009B090E" w:rsidRDefault="009B090E" w:rsidP="00AD30D6">
            <w:pPr>
              <w:pStyle w:val="NormalWeb"/>
              <w:jc w:val="center"/>
            </w:pPr>
            <w:r>
              <w:t>7.0 (7.0)</w:t>
            </w:r>
          </w:p>
        </w:tc>
      </w:tr>
      <w:tr w:rsidR="009B090E" w:rsidTr="00084C80">
        <w:tc>
          <w:tcPr>
            <w:tcW w:w="0" w:type="auto"/>
            <w:hideMark/>
          </w:tcPr>
          <w:p w:rsidR="009B090E" w:rsidRDefault="009B090E">
            <w:pPr>
              <w:pStyle w:val="NormalWeb"/>
            </w:pPr>
            <w:r>
              <w:t>40–59</w:t>
            </w:r>
          </w:p>
        </w:tc>
        <w:tc>
          <w:tcPr>
            <w:tcW w:w="2873" w:type="dxa"/>
            <w:hideMark/>
          </w:tcPr>
          <w:p w:rsidR="009B090E" w:rsidRDefault="009B090E" w:rsidP="00AD30D6">
            <w:pPr>
              <w:pStyle w:val="NormalWeb"/>
              <w:jc w:val="center"/>
            </w:pPr>
            <w:r>
              <w:t>108</w:t>
            </w:r>
          </w:p>
        </w:tc>
        <w:tc>
          <w:tcPr>
            <w:tcW w:w="2873" w:type="dxa"/>
            <w:hideMark/>
          </w:tcPr>
          <w:p w:rsidR="009B090E" w:rsidRDefault="009B090E" w:rsidP="00AD30D6">
            <w:pPr>
              <w:pStyle w:val="NormalWeb"/>
              <w:jc w:val="center"/>
            </w:pPr>
            <w:r>
              <w:t>8.0 (4.0–14.5)</w:t>
            </w:r>
          </w:p>
        </w:tc>
        <w:tc>
          <w:tcPr>
            <w:tcW w:w="2873" w:type="dxa"/>
            <w:hideMark/>
          </w:tcPr>
          <w:p w:rsidR="009B090E" w:rsidRDefault="009B090E" w:rsidP="00AD30D6">
            <w:pPr>
              <w:pStyle w:val="NormalWeb"/>
              <w:jc w:val="center"/>
            </w:pPr>
            <w:r>
              <w:t>11.0 (16.1)</w:t>
            </w:r>
          </w:p>
        </w:tc>
      </w:tr>
      <w:tr w:rsidR="009B090E" w:rsidTr="00084C80">
        <w:trPr>
          <w:cnfStyle w:val="000000010000" w:firstRow="0" w:lastRow="0" w:firstColumn="0" w:lastColumn="0" w:oddVBand="0" w:evenVBand="0" w:oddHBand="0" w:evenHBand="1" w:firstRowFirstColumn="0" w:firstRowLastColumn="0" w:lastRowFirstColumn="0" w:lastRowLastColumn="0"/>
        </w:trPr>
        <w:tc>
          <w:tcPr>
            <w:tcW w:w="0" w:type="auto"/>
            <w:hideMark/>
          </w:tcPr>
          <w:p w:rsidR="009B090E" w:rsidRDefault="009B090E">
            <w:pPr>
              <w:pStyle w:val="NormalWeb"/>
            </w:pPr>
            <w:r>
              <w:t>60–79</w:t>
            </w:r>
          </w:p>
        </w:tc>
        <w:tc>
          <w:tcPr>
            <w:tcW w:w="2873" w:type="dxa"/>
            <w:hideMark/>
          </w:tcPr>
          <w:p w:rsidR="009B090E" w:rsidRDefault="009B090E" w:rsidP="00AD30D6">
            <w:pPr>
              <w:pStyle w:val="NormalWeb"/>
              <w:jc w:val="center"/>
            </w:pPr>
            <w:r>
              <w:t>99</w:t>
            </w:r>
          </w:p>
        </w:tc>
        <w:tc>
          <w:tcPr>
            <w:tcW w:w="2873" w:type="dxa"/>
            <w:hideMark/>
          </w:tcPr>
          <w:p w:rsidR="009B090E" w:rsidRDefault="009B090E" w:rsidP="00AD30D6">
            <w:pPr>
              <w:pStyle w:val="NormalWeb"/>
              <w:jc w:val="center"/>
            </w:pPr>
            <w:r>
              <w:t>10.0 (6.0–15.0)</w:t>
            </w:r>
          </w:p>
        </w:tc>
        <w:tc>
          <w:tcPr>
            <w:tcW w:w="2873" w:type="dxa"/>
            <w:hideMark/>
          </w:tcPr>
          <w:p w:rsidR="009B090E" w:rsidRDefault="009B090E" w:rsidP="00AD30D6">
            <w:pPr>
              <w:pStyle w:val="NormalWeb"/>
              <w:jc w:val="center"/>
            </w:pPr>
            <w:r>
              <w:t>11.9 (10.9)</w:t>
            </w:r>
          </w:p>
        </w:tc>
      </w:tr>
      <w:tr w:rsidR="009B090E" w:rsidTr="00084C80">
        <w:tc>
          <w:tcPr>
            <w:tcW w:w="0" w:type="auto"/>
            <w:hideMark/>
          </w:tcPr>
          <w:p w:rsidR="009B090E" w:rsidRDefault="009B090E">
            <w:pPr>
              <w:pStyle w:val="NormalWeb"/>
            </w:pPr>
            <w:r>
              <w:t>≥ 80</w:t>
            </w:r>
          </w:p>
        </w:tc>
        <w:tc>
          <w:tcPr>
            <w:tcW w:w="2873" w:type="dxa"/>
            <w:hideMark/>
          </w:tcPr>
          <w:p w:rsidR="009B090E" w:rsidRDefault="009B090E" w:rsidP="00AD30D6">
            <w:pPr>
              <w:pStyle w:val="NormalWeb"/>
              <w:jc w:val="center"/>
            </w:pPr>
            <w:r>
              <w:t>45</w:t>
            </w:r>
          </w:p>
        </w:tc>
        <w:tc>
          <w:tcPr>
            <w:tcW w:w="2873" w:type="dxa"/>
            <w:hideMark/>
          </w:tcPr>
          <w:p w:rsidR="009B090E" w:rsidRDefault="009B090E" w:rsidP="00AD30D6">
            <w:pPr>
              <w:pStyle w:val="NormalWeb"/>
              <w:jc w:val="center"/>
            </w:pPr>
            <w:r>
              <w:t>12.0 (8.0–16.0)</w:t>
            </w:r>
          </w:p>
        </w:tc>
        <w:tc>
          <w:tcPr>
            <w:tcW w:w="2873" w:type="dxa"/>
            <w:hideMark/>
          </w:tcPr>
          <w:p w:rsidR="009B090E" w:rsidRDefault="009B090E" w:rsidP="00AD30D6">
            <w:pPr>
              <w:pStyle w:val="NormalWeb"/>
              <w:jc w:val="center"/>
            </w:pPr>
            <w:r>
              <w:t>12.6 (7.3)</w:t>
            </w:r>
          </w:p>
        </w:tc>
      </w:tr>
    </w:tbl>
    <w:p w:rsidR="009B090E" w:rsidRDefault="009B090E" w:rsidP="009D22EA">
      <w:pPr>
        <w:pStyle w:val="CDIfootnotes"/>
      </w:pPr>
      <w:proofErr w:type="gramStart"/>
      <w:r>
        <w:t>a</w:t>
      </w:r>
      <w:proofErr w:type="gramEnd"/>
      <w:r>
        <w:tab/>
        <w:t>Source: FluCAN. Includes patients with a discharge outcome (n = 375).</w:t>
      </w:r>
    </w:p>
    <w:p w:rsidR="009B090E" w:rsidRPr="009D22EA" w:rsidRDefault="009B090E" w:rsidP="009D22EA">
      <w:pPr>
        <w:pStyle w:val="Heading2"/>
      </w:pPr>
      <w:r w:rsidRPr="009D22EA">
        <w:t xml:space="preserve">Characteristics of those with severe COVID-19 disease </w:t>
      </w:r>
    </w:p>
    <w:p w:rsidR="009B090E" w:rsidRDefault="009B090E" w:rsidP="009D22EA">
      <w:r>
        <w:t>The median age of cases who have been hospitalised in sentinel sites since 16 March 2020 (58 years; IQR: 37–73) and admitted to ICU (59 years; IQR: 47–68) was higher than for cases overall (37 years; IQR: 25–56). The ratio of males to females (1.2:1) remains stable for hospitalised cases, with slightly higher admissions for males. Of those hospitalised in sentinel sites (n = 475)</w:t>
      </w:r>
      <w:proofErr w:type="gramStart"/>
      <w:r>
        <w:t>,</w:t>
      </w:r>
      <w:r>
        <w:rPr>
          <w:vertAlign w:val="superscript"/>
        </w:rPr>
        <w:t>7</w:t>
      </w:r>
      <w:proofErr w:type="gramEnd"/>
      <w:r>
        <w:t xml:space="preserve"> six (1.3%) were identified as Aboriginal and Torres Strait Islander people (1</w:t>
      </w:r>
      <w:r w:rsidR="00240363">
        <w:t> </w:t>
      </w:r>
      <w:r>
        <w:t>unknown and 8 missing data; &gt; 98% completeness). Comorbidity and other risk factor analysis can be found in a previous severity report (data to 25 October 2020).</w:t>
      </w:r>
      <w:r>
        <w:rPr>
          <w:vertAlign w:val="superscript"/>
        </w:rPr>
        <w:t>10</w:t>
      </w:r>
      <w:r>
        <w:t xml:space="preserve"> </w:t>
      </w:r>
      <w:proofErr w:type="gramStart"/>
      <w:r>
        <w:t>We</w:t>
      </w:r>
      <w:proofErr w:type="gramEnd"/>
      <w:r>
        <w:t xml:space="preserve"> have not updated risk factor data in the present report, as hospital cohorts have remained largely unchanged in the intervening weeks. </w:t>
      </w:r>
    </w:p>
    <w:p w:rsidR="009B090E" w:rsidRPr="009D22EA" w:rsidRDefault="009B090E" w:rsidP="009D22EA">
      <w:pPr>
        <w:pStyle w:val="Heading2"/>
      </w:pPr>
      <w:r w:rsidRPr="009D22EA">
        <w:t xml:space="preserve">COVID-19 deaths </w:t>
      </w:r>
    </w:p>
    <w:p w:rsidR="009B090E" w:rsidRDefault="009B090E" w:rsidP="009D22EA">
      <w:r>
        <w:t>Overall, the crude case fatality rate (CFR: 3.1%, Table 7) is slightly decreased compared to that reported previously (3.2%; data to 3 January)</w:t>
      </w:r>
      <w:proofErr w:type="gramStart"/>
      <w:r>
        <w:t>,</w:t>
      </w:r>
      <w:r>
        <w:rPr>
          <w:vertAlign w:val="superscript"/>
        </w:rPr>
        <w:t>8</w:t>
      </w:r>
      <w:proofErr w:type="gramEnd"/>
      <w:r>
        <w:t xml:space="preserve"> with no cases updated in NNDSS in this time as having died. The highest CFR remains in males over the age of 80 years (41.1%), particularly those admitted to hospital (46.9%). For hospitalised cases, the total number who have died in hospital remains unchanged since the last severity report (data to 3 January, 2020).</w:t>
      </w:r>
      <w:r>
        <w:rPr>
          <w:vertAlign w:val="superscript"/>
        </w:rPr>
        <w:t>8</w:t>
      </w:r>
      <w:r>
        <w:t xml:space="preserve"> The CFR rate amongst those admitted to ICU was last reported in issue 30 (13.2%; data to 22 November).</w:t>
      </w:r>
      <w:r>
        <w:rPr>
          <w:vertAlign w:val="superscript"/>
        </w:rPr>
        <w:t xml:space="preserve">9 </w:t>
      </w:r>
    </w:p>
    <w:p w:rsidR="009B090E" w:rsidRDefault="009B090E" w:rsidP="009D22EA">
      <w:pPr>
        <w:pStyle w:val="CDIFigures"/>
      </w:pPr>
      <w:r>
        <w:t>Table 7: Number of fatalities and CFR for all cases and for hospitalised cases, by age group and sex, Australia, 31</w:t>
      </w:r>
      <w:r w:rsidR="00715F30">
        <w:t> </w:t>
      </w:r>
      <w:r>
        <w:t xml:space="preserve">January 2021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7 lists the cumulative number of fatalities and CFR, by sex and the age groups of under 50 years, 50–64 years, 65–79 years and 80 years and over, for all cases and hospitalised cases. It can be seen that CFR increases with increasing age and, for all ages, is higher for males than for females in each age group."/>
      </w:tblPr>
      <w:tblGrid>
        <w:gridCol w:w="670"/>
        <w:gridCol w:w="1628"/>
        <w:gridCol w:w="1628"/>
        <w:gridCol w:w="1629"/>
        <w:gridCol w:w="1628"/>
        <w:gridCol w:w="1628"/>
        <w:gridCol w:w="1629"/>
      </w:tblGrid>
      <w:tr w:rsidR="009B090E" w:rsidTr="001E5A1C">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rsidR="009B090E" w:rsidRPr="001E5A1C" w:rsidRDefault="009B090E">
            <w:pPr>
              <w:rPr>
                <w:color w:val="FFFFFF" w:themeColor="background1"/>
              </w:rPr>
            </w:pPr>
          </w:p>
        </w:tc>
        <w:tc>
          <w:tcPr>
            <w:tcW w:w="4885" w:type="dxa"/>
            <w:gridSpan w:val="3"/>
            <w:tcBorders>
              <w:left w:val="single" w:sz="2" w:space="0" w:color="FFFFFF" w:themeColor="background1"/>
              <w:bottom w:val="single" w:sz="2" w:space="0" w:color="FFFFFF" w:themeColor="background1"/>
              <w:right w:val="single" w:sz="2" w:space="0" w:color="FFFFFF" w:themeColor="background1"/>
            </w:tcBorders>
            <w:hideMark/>
          </w:tcPr>
          <w:p w:rsidR="009B090E" w:rsidRPr="001E5A1C" w:rsidRDefault="009B090E" w:rsidP="00C3185C">
            <w:pPr>
              <w:pStyle w:val="NormalWeb"/>
              <w:jc w:val="center"/>
              <w:rPr>
                <w:bCs/>
                <w:color w:val="FFFFFF" w:themeColor="background1"/>
                <w:sz w:val="24"/>
                <w:szCs w:val="24"/>
              </w:rPr>
            </w:pPr>
            <w:r w:rsidRPr="001E5A1C">
              <w:rPr>
                <w:bCs/>
                <w:color w:val="FFFFFF" w:themeColor="background1"/>
              </w:rPr>
              <w:t xml:space="preserve">All </w:t>
            </w:r>
            <w:proofErr w:type="spellStart"/>
            <w:r w:rsidRPr="001E5A1C">
              <w:rPr>
                <w:bCs/>
                <w:color w:val="FFFFFF" w:themeColor="background1"/>
              </w:rPr>
              <w:t>cases</w:t>
            </w:r>
            <w:r w:rsidRPr="00C3185C">
              <w:rPr>
                <w:bCs/>
                <w:color w:val="FFFFFF" w:themeColor="background1"/>
                <w:vertAlign w:val="superscript"/>
              </w:rPr>
              <w:t>a</w:t>
            </w:r>
            <w:proofErr w:type="spellEnd"/>
            <w:r w:rsidRPr="001E5A1C">
              <w:rPr>
                <w:bCs/>
                <w:color w:val="FFFFFF" w:themeColor="background1"/>
              </w:rPr>
              <w:br/>
              <w:t>n (CFR)</w:t>
            </w:r>
          </w:p>
        </w:tc>
        <w:tc>
          <w:tcPr>
            <w:tcW w:w="4885" w:type="dxa"/>
            <w:gridSpan w:val="3"/>
            <w:tcBorders>
              <w:left w:val="single" w:sz="2" w:space="0" w:color="FFFFFF" w:themeColor="background1"/>
              <w:bottom w:val="single" w:sz="2" w:space="0" w:color="FFFFFF" w:themeColor="background1"/>
            </w:tcBorders>
            <w:hideMark/>
          </w:tcPr>
          <w:p w:rsidR="009B090E" w:rsidRPr="001E5A1C" w:rsidRDefault="009B090E" w:rsidP="00C3185C">
            <w:pPr>
              <w:pStyle w:val="NormalWeb"/>
              <w:jc w:val="center"/>
              <w:rPr>
                <w:bCs/>
                <w:color w:val="FFFFFF" w:themeColor="background1"/>
              </w:rPr>
            </w:pPr>
            <w:proofErr w:type="spellStart"/>
            <w:r w:rsidRPr="001E5A1C">
              <w:rPr>
                <w:bCs/>
                <w:color w:val="FFFFFF" w:themeColor="background1"/>
              </w:rPr>
              <w:t>Hospitalisation</w:t>
            </w:r>
            <w:r w:rsidRPr="00C3185C">
              <w:rPr>
                <w:bCs/>
                <w:color w:val="FFFFFF" w:themeColor="background1"/>
                <w:vertAlign w:val="superscript"/>
              </w:rPr>
              <w:t>b</w:t>
            </w:r>
            <w:proofErr w:type="spellEnd"/>
            <w:r w:rsidRPr="001E5A1C">
              <w:rPr>
                <w:bCs/>
                <w:color w:val="FFFFFF" w:themeColor="background1"/>
              </w:rPr>
              <w:br/>
              <w:t>n (CFR)</w:t>
            </w:r>
          </w:p>
        </w:tc>
      </w:tr>
      <w:tr w:rsidR="009B090E" w:rsidTr="001E5A1C">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rsidR="009B090E" w:rsidRPr="001E5A1C" w:rsidRDefault="009B090E">
            <w:pPr>
              <w:rPr>
                <w:color w:val="FFFFFF" w:themeColor="background1"/>
                <w:sz w:val="24"/>
                <w:szCs w:val="24"/>
              </w:rPr>
            </w:pPr>
          </w:p>
        </w:tc>
        <w:tc>
          <w:tcPr>
            <w:tcW w:w="1628" w:type="dxa"/>
            <w:tcBorders>
              <w:top w:val="single" w:sz="2" w:space="0" w:color="FFFFFF" w:themeColor="background1"/>
              <w:left w:val="single" w:sz="2" w:space="0" w:color="FFFFFF" w:themeColor="background1"/>
              <w:right w:val="single" w:sz="2" w:space="0" w:color="FFFFFF" w:themeColor="background1"/>
            </w:tcBorders>
            <w:hideMark/>
          </w:tcPr>
          <w:p w:rsidR="009B090E" w:rsidRPr="001E5A1C" w:rsidRDefault="009B090E" w:rsidP="00C3185C">
            <w:pPr>
              <w:pStyle w:val="NormalWeb"/>
              <w:jc w:val="center"/>
              <w:rPr>
                <w:bCs/>
                <w:color w:val="FFFFFF" w:themeColor="background1"/>
              </w:rPr>
            </w:pPr>
            <w:r w:rsidRPr="001E5A1C">
              <w:rPr>
                <w:bCs/>
                <w:color w:val="FFFFFF" w:themeColor="background1"/>
              </w:rPr>
              <w:t>Male</w:t>
            </w:r>
          </w:p>
        </w:tc>
        <w:tc>
          <w:tcPr>
            <w:tcW w:w="1628" w:type="dxa"/>
            <w:tcBorders>
              <w:top w:val="single" w:sz="2" w:space="0" w:color="FFFFFF" w:themeColor="background1"/>
              <w:left w:val="single" w:sz="2" w:space="0" w:color="FFFFFF" w:themeColor="background1"/>
              <w:right w:val="single" w:sz="2" w:space="0" w:color="FFFFFF" w:themeColor="background1"/>
            </w:tcBorders>
            <w:hideMark/>
          </w:tcPr>
          <w:p w:rsidR="009B090E" w:rsidRPr="001E5A1C" w:rsidRDefault="009B090E" w:rsidP="00C3185C">
            <w:pPr>
              <w:pStyle w:val="NormalWeb"/>
              <w:jc w:val="center"/>
              <w:rPr>
                <w:bCs/>
                <w:color w:val="FFFFFF" w:themeColor="background1"/>
              </w:rPr>
            </w:pPr>
            <w:r w:rsidRPr="001E5A1C">
              <w:rPr>
                <w:bCs/>
                <w:color w:val="FFFFFF" w:themeColor="background1"/>
              </w:rPr>
              <w:t>Female</w:t>
            </w:r>
          </w:p>
        </w:tc>
        <w:tc>
          <w:tcPr>
            <w:tcW w:w="1629" w:type="dxa"/>
            <w:tcBorders>
              <w:top w:val="single" w:sz="2" w:space="0" w:color="FFFFFF" w:themeColor="background1"/>
              <w:left w:val="single" w:sz="2" w:space="0" w:color="FFFFFF" w:themeColor="background1"/>
              <w:right w:val="single" w:sz="2" w:space="0" w:color="FFFFFF" w:themeColor="background1"/>
            </w:tcBorders>
            <w:hideMark/>
          </w:tcPr>
          <w:p w:rsidR="009B090E" w:rsidRPr="001E5A1C" w:rsidRDefault="009B090E" w:rsidP="00C3185C">
            <w:pPr>
              <w:pStyle w:val="NormalWeb"/>
              <w:jc w:val="center"/>
              <w:rPr>
                <w:bCs/>
                <w:color w:val="FFFFFF" w:themeColor="background1"/>
              </w:rPr>
            </w:pPr>
            <w:r w:rsidRPr="001E5A1C">
              <w:rPr>
                <w:bCs/>
                <w:color w:val="FFFFFF" w:themeColor="background1"/>
              </w:rPr>
              <w:t>Persons</w:t>
            </w:r>
          </w:p>
        </w:tc>
        <w:tc>
          <w:tcPr>
            <w:tcW w:w="1628" w:type="dxa"/>
            <w:tcBorders>
              <w:top w:val="single" w:sz="2" w:space="0" w:color="FFFFFF" w:themeColor="background1"/>
              <w:left w:val="single" w:sz="2" w:space="0" w:color="FFFFFF" w:themeColor="background1"/>
              <w:right w:val="single" w:sz="2" w:space="0" w:color="FFFFFF" w:themeColor="background1"/>
            </w:tcBorders>
            <w:hideMark/>
          </w:tcPr>
          <w:p w:rsidR="009B090E" w:rsidRPr="001E5A1C" w:rsidRDefault="009B090E" w:rsidP="00C3185C">
            <w:pPr>
              <w:pStyle w:val="NormalWeb"/>
              <w:jc w:val="center"/>
              <w:rPr>
                <w:bCs/>
                <w:color w:val="FFFFFF" w:themeColor="background1"/>
              </w:rPr>
            </w:pPr>
            <w:r w:rsidRPr="001E5A1C">
              <w:rPr>
                <w:bCs/>
                <w:color w:val="FFFFFF" w:themeColor="background1"/>
              </w:rPr>
              <w:t>Male</w:t>
            </w:r>
          </w:p>
        </w:tc>
        <w:tc>
          <w:tcPr>
            <w:tcW w:w="1628" w:type="dxa"/>
            <w:tcBorders>
              <w:top w:val="single" w:sz="2" w:space="0" w:color="FFFFFF" w:themeColor="background1"/>
              <w:left w:val="single" w:sz="2" w:space="0" w:color="FFFFFF" w:themeColor="background1"/>
              <w:right w:val="single" w:sz="2" w:space="0" w:color="FFFFFF" w:themeColor="background1"/>
            </w:tcBorders>
            <w:hideMark/>
          </w:tcPr>
          <w:p w:rsidR="009B090E" w:rsidRPr="001E5A1C" w:rsidRDefault="009B090E" w:rsidP="00C3185C">
            <w:pPr>
              <w:pStyle w:val="NormalWeb"/>
              <w:jc w:val="center"/>
              <w:rPr>
                <w:bCs/>
                <w:color w:val="FFFFFF" w:themeColor="background1"/>
              </w:rPr>
            </w:pPr>
            <w:r w:rsidRPr="001E5A1C">
              <w:rPr>
                <w:bCs/>
                <w:color w:val="FFFFFF" w:themeColor="background1"/>
              </w:rPr>
              <w:t>Female</w:t>
            </w:r>
          </w:p>
        </w:tc>
        <w:tc>
          <w:tcPr>
            <w:tcW w:w="1629" w:type="dxa"/>
            <w:tcBorders>
              <w:top w:val="single" w:sz="2" w:space="0" w:color="FFFFFF" w:themeColor="background1"/>
              <w:left w:val="single" w:sz="2" w:space="0" w:color="FFFFFF" w:themeColor="background1"/>
            </w:tcBorders>
            <w:hideMark/>
          </w:tcPr>
          <w:p w:rsidR="009B090E" w:rsidRPr="001E5A1C" w:rsidRDefault="009B090E" w:rsidP="00C3185C">
            <w:pPr>
              <w:pStyle w:val="NormalWeb"/>
              <w:jc w:val="center"/>
              <w:rPr>
                <w:bCs/>
                <w:color w:val="FFFFFF" w:themeColor="background1"/>
              </w:rPr>
            </w:pPr>
            <w:r w:rsidRPr="001E5A1C">
              <w:rPr>
                <w:bCs/>
                <w:color w:val="FFFFFF" w:themeColor="background1"/>
              </w:rPr>
              <w:t>Persons</w:t>
            </w:r>
          </w:p>
        </w:tc>
      </w:tr>
      <w:tr w:rsidR="009B090E" w:rsidTr="001E5A1C">
        <w:tc>
          <w:tcPr>
            <w:tcW w:w="0" w:type="auto"/>
            <w:hideMark/>
          </w:tcPr>
          <w:p w:rsidR="009B090E" w:rsidRDefault="009B090E">
            <w:pPr>
              <w:pStyle w:val="NormalWeb"/>
            </w:pPr>
            <w:r>
              <w:t>Total</w:t>
            </w:r>
          </w:p>
        </w:tc>
        <w:tc>
          <w:tcPr>
            <w:tcW w:w="1628" w:type="dxa"/>
            <w:hideMark/>
          </w:tcPr>
          <w:p w:rsidR="009B090E" w:rsidRDefault="009B090E" w:rsidP="00C3185C">
            <w:pPr>
              <w:pStyle w:val="NormalWeb"/>
              <w:jc w:val="center"/>
            </w:pPr>
            <w:r>
              <w:t>440 (3.1)</w:t>
            </w:r>
          </w:p>
        </w:tc>
        <w:tc>
          <w:tcPr>
            <w:tcW w:w="1628" w:type="dxa"/>
            <w:hideMark/>
          </w:tcPr>
          <w:p w:rsidR="009B090E" w:rsidRDefault="009B090E" w:rsidP="00C3185C">
            <w:pPr>
              <w:pStyle w:val="NormalWeb"/>
              <w:jc w:val="center"/>
            </w:pPr>
            <w:r>
              <w:t>469 (3.2)</w:t>
            </w:r>
          </w:p>
        </w:tc>
        <w:tc>
          <w:tcPr>
            <w:tcW w:w="1629" w:type="dxa"/>
            <w:hideMark/>
          </w:tcPr>
          <w:p w:rsidR="009B090E" w:rsidRDefault="009B090E" w:rsidP="00C3185C">
            <w:pPr>
              <w:pStyle w:val="NormalWeb"/>
              <w:jc w:val="center"/>
            </w:pPr>
            <w:r>
              <w:t>909 (3.1)</w:t>
            </w:r>
          </w:p>
        </w:tc>
        <w:tc>
          <w:tcPr>
            <w:tcW w:w="1628" w:type="dxa"/>
            <w:hideMark/>
          </w:tcPr>
          <w:p w:rsidR="009B090E" w:rsidRDefault="009B090E" w:rsidP="00C3185C">
            <w:pPr>
              <w:pStyle w:val="NormalWeb"/>
              <w:jc w:val="center"/>
            </w:pPr>
            <w:r>
              <w:t>27(12.0)</w:t>
            </w:r>
          </w:p>
        </w:tc>
        <w:tc>
          <w:tcPr>
            <w:tcW w:w="1628" w:type="dxa"/>
            <w:hideMark/>
          </w:tcPr>
          <w:p w:rsidR="009B090E" w:rsidRDefault="009B090E" w:rsidP="00C3185C">
            <w:pPr>
              <w:pStyle w:val="NormalWeb"/>
              <w:jc w:val="center"/>
            </w:pPr>
            <w:r>
              <w:t>21 (10.6)</w:t>
            </w:r>
          </w:p>
        </w:tc>
        <w:tc>
          <w:tcPr>
            <w:tcW w:w="1629" w:type="dxa"/>
            <w:hideMark/>
          </w:tcPr>
          <w:p w:rsidR="009B090E" w:rsidRDefault="009B090E" w:rsidP="00C3185C">
            <w:pPr>
              <w:pStyle w:val="NormalWeb"/>
              <w:jc w:val="center"/>
            </w:pPr>
            <w:r>
              <w:t>48 (11.3)</w:t>
            </w:r>
          </w:p>
        </w:tc>
      </w:tr>
      <w:tr w:rsidR="009B090E" w:rsidTr="001E5A1C">
        <w:trPr>
          <w:cnfStyle w:val="000000010000" w:firstRow="0" w:lastRow="0" w:firstColumn="0" w:lastColumn="0" w:oddVBand="0" w:evenVBand="0" w:oddHBand="0" w:evenHBand="1" w:firstRowFirstColumn="0" w:firstRowLastColumn="0" w:lastRowFirstColumn="0" w:lastRowLastColumn="0"/>
        </w:trPr>
        <w:tc>
          <w:tcPr>
            <w:tcW w:w="0" w:type="auto"/>
            <w:hideMark/>
          </w:tcPr>
          <w:p w:rsidR="009B090E" w:rsidRDefault="009B090E">
            <w:pPr>
              <w:pStyle w:val="NormalWeb"/>
            </w:pPr>
            <w:r>
              <w:t>&lt; 50</w:t>
            </w:r>
          </w:p>
        </w:tc>
        <w:tc>
          <w:tcPr>
            <w:tcW w:w="1628" w:type="dxa"/>
            <w:hideMark/>
          </w:tcPr>
          <w:p w:rsidR="009B090E" w:rsidRDefault="009B090E" w:rsidP="00C3185C">
            <w:pPr>
              <w:pStyle w:val="NormalWeb"/>
              <w:jc w:val="center"/>
            </w:pPr>
            <w:r>
              <w:t>5 (0.1)</w:t>
            </w:r>
          </w:p>
        </w:tc>
        <w:tc>
          <w:tcPr>
            <w:tcW w:w="1628" w:type="dxa"/>
            <w:hideMark/>
          </w:tcPr>
          <w:p w:rsidR="009B090E" w:rsidRDefault="009B090E" w:rsidP="00C3185C">
            <w:pPr>
              <w:pStyle w:val="NormalWeb"/>
              <w:jc w:val="center"/>
            </w:pPr>
            <w:r>
              <w:t>0 (0.0)</w:t>
            </w:r>
          </w:p>
        </w:tc>
        <w:tc>
          <w:tcPr>
            <w:tcW w:w="1629" w:type="dxa"/>
            <w:hideMark/>
          </w:tcPr>
          <w:p w:rsidR="009B090E" w:rsidRDefault="009B090E" w:rsidP="00C3185C">
            <w:pPr>
              <w:pStyle w:val="NormalWeb"/>
              <w:jc w:val="center"/>
            </w:pPr>
            <w:r>
              <w:t>5 (0.0)</w:t>
            </w:r>
          </w:p>
        </w:tc>
        <w:tc>
          <w:tcPr>
            <w:tcW w:w="1628" w:type="dxa"/>
            <w:hideMark/>
          </w:tcPr>
          <w:p w:rsidR="009B090E" w:rsidRDefault="009B090E" w:rsidP="00C3185C">
            <w:pPr>
              <w:pStyle w:val="NormalWeb"/>
              <w:jc w:val="center"/>
            </w:pPr>
            <w:r>
              <w:t>0 (0.0)</w:t>
            </w:r>
          </w:p>
        </w:tc>
        <w:tc>
          <w:tcPr>
            <w:tcW w:w="1628" w:type="dxa"/>
            <w:hideMark/>
          </w:tcPr>
          <w:p w:rsidR="009B090E" w:rsidRDefault="009B090E" w:rsidP="00C3185C">
            <w:pPr>
              <w:pStyle w:val="NormalWeb"/>
              <w:jc w:val="center"/>
            </w:pPr>
            <w:r>
              <w:t>0 (0.0)</w:t>
            </w:r>
          </w:p>
        </w:tc>
        <w:tc>
          <w:tcPr>
            <w:tcW w:w="1629" w:type="dxa"/>
            <w:hideMark/>
          </w:tcPr>
          <w:p w:rsidR="009B090E" w:rsidRDefault="009B090E" w:rsidP="00C3185C">
            <w:pPr>
              <w:pStyle w:val="NormalWeb"/>
              <w:jc w:val="center"/>
            </w:pPr>
            <w:r>
              <w:t>0 (0.0)</w:t>
            </w:r>
          </w:p>
        </w:tc>
      </w:tr>
      <w:tr w:rsidR="009B090E" w:rsidTr="001E5A1C">
        <w:tc>
          <w:tcPr>
            <w:tcW w:w="0" w:type="auto"/>
            <w:hideMark/>
          </w:tcPr>
          <w:p w:rsidR="009B090E" w:rsidRDefault="009B090E">
            <w:pPr>
              <w:pStyle w:val="NormalWeb"/>
            </w:pPr>
            <w:r>
              <w:t>50–64</w:t>
            </w:r>
          </w:p>
        </w:tc>
        <w:tc>
          <w:tcPr>
            <w:tcW w:w="1628" w:type="dxa"/>
            <w:hideMark/>
          </w:tcPr>
          <w:p w:rsidR="009B090E" w:rsidRDefault="009B090E" w:rsidP="00C3185C">
            <w:pPr>
              <w:pStyle w:val="NormalWeb"/>
              <w:jc w:val="center"/>
            </w:pPr>
            <w:r>
              <w:t>19(0.8)</w:t>
            </w:r>
          </w:p>
        </w:tc>
        <w:tc>
          <w:tcPr>
            <w:tcW w:w="1628" w:type="dxa"/>
            <w:hideMark/>
          </w:tcPr>
          <w:p w:rsidR="009B090E" w:rsidRDefault="009B090E" w:rsidP="00C3185C">
            <w:pPr>
              <w:pStyle w:val="NormalWeb"/>
              <w:jc w:val="center"/>
            </w:pPr>
            <w:r>
              <w:t>10 (0.4)</w:t>
            </w:r>
          </w:p>
        </w:tc>
        <w:tc>
          <w:tcPr>
            <w:tcW w:w="1629" w:type="dxa"/>
            <w:hideMark/>
          </w:tcPr>
          <w:p w:rsidR="009B090E" w:rsidRDefault="009B090E" w:rsidP="00C3185C">
            <w:pPr>
              <w:pStyle w:val="NormalWeb"/>
              <w:jc w:val="center"/>
            </w:pPr>
            <w:r>
              <w:t>29 (0.6)</w:t>
            </w:r>
          </w:p>
        </w:tc>
        <w:tc>
          <w:tcPr>
            <w:tcW w:w="1628" w:type="dxa"/>
            <w:hideMark/>
          </w:tcPr>
          <w:p w:rsidR="009B090E" w:rsidRDefault="009B090E" w:rsidP="00C3185C">
            <w:pPr>
              <w:pStyle w:val="NormalWeb"/>
              <w:jc w:val="center"/>
            </w:pPr>
            <w:r>
              <w:t>1 (1.9)</w:t>
            </w:r>
          </w:p>
        </w:tc>
        <w:tc>
          <w:tcPr>
            <w:tcW w:w="1628" w:type="dxa"/>
            <w:hideMark/>
          </w:tcPr>
          <w:p w:rsidR="009B090E" w:rsidRDefault="009B090E" w:rsidP="00C3185C">
            <w:pPr>
              <w:pStyle w:val="NormalWeb"/>
              <w:jc w:val="center"/>
            </w:pPr>
            <w:r>
              <w:t>3 (7.9)</w:t>
            </w:r>
          </w:p>
        </w:tc>
        <w:tc>
          <w:tcPr>
            <w:tcW w:w="1629" w:type="dxa"/>
            <w:hideMark/>
          </w:tcPr>
          <w:p w:rsidR="009B090E" w:rsidRDefault="009B090E" w:rsidP="00C3185C">
            <w:pPr>
              <w:pStyle w:val="NormalWeb"/>
              <w:jc w:val="center"/>
            </w:pPr>
            <w:r>
              <w:t>4 (4.4)</w:t>
            </w:r>
          </w:p>
        </w:tc>
      </w:tr>
      <w:tr w:rsidR="009B090E" w:rsidTr="001E5A1C">
        <w:trPr>
          <w:cnfStyle w:val="000000010000" w:firstRow="0" w:lastRow="0" w:firstColumn="0" w:lastColumn="0" w:oddVBand="0" w:evenVBand="0" w:oddHBand="0" w:evenHBand="1" w:firstRowFirstColumn="0" w:firstRowLastColumn="0" w:lastRowFirstColumn="0" w:lastRowLastColumn="0"/>
        </w:trPr>
        <w:tc>
          <w:tcPr>
            <w:tcW w:w="0" w:type="auto"/>
            <w:hideMark/>
          </w:tcPr>
          <w:p w:rsidR="009B090E" w:rsidRDefault="009B090E">
            <w:pPr>
              <w:pStyle w:val="NormalWeb"/>
            </w:pPr>
            <w:r>
              <w:t>65–79</w:t>
            </w:r>
          </w:p>
        </w:tc>
        <w:tc>
          <w:tcPr>
            <w:tcW w:w="1628" w:type="dxa"/>
            <w:hideMark/>
          </w:tcPr>
          <w:p w:rsidR="009B090E" w:rsidRDefault="009B090E" w:rsidP="00C3185C">
            <w:pPr>
              <w:pStyle w:val="NormalWeb"/>
              <w:jc w:val="center"/>
            </w:pPr>
            <w:r>
              <w:t>119(8.8)</w:t>
            </w:r>
          </w:p>
        </w:tc>
        <w:tc>
          <w:tcPr>
            <w:tcW w:w="1628" w:type="dxa"/>
            <w:hideMark/>
          </w:tcPr>
          <w:p w:rsidR="009B090E" w:rsidRDefault="009B090E" w:rsidP="00C3185C">
            <w:pPr>
              <w:pStyle w:val="NormalWeb"/>
              <w:jc w:val="center"/>
            </w:pPr>
            <w:r>
              <w:t>63 (5.0)</w:t>
            </w:r>
          </w:p>
        </w:tc>
        <w:tc>
          <w:tcPr>
            <w:tcW w:w="1629" w:type="dxa"/>
            <w:hideMark/>
          </w:tcPr>
          <w:p w:rsidR="009B090E" w:rsidRDefault="009B090E" w:rsidP="00C3185C">
            <w:pPr>
              <w:pStyle w:val="NormalWeb"/>
              <w:jc w:val="center"/>
            </w:pPr>
            <w:r>
              <w:t>182 (7.0)</w:t>
            </w:r>
          </w:p>
        </w:tc>
        <w:tc>
          <w:tcPr>
            <w:tcW w:w="1628" w:type="dxa"/>
            <w:hideMark/>
          </w:tcPr>
          <w:p w:rsidR="009B090E" w:rsidRDefault="009B090E" w:rsidP="00C3185C">
            <w:pPr>
              <w:pStyle w:val="NormalWeb"/>
              <w:jc w:val="center"/>
            </w:pPr>
            <w:r>
              <w:t>11 (21.2)</w:t>
            </w:r>
          </w:p>
        </w:tc>
        <w:tc>
          <w:tcPr>
            <w:tcW w:w="1628" w:type="dxa"/>
            <w:hideMark/>
          </w:tcPr>
          <w:p w:rsidR="009B090E" w:rsidRDefault="009B090E" w:rsidP="00C3185C">
            <w:pPr>
              <w:pStyle w:val="NormalWeb"/>
              <w:jc w:val="center"/>
            </w:pPr>
            <w:r>
              <w:t>2 (6.5)</w:t>
            </w:r>
          </w:p>
        </w:tc>
        <w:tc>
          <w:tcPr>
            <w:tcW w:w="1629" w:type="dxa"/>
            <w:hideMark/>
          </w:tcPr>
          <w:p w:rsidR="009B090E" w:rsidRDefault="009B090E" w:rsidP="00C3185C">
            <w:pPr>
              <w:pStyle w:val="NormalWeb"/>
              <w:jc w:val="center"/>
            </w:pPr>
            <w:r>
              <w:t>13 (15.7)</w:t>
            </w:r>
          </w:p>
        </w:tc>
      </w:tr>
      <w:tr w:rsidR="009B090E" w:rsidTr="001E5A1C">
        <w:tc>
          <w:tcPr>
            <w:tcW w:w="0" w:type="auto"/>
            <w:hideMark/>
          </w:tcPr>
          <w:p w:rsidR="009B090E" w:rsidRDefault="009B090E">
            <w:pPr>
              <w:pStyle w:val="NormalWeb"/>
            </w:pPr>
            <w:r>
              <w:t>80+</w:t>
            </w:r>
          </w:p>
        </w:tc>
        <w:tc>
          <w:tcPr>
            <w:tcW w:w="1628" w:type="dxa"/>
            <w:hideMark/>
          </w:tcPr>
          <w:p w:rsidR="009B090E" w:rsidRDefault="009B090E" w:rsidP="00C3185C">
            <w:pPr>
              <w:pStyle w:val="NormalWeb"/>
              <w:jc w:val="center"/>
            </w:pPr>
            <w:r>
              <w:t>297(41.1)</w:t>
            </w:r>
          </w:p>
        </w:tc>
        <w:tc>
          <w:tcPr>
            <w:tcW w:w="1628" w:type="dxa"/>
            <w:hideMark/>
          </w:tcPr>
          <w:p w:rsidR="009B090E" w:rsidRDefault="009B090E" w:rsidP="00C3185C">
            <w:pPr>
              <w:pStyle w:val="NormalWeb"/>
              <w:jc w:val="center"/>
            </w:pPr>
            <w:r>
              <w:t>396(29.7)</w:t>
            </w:r>
          </w:p>
        </w:tc>
        <w:tc>
          <w:tcPr>
            <w:tcW w:w="1629" w:type="dxa"/>
            <w:hideMark/>
          </w:tcPr>
          <w:p w:rsidR="009B090E" w:rsidRDefault="009B090E" w:rsidP="00C3185C">
            <w:pPr>
              <w:pStyle w:val="NormalWeb"/>
              <w:jc w:val="center"/>
            </w:pPr>
            <w:r>
              <w:t>693 (33.7)</w:t>
            </w:r>
          </w:p>
        </w:tc>
        <w:tc>
          <w:tcPr>
            <w:tcW w:w="1628" w:type="dxa"/>
            <w:hideMark/>
          </w:tcPr>
          <w:p w:rsidR="009B090E" w:rsidRDefault="009B090E" w:rsidP="00C3185C">
            <w:pPr>
              <w:pStyle w:val="NormalWeb"/>
              <w:jc w:val="center"/>
            </w:pPr>
            <w:r>
              <w:t>15 (46.9)</w:t>
            </w:r>
          </w:p>
        </w:tc>
        <w:tc>
          <w:tcPr>
            <w:tcW w:w="1628" w:type="dxa"/>
            <w:hideMark/>
          </w:tcPr>
          <w:p w:rsidR="009B090E" w:rsidRDefault="009B090E" w:rsidP="00C3185C">
            <w:pPr>
              <w:pStyle w:val="NormalWeb"/>
              <w:jc w:val="center"/>
            </w:pPr>
            <w:r>
              <w:t>16 (36.4)</w:t>
            </w:r>
          </w:p>
        </w:tc>
        <w:tc>
          <w:tcPr>
            <w:tcW w:w="1629" w:type="dxa"/>
            <w:hideMark/>
          </w:tcPr>
          <w:p w:rsidR="009B090E" w:rsidRDefault="009B090E" w:rsidP="00C3185C">
            <w:pPr>
              <w:pStyle w:val="NormalWeb"/>
              <w:jc w:val="center"/>
            </w:pPr>
            <w:r>
              <w:t>31 (40.8)</w:t>
            </w:r>
          </w:p>
        </w:tc>
      </w:tr>
    </w:tbl>
    <w:p w:rsidR="009B090E" w:rsidRDefault="009B090E" w:rsidP="001E5A1C">
      <w:pPr>
        <w:pStyle w:val="CDIfootnotes"/>
      </w:pPr>
      <w:proofErr w:type="gramStart"/>
      <w:r>
        <w:t>a</w:t>
      </w:r>
      <w:proofErr w:type="gramEnd"/>
      <w:r>
        <w:tab/>
        <w:t>Source: NNDSS. (Total cases = 28,801).</w:t>
      </w:r>
    </w:p>
    <w:p w:rsidR="009B090E" w:rsidRDefault="009B090E" w:rsidP="001E5A1C">
      <w:pPr>
        <w:pStyle w:val="CDIfootnotes"/>
      </w:pPr>
      <w:proofErr w:type="gramStart"/>
      <w:r>
        <w:t>b</w:t>
      </w:r>
      <w:proofErr w:type="gramEnd"/>
      <w:r>
        <w:tab/>
        <w:t>Source: FluCAN. Includes 21 sentinel hospitals. (Total cases = 424).</w:t>
      </w:r>
    </w:p>
    <w:p w:rsidR="00AE46BC" w:rsidRDefault="00AE46BC">
      <w:pPr>
        <w:rPr>
          <w:rFonts w:asciiTheme="majorHAnsi" w:eastAsia="Times New Roman" w:hAnsiTheme="majorHAnsi" w:cstheme="majorBidi"/>
          <w:b/>
          <w:bCs/>
          <w:sz w:val="26"/>
          <w:szCs w:val="26"/>
        </w:rPr>
      </w:pPr>
      <w:r>
        <w:rPr>
          <w:rFonts w:eastAsia="Times New Roman"/>
        </w:rPr>
        <w:br w:type="page"/>
      </w:r>
    </w:p>
    <w:p w:rsidR="001E5A1C" w:rsidRDefault="001E5A1C" w:rsidP="001E5A1C">
      <w:pPr>
        <w:pStyle w:val="Heading2"/>
        <w:rPr>
          <w:rFonts w:eastAsia="Times New Roman"/>
        </w:rPr>
      </w:pPr>
      <w:r>
        <w:rPr>
          <w:rFonts w:eastAsia="Times New Roman"/>
        </w:rPr>
        <w:lastRenderedPageBreak/>
        <w:t>Clusters and outbreaks</w:t>
      </w:r>
    </w:p>
    <w:p w:rsidR="009B090E" w:rsidRPr="006B1385" w:rsidRDefault="009B090E" w:rsidP="004E6AC7">
      <w:pPr>
        <w:pStyle w:val="Heading3"/>
        <w:spacing w:before="0" w:after="240"/>
        <w:rPr>
          <w:rFonts w:eastAsia="Times New Roman"/>
          <w:b w:val="0"/>
          <w:i/>
        </w:rPr>
      </w:pPr>
      <w:r w:rsidRPr="006B1385">
        <w:rPr>
          <w:rFonts w:eastAsia="Times New Roman"/>
          <w:b w:val="0"/>
          <w:i/>
        </w:rPr>
        <w:t xml:space="preserve">(State and territory reporting) </w:t>
      </w:r>
    </w:p>
    <w:p w:rsidR="009B090E" w:rsidRDefault="009B090E" w:rsidP="001E5A1C">
      <w:r>
        <w:t>For the four-week period ending 31 January 2021, there were 25 newly-reported outbreaks</w:t>
      </w:r>
      <w:r w:rsidR="00FB08B2">
        <w:rPr>
          <w:rStyle w:val="FootnoteReference"/>
        </w:rPr>
        <w:footnoteReference w:id="3"/>
      </w:r>
      <w:r>
        <w:t xml:space="preserve"> associated with 98 cases reported to COVID-Net. The majority of these outbreaks were retrospectively reported by Victoria (21) and Western Australia (1). Outbreaks also occurred in the Northern Territory (2) and Queensland (1). Outbreaks occurred in education (10), disability services (5), workplace/industry (3), travel and transport (3), ‘other’ settings (2), hospitality and entertainment (1) and childcare (1). As at the end of the reporting period, there were no open outbreaks.</w:t>
      </w:r>
      <w:r w:rsidR="00FB08B2">
        <w:rPr>
          <w:rStyle w:val="FootnoteReference"/>
        </w:rPr>
        <w:footnoteReference w:id="4"/>
      </w:r>
    </w:p>
    <w:p w:rsidR="009B090E" w:rsidRDefault="009B090E" w:rsidP="001E5A1C">
      <w:r>
        <w:t>Nationally, since the beginning of the epidemic, there have been 859 outbreaks associated with 14,022 cases; 2,061 hospitalisations; and 800 deaths.</w:t>
      </w:r>
      <w:r w:rsidR="00FB08B2">
        <w:rPr>
          <w:rStyle w:val="FootnoteReference"/>
        </w:rPr>
        <w:footnoteReference w:id="5"/>
      </w:r>
      <w:r>
        <w:t xml:space="preserve"> Consistent with the national epidemic case trend, the first peak in outbreaks occurred in mid-March. This was followed by a rapid increase in outbreaks which began in early July, corresponding with community transmission in Victoria. </w:t>
      </w:r>
    </w:p>
    <w:p w:rsidR="009B090E" w:rsidRDefault="009B090E" w:rsidP="001E5A1C">
      <w:r>
        <w:t xml:space="preserve">The median number of cases in each outbreak was six (range 2–331). Forty percent (342/859) of outbreaks had 6–24 cases, and almost a third (32%, 279/859) had only 3–5 cases. The number of cases associated with outbreaks was consistent across the two peaks in mid-March and July. The largest single jurisdictional outbreak occurred in a residential aged care facility and was associated with 301 cases. </w:t>
      </w:r>
    </w:p>
    <w:p w:rsidR="009B090E" w:rsidRDefault="009B090E" w:rsidP="001E5A1C">
      <w:r>
        <w:t>The largest number of outbreaks occurred in workplace/industry settings (191/859, 22% outbreaks; 1,583/14,022, 11% cases), followed by educational facilities (122/859, 14% outbreaks; 1,189/14,022, 8% cases), aged care facilities (114/859, 13% outbreaks; 5,275/14,022, 38% cases), and hospitals (83/859, 10% outbreaks; 1,326/14,022, 9% cases) (Figure 6). Despite having a low percentage of outbreaks (34/859, 4%), food industry settings had a substantial amount of cases (1,129/14,022, 8%). The ‘other’ category includes various settings not captured by the other exposure settings, e.g. extended family gatherings (where two or more separate households come together); religious services; hostels; sports and recreation venues; cruise ships and other mass transport.</w:t>
      </w:r>
    </w:p>
    <w:p w:rsidR="00AE46BC" w:rsidRDefault="00AE46BC">
      <w:pPr>
        <w:rPr>
          <w:b/>
        </w:rPr>
      </w:pPr>
      <w:r>
        <w:br w:type="page"/>
      </w:r>
    </w:p>
    <w:p w:rsidR="009B090E" w:rsidRDefault="009B090E" w:rsidP="001E5A1C">
      <w:pPr>
        <w:pStyle w:val="CDIFigures"/>
      </w:pPr>
      <w:r>
        <w:lastRenderedPageBreak/>
        <w:t>Figure 6: Number of outbreaks and cases by setting, Australia, 31 January 2021</w:t>
      </w:r>
    </w:p>
    <w:p w:rsidR="009B090E" w:rsidRDefault="009B090E">
      <w:pPr>
        <w:rPr>
          <w:rFonts w:eastAsia="Times New Roman"/>
        </w:rPr>
      </w:pPr>
      <w:r>
        <w:rPr>
          <w:rFonts w:eastAsia="Times New Roman"/>
          <w:noProof/>
        </w:rPr>
        <w:drawing>
          <wp:inline distT="0" distB="0" distL="0" distR="0">
            <wp:extent cx="6739724" cy="4608732"/>
            <wp:effectExtent l="0" t="0" r="4445" b="1905"/>
            <wp:docPr id="6" name="Picture 6" descr="A bar chart showing the cumulative numbers of outbreaks (shown in orange) and cases (shown in blue) reported in Australia as a function of setting. The largest number of outbreaks, accounting for 22% of the total, has occurred in the workplace/industry setting, followed by education (14%); aged care (13%); and hospital (10%). The largest number of cases has occurred in the aged care setting (38%), followed by workplace/industry (11%); hospital (9%); education (8%); and food industr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ar chart showing the cumulative numbers of outbreaks (shown in blue) and cases (shown in green) reported in Australia as a function of setting. The largest number of outbreaks, accounting for 22% of the total, has occurred in the workplace/industry setting, followed by education (14%); aged care (13%); and hospital (10%). The largest number of cases has occurred in the aged care setting (38%), followed by workplace/industry (11%); hospital (9%); education (8%); and food industry (8%)."/>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744969" cy="4612318"/>
                    </a:xfrm>
                    <a:prstGeom prst="rect">
                      <a:avLst/>
                    </a:prstGeom>
                  </pic:spPr>
                </pic:pic>
              </a:graphicData>
            </a:graphic>
          </wp:inline>
        </w:drawing>
      </w:r>
    </w:p>
    <w:p w:rsidR="009B090E" w:rsidRDefault="009B090E" w:rsidP="001E5A1C">
      <w:r>
        <w:t>Residents of aged care facilities are at increased risk of COVID-19 infection due to the environment of communal living facilities and are more vulnerable to serious complications if they do become infected. As at 31 January 2021, there have been 4,291 cases of COVID-19 associated with 220 residential aged care facilities, with 3,606 recoveries and 685 deaths. Of these cases, 2,051 occurred in aged care residents, with the remaining 2,240 cases occurring in care staff. The Commonwealth is actively supporting services with reported incidents and outbreaks of COVID-19 providing access to personal protective equipment and additional staffing resources where required. Advice and guidelines have been provided to aged care services, including the release of an outbreak management guide.</w:t>
      </w:r>
      <w:r>
        <w:rPr>
          <w:vertAlign w:val="superscript"/>
        </w:rPr>
        <w:t>11</w:t>
      </w:r>
      <w:proofErr w:type="gramStart"/>
      <w:r>
        <w:rPr>
          <w:vertAlign w:val="superscript"/>
        </w:rPr>
        <w:t>,12</w:t>
      </w:r>
      <w:proofErr w:type="gramEnd"/>
      <w:r>
        <w:rPr>
          <w:vertAlign w:val="superscript"/>
        </w:rPr>
        <w:t xml:space="preserve"> </w:t>
      </w:r>
    </w:p>
    <w:p w:rsidR="009B090E" w:rsidRPr="001E5A1C" w:rsidRDefault="009B090E" w:rsidP="001E5A1C">
      <w:pPr>
        <w:pStyle w:val="Heading1"/>
      </w:pPr>
      <w:r w:rsidRPr="001E5A1C">
        <w:t xml:space="preserve">Public health response measures </w:t>
      </w:r>
    </w:p>
    <w:p w:rsidR="009B090E" w:rsidRDefault="009B090E" w:rsidP="001E5A1C">
      <w:r>
        <w:t>Since COVID-19 first emerged internationally, Australia has implemented public health measures informed by the disease’s epidemiology (Figure 7). States and territories have decision-making authority in relation to public health measures and have implemented or eased restrictions at their own pace (Table 8), depending on the local public health and epidemiological situation, and in line with the ‘Framework for National Reopening’.</w:t>
      </w:r>
      <w:r>
        <w:rPr>
          <w:vertAlign w:val="superscript"/>
        </w:rPr>
        <w:t>13</w:t>
      </w:r>
      <w:r>
        <w:t xml:space="preserve"> During the current reporting period, there have been short-term lockdowns in Queensland and Western Australia in response to cases of COVID-19 that have been identified as variants of concern. Nationally, there have been a range of new public health measures in response to variants of concern</w:t>
      </w:r>
      <w:proofErr w:type="gramStart"/>
      <w:r>
        <w:t>,</w:t>
      </w:r>
      <w:r>
        <w:rPr>
          <w:vertAlign w:val="superscript"/>
        </w:rPr>
        <w:t>14</w:t>
      </w:r>
      <w:proofErr w:type="gramEnd"/>
      <w:r>
        <w:t xml:space="preserve"> including the introduction of pre-flight testing for travellers entering Australia and requirements to wear masks when travelling domestically or internationally.</w:t>
      </w:r>
    </w:p>
    <w:p w:rsidR="00E337E6" w:rsidRDefault="00E337E6">
      <w:pPr>
        <w:rPr>
          <w:b/>
        </w:rPr>
      </w:pPr>
      <w:r>
        <w:br w:type="page"/>
      </w:r>
    </w:p>
    <w:p w:rsidR="009B090E" w:rsidRDefault="009B090E" w:rsidP="001E5A1C">
      <w:pPr>
        <w:pStyle w:val="CDIFigures"/>
      </w:pPr>
      <w:r>
        <w:lastRenderedPageBreak/>
        <w:t>Table 8. State and territory changes to COVID-19 restrictions, Australia, 4–31 January 2021</w:t>
      </w:r>
    </w:p>
    <w:tbl>
      <w:tblPr>
        <w:tblStyle w:val="CDI-StandardTable"/>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top w:w="57" w:type="dxa"/>
          <w:left w:w="57" w:type="dxa"/>
          <w:bottom w:w="57" w:type="dxa"/>
          <w:right w:w="57" w:type="dxa"/>
        </w:tblCellMar>
        <w:tblLook w:val="04A0" w:firstRow="1" w:lastRow="0" w:firstColumn="1" w:lastColumn="0" w:noHBand="0" w:noVBand="1"/>
        <w:tblDescription w:val="Table 8 summarises measures for easing COVID-19 restrictions, applied during the current four-week reporting period, for Australian states and territories."/>
      </w:tblPr>
      <w:tblGrid>
        <w:gridCol w:w="2832"/>
        <w:gridCol w:w="7628"/>
      </w:tblGrid>
      <w:tr w:rsidR="00AA60FE" w:rsidRPr="00122C09" w:rsidTr="001D130C">
        <w:trPr>
          <w:cnfStyle w:val="100000000000" w:firstRow="1" w:lastRow="0" w:firstColumn="0" w:lastColumn="0" w:oddVBand="0" w:evenVBand="0" w:oddHBand="0" w:evenHBand="0" w:firstRowFirstColumn="0" w:firstRowLastColumn="0" w:lastRowFirstColumn="0" w:lastRowLastColumn="0"/>
          <w:tblHeader/>
        </w:trPr>
        <w:tc>
          <w:tcPr>
            <w:tcW w:w="2832" w:type="dxa"/>
            <w:hideMark/>
          </w:tcPr>
          <w:p w:rsidR="009B090E" w:rsidRPr="00122C09" w:rsidRDefault="009B090E">
            <w:pPr>
              <w:pStyle w:val="NormalWeb"/>
              <w:jc w:val="center"/>
              <w:rPr>
                <w:bCs/>
                <w:color w:val="FFFFFF" w:themeColor="background1"/>
                <w:sz w:val="21"/>
                <w:szCs w:val="21"/>
              </w:rPr>
            </w:pPr>
            <w:r w:rsidRPr="00122C09">
              <w:rPr>
                <w:bCs/>
                <w:color w:val="FFFFFF" w:themeColor="background1"/>
                <w:sz w:val="21"/>
                <w:szCs w:val="21"/>
              </w:rPr>
              <w:t>Jurisdiction</w:t>
            </w:r>
          </w:p>
        </w:tc>
        <w:tc>
          <w:tcPr>
            <w:tcW w:w="7628" w:type="dxa"/>
            <w:hideMark/>
          </w:tcPr>
          <w:p w:rsidR="009B090E" w:rsidRPr="00122C09" w:rsidRDefault="009B090E">
            <w:pPr>
              <w:pStyle w:val="NormalWeb"/>
              <w:jc w:val="center"/>
              <w:rPr>
                <w:bCs/>
                <w:color w:val="FFFFFF" w:themeColor="background1"/>
                <w:sz w:val="21"/>
                <w:szCs w:val="21"/>
              </w:rPr>
            </w:pPr>
            <w:r w:rsidRPr="00122C09">
              <w:rPr>
                <w:bCs/>
                <w:color w:val="FFFFFF" w:themeColor="background1"/>
                <w:sz w:val="21"/>
                <w:szCs w:val="21"/>
              </w:rPr>
              <w:t>Summary of changes to COVID-19 restrictions</w:t>
            </w:r>
          </w:p>
        </w:tc>
      </w:tr>
      <w:tr w:rsidR="009B090E" w:rsidRPr="00122C09" w:rsidTr="001D130C">
        <w:tc>
          <w:tcPr>
            <w:tcW w:w="2832" w:type="dxa"/>
            <w:hideMark/>
          </w:tcPr>
          <w:p w:rsidR="009B090E" w:rsidRPr="00122C09" w:rsidRDefault="009B090E">
            <w:pPr>
              <w:pStyle w:val="NormalWeb"/>
              <w:rPr>
                <w:sz w:val="21"/>
                <w:szCs w:val="21"/>
              </w:rPr>
            </w:pPr>
            <w:r w:rsidRPr="00122C09">
              <w:rPr>
                <w:sz w:val="21"/>
                <w:szCs w:val="21"/>
              </w:rPr>
              <w:t>New South Wales</w:t>
            </w:r>
          </w:p>
        </w:tc>
        <w:tc>
          <w:tcPr>
            <w:tcW w:w="7628" w:type="dxa"/>
            <w:hideMark/>
          </w:tcPr>
          <w:p w:rsidR="009B090E" w:rsidRPr="00122C09" w:rsidRDefault="009B090E" w:rsidP="003F547B">
            <w:pPr>
              <w:pStyle w:val="NoSpacing"/>
              <w:rPr>
                <w:sz w:val="21"/>
                <w:szCs w:val="21"/>
              </w:rPr>
            </w:pPr>
            <w:r w:rsidRPr="00122C09">
              <w:rPr>
                <w:sz w:val="21"/>
                <w:szCs w:val="21"/>
              </w:rPr>
              <w:t>From 10 January, New South Wales eased restrictions for the Northern Beaches hotspot in line with restrictions for Greater Sydney.</w:t>
            </w:r>
            <w:r w:rsidRPr="00122C09">
              <w:rPr>
                <w:sz w:val="21"/>
                <w:szCs w:val="21"/>
                <w:vertAlign w:val="superscript"/>
              </w:rPr>
              <w:t>15</w:t>
            </w:r>
          </w:p>
          <w:p w:rsidR="009B090E" w:rsidRPr="00122C09" w:rsidRDefault="009B090E" w:rsidP="003F547B">
            <w:pPr>
              <w:pStyle w:val="NoSpacing"/>
              <w:rPr>
                <w:sz w:val="21"/>
                <w:szCs w:val="21"/>
              </w:rPr>
            </w:pPr>
            <w:r w:rsidRPr="00122C09">
              <w:rPr>
                <w:sz w:val="21"/>
                <w:szCs w:val="21"/>
              </w:rPr>
              <w:t>From 29 January, New South Wales eased restrictions for Greater Sydney:</w:t>
            </w:r>
          </w:p>
          <w:p w:rsidR="009B090E" w:rsidRPr="00122C09" w:rsidRDefault="009B090E" w:rsidP="00425CE0">
            <w:pPr>
              <w:pStyle w:val="NoSpacing"/>
              <w:numPr>
                <w:ilvl w:val="0"/>
                <w:numId w:val="10"/>
              </w:numPr>
              <w:rPr>
                <w:sz w:val="21"/>
                <w:szCs w:val="21"/>
              </w:rPr>
            </w:pPr>
            <w:r w:rsidRPr="00122C09">
              <w:rPr>
                <w:sz w:val="21"/>
                <w:szCs w:val="21"/>
              </w:rPr>
              <w:t>Cap of 30 visitors per day in private households</w:t>
            </w:r>
          </w:p>
          <w:p w:rsidR="009B090E" w:rsidRPr="00122C09" w:rsidRDefault="009B090E" w:rsidP="00425CE0">
            <w:pPr>
              <w:pStyle w:val="NoSpacing"/>
              <w:numPr>
                <w:ilvl w:val="0"/>
                <w:numId w:val="10"/>
              </w:numPr>
              <w:rPr>
                <w:sz w:val="21"/>
                <w:szCs w:val="21"/>
              </w:rPr>
            </w:pPr>
            <w:r w:rsidRPr="00122C09">
              <w:rPr>
                <w:sz w:val="21"/>
                <w:szCs w:val="21"/>
              </w:rPr>
              <w:t>Gatherings of up to 50 people permitted in outside public places</w:t>
            </w:r>
          </w:p>
          <w:p w:rsidR="009B090E" w:rsidRPr="00122C09" w:rsidRDefault="009B090E" w:rsidP="00425CE0">
            <w:pPr>
              <w:pStyle w:val="NoSpacing"/>
              <w:numPr>
                <w:ilvl w:val="0"/>
                <w:numId w:val="10"/>
              </w:numPr>
              <w:rPr>
                <w:sz w:val="21"/>
                <w:szCs w:val="21"/>
              </w:rPr>
            </w:pPr>
            <w:r w:rsidRPr="00122C09">
              <w:rPr>
                <w:sz w:val="21"/>
                <w:szCs w:val="21"/>
              </w:rPr>
              <w:t>Gatherings of up to 300 people permitted at weddings and funerals</w:t>
            </w:r>
          </w:p>
          <w:p w:rsidR="009B090E" w:rsidRPr="00122C09" w:rsidRDefault="009B090E" w:rsidP="00425CE0">
            <w:pPr>
              <w:pStyle w:val="NoSpacing"/>
              <w:numPr>
                <w:ilvl w:val="0"/>
                <w:numId w:val="10"/>
              </w:numPr>
              <w:rPr>
                <w:sz w:val="21"/>
                <w:szCs w:val="21"/>
              </w:rPr>
            </w:pPr>
            <w:r w:rsidRPr="00122C09">
              <w:rPr>
                <w:sz w:val="21"/>
                <w:szCs w:val="21"/>
              </w:rPr>
              <w:t>Up to 25 permitted in hospitality venues before density restrictions apply</w:t>
            </w:r>
          </w:p>
          <w:p w:rsidR="009B090E" w:rsidRPr="00122C09" w:rsidRDefault="009B090E" w:rsidP="00425CE0">
            <w:pPr>
              <w:pStyle w:val="NoSpacing"/>
              <w:numPr>
                <w:ilvl w:val="0"/>
                <w:numId w:val="10"/>
              </w:numPr>
              <w:rPr>
                <w:sz w:val="21"/>
                <w:szCs w:val="21"/>
              </w:rPr>
            </w:pPr>
            <w:r w:rsidRPr="00122C09">
              <w:rPr>
                <w:sz w:val="21"/>
                <w:szCs w:val="21"/>
              </w:rPr>
              <w:t>Face masks required in select indoor settings.</w:t>
            </w:r>
          </w:p>
        </w:tc>
      </w:tr>
      <w:tr w:rsidR="009B090E" w:rsidRPr="00122C09" w:rsidTr="001D130C">
        <w:trPr>
          <w:cnfStyle w:val="000000010000" w:firstRow="0" w:lastRow="0" w:firstColumn="0" w:lastColumn="0" w:oddVBand="0" w:evenVBand="0" w:oddHBand="0" w:evenHBand="1" w:firstRowFirstColumn="0" w:firstRowLastColumn="0" w:lastRowFirstColumn="0" w:lastRowLastColumn="0"/>
        </w:trPr>
        <w:tc>
          <w:tcPr>
            <w:tcW w:w="2832" w:type="dxa"/>
            <w:hideMark/>
          </w:tcPr>
          <w:p w:rsidR="009B090E" w:rsidRPr="00122C09" w:rsidRDefault="009B090E">
            <w:pPr>
              <w:pStyle w:val="NormalWeb"/>
              <w:rPr>
                <w:sz w:val="21"/>
                <w:szCs w:val="21"/>
              </w:rPr>
            </w:pPr>
            <w:r w:rsidRPr="00122C09">
              <w:rPr>
                <w:sz w:val="21"/>
                <w:szCs w:val="21"/>
              </w:rPr>
              <w:t>Victoria</w:t>
            </w:r>
          </w:p>
        </w:tc>
        <w:tc>
          <w:tcPr>
            <w:tcW w:w="7628" w:type="dxa"/>
            <w:hideMark/>
          </w:tcPr>
          <w:p w:rsidR="009B090E" w:rsidRPr="00122C09" w:rsidRDefault="009B090E" w:rsidP="003F547B">
            <w:pPr>
              <w:pStyle w:val="NoSpacing"/>
              <w:rPr>
                <w:sz w:val="21"/>
                <w:szCs w:val="21"/>
              </w:rPr>
            </w:pPr>
            <w:r w:rsidRPr="00122C09">
              <w:rPr>
                <w:sz w:val="21"/>
                <w:szCs w:val="21"/>
              </w:rPr>
              <w:t>From 17 January, the following restrictions were eased:</w:t>
            </w:r>
            <w:r w:rsidRPr="00FB08B2">
              <w:rPr>
                <w:sz w:val="21"/>
                <w:szCs w:val="21"/>
                <w:vertAlign w:val="superscript"/>
              </w:rPr>
              <w:t>16</w:t>
            </w:r>
          </w:p>
          <w:p w:rsidR="009B090E" w:rsidRPr="00122C09" w:rsidRDefault="009B090E" w:rsidP="00913BCA">
            <w:pPr>
              <w:pStyle w:val="NoSpacing"/>
              <w:numPr>
                <w:ilvl w:val="0"/>
                <w:numId w:val="11"/>
              </w:numPr>
              <w:rPr>
                <w:sz w:val="21"/>
                <w:szCs w:val="21"/>
              </w:rPr>
            </w:pPr>
            <w:r w:rsidRPr="00122C09">
              <w:rPr>
                <w:sz w:val="21"/>
                <w:szCs w:val="21"/>
              </w:rPr>
              <w:t>Cap of 30 visitors per day in private households</w:t>
            </w:r>
          </w:p>
          <w:p w:rsidR="009B090E" w:rsidRPr="00122C09" w:rsidRDefault="009B090E" w:rsidP="00913BCA">
            <w:pPr>
              <w:pStyle w:val="NoSpacing"/>
              <w:numPr>
                <w:ilvl w:val="0"/>
                <w:numId w:val="11"/>
              </w:numPr>
              <w:rPr>
                <w:sz w:val="21"/>
                <w:szCs w:val="21"/>
              </w:rPr>
            </w:pPr>
            <w:r w:rsidRPr="00122C09">
              <w:rPr>
                <w:sz w:val="21"/>
                <w:szCs w:val="21"/>
              </w:rPr>
              <w:t>Gatherings of up to 100 people permitted in outside public places</w:t>
            </w:r>
          </w:p>
          <w:p w:rsidR="009B090E" w:rsidRPr="00122C09" w:rsidRDefault="009B090E" w:rsidP="00913BCA">
            <w:pPr>
              <w:pStyle w:val="NoSpacing"/>
              <w:numPr>
                <w:ilvl w:val="0"/>
                <w:numId w:val="11"/>
              </w:numPr>
              <w:rPr>
                <w:sz w:val="21"/>
                <w:szCs w:val="21"/>
              </w:rPr>
            </w:pPr>
            <w:r w:rsidRPr="00122C09">
              <w:rPr>
                <w:sz w:val="21"/>
                <w:szCs w:val="21"/>
              </w:rPr>
              <w:t>Up to 25 permitted in hospitality venues before density restrictions apply</w:t>
            </w:r>
          </w:p>
          <w:p w:rsidR="009B090E" w:rsidRPr="00122C09" w:rsidRDefault="009B090E" w:rsidP="00913BCA">
            <w:pPr>
              <w:pStyle w:val="NoSpacing"/>
              <w:numPr>
                <w:ilvl w:val="0"/>
                <w:numId w:val="11"/>
              </w:numPr>
              <w:rPr>
                <w:sz w:val="21"/>
                <w:szCs w:val="21"/>
              </w:rPr>
            </w:pPr>
            <w:r w:rsidRPr="00122C09">
              <w:rPr>
                <w:sz w:val="21"/>
                <w:szCs w:val="21"/>
              </w:rPr>
              <w:t>No cap on the number of attendees at weddings, funerals and religious gatherings (density restrictions apply)</w:t>
            </w:r>
          </w:p>
          <w:p w:rsidR="009B090E" w:rsidRPr="00122C09" w:rsidRDefault="009B090E" w:rsidP="00913BCA">
            <w:pPr>
              <w:pStyle w:val="NoSpacing"/>
              <w:numPr>
                <w:ilvl w:val="0"/>
                <w:numId w:val="11"/>
              </w:numPr>
              <w:rPr>
                <w:sz w:val="21"/>
                <w:szCs w:val="21"/>
              </w:rPr>
            </w:pPr>
            <w:r w:rsidRPr="00122C09">
              <w:rPr>
                <w:sz w:val="21"/>
                <w:szCs w:val="21"/>
              </w:rPr>
              <w:t>Face masks no longer mandatory in all indoor settings (required in some settings)</w:t>
            </w:r>
          </w:p>
        </w:tc>
      </w:tr>
      <w:tr w:rsidR="009B090E" w:rsidRPr="00122C09" w:rsidTr="001D130C">
        <w:tc>
          <w:tcPr>
            <w:tcW w:w="2832" w:type="dxa"/>
            <w:hideMark/>
          </w:tcPr>
          <w:p w:rsidR="009B090E" w:rsidRPr="00122C09" w:rsidRDefault="009B090E">
            <w:pPr>
              <w:pStyle w:val="NormalWeb"/>
              <w:rPr>
                <w:sz w:val="21"/>
                <w:szCs w:val="21"/>
              </w:rPr>
            </w:pPr>
            <w:r w:rsidRPr="00122C09">
              <w:rPr>
                <w:sz w:val="21"/>
                <w:szCs w:val="21"/>
              </w:rPr>
              <w:t>Queensland</w:t>
            </w:r>
          </w:p>
        </w:tc>
        <w:tc>
          <w:tcPr>
            <w:tcW w:w="7628" w:type="dxa"/>
            <w:hideMark/>
          </w:tcPr>
          <w:p w:rsidR="009B090E" w:rsidRPr="00122C09" w:rsidRDefault="009B090E" w:rsidP="003F547B">
            <w:pPr>
              <w:pStyle w:val="NoSpacing"/>
              <w:rPr>
                <w:sz w:val="21"/>
                <w:szCs w:val="21"/>
              </w:rPr>
            </w:pPr>
            <w:r w:rsidRPr="00122C09">
              <w:rPr>
                <w:sz w:val="21"/>
                <w:szCs w:val="21"/>
              </w:rPr>
              <w:t>On 8 January, Greater Brisbane entered a three day lockdown in response to a case of variant B.1.1.7. Individuals were required to stay home unless:</w:t>
            </w:r>
            <w:r w:rsidRPr="00122C09">
              <w:rPr>
                <w:sz w:val="21"/>
                <w:szCs w:val="21"/>
                <w:vertAlign w:val="superscript"/>
              </w:rPr>
              <w:t>17</w:t>
            </w:r>
          </w:p>
          <w:p w:rsidR="009B090E" w:rsidRPr="00122C09" w:rsidRDefault="009B090E" w:rsidP="007F1F7A">
            <w:pPr>
              <w:pStyle w:val="NoSpacing"/>
              <w:numPr>
                <w:ilvl w:val="0"/>
                <w:numId w:val="12"/>
              </w:numPr>
              <w:rPr>
                <w:sz w:val="21"/>
                <w:szCs w:val="21"/>
              </w:rPr>
            </w:pPr>
            <w:r w:rsidRPr="00122C09">
              <w:rPr>
                <w:sz w:val="21"/>
                <w:szCs w:val="21"/>
              </w:rPr>
              <w:t>Shopping for essential items</w:t>
            </w:r>
          </w:p>
          <w:p w:rsidR="009B090E" w:rsidRPr="00122C09" w:rsidRDefault="009B090E" w:rsidP="007F1F7A">
            <w:pPr>
              <w:pStyle w:val="NoSpacing"/>
              <w:numPr>
                <w:ilvl w:val="0"/>
                <w:numId w:val="12"/>
              </w:numPr>
              <w:rPr>
                <w:sz w:val="21"/>
                <w:szCs w:val="21"/>
              </w:rPr>
            </w:pPr>
            <w:r w:rsidRPr="00122C09">
              <w:rPr>
                <w:sz w:val="21"/>
                <w:szCs w:val="21"/>
              </w:rPr>
              <w:t>Medical or healthcare needs including emergency situations and to escape harm</w:t>
            </w:r>
          </w:p>
          <w:p w:rsidR="009B090E" w:rsidRPr="00122C09" w:rsidRDefault="009B090E" w:rsidP="007F1F7A">
            <w:pPr>
              <w:pStyle w:val="NoSpacing"/>
              <w:numPr>
                <w:ilvl w:val="0"/>
                <w:numId w:val="12"/>
              </w:numPr>
              <w:rPr>
                <w:sz w:val="21"/>
                <w:szCs w:val="21"/>
              </w:rPr>
            </w:pPr>
            <w:r w:rsidRPr="00122C09">
              <w:rPr>
                <w:sz w:val="21"/>
                <w:szCs w:val="21"/>
              </w:rPr>
              <w:t>Exercise with up to one other person</w:t>
            </w:r>
          </w:p>
          <w:p w:rsidR="009B090E" w:rsidRPr="00122C09" w:rsidRDefault="009B090E" w:rsidP="007F1F7A">
            <w:pPr>
              <w:pStyle w:val="NoSpacing"/>
              <w:numPr>
                <w:ilvl w:val="0"/>
                <w:numId w:val="12"/>
              </w:numPr>
              <w:rPr>
                <w:sz w:val="21"/>
                <w:szCs w:val="21"/>
              </w:rPr>
            </w:pPr>
            <w:r w:rsidRPr="00122C09">
              <w:rPr>
                <w:sz w:val="21"/>
                <w:szCs w:val="21"/>
              </w:rPr>
              <w:t>Work, volunteering or study when remote work is not possible</w:t>
            </w:r>
          </w:p>
          <w:p w:rsidR="009B090E" w:rsidRPr="00122C09" w:rsidRDefault="009B090E" w:rsidP="003F547B">
            <w:pPr>
              <w:pStyle w:val="NoSpacing"/>
              <w:rPr>
                <w:sz w:val="21"/>
                <w:szCs w:val="21"/>
              </w:rPr>
            </w:pPr>
            <w:r w:rsidRPr="00122C09">
              <w:rPr>
                <w:sz w:val="21"/>
                <w:szCs w:val="21"/>
              </w:rPr>
              <w:t>From 11 January, lockdown restrictions in Greater Brisbane eased, however restrictions remained for:</w:t>
            </w:r>
          </w:p>
          <w:p w:rsidR="009B090E" w:rsidRPr="00122C09" w:rsidRDefault="009B090E" w:rsidP="007F1F7A">
            <w:pPr>
              <w:pStyle w:val="NoSpacing"/>
              <w:numPr>
                <w:ilvl w:val="0"/>
                <w:numId w:val="13"/>
              </w:numPr>
              <w:rPr>
                <w:sz w:val="21"/>
                <w:szCs w:val="21"/>
              </w:rPr>
            </w:pPr>
            <w:r w:rsidRPr="00122C09">
              <w:rPr>
                <w:sz w:val="21"/>
                <w:szCs w:val="21"/>
              </w:rPr>
              <w:t>Mandatory requirement to wear face masks in some settings</w:t>
            </w:r>
          </w:p>
          <w:p w:rsidR="009B090E" w:rsidRPr="00122C09" w:rsidRDefault="009B090E" w:rsidP="007F1F7A">
            <w:pPr>
              <w:pStyle w:val="NoSpacing"/>
              <w:numPr>
                <w:ilvl w:val="0"/>
                <w:numId w:val="13"/>
              </w:numPr>
              <w:rPr>
                <w:sz w:val="21"/>
                <w:szCs w:val="21"/>
              </w:rPr>
            </w:pPr>
            <w:r w:rsidRPr="00122C09">
              <w:rPr>
                <w:sz w:val="21"/>
                <w:szCs w:val="21"/>
              </w:rPr>
              <w:t>Venue capacity restrictions</w:t>
            </w:r>
          </w:p>
          <w:p w:rsidR="009B090E" w:rsidRPr="00122C09" w:rsidRDefault="009B090E" w:rsidP="003F547B">
            <w:pPr>
              <w:pStyle w:val="NoSpacing"/>
              <w:rPr>
                <w:sz w:val="21"/>
                <w:szCs w:val="21"/>
              </w:rPr>
            </w:pPr>
            <w:r w:rsidRPr="00122C09">
              <w:rPr>
                <w:sz w:val="21"/>
                <w:szCs w:val="21"/>
              </w:rPr>
              <w:t>From 22 January, the following restrictions were eased for the entirety of Queensland:</w:t>
            </w:r>
            <w:r w:rsidRPr="00122C09">
              <w:rPr>
                <w:sz w:val="21"/>
                <w:szCs w:val="21"/>
                <w:vertAlign w:val="superscript"/>
              </w:rPr>
              <w:t>18</w:t>
            </w:r>
          </w:p>
          <w:p w:rsidR="009B090E" w:rsidRPr="00122C09" w:rsidRDefault="009B090E" w:rsidP="007F1F7A">
            <w:pPr>
              <w:pStyle w:val="NoSpacing"/>
              <w:numPr>
                <w:ilvl w:val="0"/>
                <w:numId w:val="14"/>
              </w:numPr>
              <w:rPr>
                <w:sz w:val="21"/>
                <w:szCs w:val="21"/>
              </w:rPr>
            </w:pPr>
            <w:r w:rsidRPr="00122C09">
              <w:rPr>
                <w:sz w:val="21"/>
                <w:szCs w:val="21"/>
              </w:rPr>
              <w:t>Cap of 50 visitors in private households</w:t>
            </w:r>
          </w:p>
          <w:p w:rsidR="009B090E" w:rsidRPr="00122C09" w:rsidRDefault="009B090E" w:rsidP="007F1F7A">
            <w:pPr>
              <w:pStyle w:val="NoSpacing"/>
              <w:numPr>
                <w:ilvl w:val="0"/>
                <w:numId w:val="14"/>
              </w:numPr>
              <w:rPr>
                <w:sz w:val="21"/>
                <w:szCs w:val="21"/>
              </w:rPr>
            </w:pPr>
            <w:r w:rsidRPr="00122C09">
              <w:rPr>
                <w:sz w:val="21"/>
                <w:szCs w:val="21"/>
              </w:rPr>
              <w:t>Gatherings of up to 100 people permitted in public places (with density restrictions)</w:t>
            </w:r>
          </w:p>
          <w:p w:rsidR="009B090E" w:rsidRPr="00122C09" w:rsidRDefault="009B090E" w:rsidP="007F1F7A">
            <w:pPr>
              <w:pStyle w:val="NoSpacing"/>
              <w:numPr>
                <w:ilvl w:val="0"/>
                <w:numId w:val="14"/>
              </w:numPr>
              <w:rPr>
                <w:sz w:val="21"/>
                <w:szCs w:val="21"/>
              </w:rPr>
            </w:pPr>
            <w:r w:rsidRPr="00122C09">
              <w:rPr>
                <w:sz w:val="21"/>
                <w:szCs w:val="21"/>
              </w:rPr>
              <w:t>Gatherings of up to 200 permitted at weddings and funerals</w:t>
            </w:r>
          </w:p>
          <w:p w:rsidR="009B090E" w:rsidRPr="00122C09" w:rsidRDefault="009B090E" w:rsidP="007F1F7A">
            <w:pPr>
              <w:pStyle w:val="NoSpacing"/>
              <w:numPr>
                <w:ilvl w:val="0"/>
                <w:numId w:val="14"/>
              </w:numPr>
              <w:rPr>
                <w:sz w:val="21"/>
                <w:szCs w:val="21"/>
              </w:rPr>
            </w:pPr>
            <w:r w:rsidRPr="00122C09">
              <w:rPr>
                <w:sz w:val="21"/>
                <w:szCs w:val="21"/>
              </w:rPr>
              <w:t>Up to 1500 permitted at outdoor major events and 500 permitted in indoor major events</w:t>
            </w:r>
          </w:p>
        </w:tc>
      </w:tr>
      <w:tr w:rsidR="009B090E" w:rsidRPr="00122C09" w:rsidTr="001D130C">
        <w:trPr>
          <w:cnfStyle w:val="000000010000" w:firstRow="0" w:lastRow="0" w:firstColumn="0" w:lastColumn="0" w:oddVBand="0" w:evenVBand="0" w:oddHBand="0" w:evenHBand="1" w:firstRowFirstColumn="0" w:firstRowLastColumn="0" w:lastRowFirstColumn="0" w:lastRowLastColumn="0"/>
        </w:trPr>
        <w:tc>
          <w:tcPr>
            <w:tcW w:w="2832" w:type="dxa"/>
            <w:hideMark/>
          </w:tcPr>
          <w:p w:rsidR="009B090E" w:rsidRPr="00122C09" w:rsidRDefault="009B090E">
            <w:pPr>
              <w:pStyle w:val="NormalWeb"/>
              <w:rPr>
                <w:sz w:val="21"/>
                <w:szCs w:val="21"/>
              </w:rPr>
            </w:pPr>
            <w:r w:rsidRPr="00122C09">
              <w:rPr>
                <w:sz w:val="21"/>
                <w:szCs w:val="21"/>
              </w:rPr>
              <w:t>Western Australia</w:t>
            </w:r>
          </w:p>
        </w:tc>
        <w:tc>
          <w:tcPr>
            <w:tcW w:w="7628" w:type="dxa"/>
            <w:hideMark/>
          </w:tcPr>
          <w:p w:rsidR="009B090E" w:rsidRPr="00122C09" w:rsidRDefault="009B090E" w:rsidP="003F547B">
            <w:pPr>
              <w:pStyle w:val="NoSpacing"/>
              <w:rPr>
                <w:sz w:val="21"/>
                <w:szCs w:val="21"/>
              </w:rPr>
            </w:pPr>
            <w:r w:rsidRPr="00122C09">
              <w:rPr>
                <w:sz w:val="21"/>
                <w:szCs w:val="21"/>
              </w:rPr>
              <w:t>From 31 January, Perth metropolitan area and the Peel and South West regions entered a 5-day lockdown following a case in a hotel quarantine worker. Individuals were required to stay home unless:</w:t>
            </w:r>
            <w:r w:rsidRPr="00FB08B2">
              <w:rPr>
                <w:sz w:val="21"/>
                <w:szCs w:val="21"/>
                <w:vertAlign w:val="superscript"/>
              </w:rPr>
              <w:t>19</w:t>
            </w:r>
          </w:p>
          <w:p w:rsidR="009B090E" w:rsidRPr="00122C09" w:rsidRDefault="009B090E" w:rsidP="007F1F7A">
            <w:pPr>
              <w:pStyle w:val="NoSpacing"/>
              <w:numPr>
                <w:ilvl w:val="0"/>
                <w:numId w:val="15"/>
              </w:numPr>
              <w:rPr>
                <w:sz w:val="21"/>
                <w:szCs w:val="21"/>
              </w:rPr>
            </w:pPr>
            <w:r w:rsidRPr="00122C09">
              <w:rPr>
                <w:sz w:val="21"/>
                <w:szCs w:val="21"/>
              </w:rPr>
              <w:t>Shopping for essential items</w:t>
            </w:r>
          </w:p>
          <w:p w:rsidR="009B090E" w:rsidRPr="00122C09" w:rsidRDefault="009B090E" w:rsidP="007F1F7A">
            <w:pPr>
              <w:pStyle w:val="NoSpacing"/>
              <w:numPr>
                <w:ilvl w:val="0"/>
                <w:numId w:val="15"/>
              </w:numPr>
              <w:rPr>
                <w:sz w:val="21"/>
                <w:szCs w:val="21"/>
              </w:rPr>
            </w:pPr>
            <w:r w:rsidRPr="00122C09">
              <w:rPr>
                <w:sz w:val="21"/>
                <w:szCs w:val="21"/>
              </w:rPr>
              <w:t>Medical or healthcare needs</w:t>
            </w:r>
          </w:p>
          <w:p w:rsidR="009B090E" w:rsidRPr="00122C09" w:rsidRDefault="009B090E" w:rsidP="007F1F7A">
            <w:pPr>
              <w:pStyle w:val="NoSpacing"/>
              <w:numPr>
                <w:ilvl w:val="0"/>
                <w:numId w:val="15"/>
              </w:numPr>
              <w:rPr>
                <w:sz w:val="21"/>
                <w:szCs w:val="21"/>
              </w:rPr>
            </w:pPr>
            <w:r w:rsidRPr="00122C09">
              <w:rPr>
                <w:sz w:val="21"/>
                <w:szCs w:val="21"/>
              </w:rPr>
              <w:t>Exercise with up to one other person in their neighbourhood</w:t>
            </w:r>
          </w:p>
          <w:p w:rsidR="009B090E" w:rsidRPr="00122C09" w:rsidRDefault="009B090E" w:rsidP="007F1F7A">
            <w:pPr>
              <w:pStyle w:val="NoSpacing"/>
              <w:numPr>
                <w:ilvl w:val="0"/>
                <w:numId w:val="15"/>
              </w:numPr>
              <w:rPr>
                <w:sz w:val="21"/>
                <w:szCs w:val="21"/>
              </w:rPr>
            </w:pPr>
            <w:r w:rsidRPr="00122C09">
              <w:rPr>
                <w:sz w:val="21"/>
                <w:szCs w:val="21"/>
              </w:rPr>
              <w:t>Work if working from home or remotely is not an option</w:t>
            </w:r>
          </w:p>
        </w:tc>
      </w:tr>
      <w:tr w:rsidR="009B090E" w:rsidRPr="00122C09" w:rsidTr="001D130C">
        <w:tc>
          <w:tcPr>
            <w:tcW w:w="2832" w:type="dxa"/>
            <w:hideMark/>
          </w:tcPr>
          <w:p w:rsidR="009B090E" w:rsidRPr="00122C09" w:rsidRDefault="009B090E">
            <w:pPr>
              <w:pStyle w:val="NormalWeb"/>
              <w:rPr>
                <w:sz w:val="21"/>
                <w:szCs w:val="21"/>
              </w:rPr>
            </w:pPr>
            <w:r w:rsidRPr="00122C09">
              <w:rPr>
                <w:sz w:val="21"/>
                <w:szCs w:val="21"/>
              </w:rPr>
              <w:t>South Australia</w:t>
            </w:r>
          </w:p>
        </w:tc>
        <w:tc>
          <w:tcPr>
            <w:tcW w:w="7628" w:type="dxa"/>
            <w:hideMark/>
          </w:tcPr>
          <w:p w:rsidR="009B090E" w:rsidRPr="00122C09" w:rsidRDefault="009B090E" w:rsidP="003F547B">
            <w:pPr>
              <w:pStyle w:val="NoSpacing"/>
              <w:rPr>
                <w:sz w:val="21"/>
                <w:szCs w:val="21"/>
              </w:rPr>
            </w:pPr>
            <w:r w:rsidRPr="00122C09">
              <w:rPr>
                <w:sz w:val="21"/>
                <w:szCs w:val="21"/>
              </w:rPr>
              <w:t>No further easing of restrictions during this reporting period.</w:t>
            </w:r>
            <w:r w:rsidRPr="00122C09">
              <w:rPr>
                <w:sz w:val="21"/>
                <w:szCs w:val="21"/>
                <w:vertAlign w:val="superscript"/>
              </w:rPr>
              <w:t>20</w:t>
            </w:r>
          </w:p>
        </w:tc>
      </w:tr>
      <w:tr w:rsidR="009B090E" w:rsidRPr="00122C09" w:rsidTr="001D130C">
        <w:trPr>
          <w:cnfStyle w:val="000000010000" w:firstRow="0" w:lastRow="0" w:firstColumn="0" w:lastColumn="0" w:oddVBand="0" w:evenVBand="0" w:oddHBand="0" w:evenHBand="1" w:firstRowFirstColumn="0" w:firstRowLastColumn="0" w:lastRowFirstColumn="0" w:lastRowLastColumn="0"/>
        </w:trPr>
        <w:tc>
          <w:tcPr>
            <w:tcW w:w="2832" w:type="dxa"/>
            <w:hideMark/>
          </w:tcPr>
          <w:p w:rsidR="009B090E" w:rsidRPr="00122C09" w:rsidRDefault="009B090E">
            <w:pPr>
              <w:pStyle w:val="NormalWeb"/>
              <w:rPr>
                <w:sz w:val="21"/>
                <w:szCs w:val="21"/>
              </w:rPr>
            </w:pPr>
            <w:r w:rsidRPr="00122C09">
              <w:rPr>
                <w:sz w:val="21"/>
                <w:szCs w:val="21"/>
              </w:rPr>
              <w:t>Tasmania</w:t>
            </w:r>
          </w:p>
        </w:tc>
        <w:tc>
          <w:tcPr>
            <w:tcW w:w="7628" w:type="dxa"/>
            <w:hideMark/>
          </w:tcPr>
          <w:p w:rsidR="009B090E" w:rsidRPr="00122C09" w:rsidRDefault="009B090E" w:rsidP="003F547B">
            <w:pPr>
              <w:pStyle w:val="NoSpacing"/>
              <w:rPr>
                <w:sz w:val="21"/>
                <w:szCs w:val="21"/>
              </w:rPr>
            </w:pPr>
            <w:r w:rsidRPr="00122C09">
              <w:rPr>
                <w:sz w:val="21"/>
                <w:szCs w:val="21"/>
              </w:rPr>
              <w:t>No further easing of restrictions during this reporting period.</w:t>
            </w:r>
            <w:r w:rsidRPr="00122C09">
              <w:rPr>
                <w:sz w:val="21"/>
                <w:szCs w:val="21"/>
                <w:vertAlign w:val="superscript"/>
              </w:rPr>
              <w:t>21</w:t>
            </w:r>
          </w:p>
        </w:tc>
      </w:tr>
      <w:tr w:rsidR="009B090E" w:rsidRPr="00122C09" w:rsidTr="001D130C">
        <w:tc>
          <w:tcPr>
            <w:tcW w:w="2832" w:type="dxa"/>
            <w:hideMark/>
          </w:tcPr>
          <w:p w:rsidR="009B090E" w:rsidRPr="00122C09" w:rsidRDefault="009B090E">
            <w:pPr>
              <w:pStyle w:val="NormalWeb"/>
              <w:rPr>
                <w:sz w:val="21"/>
                <w:szCs w:val="21"/>
              </w:rPr>
            </w:pPr>
            <w:r w:rsidRPr="00122C09">
              <w:rPr>
                <w:sz w:val="21"/>
                <w:szCs w:val="21"/>
              </w:rPr>
              <w:t>Australian Capital Territory</w:t>
            </w:r>
          </w:p>
        </w:tc>
        <w:tc>
          <w:tcPr>
            <w:tcW w:w="7628" w:type="dxa"/>
            <w:hideMark/>
          </w:tcPr>
          <w:p w:rsidR="009B090E" w:rsidRPr="00122C09" w:rsidRDefault="009B090E" w:rsidP="003F547B">
            <w:pPr>
              <w:pStyle w:val="NoSpacing"/>
              <w:rPr>
                <w:sz w:val="21"/>
                <w:szCs w:val="21"/>
              </w:rPr>
            </w:pPr>
            <w:r w:rsidRPr="00122C09">
              <w:rPr>
                <w:sz w:val="21"/>
                <w:szCs w:val="21"/>
              </w:rPr>
              <w:t>No further easing of restrictions during this reporting period.</w:t>
            </w:r>
            <w:r w:rsidRPr="00122C09">
              <w:rPr>
                <w:sz w:val="21"/>
                <w:szCs w:val="21"/>
                <w:vertAlign w:val="superscript"/>
              </w:rPr>
              <w:t>22</w:t>
            </w:r>
          </w:p>
        </w:tc>
      </w:tr>
      <w:tr w:rsidR="009B090E" w:rsidRPr="00122C09" w:rsidTr="001D130C">
        <w:trPr>
          <w:cnfStyle w:val="000000010000" w:firstRow="0" w:lastRow="0" w:firstColumn="0" w:lastColumn="0" w:oddVBand="0" w:evenVBand="0" w:oddHBand="0" w:evenHBand="1" w:firstRowFirstColumn="0" w:firstRowLastColumn="0" w:lastRowFirstColumn="0" w:lastRowLastColumn="0"/>
        </w:trPr>
        <w:tc>
          <w:tcPr>
            <w:tcW w:w="2832" w:type="dxa"/>
            <w:hideMark/>
          </w:tcPr>
          <w:p w:rsidR="009B090E" w:rsidRPr="00122C09" w:rsidRDefault="009B090E">
            <w:pPr>
              <w:pStyle w:val="NormalWeb"/>
              <w:rPr>
                <w:sz w:val="21"/>
                <w:szCs w:val="21"/>
              </w:rPr>
            </w:pPr>
            <w:r w:rsidRPr="00122C09">
              <w:rPr>
                <w:sz w:val="21"/>
                <w:szCs w:val="21"/>
              </w:rPr>
              <w:t>Northern Territory</w:t>
            </w:r>
          </w:p>
        </w:tc>
        <w:tc>
          <w:tcPr>
            <w:tcW w:w="7628" w:type="dxa"/>
            <w:hideMark/>
          </w:tcPr>
          <w:p w:rsidR="009B090E" w:rsidRPr="00122C09" w:rsidRDefault="009B090E" w:rsidP="003F547B">
            <w:pPr>
              <w:pStyle w:val="NoSpacing"/>
              <w:rPr>
                <w:sz w:val="21"/>
                <w:szCs w:val="21"/>
              </w:rPr>
            </w:pPr>
            <w:r w:rsidRPr="00122C09">
              <w:rPr>
                <w:sz w:val="21"/>
                <w:szCs w:val="21"/>
              </w:rPr>
              <w:t>No further easing of restrictions during this reporting period.</w:t>
            </w:r>
            <w:r w:rsidRPr="00122C09">
              <w:rPr>
                <w:sz w:val="21"/>
                <w:szCs w:val="21"/>
                <w:vertAlign w:val="superscript"/>
              </w:rPr>
              <w:t>23</w:t>
            </w:r>
          </w:p>
        </w:tc>
      </w:tr>
    </w:tbl>
    <w:p w:rsidR="00AA60FE" w:rsidRDefault="00AA60FE" w:rsidP="00AA60FE">
      <w:pPr>
        <w:pStyle w:val="CDIFigures"/>
        <w:sectPr w:rsidR="00AA60FE" w:rsidSect="00A30C37">
          <w:headerReference w:type="default" r:id="rId15"/>
          <w:footerReference w:type="default" r:id="rId16"/>
          <w:footerReference w:type="first" r:id="rId17"/>
          <w:footnotePr>
            <w:numFmt w:val="lowerRoman"/>
          </w:footnotePr>
          <w:pgSz w:w="11906" w:h="16838"/>
          <w:pgMar w:top="720" w:right="720" w:bottom="1134" w:left="720" w:header="709" w:footer="284" w:gutter="0"/>
          <w:cols w:space="708"/>
          <w:titlePg/>
          <w:docGrid w:linePitch="360"/>
        </w:sectPr>
      </w:pPr>
    </w:p>
    <w:p w:rsidR="009B090E" w:rsidRDefault="009B090E" w:rsidP="00AA60FE">
      <w:pPr>
        <w:pStyle w:val="CDIFigures"/>
      </w:pPr>
      <w:r>
        <w:lastRenderedPageBreak/>
        <w:t>Figure 7: COVID-19 notifications in Australia by week of diagnosis and jurisdiction to 31 January 2021 with timing of key public health measures</w:t>
      </w:r>
    </w:p>
    <w:p w:rsidR="009B090E" w:rsidRDefault="009B090E">
      <w:pPr>
        <w:rPr>
          <w:rFonts w:eastAsia="Times New Roman"/>
        </w:rPr>
      </w:pPr>
      <w:r>
        <w:rPr>
          <w:rFonts w:eastAsia="Times New Roman"/>
          <w:noProof/>
        </w:rPr>
        <w:drawing>
          <wp:inline distT="0" distB="0" distL="0" distR="0">
            <wp:extent cx="9449131" cy="5203640"/>
            <wp:effectExtent l="0" t="0" r="0" b="0"/>
            <wp:docPr id="7" name="Picture 7" descr="A bar chart showing COVID-19 notifications by week of diagnosis and jurisdiction, for cases reported to NNDSS. Notifications for the cases shown have diagnosis weeks ending from 19 January 2020 to 31 January 2021. The chart also highlights the timing of key public health measures such as quarantine and self-isolation advice and restrictions on gatherings and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bar chart showing COVID-19 notifications by week of diagnosis and jurisdiction, for cases reported to NNDSS. Notifications for the cases shown have diagnosis weeks ending from 19 January 2020 to 31 January 2021. The chart also highlights the timing of key public health measures such as quarantine and self-isolation advice and restrictions on gatherings and travel."/>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9458079" cy="5208567"/>
                    </a:xfrm>
                    <a:prstGeom prst="rect">
                      <a:avLst/>
                    </a:prstGeom>
                  </pic:spPr>
                </pic:pic>
              </a:graphicData>
            </a:graphic>
          </wp:inline>
        </w:drawing>
      </w:r>
    </w:p>
    <w:p w:rsidR="009B090E" w:rsidRDefault="009B090E">
      <w:pPr>
        <w:pStyle w:val="Heading1"/>
        <w:rPr>
          <w:rFonts w:eastAsia="Times New Roman"/>
        </w:rPr>
      </w:pPr>
      <w:r>
        <w:rPr>
          <w:rFonts w:eastAsia="Times New Roman"/>
        </w:rPr>
        <w:t> </w:t>
      </w:r>
    </w:p>
    <w:p w:rsidR="00AA60FE" w:rsidRDefault="00AA60FE">
      <w:pPr>
        <w:pStyle w:val="Heading1"/>
        <w:rPr>
          <w:rFonts w:eastAsia="Times New Roman"/>
        </w:rPr>
        <w:sectPr w:rsidR="00AA60FE" w:rsidSect="00AA60FE">
          <w:pgSz w:w="16838" w:h="11906" w:orient="landscape"/>
          <w:pgMar w:top="720" w:right="720" w:bottom="720" w:left="1134" w:header="709" w:footer="284" w:gutter="0"/>
          <w:cols w:space="708"/>
          <w:titlePg/>
          <w:docGrid w:linePitch="360"/>
        </w:sectPr>
      </w:pPr>
    </w:p>
    <w:p w:rsidR="009B090E" w:rsidRDefault="009B090E">
      <w:pPr>
        <w:pStyle w:val="Heading1"/>
        <w:rPr>
          <w:rFonts w:eastAsia="Times New Roman"/>
        </w:rPr>
      </w:pPr>
      <w:r>
        <w:rPr>
          <w:rFonts w:eastAsia="Times New Roman"/>
        </w:rPr>
        <w:lastRenderedPageBreak/>
        <w:t xml:space="preserve">Countries and territories in Australia’s near region </w:t>
      </w:r>
    </w:p>
    <w:p w:rsidR="009B090E" w:rsidRDefault="009B090E" w:rsidP="00381C4B">
      <w:r>
        <w:t>According to the World Health Organization (WHO), as of 31 January 2021, 46 countries and territories in Australia’s near region (WHO’s South East Asia (SEARO) and Western Pacific (WPRO) regions) reported 1,113,019 newly-confirmed cases and 17,514 deaths in the four-week reporting period since 4 January 2021, bringing the cumulative cases in the two regions to 14.3 million and 222,295 cumulative deaths.</w:t>
      </w:r>
      <w:r>
        <w:rPr>
          <w:vertAlign w:val="superscript"/>
        </w:rPr>
        <w:t>24</w:t>
      </w:r>
      <w:r>
        <w:t xml:space="preserve"> In the Western Pacific, both new case numbers and deaths have increased by 55.2% and 67.6%, respectively, in the last four weeks compared to the previous four-week period. Conversely, cases and deaths in South East Asia have decreased this four-week period by 17.8% and 17.6% respectively, compared to the figures for the preceding four-week period. </w:t>
      </w:r>
    </w:p>
    <w:p w:rsidR="009B090E" w:rsidRDefault="009B090E" w:rsidP="00381C4B">
      <w:r>
        <w:t xml:space="preserve">Countries in the regions that reported the highest number of new cases were: </w:t>
      </w:r>
    </w:p>
    <w:p w:rsidR="009B090E" w:rsidRPr="00381C4B" w:rsidRDefault="009B090E" w:rsidP="00381C4B">
      <w:pPr>
        <w:pStyle w:val="ListParagraph"/>
        <w:numPr>
          <w:ilvl w:val="0"/>
          <w:numId w:val="9"/>
        </w:numPr>
        <w:rPr>
          <w:rFonts w:eastAsia="Times New Roman"/>
        </w:rPr>
      </w:pPr>
      <w:r w:rsidRPr="00381C4B">
        <w:rPr>
          <w:rFonts w:eastAsia="Times New Roman"/>
        </w:rPr>
        <w:t xml:space="preserve">India reported 38% fewer new cases and 48% fewer deaths this reporting period compared to the previous four weeks (422,218 new cases since 4 January; 10,746,183 cumulative cases; 4,839 new deaths; 154,274 cumulative deaths); </w:t>
      </w:r>
    </w:p>
    <w:p w:rsidR="009B090E" w:rsidRPr="00381C4B" w:rsidRDefault="009B090E" w:rsidP="00381C4B">
      <w:pPr>
        <w:pStyle w:val="ListParagraph"/>
        <w:numPr>
          <w:ilvl w:val="0"/>
          <w:numId w:val="9"/>
        </w:numPr>
        <w:rPr>
          <w:rFonts w:eastAsia="Times New Roman"/>
        </w:rPr>
      </w:pPr>
      <w:r w:rsidRPr="00381C4B">
        <w:rPr>
          <w:rFonts w:eastAsia="Times New Roman"/>
        </w:rPr>
        <w:t xml:space="preserve">Indonesia reported an increase in new cases of around 63% and a 44% increase in deaths compared to the previous four weeks (307,840 new cases since 4 January; 1,066,313 cumulative cases; 7,173 new deaths; 29,728 cumulative deaths); </w:t>
      </w:r>
    </w:p>
    <w:p w:rsidR="009B090E" w:rsidRPr="00381C4B" w:rsidRDefault="009B090E" w:rsidP="00381C4B">
      <w:pPr>
        <w:pStyle w:val="ListParagraph"/>
        <w:numPr>
          <w:ilvl w:val="0"/>
          <w:numId w:val="9"/>
        </w:numPr>
        <w:rPr>
          <w:rFonts w:eastAsia="Times New Roman"/>
        </w:rPr>
      </w:pPr>
      <w:r w:rsidRPr="00381C4B">
        <w:rPr>
          <w:rFonts w:eastAsia="Times New Roman"/>
        </w:rPr>
        <w:t xml:space="preserve">Bangladesh reported a decreasing trend in new cases of around 50% this reporting period. Deaths are also becoming fewer with 35% fewer deaths in the past four weeks compared to the previous four-week period. (19,586 new cases since 4 January; 534,770 cumulative cases; 512 new deaths; 8,111 cumulative deaths). </w:t>
      </w:r>
    </w:p>
    <w:p w:rsidR="009B090E" w:rsidRPr="00381C4B" w:rsidRDefault="009B090E" w:rsidP="00381C4B">
      <w:pPr>
        <w:pStyle w:val="ListParagraph"/>
        <w:numPr>
          <w:ilvl w:val="0"/>
          <w:numId w:val="9"/>
        </w:numPr>
        <w:rPr>
          <w:rFonts w:eastAsia="Times New Roman"/>
        </w:rPr>
      </w:pPr>
      <w:r w:rsidRPr="00381C4B">
        <w:rPr>
          <w:rFonts w:eastAsia="Times New Roman"/>
        </w:rPr>
        <w:t xml:space="preserve">Japan reported an 80% increase in new cases this reporting period compared to the previous four-week period. More than a third of Japan’s deaths from COVID-19 have taken place in the past four weeks (145,788 new cases since 4 January; 386,742 cumulative cases; 2,106 new deaths; 5,654 cumulative deaths). </w:t>
      </w:r>
    </w:p>
    <w:p w:rsidR="009B090E" w:rsidRPr="00381C4B" w:rsidRDefault="009B090E" w:rsidP="00381C4B">
      <w:pPr>
        <w:pStyle w:val="ListParagraph"/>
        <w:numPr>
          <w:ilvl w:val="0"/>
          <w:numId w:val="9"/>
        </w:numPr>
        <w:rPr>
          <w:rFonts w:eastAsia="Times New Roman"/>
        </w:rPr>
      </w:pPr>
      <w:r w:rsidRPr="00381C4B">
        <w:rPr>
          <w:rFonts w:eastAsia="Times New Roman"/>
        </w:rPr>
        <w:t xml:space="preserve">Malaysia reported a 101% increase in new cases this reporting period compared to the previous four-week period, with reported deaths from COVID-19 this reporting period increasing by 155% (92,288 new cases since 4 January; 209,661 cumulative cases; 263 new deaths; 746 cumulative deaths). Over a third of Malaysia’s deaths have taken place in the past four weeks. </w:t>
      </w:r>
    </w:p>
    <w:p w:rsidR="009B090E" w:rsidRDefault="009B090E" w:rsidP="00381C4B">
      <w:r>
        <w:t xml:space="preserve">Countries such as Fiji, the Solomon Islands, Marshall Islands, </w:t>
      </w:r>
      <w:proofErr w:type="gramStart"/>
      <w:r>
        <w:t>New</w:t>
      </w:r>
      <w:proofErr w:type="gramEnd"/>
      <w:r>
        <w:t xml:space="preserve"> Caledonia are detecting cases mainly among international arrivals while in quarantine, thus preventing further transmission into the community. Of note since the last report, New Zealand reported three cases who acquired their infection in a hotel quarantine setting, all of which were the South African variant 20C/501Y.V2 (lineage B.1.351). Fifteen Pacific Island countries reported no new cases in the past month. </w:t>
      </w:r>
    </w:p>
    <w:p w:rsidR="009B090E" w:rsidRDefault="009B090E" w:rsidP="00381C4B">
      <w:r>
        <w:t xml:space="preserve">Table 9 outlines the current Transmission Classification set by WHO for Australia’s near region. Under the WHO’s classification Australia has a transmission classification of ‘cluster of cases’. </w:t>
      </w:r>
    </w:p>
    <w:p w:rsidR="00381C4B" w:rsidRDefault="00381C4B">
      <w:pPr>
        <w:rPr>
          <w:b/>
        </w:rPr>
      </w:pPr>
      <w:r>
        <w:br w:type="page"/>
      </w:r>
    </w:p>
    <w:p w:rsidR="009B090E" w:rsidRDefault="009B090E" w:rsidP="00381C4B">
      <w:pPr>
        <w:pStyle w:val="CDIFigures"/>
      </w:pPr>
      <w:r>
        <w:lastRenderedPageBreak/>
        <w:t>Table 9: Transmission patterns for countries in Australia’s near region, WHO, 31 January 2021</w:t>
      </w:r>
      <w:r w:rsidRPr="004E6AC7">
        <w:rPr>
          <w:vertAlign w:val="superscript"/>
        </w:rPr>
        <w:t>a</w:t>
      </w:r>
    </w:p>
    <w:tbl>
      <w:tblPr>
        <w:tblStyle w:val="CDI-StandardTable"/>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top w:w="113" w:type="dxa"/>
          <w:left w:w="113" w:type="dxa"/>
          <w:bottom w:w="113" w:type="dxa"/>
          <w:right w:w="113" w:type="dxa"/>
        </w:tblCellMar>
        <w:tblLook w:val="04A0" w:firstRow="1" w:lastRow="0" w:firstColumn="1" w:lastColumn="0" w:noHBand="0" w:noVBand="1"/>
        <w:tblDescription w:val="A table summarising transmission patterns (comprising: no cases; sporadic cases; clusters of cases; and community transmission) among the countries in Australia’s near region. Several smaller Western Pacific nations are currently exhibiting no cases or only sporadic cases. Four countries in the near region have current community transmission: Bangladesh, Indonesia, Papua New Guinea and the Philippines."/>
      </w:tblPr>
      <w:tblGrid>
        <w:gridCol w:w="6001"/>
        <w:gridCol w:w="4459"/>
      </w:tblGrid>
      <w:tr w:rsidR="00381C4B" w:rsidRPr="00381C4B" w:rsidTr="004162AD">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9B090E" w:rsidRPr="00381C4B" w:rsidRDefault="009B090E">
            <w:pPr>
              <w:pStyle w:val="NormalWeb"/>
              <w:jc w:val="center"/>
              <w:rPr>
                <w:bCs/>
                <w:color w:val="FFFFFF" w:themeColor="background1"/>
              </w:rPr>
            </w:pPr>
            <w:r w:rsidRPr="00381C4B">
              <w:rPr>
                <w:bCs/>
                <w:color w:val="FFFFFF" w:themeColor="background1"/>
              </w:rPr>
              <w:t>Category</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9B090E" w:rsidRPr="00381C4B" w:rsidRDefault="009B090E">
            <w:pPr>
              <w:pStyle w:val="NormalWeb"/>
              <w:jc w:val="center"/>
              <w:rPr>
                <w:bCs/>
                <w:color w:val="FFFFFF" w:themeColor="background1"/>
              </w:rPr>
            </w:pPr>
            <w:r w:rsidRPr="00381C4B">
              <w:rPr>
                <w:bCs/>
                <w:color w:val="FFFFFF" w:themeColor="background1"/>
              </w:rPr>
              <w:t>Country</w:t>
            </w:r>
          </w:p>
        </w:tc>
      </w:tr>
      <w:tr w:rsidR="009B090E" w:rsidTr="004162AD">
        <w:tc>
          <w:tcPr>
            <w:tcW w:w="0" w:type="auto"/>
            <w:tcBorders>
              <w:top w:val="single" w:sz="2" w:space="0" w:color="FFFFFF" w:themeColor="background1"/>
            </w:tcBorders>
            <w:hideMark/>
          </w:tcPr>
          <w:p w:rsidR="009B090E" w:rsidRPr="00D672B7" w:rsidRDefault="009B090E" w:rsidP="00155167">
            <w:pPr>
              <w:pStyle w:val="NoSpacing"/>
              <w:rPr>
                <w:b/>
              </w:rPr>
            </w:pPr>
            <w:r w:rsidRPr="00D672B7">
              <w:rPr>
                <w:b/>
              </w:rPr>
              <w:t>No cases</w:t>
            </w:r>
          </w:p>
          <w:p w:rsidR="009B090E" w:rsidRPr="00D672B7" w:rsidRDefault="009B090E" w:rsidP="00155167">
            <w:pPr>
              <w:pStyle w:val="NoSpacing"/>
              <w:rPr>
                <w:i/>
              </w:rPr>
            </w:pPr>
            <w:r w:rsidRPr="00D672B7">
              <w:rPr>
                <w:i/>
              </w:rPr>
              <w:t>Countries/territories/areas with no cases</w:t>
            </w:r>
          </w:p>
        </w:tc>
        <w:tc>
          <w:tcPr>
            <w:tcW w:w="0" w:type="auto"/>
            <w:tcBorders>
              <w:top w:val="single" w:sz="2" w:space="0" w:color="FFFFFF" w:themeColor="background1"/>
            </w:tcBorders>
            <w:hideMark/>
          </w:tcPr>
          <w:p w:rsidR="009B090E" w:rsidRDefault="009B090E" w:rsidP="00155167">
            <w:pPr>
              <w:pStyle w:val="NoSpacing"/>
            </w:pPr>
            <w:r>
              <w:t>American Samoa, Cook Islands, Democratic People’s Republic of Korea, Kiribati, Marshall Islands, Federated States of Micronesia, Nauru, Niue, Palau, Pitcairn Islands, Samoa, Solomon Islands, Tokelau, Tonga, Tuvalu and Vanuatu</w:t>
            </w:r>
          </w:p>
        </w:tc>
      </w:tr>
      <w:tr w:rsidR="009B090E" w:rsidTr="00C36768">
        <w:trPr>
          <w:cnfStyle w:val="000000010000" w:firstRow="0" w:lastRow="0" w:firstColumn="0" w:lastColumn="0" w:oddVBand="0" w:evenVBand="0" w:oddHBand="0" w:evenHBand="1" w:firstRowFirstColumn="0" w:firstRowLastColumn="0" w:lastRowFirstColumn="0" w:lastRowLastColumn="0"/>
        </w:trPr>
        <w:tc>
          <w:tcPr>
            <w:tcW w:w="0" w:type="auto"/>
            <w:hideMark/>
          </w:tcPr>
          <w:p w:rsidR="009B090E" w:rsidRPr="006926AA" w:rsidRDefault="009B090E" w:rsidP="00155167">
            <w:pPr>
              <w:pStyle w:val="NoSpacing"/>
              <w:rPr>
                <w:b/>
              </w:rPr>
            </w:pPr>
            <w:r w:rsidRPr="006926AA">
              <w:rPr>
                <w:b/>
              </w:rPr>
              <w:t>Sporadic cases</w:t>
            </w:r>
          </w:p>
          <w:p w:rsidR="009B090E" w:rsidRPr="006926AA" w:rsidRDefault="009B090E" w:rsidP="00155167">
            <w:pPr>
              <w:pStyle w:val="NoSpacing"/>
              <w:rPr>
                <w:i/>
              </w:rPr>
            </w:pPr>
            <w:r w:rsidRPr="006926AA">
              <w:rPr>
                <w:i/>
              </w:rPr>
              <w:t>Countries/territories/areas with one or more cases, imported or locally detected</w:t>
            </w:r>
          </w:p>
        </w:tc>
        <w:tc>
          <w:tcPr>
            <w:tcW w:w="0" w:type="auto"/>
            <w:hideMark/>
          </w:tcPr>
          <w:p w:rsidR="009B090E" w:rsidRDefault="009B090E" w:rsidP="00155167">
            <w:pPr>
              <w:pStyle w:val="NoSpacing"/>
            </w:pPr>
            <w:r>
              <w:t>Brunei Darussalam, Cambodia, Fiji, French Polynesia, Lao PDR, New Caledonia, Singapore, Timor-Leste, Wallis and Futuna</w:t>
            </w:r>
          </w:p>
        </w:tc>
      </w:tr>
      <w:tr w:rsidR="009B090E" w:rsidTr="00C36768">
        <w:tc>
          <w:tcPr>
            <w:tcW w:w="0" w:type="auto"/>
            <w:hideMark/>
          </w:tcPr>
          <w:p w:rsidR="009B090E" w:rsidRPr="006926AA" w:rsidRDefault="009B090E" w:rsidP="00155167">
            <w:pPr>
              <w:pStyle w:val="NoSpacing"/>
              <w:rPr>
                <w:b/>
              </w:rPr>
            </w:pPr>
            <w:r w:rsidRPr="006926AA">
              <w:rPr>
                <w:b/>
              </w:rPr>
              <w:t>Clusters of cases</w:t>
            </w:r>
          </w:p>
          <w:p w:rsidR="009B090E" w:rsidRPr="006926AA" w:rsidRDefault="009B090E" w:rsidP="00155167">
            <w:pPr>
              <w:pStyle w:val="NoSpacing"/>
              <w:rPr>
                <w:i/>
              </w:rPr>
            </w:pPr>
            <w:r w:rsidRPr="006926AA">
              <w:rPr>
                <w:i/>
              </w:rPr>
              <w:t>Countries/territories/areas experiencing cases, clustered in time, geographic location and/or by common exposures</w:t>
            </w:r>
          </w:p>
        </w:tc>
        <w:tc>
          <w:tcPr>
            <w:tcW w:w="0" w:type="auto"/>
            <w:hideMark/>
          </w:tcPr>
          <w:p w:rsidR="009B090E" w:rsidRDefault="009B090E" w:rsidP="00155167">
            <w:pPr>
              <w:pStyle w:val="NoSpacing"/>
            </w:pPr>
            <w:r>
              <w:t>Australia, Bhutan, China, Guam, India, Japan, Malaysia, Maldives, Mongolia, Myanmar, Nepal, New Zealand, Republic of Korea, Sri Lanka, Thailand, and Vietnam</w:t>
            </w:r>
          </w:p>
        </w:tc>
      </w:tr>
      <w:tr w:rsidR="009B090E" w:rsidTr="00C36768">
        <w:trPr>
          <w:cnfStyle w:val="000000010000" w:firstRow="0" w:lastRow="0" w:firstColumn="0" w:lastColumn="0" w:oddVBand="0" w:evenVBand="0" w:oddHBand="0" w:evenHBand="1" w:firstRowFirstColumn="0" w:firstRowLastColumn="0" w:lastRowFirstColumn="0" w:lastRowLastColumn="0"/>
        </w:trPr>
        <w:tc>
          <w:tcPr>
            <w:tcW w:w="0" w:type="auto"/>
            <w:hideMark/>
          </w:tcPr>
          <w:p w:rsidR="009B090E" w:rsidRPr="000546EC" w:rsidRDefault="009B090E" w:rsidP="00155167">
            <w:pPr>
              <w:pStyle w:val="NoSpacing"/>
              <w:rPr>
                <w:b/>
              </w:rPr>
            </w:pPr>
            <w:r w:rsidRPr="000546EC">
              <w:rPr>
                <w:b/>
              </w:rPr>
              <w:t>Community transmission</w:t>
            </w:r>
          </w:p>
          <w:p w:rsidR="009B090E" w:rsidRPr="000546EC" w:rsidRDefault="009B090E" w:rsidP="00155167">
            <w:pPr>
              <w:pStyle w:val="NoSpacing"/>
              <w:rPr>
                <w:i/>
              </w:rPr>
            </w:pPr>
            <w:r w:rsidRPr="000546EC">
              <w:rPr>
                <w:i/>
              </w:rPr>
              <w:t>Countries /territories/areas experiencing larger outbreaks of local transmission defined through an assessment of factors including, but not limited to:</w:t>
            </w:r>
          </w:p>
          <w:p w:rsidR="009B090E" w:rsidRPr="000546EC" w:rsidRDefault="009B090E" w:rsidP="00155167">
            <w:pPr>
              <w:pStyle w:val="NoSpacing"/>
              <w:rPr>
                <w:i/>
              </w:rPr>
            </w:pPr>
            <w:r w:rsidRPr="000546EC">
              <w:rPr>
                <w:i/>
              </w:rPr>
              <w:t>large numbers of cases not linkable to transmission chains</w:t>
            </w:r>
          </w:p>
          <w:p w:rsidR="009B090E" w:rsidRPr="000546EC" w:rsidRDefault="009B090E" w:rsidP="00155167">
            <w:pPr>
              <w:pStyle w:val="NoSpacing"/>
              <w:rPr>
                <w:i/>
              </w:rPr>
            </w:pPr>
            <w:proofErr w:type="gramStart"/>
            <w:r w:rsidRPr="000546EC">
              <w:rPr>
                <w:i/>
              </w:rPr>
              <w:t>large</w:t>
            </w:r>
            <w:proofErr w:type="gramEnd"/>
            <w:r w:rsidRPr="000546EC">
              <w:rPr>
                <w:i/>
              </w:rPr>
              <w:t xml:space="preserve"> numbers of cases from sentinel lab surveillance or increasing positive tests through sentinel samples (routine systematic testing of respiratory samples from established laboratories)</w:t>
            </w:r>
            <w:r w:rsidR="000546EC">
              <w:rPr>
                <w:i/>
              </w:rPr>
              <w:t xml:space="preserve"> </w:t>
            </w:r>
            <w:r w:rsidRPr="000546EC">
              <w:rPr>
                <w:i/>
              </w:rPr>
              <w:t>multiple unrelated clusters in several areas of the country/territory/area.</w:t>
            </w:r>
          </w:p>
        </w:tc>
        <w:tc>
          <w:tcPr>
            <w:tcW w:w="0" w:type="auto"/>
            <w:hideMark/>
          </w:tcPr>
          <w:p w:rsidR="009B090E" w:rsidRDefault="009B090E" w:rsidP="00155167">
            <w:pPr>
              <w:pStyle w:val="NoSpacing"/>
            </w:pPr>
            <w:r>
              <w:t>Bangladesh, Indonesia, Papua New Guinea and Philippines</w:t>
            </w:r>
          </w:p>
        </w:tc>
      </w:tr>
    </w:tbl>
    <w:p w:rsidR="009B090E" w:rsidRDefault="009B090E" w:rsidP="00381C4B">
      <w:pPr>
        <w:pStyle w:val="CDIfootnotes"/>
      </w:pPr>
      <w:proofErr w:type="gramStart"/>
      <w:r>
        <w:t>a</w:t>
      </w:r>
      <w:proofErr w:type="gramEnd"/>
      <w:r>
        <w:tab/>
        <w:t>Classifications are as indicated in reference 25.</w:t>
      </w:r>
    </w:p>
    <w:p w:rsidR="009B090E" w:rsidRDefault="009B090E" w:rsidP="005C773D">
      <w:r>
        <w:t xml:space="preserve">Globally, reported new cases have declined in the past four weeks; however, deaths have gradually increased in the same period. To date, over 102 million COVID-19 cases and 2.2 million deaths have been reported globally. Two regions continue to carry the largest burden of disease, with the Region of the Americas accounting for around 50.7% of all new cases and 46.7% all newly reported deaths and Europe accounting for 35.8% of all new cases and 40.3% of newly reported deaths. The highest number of new cases in the past four weeks was in the United States of America (5,702,199; 17,180 new cases per 1 million population), which reported almost five times the number of the confirmed cases reported in the country with the second highest number of new cases, Brazil (1,417,935; 6,671 new cases per 1 million population). This was followed by the United Kingdom (1,143,945; 17,017 new cases per 1 million population), the Russian Federation (613,652; 4,255 new cases per 1 million population), and France (527,224; 7,817 new cases per 1 million population). The highest number of deaths from COVID-19 in the last four weeks was reported in the United States of America (87,920) which reported more than two times the number of deaths seen in the next highest country, Mexico (30,072). The next highest death tolls for this four-week period were reported in the United Kingdom (28,556), Brazil (27,255) and Germany (22,673). </w:t>
      </w:r>
    </w:p>
    <w:p w:rsidR="009B090E" w:rsidRDefault="009B090E" w:rsidP="005C773D">
      <w:r>
        <w:t>An international summary by WHO Region can be found in the WHO Epidemiological Update dated 3 January</w:t>
      </w:r>
      <w:r w:rsidR="00C36768">
        <w:t> </w:t>
      </w:r>
      <w:r>
        <w:t>2021.</w:t>
      </w:r>
      <w:r>
        <w:rPr>
          <w:vertAlign w:val="superscript"/>
        </w:rPr>
        <w:t xml:space="preserve">24,25 </w:t>
      </w:r>
    </w:p>
    <w:p w:rsidR="00155167" w:rsidRDefault="00155167">
      <w:pPr>
        <w:rPr>
          <w:rFonts w:asciiTheme="majorHAnsi" w:eastAsia="Times New Roman" w:hAnsiTheme="majorHAnsi" w:cstheme="majorBidi"/>
          <w:b/>
          <w:bCs/>
          <w:sz w:val="32"/>
          <w:szCs w:val="28"/>
        </w:rPr>
      </w:pPr>
      <w:r>
        <w:rPr>
          <w:rFonts w:eastAsia="Times New Roman"/>
        </w:rPr>
        <w:br w:type="page"/>
      </w:r>
    </w:p>
    <w:p w:rsidR="009B090E" w:rsidRPr="00007B1B" w:rsidRDefault="009B090E" w:rsidP="00007B1B">
      <w:pPr>
        <w:pStyle w:val="Heading1"/>
      </w:pPr>
      <w:r w:rsidRPr="00007B1B">
        <w:lastRenderedPageBreak/>
        <w:t xml:space="preserve">Acknowledgements </w:t>
      </w:r>
    </w:p>
    <w:p w:rsidR="009B090E" w:rsidRDefault="009B090E" w:rsidP="00007B1B">
      <w:r>
        <w:t xml:space="preserve">We thank public health staff from incident emergency operations centres and public health units in state and territory health departments, and the Australian Government Department of Health, along with state and territory public health laboratories. We thank those who have provided data from surveillance systems, such as Commonwealth respiratory clinics, Flutracking, and FluCAN. </w:t>
      </w:r>
    </w:p>
    <w:p w:rsidR="009B090E" w:rsidRPr="00007B1B" w:rsidRDefault="009B090E" w:rsidP="00007B1B">
      <w:pPr>
        <w:pStyle w:val="Heading1"/>
      </w:pPr>
      <w:r w:rsidRPr="00007B1B">
        <w:t xml:space="preserve">Author details </w:t>
      </w:r>
    </w:p>
    <w:p w:rsidR="009B090E" w:rsidRPr="00007B1B" w:rsidRDefault="009B090E" w:rsidP="00007B1B">
      <w:pPr>
        <w:pStyle w:val="Heading2"/>
      </w:pPr>
      <w:r w:rsidRPr="00007B1B">
        <w:t xml:space="preserve">Corresponding author </w:t>
      </w:r>
    </w:p>
    <w:p w:rsidR="009B090E" w:rsidRDefault="009B090E" w:rsidP="006B1385">
      <w:r>
        <w:t xml:space="preserve">COVID-19 National Incident Room Surveillance Team Australian Government Department of Health, GPO Box 9484, MDP 14, Canberra, ACT 2601. Email: epi.coronavirus@health.gov.au </w:t>
      </w:r>
    </w:p>
    <w:p w:rsidR="009B090E" w:rsidRPr="00155167" w:rsidRDefault="009B090E" w:rsidP="00155167">
      <w:pPr>
        <w:pStyle w:val="Heading1"/>
      </w:pPr>
      <w:r w:rsidRPr="00155167">
        <w:t xml:space="preserve">References </w:t>
      </w:r>
    </w:p>
    <w:p w:rsidR="009B090E" w:rsidRPr="00E21585" w:rsidRDefault="009B090E" w:rsidP="00E21585">
      <w:pPr>
        <w:pStyle w:val="ListParagraph"/>
        <w:numPr>
          <w:ilvl w:val="0"/>
          <w:numId w:val="16"/>
        </w:numPr>
        <w:rPr>
          <w:rFonts w:eastAsia="Times New Roman"/>
        </w:rPr>
      </w:pPr>
      <w:r w:rsidRPr="00E21585">
        <w:rPr>
          <w:rFonts w:eastAsia="Times New Roman"/>
        </w:rPr>
        <w:t xml:space="preserve">COVID-19 National Incident Room Surveillance Team. Technical supplement. COVID-19 Australia: Epidemiology reporting. </w:t>
      </w:r>
      <w:proofErr w:type="spellStart"/>
      <w:r w:rsidRPr="00E21585">
        <w:rPr>
          <w:rStyle w:val="Emphasis"/>
          <w:rFonts w:eastAsia="Times New Roman"/>
          <w:b w:val="0"/>
        </w:rPr>
        <w:t>Commun</w:t>
      </w:r>
      <w:proofErr w:type="spellEnd"/>
      <w:r w:rsidRPr="00E21585">
        <w:rPr>
          <w:rStyle w:val="Emphasis"/>
          <w:rFonts w:eastAsia="Times New Roman"/>
          <w:b w:val="0"/>
        </w:rPr>
        <w:t xml:space="preserve"> Dis </w:t>
      </w:r>
      <w:proofErr w:type="spellStart"/>
      <w:r w:rsidRPr="00E21585">
        <w:rPr>
          <w:rStyle w:val="Emphasis"/>
          <w:rFonts w:eastAsia="Times New Roman"/>
          <w:b w:val="0"/>
        </w:rPr>
        <w:t>Intell</w:t>
      </w:r>
      <w:proofErr w:type="spellEnd"/>
      <w:r w:rsidRPr="00E21585">
        <w:rPr>
          <w:rStyle w:val="Emphasis"/>
          <w:rFonts w:eastAsia="Times New Roman"/>
          <w:b w:val="0"/>
        </w:rPr>
        <w:t xml:space="preserve"> (2018)</w:t>
      </w:r>
      <w:r w:rsidRPr="00E21585">
        <w:rPr>
          <w:rFonts w:eastAsia="Times New Roman"/>
        </w:rPr>
        <w:t>. 2021</w:t>
      </w:r>
      <w:proofErr w:type="gramStart"/>
      <w:r w:rsidRPr="00E21585">
        <w:rPr>
          <w:rFonts w:eastAsia="Times New Roman"/>
        </w:rPr>
        <w:t>;45</w:t>
      </w:r>
      <w:proofErr w:type="gramEnd"/>
      <w:r w:rsidRPr="00E21585">
        <w:rPr>
          <w:rFonts w:eastAsia="Times New Roman"/>
        </w:rPr>
        <w:t xml:space="preserve">. </w:t>
      </w:r>
      <w:proofErr w:type="spellStart"/>
      <w:proofErr w:type="gramStart"/>
      <w:r w:rsidRPr="00E21585">
        <w:rPr>
          <w:rFonts w:eastAsia="Times New Roman"/>
        </w:rPr>
        <w:t>doi</w:t>
      </w:r>
      <w:proofErr w:type="spellEnd"/>
      <w:proofErr w:type="gramEnd"/>
      <w:r w:rsidRPr="00E21585">
        <w:rPr>
          <w:rFonts w:eastAsia="Times New Roman"/>
        </w:rPr>
        <w:t xml:space="preserve">: https://doi.org/10.33321/cdi.2021.45.2. </w:t>
      </w:r>
    </w:p>
    <w:p w:rsidR="009B090E" w:rsidRPr="00E21585" w:rsidRDefault="009B090E" w:rsidP="00E21585">
      <w:pPr>
        <w:pStyle w:val="ListParagraph"/>
        <w:numPr>
          <w:ilvl w:val="0"/>
          <w:numId w:val="16"/>
        </w:numPr>
        <w:rPr>
          <w:rFonts w:eastAsia="Times New Roman"/>
        </w:rPr>
      </w:pPr>
      <w:r w:rsidRPr="00E21585">
        <w:rPr>
          <w:rFonts w:eastAsia="Times New Roman"/>
        </w:rPr>
        <w:t xml:space="preserve">Global Initiative on Sharing All Influenza Data (GISAID). [Website.] Berlin: Federal Republic of Germany, </w:t>
      </w:r>
      <w:proofErr w:type="spellStart"/>
      <w:r w:rsidRPr="00E21585">
        <w:rPr>
          <w:rFonts w:eastAsia="Times New Roman"/>
        </w:rPr>
        <w:t>Freunde</w:t>
      </w:r>
      <w:proofErr w:type="spellEnd"/>
      <w:r w:rsidRPr="00E21585">
        <w:rPr>
          <w:rFonts w:eastAsia="Times New Roman"/>
        </w:rPr>
        <w:t xml:space="preserve"> von GISAID </w:t>
      </w:r>
      <w:proofErr w:type="spellStart"/>
      <w:r w:rsidRPr="00E21585">
        <w:rPr>
          <w:rFonts w:eastAsia="Times New Roman"/>
        </w:rPr>
        <w:t>e.V</w:t>
      </w:r>
      <w:proofErr w:type="spellEnd"/>
      <w:r w:rsidRPr="00E21585">
        <w:rPr>
          <w:rFonts w:eastAsia="Times New Roman"/>
        </w:rPr>
        <w:t xml:space="preserve">.; 2020. [Accessed on 20 January 2021.] Available from: https://www.gisaid.org/. </w:t>
      </w:r>
    </w:p>
    <w:p w:rsidR="009B090E" w:rsidRPr="00E21585" w:rsidRDefault="009B090E" w:rsidP="00E21585">
      <w:pPr>
        <w:pStyle w:val="ListParagraph"/>
        <w:numPr>
          <w:ilvl w:val="0"/>
          <w:numId w:val="16"/>
        </w:numPr>
        <w:rPr>
          <w:rFonts w:eastAsia="Times New Roman"/>
        </w:rPr>
      </w:pPr>
      <w:proofErr w:type="spellStart"/>
      <w:r w:rsidRPr="00E21585">
        <w:rPr>
          <w:rFonts w:eastAsia="Times New Roman"/>
        </w:rPr>
        <w:t>Rockett</w:t>
      </w:r>
      <w:proofErr w:type="spellEnd"/>
      <w:r w:rsidRPr="00E21585">
        <w:rPr>
          <w:rFonts w:eastAsia="Times New Roman"/>
        </w:rPr>
        <w:t xml:space="preserve"> RJ, Arnott A, Lam C, </w:t>
      </w:r>
      <w:proofErr w:type="spellStart"/>
      <w:r w:rsidRPr="00E21585">
        <w:rPr>
          <w:rFonts w:eastAsia="Times New Roman"/>
        </w:rPr>
        <w:t>Sadsad</w:t>
      </w:r>
      <w:proofErr w:type="spellEnd"/>
      <w:r w:rsidRPr="00E21585">
        <w:rPr>
          <w:rFonts w:eastAsia="Times New Roman"/>
        </w:rPr>
        <w:t xml:space="preserve"> R, </w:t>
      </w:r>
      <w:proofErr w:type="spellStart"/>
      <w:r w:rsidRPr="00E21585">
        <w:rPr>
          <w:rFonts w:eastAsia="Times New Roman"/>
        </w:rPr>
        <w:t>Timms</w:t>
      </w:r>
      <w:proofErr w:type="spellEnd"/>
      <w:r w:rsidRPr="00E21585">
        <w:rPr>
          <w:rFonts w:eastAsia="Times New Roman"/>
        </w:rPr>
        <w:t xml:space="preserve"> V, </w:t>
      </w:r>
      <w:proofErr w:type="spellStart"/>
      <w:r w:rsidRPr="00E21585">
        <w:rPr>
          <w:rFonts w:eastAsia="Times New Roman"/>
        </w:rPr>
        <w:t>Gray</w:t>
      </w:r>
      <w:proofErr w:type="spellEnd"/>
      <w:r w:rsidRPr="00E21585">
        <w:rPr>
          <w:rFonts w:eastAsia="Times New Roman"/>
        </w:rPr>
        <w:t xml:space="preserve"> KA et al. Revealing COVID-19 transmission in Australia by SARS-CoV-2 genome sequencing and agent-based </w:t>
      </w:r>
      <w:proofErr w:type="spellStart"/>
      <w:r w:rsidRPr="00E21585">
        <w:rPr>
          <w:rFonts w:eastAsia="Times New Roman"/>
        </w:rPr>
        <w:t>modeling</w:t>
      </w:r>
      <w:proofErr w:type="spellEnd"/>
      <w:r w:rsidRPr="00E21585">
        <w:rPr>
          <w:rFonts w:eastAsia="Times New Roman"/>
        </w:rPr>
        <w:t xml:space="preserve">. </w:t>
      </w:r>
      <w:r w:rsidRPr="00E21585">
        <w:rPr>
          <w:rStyle w:val="Emphasis"/>
          <w:rFonts w:eastAsia="Times New Roman"/>
          <w:b w:val="0"/>
        </w:rPr>
        <w:t>Nat Med</w:t>
      </w:r>
      <w:r w:rsidRPr="00E21585">
        <w:rPr>
          <w:rFonts w:eastAsia="Times New Roman"/>
        </w:rPr>
        <w:t xml:space="preserve">. 2020. </w:t>
      </w:r>
      <w:proofErr w:type="spellStart"/>
      <w:proofErr w:type="gramStart"/>
      <w:r w:rsidRPr="00E21585">
        <w:rPr>
          <w:rFonts w:eastAsia="Times New Roman"/>
        </w:rPr>
        <w:t>doi</w:t>
      </w:r>
      <w:proofErr w:type="spellEnd"/>
      <w:proofErr w:type="gramEnd"/>
      <w:r w:rsidRPr="00E21585">
        <w:rPr>
          <w:rFonts w:eastAsia="Times New Roman"/>
        </w:rPr>
        <w:t xml:space="preserve">: https://doi.org/10.1038/s41591-020-1000-7. </w:t>
      </w:r>
    </w:p>
    <w:p w:rsidR="009B090E" w:rsidRPr="00E21585" w:rsidRDefault="009B090E" w:rsidP="00E21585">
      <w:pPr>
        <w:pStyle w:val="ListParagraph"/>
        <w:numPr>
          <w:ilvl w:val="0"/>
          <w:numId w:val="16"/>
        </w:numPr>
        <w:rPr>
          <w:rFonts w:eastAsia="Times New Roman"/>
        </w:rPr>
      </w:pPr>
      <w:proofErr w:type="spellStart"/>
      <w:r w:rsidRPr="00E21585">
        <w:rPr>
          <w:rFonts w:eastAsia="Times New Roman"/>
        </w:rPr>
        <w:t>Seemann</w:t>
      </w:r>
      <w:proofErr w:type="spellEnd"/>
      <w:r w:rsidRPr="00E21585">
        <w:rPr>
          <w:rFonts w:eastAsia="Times New Roman"/>
        </w:rPr>
        <w:t xml:space="preserve"> T, Lane CR, Sherry NL, Duchene S, </w:t>
      </w:r>
      <w:proofErr w:type="spellStart"/>
      <w:r w:rsidRPr="00E21585">
        <w:rPr>
          <w:rFonts w:eastAsia="Times New Roman"/>
        </w:rPr>
        <w:t>Goncalves</w:t>
      </w:r>
      <w:proofErr w:type="spellEnd"/>
      <w:r w:rsidRPr="00E21585">
        <w:rPr>
          <w:rFonts w:eastAsia="Times New Roman"/>
        </w:rPr>
        <w:t xml:space="preserve"> da Silva A, </w:t>
      </w:r>
      <w:proofErr w:type="spellStart"/>
      <w:r w:rsidRPr="00E21585">
        <w:rPr>
          <w:rFonts w:eastAsia="Times New Roman"/>
        </w:rPr>
        <w:t>Caly</w:t>
      </w:r>
      <w:proofErr w:type="spellEnd"/>
      <w:r w:rsidRPr="00E21585">
        <w:rPr>
          <w:rFonts w:eastAsia="Times New Roman"/>
        </w:rPr>
        <w:t xml:space="preserve"> L et al. Tracking the COVID-19 pandemic in Australia using genomics. Nat </w:t>
      </w:r>
      <w:proofErr w:type="spellStart"/>
      <w:r w:rsidRPr="00E21585">
        <w:rPr>
          <w:rFonts w:eastAsia="Times New Roman"/>
        </w:rPr>
        <w:t>Commun</w:t>
      </w:r>
      <w:proofErr w:type="spellEnd"/>
      <w:r w:rsidRPr="00E21585">
        <w:rPr>
          <w:rFonts w:eastAsia="Times New Roman"/>
        </w:rPr>
        <w:t>. 2020</w:t>
      </w:r>
      <w:proofErr w:type="gramStart"/>
      <w:r w:rsidRPr="00E21585">
        <w:rPr>
          <w:rFonts w:eastAsia="Times New Roman"/>
        </w:rPr>
        <w:t>;11</w:t>
      </w:r>
      <w:proofErr w:type="gramEnd"/>
      <w:r w:rsidRPr="00E21585">
        <w:rPr>
          <w:rFonts w:eastAsia="Times New Roman"/>
        </w:rPr>
        <w:t xml:space="preserve">(1):4376. </w:t>
      </w:r>
      <w:proofErr w:type="spellStart"/>
      <w:proofErr w:type="gramStart"/>
      <w:r w:rsidRPr="00E21585">
        <w:rPr>
          <w:rFonts w:eastAsia="Times New Roman"/>
        </w:rPr>
        <w:t>doi</w:t>
      </w:r>
      <w:proofErr w:type="spellEnd"/>
      <w:proofErr w:type="gramEnd"/>
      <w:r w:rsidRPr="00E21585">
        <w:rPr>
          <w:rFonts w:eastAsia="Times New Roman"/>
        </w:rPr>
        <w:t xml:space="preserve">: https://doi.org/10.1038/s41467-020-18314-x. </w:t>
      </w:r>
    </w:p>
    <w:p w:rsidR="009B090E" w:rsidRPr="00E21585" w:rsidRDefault="009B090E" w:rsidP="00E21585">
      <w:pPr>
        <w:pStyle w:val="ListParagraph"/>
        <w:numPr>
          <w:ilvl w:val="0"/>
          <w:numId w:val="16"/>
        </w:numPr>
        <w:rPr>
          <w:rFonts w:eastAsia="Times New Roman"/>
        </w:rPr>
      </w:pPr>
      <w:r w:rsidRPr="00E21585">
        <w:rPr>
          <w:rFonts w:eastAsia="Times New Roman"/>
        </w:rPr>
        <w:t xml:space="preserve">Eden JS, </w:t>
      </w:r>
      <w:proofErr w:type="spellStart"/>
      <w:r w:rsidRPr="00E21585">
        <w:rPr>
          <w:rFonts w:eastAsia="Times New Roman"/>
        </w:rPr>
        <w:t>Rockett</w:t>
      </w:r>
      <w:proofErr w:type="spellEnd"/>
      <w:r w:rsidRPr="00E21585">
        <w:rPr>
          <w:rFonts w:eastAsia="Times New Roman"/>
        </w:rPr>
        <w:t xml:space="preserve"> R, Carter I, Rahman H, de </w:t>
      </w:r>
      <w:proofErr w:type="spellStart"/>
      <w:r w:rsidRPr="00E21585">
        <w:rPr>
          <w:rFonts w:eastAsia="Times New Roman"/>
        </w:rPr>
        <w:t>Ligt</w:t>
      </w:r>
      <w:proofErr w:type="spellEnd"/>
      <w:r w:rsidRPr="00E21585">
        <w:rPr>
          <w:rFonts w:eastAsia="Times New Roman"/>
        </w:rPr>
        <w:t xml:space="preserve"> J, Hadfield J et al. An emergent clade of SARS-CoV-2 linked to returned travellers from Iran. Virus </w:t>
      </w:r>
      <w:proofErr w:type="spellStart"/>
      <w:r w:rsidRPr="00E21585">
        <w:rPr>
          <w:rFonts w:eastAsia="Times New Roman"/>
        </w:rPr>
        <w:t>Evol</w:t>
      </w:r>
      <w:proofErr w:type="spellEnd"/>
      <w:r w:rsidRPr="00E21585">
        <w:rPr>
          <w:rFonts w:eastAsia="Times New Roman"/>
        </w:rPr>
        <w:t>. 2020</w:t>
      </w:r>
      <w:proofErr w:type="gramStart"/>
      <w:r w:rsidRPr="00E21585">
        <w:rPr>
          <w:rFonts w:eastAsia="Times New Roman"/>
        </w:rPr>
        <w:t>;6</w:t>
      </w:r>
      <w:proofErr w:type="gramEnd"/>
      <w:r w:rsidRPr="00E21585">
        <w:rPr>
          <w:rFonts w:eastAsia="Times New Roman"/>
        </w:rPr>
        <w:t xml:space="preserve">(1):veaa027. </w:t>
      </w:r>
      <w:proofErr w:type="spellStart"/>
      <w:proofErr w:type="gramStart"/>
      <w:r w:rsidRPr="00E21585">
        <w:rPr>
          <w:rFonts w:eastAsia="Times New Roman"/>
        </w:rPr>
        <w:t>doi</w:t>
      </w:r>
      <w:proofErr w:type="spellEnd"/>
      <w:proofErr w:type="gramEnd"/>
      <w:r w:rsidRPr="00E21585">
        <w:rPr>
          <w:rFonts w:eastAsia="Times New Roman"/>
        </w:rPr>
        <w:t xml:space="preserve">: https://doi.org/10.1093/ve/veaa027. </w:t>
      </w:r>
    </w:p>
    <w:p w:rsidR="009B090E" w:rsidRPr="00E21585" w:rsidRDefault="009B090E" w:rsidP="00E21585">
      <w:pPr>
        <w:pStyle w:val="ListParagraph"/>
        <w:numPr>
          <w:ilvl w:val="0"/>
          <w:numId w:val="16"/>
        </w:numPr>
        <w:rPr>
          <w:rFonts w:eastAsia="Times New Roman"/>
        </w:rPr>
      </w:pPr>
      <w:r w:rsidRPr="00E21585">
        <w:rPr>
          <w:rFonts w:eastAsia="Times New Roman"/>
        </w:rPr>
        <w:t xml:space="preserve">Dalton C, Durrheim D, </w:t>
      </w:r>
      <w:proofErr w:type="spellStart"/>
      <w:r w:rsidRPr="00E21585">
        <w:rPr>
          <w:rFonts w:eastAsia="Times New Roman"/>
        </w:rPr>
        <w:t>Fejsa</w:t>
      </w:r>
      <w:proofErr w:type="spellEnd"/>
      <w:r w:rsidRPr="00E21585">
        <w:rPr>
          <w:rFonts w:eastAsia="Times New Roman"/>
        </w:rPr>
        <w:t xml:space="preserve"> J, Francis L, Carlson S, </w:t>
      </w:r>
      <w:proofErr w:type="spellStart"/>
      <w:r w:rsidRPr="00E21585">
        <w:rPr>
          <w:rFonts w:eastAsia="Times New Roman"/>
        </w:rPr>
        <w:t>d’Espaignet</w:t>
      </w:r>
      <w:proofErr w:type="spellEnd"/>
      <w:r w:rsidRPr="00E21585">
        <w:rPr>
          <w:rFonts w:eastAsia="Times New Roman"/>
        </w:rPr>
        <w:t xml:space="preserve"> ET </w:t>
      </w:r>
      <w:proofErr w:type="spellStart"/>
      <w:r w:rsidRPr="00E21585">
        <w:rPr>
          <w:rFonts w:eastAsia="Times New Roman"/>
        </w:rPr>
        <w:t>et</w:t>
      </w:r>
      <w:proofErr w:type="spellEnd"/>
      <w:r w:rsidRPr="00E21585">
        <w:rPr>
          <w:rFonts w:eastAsia="Times New Roman"/>
        </w:rPr>
        <w:t xml:space="preserve"> al. Flutracking: a weekly Australian community online survey of influenza-like illness in 2006, 2007 and 2008. </w:t>
      </w:r>
      <w:proofErr w:type="spellStart"/>
      <w:r w:rsidRPr="00E21585">
        <w:rPr>
          <w:rStyle w:val="Emphasis"/>
          <w:rFonts w:eastAsia="Times New Roman"/>
          <w:b w:val="0"/>
        </w:rPr>
        <w:t>Commun</w:t>
      </w:r>
      <w:proofErr w:type="spellEnd"/>
      <w:r w:rsidRPr="00E21585">
        <w:rPr>
          <w:rStyle w:val="Emphasis"/>
          <w:rFonts w:eastAsia="Times New Roman"/>
          <w:b w:val="0"/>
        </w:rPr>
        <w:t xml:space="preserve"> Dis </w:t>
      </w:r>
      <w:proofErr w:type="spellStart"/>
      <w:r w:rsidRPr="00E21585">
        <w:rPr>
          <w:rStyle w:val="Emphasis"/>
          <w:rFonts w:eastAsia="Times New Roman"/>
          <w:b w:val="0"/>
        </w:rPr>
        <w:t>Intell</w:t>
      </w:r>
      <w:proofErr w:type="spellEnd"/>
      <w:r w:rsidRPr="00E21585">
        <w:rPr>
          <w:rStyle w:val="Emphasis"/>
          <w:rFonts w:eastAsia="Times New Roman"/>
          <w:b w:val="0"/>
        </w:rPr>
        <w:t xml:space="preserve"> Q Rep</w:t>
      </w:r>
      <w:r w:rsidRPr="00E21585">
        <w:rPr>
          <w:rFonts w:eastAsia="Times New Roman"/>
        </w:rPr>
        <w:t>. 2009</w:t>
      </w:r>
      <w:proofErr w:type="gramStart"/>
      <w:r w:rsidRPr="00E21585">
        <w:rPr>
          <w:rFonts w:eastAsia="Times New Roman"/>
        </w:rPr>
        <w:t>;33</w:t>
      </w:r>
      <w:proofErr w:type="gramEnd"/>
      <w:r w:rsidRPr="00E21585">
        <w:rPr>
          <w:rFonts w:eastAsia="Times New Roman"/>
        </w:rPr>
        <w:t xml:space="preserve">(3):316–22. </w:t>
      </w:r>
    </w:p>
    <w:p w:rsidR="009B090E" w:rsidRPr="00E21585" w:rsidRDefault="009B090E" w:rsidP="00E21585">
      <w:pPr>
        <w:pStyle w:val="ListParagraph"/>
        <w:numPr>
          <w:ilvl w:val="0"/>
          <w:numId w:val="16"/>
        </w:numPr>
        <w:rPr>
          <w:rFonts w:eastAsia="Times New Roman"/>
        </w:rPr>
      </w:pPr>
      <w:r w:rsidRPr="00E21585">
        <w:rPr>
          <w:rFonts w:eastAsia="Times New Roman"/>
        </w:rPr>
        <w:t xml:space="preserve">Monash Health. FluCAN (Influenza surveillance): FluCAN (The Influenza Complications Alert Network). [Internet.] Melbourne: Monash Health; 2020. Available from: https://monashhealth.org/services/monash-infectious-diseases/research/influenza-research/flucan-influenza-surveillance-2/. </w:t>
      </w:r>
    </w:p>
    <w:p w:rsidR="009B090E" w:rsidRPr="00E21585" w:rsidRDefault="009B090E" w:rsidP="00E21585">
      <w:pPr>
        <w:pStyle w:val="ListParagraph"/>
        <w:numPr>
          <w:ilvl w:val="0"/>
          <w:numId w:val="16"/>
        </w:numPr>
        <w:rPr>
          <w:rFonts w:eastAsia="Times New Roman"/>
        </w:rPr>
      </w:pPr>
      <w:r w:rsidRPr="00E21585">
        <w:rPr>
          <w:rFonts w:eastAsia="Times New Roman"/>
        </w:rPr>
        <w:t xml:space="preserve">COVID-19 National Incident Room Surveillance Team. COVID-19 Australia: Epidemiology Report 32: Four-week reporting period ending 3 January 2021. </w:t>
      </w:r>
      <w:proofErr w:type="spellStart"/>
      <w:r w:rsidRPr="00E21585">
        <w:rPr>
          <w:rStyle w:val="Emphasis"/>
          <w:rFonts w:eastAsia="Times New Roman"/>
          <w:b w:val="0"/>
        </w:rPr>
        <w:t>Commun</w:t>
      </w:r>
      <w:proofErr w:type="spellEnd"/>
      <w:r w:rsidRPr="00E21585">
        <w:rPr>
          <w:rStyle w:val="Emphasis"/>
          <w:rFonts w:eastAsia="Times New Roman"/>
          <w:b w:val="0"/>
        </w:rPr>
        <w:t xml:space="preserve"> Dis </w:t>
      </w:r>
      <w:proofErr w:type="spellStart"/>
      <w:r w:rsidRPr="00E21585">
        <w:rPr>
          <w:rStyle w:val="Emphasis"/>
          <w:rFonts w:eastAsia="Times New Roman"/>
          <w:b w:val="0"/>
        </w:rPr>
        <w:t>Intell</w:t>
      </w:r>
      <w:proofErr w:type="spellEnd"/>
      <w:r w:rsidRPr="00E21585">
        <w:rPr>
          <w:rStyle w:val="Emphasis"/>
          <w:rFonts w:eastAsia="Times New Roman"/>
          <w:b w:val="0"/>
        </w:rPr>
        <w:t xml:space="preserve"> (2018)</w:t>
      </w:r>
      <w:r w:rsidRPr="00E21585">
        <w:rPr>
          <w:rFonts w:eastAsia="Times New Roman"/>
        </w:rPr>
        <w:t>. 2021</w:t>
      </w:r>
      <w:proofErr w:type="gramStart"/>
      <w:r w:rsidRPr="00E21585">
        <w:rPr>
          <w:rFonts w:eastAsia="Times New Roman"/>
        </w:rPr>
        <w:t>;45</w:t>
      </w:r>
      <w:proofErr w:type="gramEnd"/>
      <w:r w:rsidRPr="00E21585">
        <w:rPr>
          <w:rFonts w:eastAsia="Times New Roman"/>
        </w:rPr>
        <w:t xml:space="preserve">. </w:t>
      </w:r>
      <w:proofErr w:type="spellStart"/>
      <w:proofErr w:type="gramStart"/>
      <w:r w:rsidRPr="00E21585">
        <w:rPr>
          <w:rFonts w:eastAsia="Times New Roman"/>
        </w:rPr>
        <w:t>doi</w:t>
      </w:r>
      <w:proofErr w:type="spellEnd"/>
      <w:proofErr w:type="gramEnd"/>
      <w:r w:rsidRPr="00E21585">
        <w:rPr>
          <w:rFonts w:eastAsia="Times New Roman"/>
        </w:rPr>
        <w:t xml:space="preserve">: https://doi.org/10.33321/cdi.2021.45.1. </w:t>
      </w:r>
    </w:p>
    <w:p w:rsidR="009B090E" w:rsidRPr="00E21585" w:rsidRDefault="009B090E" w:rsidP="00E21585">
      <w:pPr>
        <w:pStyle w:val="ListParagraph"/>
        <w:numPr>
          <w:ilvl w:val="0"/>
          <w:numId w:val="16"/>
        </w:numPr>
        <w:rPr>
          <w:rFonts w:eastAsia="Times New Roman"/>
        </w:rPr>
      </w:pPr>
      <w:r w:rsidRPr="00E21585">
        <w:rPr>
          <w:rFonts w:eastAsia="Times New Roman"/>
        </w:rPr>
        <w:t xml:space="preserve">COVID-19 National Incident Room Surveillance Team. COVID-19 Australia: Epidemiology Report 30: Fortnightly reporting period ending 22 November 2020. </w:t>
      </w:r>
      <w:proofErr w:type="spellStart"/>
      <w:r w:rsidRPr="00E21585">
        <w:rPr>
          <w:rStyle w:val="Emphasis"/>
          <w:rFonts w:eastAsia="Times New Roman"/>
          <w:b w:val="0"/>
        </w:rPr>
        <w:t>Commun</w:t>
      </w:r>
      <w:proofErr w:type="spellEnd"/>
      <w:r w:rsidRPr="00E21585">
        <w:rPr>
          <w:rStyle w:val="Emphasis"/>
          <w:rFonts w:eastAsia="Times New Roman"/>
          <w:b w:val="0"/>
        </w:rPr>
        <w:t xml:space="preserve"> Dis </w:t>
      </w:r>
      <w:proofErr w:type="spellStart"/>
      <w:r w:rsidRPr="00E21585">
        <w:rPr>
          <w:rStyle w:val="Emphasis"/>
          <w:rFonts w:eastAsia="Times New Roman"/>
          <w:b w:val="0"/>
        </w:rPr>
        <w:t>Intell</w:t>
      </w:r>
      <w:proofErr w:type="spellEnd"/>
      <w:r w:rsidRPr="00E21585">
        <w:rPr>
          <w:rStyle w:val="Emphasis"/>
          <w:rFonts w:eastAsia="Times New Roman"/>
          <w:b w:val="0"/>
        </w:rPr>
        <w:t xml:space="preserve"> (2018)</w:t>
      </w:r>
      <w:r w:rsidRPr="00E21585">
        <w:rPr>
          <w:rFonts w:eastAsia="Times New Roman"/>
        </w:rPr>
        <w:t>. 2020</w:t>
      </w:r>
      <w:proofErr w:type="gramStart"/>
      <w:r w:rsidRPr="00E21585">
        <w:rPr>
          <w:rFonts w:eastAsia="Times New Roman"/>
        </w:rPr>
        <w:t>;44</w:t>
      </w:r>
      <w:proofErr w:type="gramEnd"/>
      <w:r w:rsidRPr="00E21585">
        <w:rPr>
          <w:rFonts w:eastAsia="Times New Roman"/>
        </w:rPr>
        <w:t xml:space="preserve">. </w:t>
      </w:r>
      <w:proofErr w:type="spellStart"/>
      <w:proofErr w:type="gramStart"/>
      <w:r w:rsidRPr="00E21585">
        <w:rPr>
          <w:rFonts w:eastAsia="Times New Roman"/>
        </w:rPr>
        <w:t>doi</w:t>
      </w:r>
      <w:proofErr w:type="spellEnd"/>
      <w:proofErr w:type="gramEnd"/>
      <w:r w:rsidRPr="00E21585">
        <w:rPr>
          <w:rFonts w:eastAsia="Times New Roman"/>
        </w:rPr>
        <w:t xml:space="preserve">: https://doi.org/10.33321/cdi.2020.44.91. </w:t>
      </w:r>
    </w:p>
    <w:p w:rsidR="009B090E" w:rsidRPr="00E21585" w:rsidRDefault="009B090E" w:rsidP="00E21585">
      <w:pPr>
        <w:pStyle w:val="ListParagraph"/>
        <w:numPr>
          <w:ilvl w:val="0"/>
          <w:numId w:val="16"/>
        </w:numPr>
        <w:rPr>
          <w:rFonts w:eastAsia="Times New Roman"/>
        </w:rPr>
      </w:pPr>
      <w:r w:rsidRPr="00E21585">
        <w:rPr>
          <w:rFonts w:eastAsia="Times New Roman"/>
        </w:rPr>
        <w:t xml:space="preserve">COVID-19 National Incident Room Surveillance Team. COVID-19 Australia: Epidemiology Report 28: Fortnightly reporting period ending 25 October 2020. </w:t>
      </w:r>
      <w:proofErr w:type="spellStart"/>
      <w:r w:rsidRPr="00E21585">
        <w:rPr>
          <w:rStyle w:val="Emphasis"/>
          <w:rFonts w:eastAsia="Times New Roman"/>
          <w:b w:val="0"/>
        </w:rPr>
        <w:t>Commun</w:t>
      </w:r>
      <w:proofErr w:type="spellEnd"/>
      <w:r w:rsidRPr="00E21585">
        <w:rPr>
          <w:rStyle w:val="Emphasis"/>
          <w:rFonts w:eastAsia="Times New Roman"/>
          <w:b w:val="0"/>
        </w:rPr>
        <w:t xml:space="preserve"> Dis </w:t>
      </w:r>
      <w:proofErr w:type="spellStart"/>
      <w:r w:rsidRPr="00E21585">
        <w:rPr>
          <w:rStyle w:val="Emphasis"/>
          <w:rFonts w:eastAsia="Times New Roman"/>
          <w:b w:val="0"/>
        </w:rPr>
        <w:t>Intell</w:t>
      </w:r>
      <w:proofErr w:type="spellEnd"/>
      <w:r w:rsidRPr="00E21585">
        <w:rPr>
          <w:rStyle w:val="Emphasis"/>
          <w:rFonts w:eastAsia="Times New Roman"/>
          <w:b w:val="0"/>
        </w:rPr>
        <w:t xml:space="preserve"> (2018)</w:t>
      </w:r>
      <w:r w:rsidRPr="00E21585">
        <w:rPr>
          <w:rFonts w:eastAsia="Times New Roman"/>
        </w:rPr>
        <w:t>. 2020</w:t>
      </w:r>
      <w:proofErr w:type="gramStart"/>
      <w:r w:rsidRPr="00E21585">
        <w:rPr>
          <w:rFonts w:eastAsia="Times New Roman"/>
        </w:rPr>
        <w:t>;44</w:t>
      </w:r>
      <w:proofErr w:type="gramEnd"/>
      <w:r w:rsidRPr="00E21585">
        <w:rPr>
          <w:rFonts w:eastAsia="Times New Roman"/>
        </w:rPr>
        <w:t xml:space="preserve">. </w:t>
      </w:r>
      <w:proofErr w:type="spellStart"/>
      <w:proofErr w:type="gramStart"/>
      <w:r w:rsidRPr="00E21585">
        <w:rPr>
          <w:rFonts w:eastAsia="Times New Roman"/>
        </w:rPr>
        <w:t>doi</w:t>
      </w:r>
      <w:proofErr w:type="spellEnd"/>
      <w:proofErr w:type="gramEnd"/>
      <w:r w:rsidRPr="00E21585">
        <w:rPr>
          <w:rFonts w:eastAsia="Times New Roman"/>
        </w:rPr>
        <w:t xml:space="preserve">: https://doi.org/10.33321/cdi.2020.44.84. </w:t>
      </w:r>
    </w:p>
    <w:p w:rsidR="009B090E" w:rsidRPr="00E21585" w:rsidRDefault="009B090E" w:rsidP="00E21585">
      <w:pPr>
        <w:pStyle w:val="ListParagraph"/>
        <w:numPr>
          <w:ilvl w:val="0"/>
          <w:numId w:val="16"/>
        </w:numPr>
        <w:rPr>
          <w:rFonts w:eastAsia="Times New Roman"/>
        </w:rPr>
      </w:pPr>
      <w:r w:rsidRPr="00E21585">
        <w:rPr>
          <w:rFonts w:eastAsia="Times New Roman"/>
        </w:rPr>
        <w:t xml:space="preserve">Australian Government Department of Health. Coronavirus (COVID-19) advice for the health and aged care sector. [Internet.] Canberra: Australian Government Department of Health; 2020. [Accessed on 13 August </w:t>
      </w:r>
      <w:r w:rsidRPr="00E21585">
        <w:rPr>
          <w:rFonts w:eastAsia="Times New Roman"/>
        </w:rPr>
        <w:lastRenderedPageBreak/>
        <w:t xml:space="preserve">2020.] Available from: https://www.health.gov.au/news/health-alerts/novel-coronavirus-2019-ncov-health-alert/coronavirus-covid-19-advice-for-the-health-and-aged-care-sector. </w:t>
      </w:r>
    </w:p>
    <w:p w:rsidR="009B090E" w:rsidRPr="00E21585" w:rsidRDefault="009B090E" w:rsidP="00E21585">
      <w:pPr>
        <w:pStyle w:val="ListParagraph"/>
        <w:numPr>
          <w:ilvl w:val="0"/>
          <w:numId w:val="16"/>
        </w:numPr>
        <w:rPr>
          <w:rFonts w:eastAsia="Times New Roman"/>
        </w:rPr>
      </w:pPr>
      <w:r w:rsidRPr="00E21585">
        <w:rPr>
          <w:rFonts w:eastAsia="Times New Roman"/>
        </w:rPr>
        <w:t xml:space="preserve">Communicable Diseases Network Australia (CDNA). Coronavirus disease 2019 (COVID-19) outbreaks in residential care facilities: CDNA national guidelines for the prevention, control and public health management of COVID-19 outbreaks in residential care facilities in Australia. Canberra: Australian Government Department of Health, CDNA; 13 March 2020. [Accessed on 13 August 2020.] Available from: https://www.health.gov.au/sites/default/files/documents/2020/03/coronavirus-covid-19-guidelines-for-outbreaks-in-residential-care-facilities.pdf. </w:t>
      </w:r>
    </w:p>
    <w:p w:rsidR="009B090E" w:rsidRPr="00E21585" w:rsidRDefault="009B090E" w:rsidP="00E21585">
      <w:pPr>
        <w:pStyle w:val="ListParagraph"/>
        <w:numPr>
          <w:ilvl w:val="0"/>
          <w:numId w:val="16"/>
        </w:numPr>
        <w:rPr>
          <w:rFonts w:eastAsia="Times New Roman"/>
        </w:rPr>
      </w:pPr>
      <w:r w:rsidRPr="00E21585">
        <w:rPr>
          <w:rFonts w:eastAsia="Times New Roman"/>
        </w:rPr>
        <w:t xml:space="preserve">Australian Government Department of Health. Framework for national reopening – October 2020. [Internet.] Canberra: Australian Government Department of Health; 23 October 2020. [Accessed on 10 November 2020.] Available from: https://www.health.gov.au/resources/publications/framework-for-national-reopening-october-2020. </w:t>
      </w:r>
    </w:p>
    <w:p w:rsidR="009B090E" w:rsidRPr="00E21585" w:rsidRDefault="009B090E" w:rsidP="00E21585">
      <w:pPr>
        <w:pStyle w:val="ListParagraph"/>
        <w:numPr>
          <w:ilvl w:val="0"/>
          <w:numId w:val="16"/>
        </w:numPr>
        <w:rPr>
          <w:rFonts w:eastAsia="Times New Roman"/>
        </w:rPr>
      </w:pPr>
      <w:r w:rsidRPr="00E21585">
        <w:rPr>
          <w:rFonts w:eastAsia="Times New Roman"/>
        </w:rPr>
        <w:t xml:space="preserve">Australian Government Department of Health. Australian Health Protection Principal Committee (AHPPC) statement on new variant of the virus that causes COVID-19. [Internet.] Canberra: Australian Government Department of Health; 22 December 2020. [Accessed on 4 January 2021.] Available from: https://www.health.gov.au/news/australian-health-protection-principal-committee-ahppc-statement-on-new-variant-of-the-virus-that-causes-covid-19. </w:t>
      </w:r>
    </w:p>
    <w:p w:rsidR="009B090E" w:rsidRPr="00E21585" w:rsidRDefault="009B090E" w:rsidP="00E21585">
      <w:pPr>
        <w:pStyle w:val="ListParagraph"/>
        <w:numPr>
          <w:ilvl w:val="0"/>
          <w:numId w:val="16"/>
        </w:numPr>
        <w:rPr>
          <w:rFonts w:eastAsia="Times New Roman"/>
        </w:rPr>
      </w:pPr>
      <w:r w:rsidRPr="00E21585">
        <w:rPr>
          <w:rFonts w:eastAsia="Times New Roman"/>
        </w:rPr>
        <w:t xml:space="preserve">Government of New South Wales. What you can and can’t do under the rules. [Internet.] Sydney: Government of New South Wales; 2021. [Accessed on 1 February 2021.] Available from: https://www.nsw.gov.au/covid-19/what-you-can-and-cant-do-under-rules. </w:t>
      </w:r>
    </w:p>
    <w:p w:rsidR="009B090E" w:rsidRPr="00E21585" w:rsidRDefault="009B090E" w:rsidP="00E21585">
      <w:pPr>
        <w:pStyle w:val="ListParagraph"/>
        <w:numPr>
          <w:ilvl w:val="0"/>
          <w:numId w:val="16"/>
        </w:numPr>
        <w:rPr>
          <w:rFonts w:eastAsia="Times New Roman"/>
        </w:rPr>
      </w:pPr>
      <w:r w:rsidRPr="00E21585">
        <w:rPr>
          <w:rFonts w:eastAsia="Times New Roman"/>
        </w:rPr>
        <w:t xml:space="preserve">Victoria State Government. How we live - Information for all Victorians. Victoria’s </w:t>
      </w:r>
      <w:proofErr w:type="spellStart"/>
      <w:r w:rsidRPr="00E21585">
        <w:rPr>
          <w:rFonts w:eastAsia="Times New Roman"/>
        </w:rPr>
        <w:t>COVIDSafe</w:t>
      </w:r>
      <w:proofErr w:type="spellEnd"/>
      <w:r w:rsidRPr="00E21585">
        <w:rPr>
          <w:rFonts w:eastAsia="Times New Roman"/>
        </w:rPr>
        <w:t xml:space="preserve"> Summer. [Internet.] Melbourne: Victoria State Government; 2021. [Accessed on 1 February 2021.] Available from: https://www.coronavirus.vic.gov.au/how-we-live. </w:t>
      </w:r>
    </w:p>
    <w:p w:rsidR="009B090E" w:rsidRPr="00E21585" w:rsidRDefault="009B090E" w:rsidP="00E21585">
      <w:pPr>
        <w:pStyle w:val="ListParagraph"/>
        <w:numPr>
          <w:ilvl w:val="0"/>
          <w:numId w:val="16"/>
        </w:numPr>
        <w:rPr>
          <w:rFonts w:eastAsia="Times New Roman"/>
        </w:rPr>
      </w:pPr>
      <w:r w:rsidRPr="00E21585">
        <w:rPr>
          <w:rFonts w:eastAsia="Times New Roman"/>
        </w:rPr>
        <w:t xml:space="preserve">Queensland Health. Greater Brisbane lockdown: clarifying movement restriction. [Internet.] Brisbane: Queensland Government, Queensland Health; 8 January 2021. [Accessed on 1 February 2021.] Available from: https://www.health.qld.gov.au/news-events/doh-media-releases/releases/greater-brisbane-lockdown-clarifying-movement-restriction. </w:t>
      </w:r>
    </w:p>
    <w:p w:rsidR="009B090E" w:rsidRPr="00E21585" w:rsidRDefault="009B090E" w:rsidP="00E21585">
      <w:pPr>
        <w:pStyle w:val="ListParagraph"/>
        <w:numPr>
          <w:ilvl w:val="0"/>
          <w:numId w:val="16"/>
        </w:numPr>
        <w:rPr>
          <w:rFonts w:eastAsia="Times New Roman"/>
        </w:rPr>
      </w:pPr>
      <w:r w:rsidRPr="00E21585">
        <w:rPr>
          <w:rFonts w:eastAsia="Times New Roman"/>
        </w:rPr>
        <w:t xml:space="preserve">Queensland Government. </w:t>
      </w:r>
      <w:r w:rsidRPr="00E21585">
        <w:rPr>
          <w:rStyle w:val="Emphasis"/>
          <w:rFonts w:eastAsia="Times New Roman"/>
          <w:b w:val="0"/>
        </w:rPr>
        <w:t>Queensland’s COVID Safe Future</w:t>
      </w:r>
      <w:r w:rsidRPr="00E21585">
        <w:rPr>
          <w:rFonts w:eastAsia="Times New Roman"/>
        </w:rPr>
        <w:t xml:space="preserve">. Brisbane: Queensland Government; 2021. [Accessed on 1 February 2021.] Available from: https://www.covid19.qld.gov.au/__data/assets/pdf_file/0016/127150/DPC7309-COVID-19-Restrictions-roadmap.pdf. </w:t>
      </w:r>
    </w:p>
    <w:p w:rsidR="009B090E" w:rsidRPr="00E21585" w:rsidRDefault="009B090E" w:rsidP="00E21585">
      <w:pPr>
        <w:pStyle w:val="ListParagraph"/>
        <w:numPr>
          <w:ilvl w:val="0"/>
          <w:numId w:val="16"/>
        </w:numPr>
        <w:rPr>
          <w:rFonts w:eastAsia="Times New Roman"/>
        </w:rPr>
      </w:pPr>
      <w:r w:rsidRPr="00E21585">
        <w:rPr>
          <w:rFonts w:eastAsia="Times New Roman"/>
        </w:rPr>
        <w:t xml:space="preserve">Government of Western Australia. Perth metro, Peel and South West to enter hard lockdown. [Internet.] Perth: Government of Western Australia; 31 January 2021. [Accessed on 1 February 2021.] Available from: https://www.wa.gov.au/government/announcements/perth-metro-peel-and-south-west-enter-hard-lockdown. </w:t>
      </w:r>
    </w:p>
    <w:p w:rsidR="009B090E" w:rsidRPr="00E21585" w:rsidRDefault="009B090E" w:rsidP="00E21585">
      <w:pPr>
        <w:pStyle w:val="ListParagraph"/>
        <w:numPr>
          <w:ilvl w:val="0"/>
          <w:numId w:val="16"/>
        </w:numPr>
        <w:rPr>
          <w:rFonts w:eastAsia="Times New Roman"/>
        </w:rPr>
      </w:pPr>
      <w:r w:rsidRPr="00E21585">
        <w:rPr>
          <w:rFonts w:eastAsia="Times New Roman"/>
        </w:rPr>
        <w:t xml:space="preserve">Government of South Australia. COVID-19 response. [Internet.] Adelaide: Government of South Australia; 2021. [Accessed on 1 February 2021.] Available from: https://www.covid-19.sa.gov.au/recovery. </w:t>
      </w:r>
    </w:p>
    <w:p w:rsidR="009B090E" w:rsidRPr="00E21585" w:rsidRDefault="009B090E" w:rsidP="00E21585">
      <w:pPr>
        <w:pStyle w:val="ListParagraph"/>
        <w:numPr>
          <w:ilvl w:val="0"/>
          <w:numId w:val="16"/>
        </w:numPr>
        <w:rPr>
          <w:rFonts w:eastAsia="Times New Roman"/>
        </w:rPr>
      </w:pPr>
      <w:r w:rsidRPr="00E21585">
        <w:rPr>
          <w:rFonts w:eastAsia="Times New Roman"/>
        </w:rPr>
        <w:t xml:space="preserve">Tasmanian Government. Coronavirus disease (COVID-19). Important community updates. [Internet.] Hobart: Tasmanian Government; 2021. [Accessed on 1 February 2021.] Available from: https://coronavirus.tas.gov.au/facts/important-community-updates. </w:t>
      </w:r>
    </w:p>
    <w:p w:rsidR="009B090E" w:rsidRPr="00E21585" w:rsidRDefault="009B090E" w:rsidP="00E21585">
      <w:pPr>
        <w:pStyle w:val="ListParagraph"/>
        <w:numPr>
          <w:ilvl w:val="0"/>
          <w:numId w:val="16"/>
        </w:numPr>
        <w:rPr>
          <w:rFonts w:eastAsia="Times New Roman"/>
        </w:rPr>
      </w:pPr>
      <w:r w:rsidRPr="00E21585">
        <w:rPr>
          <w:rFonts w:eastAsia="Times New Roman"/>
        </w:rPr>
        <w:t xml:space="preserve">Australian Capital Territory Government. Canberra’s Recovery Plan: Easing of Restrictions. [Internet.] Canberra: Australian Capital Territory Government; 25 January 2021. [Accessed on 1 February 2021.] Available from: https://www.covid19.act.gov.au/community/canberra-recovery. </w:t>
      </w:r>
    </w:p>
    <w:p w:rsidR="009B090E" w:rsidRPr="00E21585" w:rsidRDefault="009B090E" w:rsidP="00E21585">
      <w:pPr>
        <w:pStyle w:val="ListParagraph"/>
        <w:numPr>
          <w:ilvl w:val="0"/>
          <w:numId w:val="16"/>
        </w:numPr>
        <w:rPr>
          <w:rFonts w:eastAsia="Times New Roman"/>
        </w:rPr>
      </w:pPr>
      <w:r w:rsidRPr="00E21585">
        <w:rPr>
          <w:rFonts w:eastAsia="Times New Roman"/>
        </w:rPr>
        <w:t xml:space="preserve">Northern Territory Government. Coronavirus (COVID-19). [Internet.] Darwin: Northern Territory Government; 2021. [Accessed on 1 February 2021.] Available from: https://coronavirus.nt.gov.au. </w:t>
      </w:r>
    </w:p>
    <w:p w:rsidR="009B090E" w:rsidRPr="00E21585" w:rsidRDefault="009B090E" w:rsidP="00E21585">
      <w:pPr>
        <w:pStyle w:val="ListParagraph"/>
        <w:numPr>
          <w:ilvl w:val="0"/>
          <w:numId w:val="16"/>
        </w:numPr>
        <w:rPr>
          <w:rFonts w:eastAsia="Times New Roman"/>
        </w:rPr>
      </w:pPr>
      <w:r w:rsidRPr="00E21585">
        <w:rPr>
          <w:rFonts w:eastAsia="Times New Roman"/>
        </w:rPr>
        <w:lastRenderedPageBreak/>
        <w:t xml:space="preserve">WHO. Weekly epidemiological update - 2 February 2021. [Internet.] Geneva: WHO; 2 February 2021. [Accessed on 3 February 2021.] Available from: https://www.who.int/publications/m/item/weekly-epidemiological-update---2-february-2021. </w:t>
      </w:r>
    </w:p>
    <w:p w:rsidR="009B090E" w:rsidRPr="00E21585" w:rsidRDefault="009B090E" w:rsidP="00E21585">
      <w:pPr>
        <w:pStyle w:val="ListParagraph"/>
        <w:numPr>
          <w:ilvl w:val="0"/>
          <w:numId w:val="16"/>
        </w:numPr>
        <w:rPr>
          <w:rFonts w:eastAsia="Times New Roman"/>
        </w:rPr>
      </w:pPr>
      <w:r w:rsidRPr="00E21585">
        <w:rPr>
          <w:rFonts w:eastAsia="Times New Roman"/>
        </w:rPr>
        <w:t xml:space="preserve">WHO. WHO Coronavirus Disease (COVID-19) dashboard. [Internet.] Geneva: WHO; 31 January 2021. [Accessed on 1 February 2021.] Available from: https://covid19.who.int/. </w:t>
      </w:r>
    </w:p>
    <w:p w:rsidR="00155167" w:rsidRDefault="00155167" w:rsidP="00155167">
      <w:pPr>
        <w:pStyle w:val="Heading1"/>
        <w:sectPr w:rsidR="00155167" w:rsidSect="00A30C37">
          <w:pgSz w:w="11906" w:h="16838"/>
          <w:pgMar w:top="720" w:right="720" w:bottom="1134" w:left="720" w:header="709" w:footer="284" w:gutter="0"/>
          <w:cols w:space="708"/>
          <w:titlePg/>
          <w:docGrid w:linePitch="360"/>
        </w:sectPr>
      </w:pPr>
    </w:p>
    <w:p w:rsidR="009B090E" w:rsidRPr="00155167" w:rsidRDefault="009B090E" w:rsidP="00155167">
      <w:pPr>
        <w:pStyle w:val="Heading1"/>
      </w:pPr>
      <w:r w:rsidRPr="00155167">
        <w:lastRenderedPageBreak/>
        <w:t>Appendix A: Supplementary figures and tables</w:t>
      </w:r>
    </w:p>
    <w:p w:rsidR="009B090E" w:rsidRDefault="009B090E" w:rsidP="00155167">
      <w:pPr>
        <w:pStyle w:val="CDIFigures"/>
        <w:rPr>
          <w:rFonts w:eastAsia="Times New Roman"/>
        </w:rPr>
      </w:pPr>
      <w:r>
        <w:rPr>
          <w:rFonts w:eastAsia="Times New Roman"/>
        </w:rPr>
        <w:t>Table A.1: COVID-19 case notifications and rates per 100,000 population, by age group and sex, Australia, 31 January 2021</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his table summarises cumulative and fortnightly confirmed cases and rates per 100,000 population, as a function of age group and sex."/>
      </w:tblPr>
      <w:tblGrid>
        <w:gridCol w:w="1175"/>
        <w:gridCol w:w="1147"/>
        <w:gridCol w:w="1147"/>
        <w:gridCol w:w="1147"/>
        <w:gridCol w:w="1147"/>
        <w:gridCol w:w="1147"/>
        <w:gridCol w:w="1148"/>
        <w:gridCol w:w="1147"/>
        <w:gridCol w:w="1147"/>
        <w:gridCol w:w="1147"/>
        <w:gridCol w:w="1147"/>
        <w:gridCol w:w="1147"/>
        <w:gridCol w:w="1148"/>
      </w:tblGrid>
      <w:tr w:rsidR="00155167" w:rsidRPr="00155167" w:rsidTr="00BB4B18">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rsidR="009B090E" w:rsidRPr="00155167" w:rsidRDefault="009B090E">
            <w:pPr>
              <w:pStyle w:val="NormalWeb"/>
              <w:jc w:val="center"/>
              <w:rPr>
                <w:bCs/>
                <w:color w:val="FFFFFF" w:themeColor="background1"/>
              </w:rPr>
            </w:pPr>
            <w:r w:rsidRPr="00155167">
              <w:rPr>
                <w:bCs/>
                <w:color w:val="FFFFFF" w:themeColor="background1"/>
              </w:rPr>
              <w:t>Age group</w:t>
            </w:r>
          </w:p>
        </w:tc>
        <w:tc>
          <w:tcPr>
            <w:tcW w:w="6883" w:type="dxa"/>
            <w:gridSpan w:val="6"/>
            <w:tcBorders>
              <w:left w:val="single" w:sz="2" w:space="0" w:color="FFFFFF" w:themeColor="background1"/>
              <w:bottom w:val="single" w:sz="2" w:space="0" w:color="FFFFFF" w:themeColor="background1"/>
              <w:right w:val="single" w:sz="2" w:space="0" w:color="FFFFFF" w:themeColor="background1"/>
            </w:tcBorders>
            <w:hideMark/>
          </w:tcPr>
          <w:p w:rsidR="009B090E" w:rsidRPr="00155167" w:rsidRDefault="009B090E" w:rsidP="00BB4B18">
            <w:pPr>
              <w:pStyle w:val="NormalWeb"/>
              <w:jc w:val="center"/>
              <w:rPr>
                <w:bCs/>
                <w:color w:val="FFFFFF" w:themeColor="background1"/>
              </w:rPr>
            </w:pPr>
            <w:r w:rsidRPr="00155167">
              <w:rPr>
                <w:bCs/>
                <w:color w:val="FFFFFF" w:themeColor="background1"/>
              </w:rPr>
              <w:t>This reporting period</w:t>
            </w:r>
            <w:r w:rsidRPr="00155167">
              <w:rPr>
                <w:bCs/>
                <w:color w:val="FFFFFF" w:themeColor="background1"/>
              </w:rPr>
              <w:br/>
              <w:t>18–31 January 2021</w:t>
            </w:r>
          </w:p>
        </w:tc>
        <w:tc>
          <w:tcPr>
            <w:tcW w:w="6883" w:type="dxa"/>
            <w:gridSpan w:val="6"/>
            <w:tcBorders>
              <w:left w:val="single" w:sz="2" w:space="0" w:color="FFFFFF" w:themeColor="background1"/>
              <w:bottom w:val="single" w:sz="2" w:space="0" w:color="FFFFFF" w:themeColor="background1"/>
            </w:tcBorders>
            <w:hideMark/>
          </w:tcPr>
          <w:p w:rsidR="009B090E" w:rsidRPr="00155167" w:rsidRDefault="009B090E" w:rsidP="00BB4B18">
            <w:pPr>
              <w:pStyle w:val="NormalWeb"/>
              <w:jc w:val="center"/>
              <w:rPr>
                <w:bCs/>
                <w:color w:val="FFFFFF" w:themeColor="background1"/>
              </w:rPr>
            </w:pPr>
            <w:r w:rsidRPr="00155167">
              <w:rPr>
                <w:bCs/>
                <w:color w:val="FFFFFF" w:themeColor="background1"/>
              </w:rPr>
              <w:t>Cumulative</w:t>
            </w:r>
            <w:r w:rsidRPr="00155167">
              <w:rPr>
                <w:bCs/>
                <w:color w:val="FFFFFF" w:themeColor="background1"/>
              </w:rPr>
              <w:br/>
              <w:t>23 January 2020 – 31 January 2021</w:t>
            </w:r>
          </w:p>
        </w:tc>
      </w:tr>
      <w:tr w:rsidR="00155167" w:rsidRPr="00155167" w:rsidTr="00BB4B18">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rsidR="009B090E" w:rsidRPr="00155167" w:rsidRDefault="009B090E">
            <w:pPr>
              <w:rPr>
                <w:bCs/>
                <w:color w:val="FFFFFF" w:themeColor="background1"/>
                <w:sz w:val="24"/>
                <w:szCs w:val="24"/>
              </w:rPr>
            </w:pPr>
          </w:p>
        </w:tc>
        <w:tc>
          <w:tcPr>
            <w:tcW w:w="3441"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9B090E" w:rsidRPr="00155167" w:rsidRDefault="009B090E" w:rsidP="00BB4B18">
            <w:pPr>
              <w:pStyle w:val="NormalWeb"/>
              <w:jc w:val="center"/>
              <w:rPr>
                <w:bCs/>
                <w:color w:val="FFFFFF" w:themeColor="background1"/>
              </w:rPr>
            </w:pPr>
            <w:r w:rsidRPr="00155167">
              <w:rPr>
                <w:bCs/>
                <w:color w:val="FFFFFF" w:themeColor="background1"/>
              </w:rPr>
              <w:t>Cases</w:t>
            </w:r>
          </w:p>
        </w:tc>
        <w:tc>
          <w:tcPr>
            <w:tcW w:w="3442"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9B090E" w:rsidRPr="00155167" w:rsidRDefault="009B090E" w:rsidP="00BB4B18">
            <w:pPr>
              <w:pStyle w:val="NormalWeb"/>
              <w:jc w:val="center"/>
              <w:rPr>
                <w:bCs/>
                <w:color w:val="FFFFFF" w:themeColor="background1"/>
              </w:rPr>
            </w:pPr>
            <w:r w:rsidRPr="00155167">
              <w:rPr>
                <w:bCs/>
                <w:color w:val="FFFFFF" w:themeColor="background1"/>
              </w:rPr>
              <w:t>Rate per 100,000 population</w:t>
            </w:r>
          </w:p>
        </w:tc>
        <w:tc>
          <w:tcPr>
            <w:tcW w:w="3441"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9B090E" w:rsidRPr="00155167" w:rsidRDefault="009B090E" w:rsidP="00BB4B18">
            <w:pPr>
              <w:pStyle w:val="NormalWeb"/>
              <w:jc w:val="center"/>
              <w:rPr>
                <w:bCs/>
                <w:color w:val="FFFFFF" w:themeColor="background1"/>
              </w:rPr>
            </w:pPr>
            <w:r w:rsidRPr="00155167">
              <w:rPr>
                <w:bCs/>
                <w:color w:val="FFFFFF" w:themeColor="background1"/>
              </w:rPr>
              <w:t>Cases</w:t>
            </w:r>
          </w:p>
        </w:tc>
        <w:tc>
          <w:tcPr>
            <w:tcW w:w="3442" w:type="dxa"/>
            <w:gridSpan w:val="3"/>
            <w:tcBorders>
              <w:top w:val="single" w:sz="2" w:space="0" w:color="FFFFFF" w:themeColor="background1"/>
              <w:left w:val="single" w:sz="2" w:space="0" w:color="FFFFFF" w:themeColor="background1"/>
              <w:bottom w:val="single" w:sz="2" w:space="0" w:color="FFFFFF" w:themeColor="background1"/>
            </w:tcBorders>
            <w:hideMark/>
          </w:tcPr>
          <w:p w:rsidR="009B090E" w:rsidRPr="00155167" w:rsidRDefault="009B090E" w:rsidP="00BB4B18">
            <w:pPr>
              <w:pStyle w:val="NormalWeb"/>
              <w:jc w:val="center"/>
              <w:rPr>
                <w:bCs/>
                <w:color w:val="FFFFFF" w:themeColor="background1"/>
              </w:rPr>
            </w:pPr>
            <w:r w:rsidRPr="00155167">
              <w:rPr>
                <w:bCs/>
                <w:color w:val="FFFFFF" w:themeColor="background1"/>
              </w:rPr>
              <w:t>Rate per 100,000 population</w:t>
            </w:r>
          </w:p>
        </w:tc>
      </w:tr>
      <w:tr w:rsidR="00155167" w:rsidRPr="00155167" w:rsidTr="00BB4B18">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rsidR="009B090E" w:rsidRPr="00155167" w:rsidRDefault="009B090E">
            <w:pPr>
              <w:rPr>
                <w:bCs/>
                <w:color w:val="FFFFFF" w:themeColor="background1"/>
                <w:sz w:val="24"/>
                <w:szCs w:val="24"/>
              </w:rPr>
            </w:pPr>
          </w:p>
        </w:tc>
        <w:tc>
          <w:tcPr>
            <w:tcW w:w="1147" w:type="dxa"/>
            <w:tcBorders>
              <w:top w:val="single" w:sz="2" w:space="0" w:color="FFFFFF" w:themeColor="background1"/>
              <w:left w:val="single" w:sz="2" w:space="0" w:color="FFFFFF" w:themeColor="background1"/>
              <w:right w:val="single" w:sz="2" w:space="0" w:color="FFFFFF" w:themeColor="background1"/>
            </w:tcBorders>
            <w:hideMark/>
          </w:tcPr>
          <w:p w:rsidR="009B090E" w:rsidRPr="00155167" w:rsidRDefault="009B090E" w:rsidP="00BB4B18">
            <w:pPr>
              <w:pStyle w:val="NormalWeb"/>
              <w:jc w:val="center"/>
              <w:rPr>
                <w:bCs/>
                <w:color w:val="FFFFFF" w:themeColor="background1"/>
              </w:rPr>
            </w:pPr>
            <w:r w:rsidRPr="00155167">
              <w:rPr>
                <w:bCs/>
                <w:color w:val="FFFFFF" w:themeColor="background1"/>
              </w:rPr>
              <w:t>Male</w:t>
            </w:r>
          </w:p>
        </w:tc>
        <w:tc>
          <w:tcPr>
            <w:tcW w:w="1147" w:type="dxa"/>
            <w:tcBorders>
              <w:top w:val="single" w:sz="2" w:space="0" w:color="FFFFFF" w:themeColor="background1"/>
              <w:left w:val="single" w:sz="2" w:space="0" w:color="FFFFFF" w:themeColor="background1"/>
              <w:right w:val="single" w:sz="2" w:space="0" w:color="FFFFFF" w:themeColor="background1"/>
            </w:tcBorders>
            <w:hideMark/>
          </w:tcPr>
          <w:p w:rsidR="009B090E" w:rsidRPr="00155167" w:rsidRDefault="009B090E" w:rsidP="00BB4B18">
            <w:pPr>
              <w:pStyle w:val="NormalWeb"/>
              <w:jc w:val="center"/>
              <w:rPr>
                <w:bCs/>
                <w:color w:val="FFFFFF" w:themeColor="background1"/>
              </w:rPr>
            </w:pPr>
            <w:r w:rsidRPr="00155167">
              <w:rPr>
                <w:bCs/>
                <w:color w:val="FFFFFF" w:themeColor="background1"/>
              </w:rPr>
              <w:t>Female</w:t>
            </w:r>
          </w:p>
        </w:tc>
        <w:tc>
          <w:tcPr>
            <w:tcW w:w="1147" w:type="dxa"/>
            <w:tcBorders>
              <w:top w:val="single" w:sz="2" w:space="0" w:color="FFFFFF" w:themeColor="background1"/>
              <w:left w:val="single" w:sz="2" w:space="0" w:color="FFFFFF" w:themeColor="background1"/>
              <w:right w:val="single" w:sz="2" w:space="0" w:color="FFFFFF" w:themeColor="background1"/>
            </w:tcBorders>
            <w:hideMark/>
          </w:tcPr>
          <w:p w:rsidR="009B090E" w:rsidRPr="00155167" w:rsidRDefault="009B090E" w:rsidP="00BB4B18">
            <w:pPr>
              <w:pStyle w:val="NormalWeb"/>
              <w:jc w:val="center"/>
              <w:rPr>
                <w:bCs/>
                <w:color w:val="FFFFFF" w:themeColor="background1"/>
              </w:rPr>
            </w:pPr>
            <w:r w:rsidRPr="00155167">
              <w:rPr>
                <w:bCs/>
                <w:color w:val="FFFFFF" w:themeColor="background1"/>
              </w:rPr>
              <w:t>People</w:t>
            </w:r>
          </w:p>
        </w:tc>
        <w:tc>
          <w:tcPr>
            <w:tcW w:w="1147" w:type="dxa"/>
            <w:tcBorders>
              <w:top w:val="single" w:sz="2" w:space="0" w:color="FFFFFF" w:themeColor="background1"/>
              <w:left w:val="single" w:sz="2" w:space="0" w:color="FFFFFF" w:themeColor="background1"/>
              <w:right w:val="single" w:sz="2" w:space="0" w:color="FFFFFF" w:themeColor="background1"/>
            </w:tcBorders>
            <w:hideMark/>
          </w:tcPr>
          <w:p w:rsidR="009B090E" w:rsidRPr="00155167" w:rsidRDefault="009B090E" w:rsidP="00BB4B18">
            <w:pPr>
              <w:pStyle w:val="NormalWeb"/>
              <w:jc w:val="center"/>
              <w:rPr>
                <w:bCs/>
                <w:color w:val="FFFFFF" w:themeColor="background1"/>
              </w:rPr>
            </w:pPr>
            <w:r w:rsidRPr="00155167">
              <w:rPr>
                <w:bCs/>
                <w:color w:val="FFFFFF" w:themeColor="background1"/>
              </w:rPr>
              <w:t>Male</w:t>
            </w:r>
          </w:p>
        </w:tc>
        <w:tc>
          <w:tcPr>
            <w:tcW w:w="1147" w:type="dxa"/>
            <w:tcBorders>
              <w:top w:val="single" w:sz="2" w:space="0" w:color="FFFFFF" w:themeColor="background1"/>
              <w:left w:val="single" w:sz="2" w:space="0" w:color="FFFFFF" w:themeColor="background1"/>
              <w:right w:val="single" w:sz="2" w:space="0" w:color="FFFFFF" w:themeColor="background1"/>
            </w:tcBorders>
            <w:hideMark/>
          </w:tcPr>
          <w:p w:rsidR="009B090E" w:rsidRPr="00155167" w:rsidRDefault="009B090E" w:rsidP="00BB4B18">
            <w:pPr>
              <w:pStyle w:val="NormalWeb"/>
              <w:jc w:val="center"/>
              <w:rPr>
                <w:bCs/>
                <w:color w:val="FFFFFF" w:themeColor="background1"/>
              </w:rPr>
            </w:pPr>
            <w:r w:rsidRPr="00155167">
              <w:rPr>
                <w:bCs/>
                <w:color w:val="FFFFFF" w:themeColor="background1"/>
              </w:rPr>
              <w:t>Female</w:t>
            </w:r>
          </w:p>
        </w:tc>
        <w:tc>
          <w:tcPr>
            <w:tcW w:w="1148" w:type="dxa"/>
            <w:tcBorders>
              <w:top w:val="single" w:sz="2" w:space="0" w:color="FFFFFF" w:themeColor="background1"/>
              <w:left w:val="single" w:sz="2" w:space="0" w:color="FFFFFF" w:themeColor="background1"/>
              <w:right w:val="single" w:sz="2" w:space="0" w:color="FFFFFF" w:themeColor="background1"/>
            </w:tcBorders>
            <w:hideMark/>
          </w:tcPr>
          <w:p w:rsidR="009B090E" w:rsidRPr="00155167" w:rsidRDefault="009B090E" w:rsidP="00BB4B18">
            <w:pPr>
              <w:pStyle w:val="NormalWeb"/>
              <w:jc w:val="center"/>
              <w:rPr>
                <w:bCs/>
                <w:color w:val="FFFFFF" w:themeColor="background1"/>
              </w:rPr>
            </w:pPr>
            <w:r w:rsidRPr="00155167">
              <w:rPr>
                <w:bCs/>
                <w:color w:val="FFFFFF" w:themeColor="background1"/>
              </w:rPr>
              <w:t>People</w:t>
            </w:r>
          </w:p>
        </w:tc>
        <w:tc>
          <w:tcPr>
            <w:tcW w:w="1147" w:type="dxa"/>
            <w:tcBorders>
              <w:top w:val="single" w:sz="2" w:space="0" w:color="FFFFFF" w:themeColor="background1"/>
              <w:left w:val="single" w:sz="2" w:space="0" w:color="FFFFFF" w:themeColor="background1"/>
              <w:right w:val="single" w:sz="2" w:space="0" w:color="FFFFFF" w:themeColor="background1"/>
            </w:tcBorders>
            <w:hideMark/>
          </w:tcPr>
          <w:p w:rsidR="009B090E" w:rsidRPr="00155167" w:rsidRDefault="009B090E" w:rsidP="00BB4B18">
            <w:pPr>
              <w:pStyle w:val="NormalWeb"/>
              <w:jc w:val="center"/>
              <w:rPr>
                <w:bCs/>
                <w:color w:val="FFFFFF" w:themeColor="background1"/>
              </w:rPr>
            </w:pPr>
            <w:r w:rsidRPr="00155167">
              <w:rPr>
                <w:bCs/>
                <w:color w:val="FFFFFF" w:themeColor="background1"/>
              </w:rPr>
              <w:t>Male</w:t>
            </w:r>
          </w:p>
        </w:tc>
        <w:tc>
          <w:tcPr>
            <w:tcW w:w="1147" w:type="dxa"/>
            <w:tcBorders>
              <w:top w:val="single" w:sz="2" w:space="0" w:color="FFFFFF" w:themeColor="background1"/>
              <w:left w:val="single" w:sz="2" w:space="0" w:color="FFFFFF" w:themeColor="background1"/>
              <w:right w:val="single" w:sz="2" w:space="0" w:color="FFFFFF" w:themeColor="background1"/>
            </w:tcBorders>
            <w:hideMark/>
          </w:tcPr>
          <w:p w:rsidR="009B090E" w:rsidRPr="00155167" w:rsidRDefault="009B090E" w:rsidP="00BB4B18">
            <w:pPr>
              <w:pStyle w:val="NormalWeb"/>
              <w:jc w:val="center"/>
              <w:rPr>
                <w:bCs/>
                <w:color w:val="FFFFFF" w:themeColor="background1"/>
              </w:rPr>
            </w:pPr>
            <w:r w:rsidRPr="00155167">
              <w:rPr>
                <w:bCs/>
                <w:color w:val="FFFFFF" w:themeColor="background1"/>
              </w:rPr>
              <w:t>Female</w:t>
            </w:r>
          </w:p>
        </w:tc>
        <w:tc>
          <w:tcPr>
            <w:tcW w:w="1147" w:type="dxa"/>
            <w:tcBorders>
              <w:top w:val="single" w:sz="2" w:space="0" w:color="FFFFFF" w:themeColor="background1"/>
              <w:left w:val="single" w:sz="2" w:space="0" w:color="FFFFFF" w:themeColor="background1"/>
              <w:right w:val="single" w:sz="2" w:space="0" w:color="FFFFFF" w:themeColor="background1"/>
            </w:tcBorders>
            <w:hideMark/>
          </w:tcPr>
          <w:p w:rsidR="009B090E" w:rsidRPr="00155167" w:rsidRDefault="009B090E" w:rsidP="00BB4B18">
            <w:pPr>
              <w:pStyle w:val="NormalWeb"/>
              <w:jc w:val="center"/>
              <w:rPr>
                <w:bCs/>
                <w:color w:val="FFFFFF" w:themeColor="background1"/>
              </w:rPr>
            </w:pPr>
            <w:r w:rsidRPr="00155167">
              <w:rPr>
                <w:bCs/>
                <w:color w:val="FFFFFF" w:themeColor="background1"/>
              </w:rPr>
              <w:t>People</w:t>
            </w:r>
          </w:p>
        </w:tc>
        <w:tc>
          <w:tcPr>
            <w:tcW w:w="1147" w:type="dxa"/>
            <w:tcBorders>
              <w:top w:val="single" w:sz="2" w:space="0" w:color="FFFFFF" w:themeColor="background1"/>
              <w:left w:val="single" w:sz="2" w:space="0" w:color="FFFFFF" w:themeColor="background1"/>
              <w:right w:val="single" w:sz="2" w:space="0" w:color="FFFFFF" w:themeColor="background1"/>
            </w:tcBorders>
            <w:hideMark/>
          </w:tcPr>
          <w:p w:rsidR="009B090E" w:rsidRPr="00155167" w:rsidRDefault="009B090E" w:rsidP="00BB4B18">
            <w:pPr>
              <w:pStyle w:val="NormalWeb"/>
              <w:jc w:val="center"/>
              <w:rPr>
                <w:bCs/>
                <w:color w:val="FFFFFF" w:themeColor="background1"/>
              </w:rPr>
            </w:pPr>
            <w:r w:rsidRPr="00155167">
              <w:rPr>
                <w:bCs/>
                <w:color w:val="FFFFFF" w:themeColor="background1"/>
              </w:rPr>
              <w:t>Male</w:t>
            </w:r>
          </w:p>
        </w:tc>
        <w:tc>
          <w:tcPr>
            <w:tcW w:w="1147" w:type="dxa"/>
            <w:tcBorders>
              <w:top w:val="single" w:sz="2" w:space="0" w:color="FFFFFF" w:themeColor="background1"/>
              <w:left w:val="single" w:sz="2" w:space="0" w:color="FFFFFF" w:themeColor="background1"/>
              <w:right w:val="single" w:sz="2" w:space="0" w:color="FFFFFF" w:themeColor="background1"/>
            </w:tcBorders>
            <w:hideMark/>
          </w:tcPr>
          <w:p w:rsidR="009B090E" w:rsidRPr="00155167" w:rsidRDefault="009B090E" w:rsidP="00BB4B18">
            <w:pPr>
              <w:pStyle w:val="NormalWeb"/>
              <w:jc w:val="center"/>
              <w:rPr>
                <w:bCs/>
                <w:color w:val="FFFFFF" w:themeColor="background1"/>
              </w:rPr>
            </w:pPr>
            <w:r w:rsidRPr="00155167">
              <w:rPr>
                <w:bCs/>
                <w:color w:val="FFFFFF" w:themeColor="background1"/>
              </w:rPr>
              <w:t>Female</w:t>
            </w:r>
          </w:p>
        </w:tc>
        <w:tc>
          <w:tcPr>
            <w:tcW w:w="1148" w:type="dxa"/>
            <w:tcBorders>
              <w:top w:val="single" w:sz="2" w:space="0" w:color="FFFFFF" w:themeColor="background1"/>
              <w:left w:val="single" w:sz="2" w:space="0" w:color="FFFFFF" w:themeColor="background1"/>
            </w:tcBorders>
            <w:hideMark/>
          </w:tcPr>
          <w:p w:rsidR="009B090E" w:rsidRPr="00155167" w:rsidRDefault="009B090E" w:rsidP="00BB4B18">
            <w:pPr>
              <w:pStyle w:val="NormalWeb"/>
              <w:jc w:val="center"/>
              <w:rPr>
                <w:bCs/>
                <w:color w:val="FFFFFF" w:themeColor="background1"/>
              </w:rPr>
            </w:pPr>
            <w:r w:rsidRPr="00155167">
              <w:rPr>
                <w:bCs/>
                <w:color w:val="FFFFFF" w:themeColor="background1"/>
              </w:rPr>
              <w:t>People</w:t>
            </w:r>
          </w:p>
        </w:tc>
      </w:tr>
      <w:tr w:rsidR="009B090E" w:rsidTr="00BB4B18">
        <w:tc>
          <w:tcPr>
            <w:tcW w:w="0" w:type="auto"/>
            <w:hideMark/>
          </w:tcPr>
          <w:p w:rsidR="009B090E" w:rsidRDefault="009B090E">
            <w:pPr>
              <w:pStyle w:val="NormalWeb"/>
            </w:pPr>
            <w:r>
              <w:t>0 to 9</w:t>
            </w:r>
          </w:p>
        </w:tc>
        <w:tc>
          <w:tcPr>
            <w:tcW w:w="1147" w:type="dxa"/>
            <w:hideMark/>
          </w:tcPr>
          <w:p w:rsidR="009B090E" w:rsidRDefault="009B090E" w:rsidP="00BB4B18">
            <w:pPr>
              <w:pStyle w:val="NormalWeb"/>
              <w:jc w:val="center"/>
            </w:pPr>
            <w:r>
              <w:t>4</w:t>
            </w:r>
          </w:p>
        </w:tc>
        <w:tc>
          <w:tcPr>
            <w:tcW w:w="1147" w:type="dxa"/>
            <w:hideMark/>
          </w:tcPr>
          <w:p w:rsidR="009B090E" w:rsidRDefault="009B090E" w:rsidP="00BB4B18">
            <w:pPr>
              <w:pStyle w:val="NormalWeb"/>
              <w:jc w:val="center"/>
            </w:pPr>
            <w:r>
              <w:t>2</w:t>
            </w:r>
          </w:p>
        </w:tc>
        <w:tc>
          <w:tcPr>
            <w:tcW w:w="1147" w:type="dxa"/>
            <w:hideMark/>
          </w:tcPr>
          <w:p w:rsidR="009B090E" w:rsidRDefault="009B090E" w:rsidP="00BB4B18">
            <w:pPr>
              <w:pStyle w:val="NormalWeb"/>
              <w:jc w:val="center"/>
            </w:pPr>
            <w:r>
              <w:t>6</w:t>
            </w:r>
          </w:p>
        </w:tc>
        <w:tc>
          <w:tcPr>
            <w:tcW w:w="1147" w:type="dxa"/>
            <w:hideMark/>
          </w:tcPr>
          <w:p w:rsidR="009B090E" w:rsidRDefault="009B090E" w:rsidP="00BB4B18">
            <w:pPr>
              <w:pStyle w:val="NormalWeb"/>
              <w:jc w:val="center"/>
            </w:pPr>
            <w:r>
              <w:t>0.2</w:t>
            </w:r>
          </w:p>
        </w:tc>
        <w:tc>
          <w:tcPr>
            <w:tcW w:w="1147" w:type="dxa"/>
            <w:hideMark/>
          </w:tcPr>
          <w:p w:rsidR="009B090E" w:rsidRDefault="009B090E" w:rsidP="00BB4B18">
            <w:pPr>
              <w:pStyle w:val="NormalWeb"/>
              <w:jc w:val="center"/>
            </w:pPr>
            <w:r>
              <w:t>0.1</w:t>
            </w:r>
          </w:p>
        </w:tc>
        <w:tc>
          <w:tcPr>
            <w:tcW w:w="1148" w:type="dxa"/>
            <w:hideMark/>
          </w:tcPr>
          <w:p w:rsidR="009B090E" w:rsidRDefault="009B090E" w:rsidP="00BB4B18">
            <w:pPr>
              <w:pStyle w:val="NormalWeb"/>
              <w:jc w:val="center"/>
            </w:pPr>
            <w:r>
              <w:t>0.2</w:t>
            </w:r>
          </w:p>
        </w:tc>
        <w:tc>
          <w:tcPr>
            <w:tcW w:w="1147" w:type="dxa"/>
            <w:hideMark/>
          </w:tcPr>
          <w:p w:rsidR="009B090E" w:rsidRDefault="009B090E" w:rsidP="00BB4B18">
            <w:pPr>
              <w:pStyle w:val="NormalWeb"/>
              <w:jc w:val="center"/>
            </w:pPr>
            <w:r>
              <w:t>796</w:t>
            </w:r>
          </w:p>
        </w:tc>
        <w:tc>
          <w:tcPr>
            <w:tcW w:w="1147" w:type="dxa"/>
            <w:hideMark/>
          </w:tcPr>
          <w:p w:rsidR="009B090E" w:rsidRDefault="009B090E" w:rsidP="00BB4B18">
            <w:pPr>
              <w:pStyle w:val="NormalWeb"/>
              <w:jc w:val="center"/>
            </w:pPr>
            <w:r>
              <w:t>715</w:t>
            </w:r>
          </w:p>
        </w:tc>
        <w:tc>
          <w:tcPr>
            <w:tcW w:w="1147" w:type="dxa"/>
            <w:hideMark/>
          </w:tcPr>
          <w:p w:rsidR="009B090E" w:rsidRDefault="009B090E" w:rsidP="00BB4B18">
            <w:pPr>
              <w:pStyle w:val="NormalWeb"/>
              <w:jc w:val="center"/>
            </w:pPr>
            <w:r>
              <w:t>1,511</w:t>
            </w:r>
          </w:p>
        </w:tc>
        <w:tc>
          <w:tcPr>
            <w:tcW w:w="1147" w:type="dxa"/>
            <w:hideMark/>
          </w:tcPr>
          <w:p w:rsidR="009B090E" w:rsidRDefault="009B090E" w:rsidP="00BB4B18">
            <w:pPr>
              <w:pStyle w:val="NormalWeb"/>
              <w:jc w:val="center"/>
            </w:pPr>
            <w:r>
              <w:t>48.7</w:t>
            </w:r>
          </w:p>
        </w:tc>
        <w:tc>
          <w:tcPr>
            <w:tcW w:w="1147" w:type="dxa"/>
            <w:hideMark/>
          </w:tcPr>
          <w:p w:rsidR="009B090E" w:rsidRDefault="009B090E" w:rsidP="00BB4B18">
            <w:pPr>
              <w:pStyle w:val="NormalWeb"/>
              <w:jc w:val="center"/>
            </w:pPr>
            <w:r>
              <w:t>46.1</w:t>
            </w:r>
          </w:p>
        </w:tc>
        <w:tc>
          <w:tcPr>
            <w:tcW w:w="1148" w:type="dxa"/>
            <w:hideMark/>
          </w:tcPr>
          <w:p w:rsidR="009B090E" w:rsidRDefault="009B090E" w:rsidP="00BB4B18">
            <w:pPr>
              <w:pStyle w:val="NormalWeb"/>
              <w:jc w:val="center"/>
            </w:pPr>
            <w:r>
              <w:t>47.4</w:t>
            </w:r>
          </w:p>
        </w:tc>
      </w:tr>
      <w:tr w:rsidR="00155167" w:rsidTr="00BB4B18">
        <w:trPr>
          <w:cnfStyle w:val="000000010000" w:firstRow="0" w:lastRow="0" w:firstColumn="0" w:lastColumn="0" w:oddVBand="0" w:evenVBand="0" w:oddHBand="0" w:evenHBand="1" w:firstRowFirstColumn="0" w:firstRowLastColumn="0" w:lastRowFirstColumn="0" w:lastRowLastColumn="0"/>
        </w:trPr>
        <w:tc>
          <w:tcPr>
            <w:tcW w:w="0" w:type="auto"/>
            <w:hideMark/>
          </w:tcPr>
          <w:p w:rsidR="009B090E" w:rsidRDefault="009B090E">
            <w:pPr>
              <w:pStyle w:val="NormalWeb"/>
            </w:pPr>
            <w:r>
              <w:t>10 to 19</w:t>
            </w:r>
          </w:p>
        </w:tc>
        <w:tc>
          <w:tcPr>
            <w:tcW w:w="1147" w:type="dxa"/>
            <w:hideMark/>
          </w:tcPr>
          <w:p w:rsidR="009B090E" w:rsidRDefault="009B090E" w:rsidP="00BB4B18">
            <w:pPr>
              <w:pStyle w:val="NormalWeb"/>
              <w:jc w:val="center"/>
            </w:pPr>
            <w:r>
              <w:t>5</w:t>
            </w:r>
          </w:p>
        </w:tc>
        <w:tc>
          <w:tcPr>
            <w:tcW w:w="1147" w:type="dxa"/>
            <w:hideMark/>
          </w:tcPr>
          <w:p w:rsidR="009B090E" w:rsidRDefault="009B090E" w:rsidP="00BB4B18">
            <w:pPr>
              <w:pStyle w:val="NormalWeb"/>
              <w:jc w:val="center"/>
            </w:pPr>
            <w:r>
              <w:t>7</w:t>
            </w:r>
          </w:p>
        </w:tc>
        <w:tc>
          <w:tcPr>
            <w:tcW w:w="1147" w:type="dxa"/>
            <w:hideMark/>
          </w:tcPr>
          <w:p w:rsidR="009B090E" w:rsidRDefault="009B090E" w:rsidP="00BB4B18">
            <w:pPr>
              <w:pStyle w:val="NormalWeb"/>
              <w:jc w:val="center"/>
            </w:pPr>
            <w:r>
              <w:t>12</w:t>
            </w:r>
          </w:p>
        </w:tc>
        <w:tc>
          <w:tcPr>
            <w:tcW w:w="1147" w:type="dxa"/>
            <w:hideMark/>
          </w:tcPr>
          <w:p w:rsidR="009B090E" w:rsidRDefault="009B090E" w:rsidP="00BB4B18">
            <w:pPr>
              <w:pStyle w:val="NormalWeb"/>
              <w:jc w:val="center"/>
            </w:pPr>
            <w:r>
              <w:t>0.3</w:t>
            </w:r>
          </w:p>
        </w:tc>
        <w:tc>
          <w:tcPr>
            <w:tcW w:w="1147" w:type="dxa"/>
            <w:hideMark/>
          </w:tcPr>
          <w:p w:rsidR="009B090E" w:rsidRDefault="009B090E" w:rsidP="00BB4B18">
            <w:pPr>
              <w:pStyle w:val="NormalWeb"/>
              <w:jc w:val="center"/>
            </w:pPr>
            <w:r>
              <w:t>0.5</w:t>
            </w:r>
          </w:p>
        </w:tc>
        <w:tc>
          <w:tcPr>
            <w:tcW w:w="1148" w:type="dxa"/>
            <w:hideMark/>
          </w:tcPr>
          <w:p w:rsidR="009B090E" w:rsidRDefault="009B090E" w:rsidP="00BB4B18">
            <w:pPr>
              <w:pStyle w:val="NormalWeb"/>
              <w:jc w:val="center"/>
            </w:pPr>
            <w:r>
              <w:t>0.4</w:t>
            </w:r>
          </w:p>
        </w:tc>
        <w:tc>
          <w:tcPr>
            <w:tcW w:w="1147" w:type="dxa"/>
            <w:hideMark/>
          </w:tcPr>
          <w:p w:rsidR="009B090E" w:rsidRDefault="009B090E" w:rsidP="00BB4B18">
            <w:pPr>
              <w:pStyle w:val="NormalWeb"/>
              <w:jc w:val="center"/>
            </w:pPr>
            <w:r>
              <w:t>1,258</w:t>
            </w:r>
          </w:p>
        </w:tc>
        <w:tc>
          <w:tcPr>
            <w:tcW w:w="1147" w:type="dxa"/>
            <w:hideMark/>
          </w:tcPr>
          <w:p w:rsidR="009B090E" w:rsidRDefault="009B090E" w:rsidP="00BB4B18">
            <w:pPr>
              <w:pStyle w:val="NormalWeb"/>
              <w:jc w:val="center"/>
            </w:pPr>
            <w:r>
              <w:t>1,206</w:t>
            </w:r>
          </w:p>
        </w:tc>
        <w:tc>
          <w:tcPr>
            <w:tcW w:w="1147" w:type="dxa"/>
            <w:hideMark/>
          </w:tcPr>
          <w:p w:rsidR="009B090E" w:rsidRDefault="009B090E" w:rsidP="00BB4B18">
            <w:pPr>
              <w:pStyle w:val="NormalWeb"/>
              <w:jc w:val="center"/>
            </w:pPr>
            <w:r>
              <w:t>2,464</w:t>
            </w:r>
          </w:p>
        </w:tc>
        <w:tc>
          <w:tcPr>
            <w:tcW w:w="1147" w:type="dxa"/>
            <w:hideMark/>
          </w:tcPr>
          <w:p w:rsidR="009B090E" w:rsidRDefault="009B090E" w:rsidP="00BB4B18">
            <w:pPr>
              <w:pStyle w:val="NormalWeb"/>
              <w:jc w:val="center"/>
            </w:pPr>
            <w:r>
              <w:t>80.1</w:t>
            </w:r>
          </w:p>
        </w:tc>
        <w:tc>
          <w:tcPr>
            <w:tcW w:w="1147" w:type="dxa"/>
            <w:hideMark/>
          </w:tcPr>
          <w:p w:rsidR="009B090E" w:rsidRDefault="009B090E" w:rsidP="00BB4B18">
            <w:pPr>
              <w:pStyle w:val="NormalWeb"/>
              <w:jc w:val="center"/>
            </w:pPr>
            <w:r>
              <w:t>81.2</w:t>
            </w:r>
          </w:p>
        </w:tc>
        <w:tc>
          <w:tcPr>
            <w:tcW w:w="1148" w:type="dxa"/>
            <w:hideMark/>
          </w:tcPr>
          <w:p w:rsidR="009B090E" w:rsidRDefault="009B090E" w:rsidP="00BB4B18">
            <w:pPr>
              <w:pStyle w:val="NormalWeb"/>
              <w:jc w:val="center"/>
            </w:pPr>
            <w:r>
              <w:t>80.6</w:t>
            </w:r>
          </w:p>
        </w:tc>
      </w:tr>
      <w:tr w:rsidR="009B090E" w:rsidTr="00BB4B18">
        <w:tc>
          <w:tcPr>
            <w:tcW w:w="0" w:type="auto"/>
            <w:hideMark/>
          </w:tcPr>
          <w:p w:rsidR="009B090E" w:rsidRDefault="009B090E">
            <w:pPr>
              <w:pStyle w:val="NormalWeb"/>
            </w:pPr>
            <w:r>
              <w:t>20 to 29</w:t>
            </w:r>
          </w:p>
        </w:tc>
        <w:tc>
          <w:tcPr>
            <w:tcW w:w="1147" w:type="dxa"/>
            <w:hideMark/>
          </w:tcPr>
          <w:p w:rsidR="009B090E" w:rsidRDefault="009B090E" w:rsidP="00BB4B18">
            <w:pPr>
              <w:pStyle w:val="NormalWeb"/>
              <w:jc w:val="center"/>
            </w:pPr>
            <w:r>
              <w:t>9</w:t>
            </w:r>
          </w:p>
        </w:tc>
        <w:tc>
          <w:tcPr>
            <w:tcW w:w="1147" w:type="dxa"/>
            <w:hideMark/>
          </w:tcPr>
          <w:p w:rsidR="009B090E" w:rsidRDefault="009B090E" w:rsidP="00BB4B18">
            <w:pPr>
              <w:pStyle w:val="NormalWeb"/>
              <w:jc w:val="center"/>
            </w:pPr>
            <w:r>
              <w:t>9</w:t>
            </w:r>
          </w:p>
        </w:tc>
        <w:tc>
          <w:tcPr>
            <w:tcW w:w="1147" w:type="dxa"/>
            <w:hideMark/>
          </w:tcPr>
          <w:p w:rsidR="009B090E" w:rsidRDefault="009B090E" w:rsidP="00BB4B18">
            <w:pPr>
              <w:pStyle w:val="NormalWeb"/>
              <w:jc w:val="center"/>
            </w:pPr>
            <w:r>
              <w:t>18</w:t>
            </w:r>
          </w:p>
        </w:tc>
        <w:tc>
          <w:tcPr>
            <w:tcW w:w="1147" w:type="dxa"/>
            <w:hideMark/>
          </w:tcPr>
          <w:p w:rsidR="009B090E" w:rsidRDefault="009B090E" w:rsidP="00BB4B18">
            <w:pPr>
              <w:pStyle w:val="NormalWeb"/>
              <w:jc w:val="center"/>
            </w:pPr>
            <w:r>
              <w:t>0.5</w:t>
            </w:r>
          </w:p>
        </w:tc>
        <w:tc>
          <w:tcPr>
            <w:tcW w:w="1147" w:type="dxa"/>
            <w:hideMark/>
          </w:tcPr>
          <w:p w:rsidR="009B090E" w:rsidRDefault="009B090E" w:rsidP="00BB4B18">
            <w:pPr>
              <w:pStyle w:val="NormalWeb"/>
              <w:jc w:val="center"/>
            </w:pPr>
            <w:r>
              <w:t>0.5</w:t>
            </w:r>
          </w:p>
        </w:tc>
        <w:tc>
          <w:tcPr>
            <w:tcW w:w="1148" w:type="dxa"/>
            <w:hideMark/>
          </w:tcPr>
          <w:p w:rsidR="009B090E" w:rsidRDefault="009B090E" w:rsidP="00BB4B18">
            <w:pPr>
              <w:pStyle w:val="NormalWeb"/>
              <w:jc w:val="center"/>
            </w:pPr>
            <w:r>
              <w:t>0.5</w:t>
            </w:r>
          </w:p>
        </w:tc>
        <w:tc>
          <w:tcPr>
            <w:tcW w:w="1147" w:type="dxa"/>
            <w:hideMark/>
          </w:tcPr>
          <w:p w:rsidR="009B090E" w:rsidRDefault="009B090E" w:rsidP="00BB4B18">
            <w:pPr>
              <w:pStyle w:val="NormalWeb"/>
              <w:jc w:val="center"/>
            </w:pPr>
            <w:r>
              <w:t>3,077</w:t>
            </w:r>
          </w:p>
        </w:tc>
        <w:tc>
          <w:tcPr>
            <w:tcW w:w="1147" w:type="dxa"/>
            <w:hideMark/>
          </w:tcPr>
          <w:p w:rsidR="009B090E" w:rsidRDefault="009B090E" w:rsidP="00BB4B18">
            <w:pPr>
              <w:pStyle w:val="NormalWeb"/>
              <w:jc w:val="center"/>
            </w:pPr>
            <w:r>
              <w:t>3,379</w:t>
            </w:r>
          </w:p>
        </w:tc>
        <w:tc>
          <w:tcPr>
            <w:tcW w:w="1147" w:type="dxa"/>
            <w:hideMark/>
          </w:tcPr>
          <w:p w:rsidR="009B090E" w:rsidRDefault="009B090E" w:rsidP="00BB4B18">
            <w:pPr>
              <w:pStyle w:val="NormalWeb"/>
              <w:jc w:val="center"/>
            </w:pPr>
            <w:r>
              <w:t>6,478</w:t>
            </w:r>
          </w:p>
        </w:tc>
        <w:tc>
          <w:tcPr>
            <w:tcW w:w="1147" w:type="dxa"/>
            <w:hideMark/>
          </w:tcPr>
          <w:p w:rsidR="009B090E" w:rsidRDefault="009B090E" w:rsidP="00BB4B18">
            <w:pPr>
              <w:pStyle w:val="NormalWeb"/>
              <w:jc w:val="center"/>
            </w:pPr>
            <w:r>
              <w:t>165.6</w:t>
            </w:r>
          </w:p>
        </w:tc>
        <w:tc>
          <w:tcPr>
            <w:tcW w:w="1147" w:type="dxa"/>
            <w:hideMark/>
          </w:tcPr>
          <w:p w:rsidR="009B090E" w:rsidRDefault="009B090E" w:rsidP="00BB4B18">
            <w:pPr>
              <w:pStyle w:val="NormalWeb"/>
              <w:jc w:val="center"/>
            </w:pPr>
            <w:r>
              <w:t>187.6</w:t>
            </w:r>
          </w:p>
        </w:tc>
        <w:tc>
          <w:tcPr>
            <w:tcW w:w="1148" w:type="dxa"/>
            <w:hideMark/>
          </w:tcPr>
          <w:p w:rsidR="009B090E" w:rsidRDefault="009B090E" w:rsidP="00BB4B18">
            <w:pPr>
              <w:pStyle w:val="NormalWeb"/>
              <w:jc w:val="center"/>
            </w:pPr>
            <w:r>
              <w:t>177.1</w:t>
            </w:r>
          </w:p>
        </w:tc>
      </w:tr>
      <w:tr w:rsidR="00155167" w:rsidTr="00BB4B18">
        <w:trPr>
          <w:cnfStyle w:val="000000010000" w:firstRow="0" w:lastRow="0" w:firstColumn="0" w:lastColumn="0" w:oddVBand="0" w:evenVBand="0" w:oddHBand="0" w:evenHBand="1" w:firstRowFirstColumn="0" w:firstRowLastColumn="0" w:lastRowFirstColumn="0" w:lastRowLastColumn="0"/>
        </w:trPr>
        <w:tc>
          <w:tcPr>
            <w:tcW w:w="0" w:type="auto"/>
            <w:hideMark/>
          </w:tcPr>
          <w:p w:rsidR="009B090E" w:rsidRDefault="009B090E">
            <w:pPr>
              <w:pStyle w:val="NormalWeb"/>
            </w:pPr>
            <w:r>
              <w:t>30 to 39</w:t>
            </w:r>
          </w:p>
        </w:tc>
        <w:tc>
          <w:tcPr>
            <w:tcW w:w="1147" w:type="dxa"/>
            <w:hideMark/>
          </w:tcPr>
          <w:p w:rsidR="009B090E" w:rsidRDefault="009B090E" w:rsidP="00BB4B18">
            <w:pPr>
              <w:pStyle w:val="NormalWeb"/>
              <w:jc w:val="center"/>
            </w:pPr>
            <w:r>
              <w:t>10</w:t>
            </w:r>
          </w:p>
        </w:tc>
        <w:tc>
          <w:tcPr>
            <w:tcW w:w="1147" w:type="dxa"/>
            <w:hideMark/>
          </w:tcPr>
          <w:p w:rsidR="009B090E" w:rsidRDefault="009B090E" w:rsidP="00BB4B18">
            <w:pPr>
              <w:pStyle w:val="NormalWeb"/>
              <w:jc w:val="center"/>
            </w:pPr>
            <w:r>
              <w:t>3</w:t>
            </w:r>
          </w:p>
        </w:tc>
        <w:tc>
          <w:tcPr>
            <w:tcW w:w="1147" w:type="dxa"/>
            <w:hideMark/>
          </w:tcPr>
          <w:p w:rsidR="009B090E" w:rsidRDefault="009B090E" w:rsidP="00BB4B18">
            <w:pPr>
              <w:pStyle w:val="NormalWeb"/>
              <w:jc w:val="center"/>
            </w:pPr>
            <w:r>
              <w:t>13</w:t>
            </w:r>
          </w:p>
        </w:tc>
        <w:tc>
          <w:tcPr>
            <w:tcW w:w="1147" w:type="dxa"/>
            <w:hideMark/>
          </w:tcPr>
          <w:p w:rsidR="009B090E" w:rsidRDefault="009B090E" w:rsidP="00BB4B18">
            <w:pPr>
              <w:pStyle w:val="NormalWeb"/>
              <w:jc w:val="center"/>
            </w:pPr>
            <w:r>
              <w:t>0.5</w:t>
            </w:r>
          </w:p>
        </w:tc>
        <w:tc>
          <w:tcPr>
            <w:tcW w:w="1147" w:type="dxa"/>
            <w:hideMark/>
          </w:tcPr>
          <w:p w:rsidR="009B090E" w:rsidRDefault="009B090E" w:rsidP="00BB4B18">
            <w:pPr>
              <w:pStyle w:val="NormalWeb"/>
              <w:jc w:val="center"/>
            </w:pPr>
            <w:r>
              <w:t>0.2</w:t>
            </w:r>
          </w:p>
        </w:tc>
        <w:tc>
          <w:tcPr>
            <w:tcW w:w="1148" w:type="dxa"/>
            <w:hideMark/>
          </w:tcPr>
          <w:p w:rsidR="009B090E" w:rsidRDefault="009B090E" w:rsidP="00BB4B18">
            <w:pPr>
              <w:pStyle w:val="NormalWeb"/>
              <w:jc w:val="center"/>
            </w:pPr>
            <w:r>
              <w:t>0.4</w:t>
            </w:r>
          </w:p>
        </w:tc>
        <w:tc>
          <w:tcPr>
            <w:tcW w:w="1147" w:type="dxa"/>
            <w:hideMark/>
          </w:tcPr>
          <w:p w:rsidR="009B090E" w:rsidRDefault="009B090E" w:rsidP="00BB4B18">
            <w:pPr>
              <w:pStyle w:val="NormalWeb"/>
              <w:jc w:val="center"/>
            </w:pPr>
            <w:r>
              <w:t>2,595</w:t>
            </w:r>
          </w:p>
        </w:tc>
        <w:tc>
          <w:tcPr>
            <w:tcW w:w="1147" w:type="dxa"/>
            <w:hideMark/>
          </w:tcPr>
          <w:p w:rsidR="009B090E" w:rsidRDefault="009B090E" w:rsidP="00BB4B18">
            <w:pPr>
              <w:pStyle w:val="NormalWeb"/>
              <w:jc w:val="center"/>
            </w:pPr>
            <w:r>
              <w:t>2,502</w:t>
            </w:r>
          </w:p>
        </w:tc>
        <w:tc>
          <w:tcPr>
            <w:tcW w:w="1147" w:type="dxa"/>
            <w:hideMark/>
          </w:tcPr>
          <w:p w:rsidR="009B090E" w:rsidRDefault="009B090E" w:rsidP="00BB4B18">
            <w:pPr>
              <w:pStyle w:val="NormalWeb"/>
              <w:jc w:val="center"/>
            </w:pPr>
            <w:r>
              <w:t>5,112</w:t>
            </w:r>
          </w:p>
        </w:tc>
        <w:tc>
          <w:tcPr>
            <w:tcW w:w="1147" w:type="dxa"/>
            <w:hideMark/>
          </w:tcPr>
          <w:p w:rsidR="009B090E" w:rsidRDefault="009B090E" w:rsidP="00BB4B18">
            <w:pPr>
              <w:pStyle w:val="NormalWeb"/>
              <w:jc w:val="center"/>
            </w:pPr>
            <w:r>
              <w:t>142.7</w:t>
            </w:r>
          </w:p>
        </w:tc>
        <w:tc>
          <w:tcPr>
            <w:tcW w:w="1147" w:type="dxa"/>
            <w:hideMark/>
          </w:tcPr>
          <w:p w:rsidR="009B090E" w:rsidRDefault="009B090E" w:rsidP="00BB4B18">
            <w:pPr>
              <w:pStyle w:val="NormalWeb"/>
              <w:jc w:val="center"/>
            </w:pPr>
            <w:r>
              <w:t>134.8</w:t>
            </w:r>
          </w:p>
        </w:tc>
        <w:tc>
          <w:tcPr>
            <w:tcW w:w="1148" w:type="dxa"/>
            <w:hideMark/>
          </w:tcPr>
          <w:p w:rsidR="009B090E" w:rsidRDefault="009B090E" w:rsidP="00BB4B18">
            <w:pPr>
              <w:pStyle w:val="NormalWeb"/>
              <w:jc w:val="center"/>
            </w:pPr>
            <w:r>
              <w:t>139.1</w:t>
            </w:r>
          </w:p>
        </w:tc>
      </w:tr>
      <w:tr w:rsidR="009B090E" w:rsidTr="00BB4B18">
        <w:tc>
          <w:tcPr>
            <w:tcW w:w="0" w:type="auto"/>
            <w:hideMark/>
          </w:tcPr>
          <w:p w:rsidR="009B090E" w:rsidRDefault="009B090E">
            <w:pPr>
              <w:pStyle w:val="NormalWeb"/>
            </w:pPr>
            <w:r>
              <w:t>40 to 49</w:t>
            </w:r>
          </w:p>
        </w:tc>
        <w:tc>
          <w:tcPr>
            <w:tcW w:w="1147" w:type="dxa"/>
            <w:hideMark/>
          </w:tcPr>
          <w:p w:rsidR="009B090E" w:rsidRDefault="009B090E" w:rsidP="00BB4B18">
            <w:pPr>
              <w:pStyle w:val="NormalWeb"/>
              <w:jc w:val="center"/>
            </w:pPr>
            <w:r>
              <w:t>14</w:t>
            </w:r>
          </w:p>
        </w:tc>
        <w:tc>
          <w:tcPr>
            <w:tcW w:w="1147" w:type="dxa"/>
            <w:hideMark/>
          </w:tcPr>
          <w:p w:rsidR="009B090E" w:rsidRDefault="009B090E" w:rsidP="00BB4B18">
            <w:pPr>
              <w:pStyle w:val="NormalWeb"/>
              <w:jc w:val="center"/>
            </w:pPr>
            <w:r>
              <w:t>5</w:t>
            </w:r>
          </w:p>
        </w:tc>
        <w:tc>
          <w:tcPr>
            <w:tcW w:w="1147" w:type="dxa"/>
            <w:hideMark/>
          </w:tcPr>
          <w:p w:rsidR="009B090E" w:rsidRDefault="009B090E" w:rsidP="00BB4B18">
            <w:pPr>
              <w:pStyle w:val="NormalWeb"/>
              <w:jc w:val="center"/>
            </w:pPr>
            <w:r>
              <w:t>19</w:t>
            </w:r>
          </w:p>
        </w:tc>
        <w:tc>
          <w:tcPr>
            <w:tcW w:w="1147" w:type="dxa"/>
            <w:hideMark/>
          </w:tcPr>
          <w:p w:rsidR="009B090E" w:rsidRDefault="009B090E" w:rsidP="00BB4B18">
            <w:pPr>
              <w:pStyle w:val="NormalWeb"/>
              <w:jc w:val="center"/>
            </w:pPr>
            <w:r>
              <w:t>0.9</w:t>
            </w:r>
          </w:p>
        </w:tc>
        <w:tc>
          <w:tcPr>
            <w:tcW w:w="1147" w:type="dxa"/>
            <w:hideMark/>
          </w:tcPr>
          <w:p w:rsidR="009B090E" w:rsidRDefault="009B090E" w:rsidP="00BB4B18">
            <w:pPr>
              <w:pStyle w:val="NormalWeb"/>
              <w:jc w:val="center"/>
            </w:pPr>
            <w:r>
              <w:t>0.3</w:t>
            </w:r>
          </w:p>
        </w:tc>
        <w:tc>
          <w:tcPr>
            <w:tcW w:w="1148" w:type="dxa"/>
            <w:hideMark/>
          </w:tcPr>
          <w:p w:rsidR="009B090E" w:rsidRDefault="009B090E" w:rsidP="00BB4B18">
            <w:pPr>
              <w:pStyle w:val="NormalWeb"/>
              <w:jc w:val="center"/>
            </w:pPr>
            <w:r>
              <w:t>0.6</w:t>
            </w:r>
          </w:p>
        </w:tc>
        <w:tc>
          <w:tcPr>
            <w:tcW w:w="1147" w:type="dxa"/>
            <w:hideMark/>
          </w:tcPr>
          <w:p w:rsidR="009B090E" w:rsidRDefault="009B090E" w:rsidP="00BB4B18">
            <w:pPr>
              <w:pStyle w:val="NormalWeb"/>
              <w:jc w:val="center"/>
            </w:pPr>
            <w:r>
              <w:t>1,905</w:t>
            </w:r>
          </w:p>
        </w:tc>
        <w:tc>
          <w:tcPr>
            <w:tcW w:w="1147" w:type="dxa"/>
            <w:hideMark/>
          </w:tcPr>
          <w:p w:rsidR="009B090E" w:rsidRDefault="009B090E" w:rsidP="00BB4B18">
            <w:pPr>
              <w:pStyle w:val="NormalWeb"/>
              <w:jc w:val="center"/>
            </w:pPr>
            <w:r>
              <w:t>1,794</w:t>
            </w:r>
          </w:p>
        </w:tc>
        <w:tc>
          <w:tcPr>
            <w:tcW w:w="1147" w:type="dxa"/>
            <w:hideMark/>
          </w:tcPr>
          <w:p w:rsidR="009B090E" w:rsidRDefault="009B090E" w:rsidP="00BB4B18">
            <w:pPr>
              <w:pStyle w:val="NormalWeb"/>
              <w:jc w:val="center"/>
            </w:pPr>
            <w:r>
              <w:t>3,727</w:t>
            </w:r>
          </w:p>
        </w:tc>
        <w:tc>
          <w:tcPr>
            <w:tcW w:w="1147" w:type="dxa"/>
            <w:hideMark/>
          </w:tcPr>
          <w:p w:rsidR="009B090E" w:rsidRDefault="009B090E" w:rsidP="00BB4B18">
            <w:pPr>
              <w:pStyle w:val="NormalWeb"/>
              <w:jc w:val="center"/>
            </w:pPr>
            <w:r>
              <w:t>117.7</w:t>
            </w:r>
          </w:p>
        </w:tc>
        <w:tc>
          <w:tcPr>
            <w:tcW w:w="1147" w:type="dxa"/>
            <w:hideMark/>
          </w:tcPr>
          <w:p w:rsidR="009B090E" w:rsidRDefault="009B090E" w:rsidP="00BB4B18">
            <w:pPr>
              <w:pStyle w:val="NormalWeb"/>
              <w:jc w:val="center"/>
            </w:pPr>
            <w:r>
              <w:t>108.3</w:t>
            </w:r>
          </w:p>
        </w:tc>
        <w:tc>
          <w:tcPr>
            <w:tcW w:w="1148" w:type="dxa"/>
            <w:hideMark/>
          </w:tcPr>
          <w:p w:rsidR="009B090E" w:rsidRDefault="009B090E" w:rsidP="00BB4B18">
            <w:pPr>
              <w:pStyle w:val="NormalWeb"/>
              <w:jc w:val="center"/>
            </w:pPr>
            <w:r>
              <w:t>113.8</w:t>
            </w:r>
          </w:p>
        </w:tc>
      </w:tr>
      <w:tr w:rsidR="00155167" w:rsidTr="00BB4B18">
        <w:trPr>
          <w:cnfStyle w:val="000000010000" w:firstRow="0" w:lastRow="0" w:firstColumn="0" w:lastColumn="0" w:oddVBand="0" w:evenVBand="0" w:oddHBand="0" w:evenHBand="1" w:firstRowFirstColumn="0" w:firstRowLastColumn="0" w:lastRowFirstColumn="0" w:lastRowLastColumn="0"/>
        </w:trPr>
        <w:tc>
          <w:tcPr>
            <w:tcW w:w="0" w:type="auto"/>
            <w:hideMark/>
          </w:tcPr>
          <w:p w:rsidR="009B090E" w:rsidRDefault="009B090E">
            <w:pPr>
              <w:pStyle w:val="NormalWeb"/>
            </w:pPr>
            <w:r>
              <w:t>50 to 59</w:t>
            </w:r>
          </w:p>
        </w:tc>
        <w:tc>
          <w:tcPr>
            <w:tcW w:w="1147" w:type="dxa"/>
            <w:hideMark/>
          </w:tcPr>
          <w:p w:rsidR="009B090E" w:rsidRDefault="009B090E" w:rsidP="00BB4B18">
            <w:pPr>
              <w:pStyle w:val="NormalWeb"/>
              <w:jc w:val="center"/>
            </w:pPr>
            <w:r>
              <w:t>6</w:t>
            </w:r>
          </w:p>
        </w:tc>
        <w:tc>
          <w:tcPr>
            <w:tcW w:w="1147" w:type="dxa"/>
            <w:hideMark/>
          </w:tcPr>
          <w:p w:rsidR="009B090E" w:rsidRDefault="009B090E" w:rsidP="00BB4B18">
            <w:pPr>
              <w:pStyle w:val="NormalWeb"/>
              <w:jc w:val="center"/>
            </w:pPr>
            <w:r>
              <w:t>3</w:t>
            </w:r>
          </w:p>
        </w:tc>
        <w:tc>
          <w:tcPr>
            <w:tcW w:w="1147" w:type="dxa"/>
            <w:hideMark/>
          </w:tcPr>
          <w:p w:rsidR="009B090E" w:rsidRDefault="009B090E" w:rsidP="00BB4B18">
            <w:pPr>
              <w:pStyle w:val="NormalWeb"/>
              <w:jc w:val="center"/>
            </w:pPr>
            <w:r>
              <w:t>9</w:t>
            </w:r>
          </w:p>
        </w:tc>
        <w:tc>
          <w:tcPr>
            <w:tcW w:w="1147" w:type="dxa"/>
            <w:hideMark/>
          </w:tcPr>
          <w:p w:rsidR="009B090E" w:rsidRDefault="009B090E" w:rsidP="00BB4B18">
            <w:pPr>
              <w:pStyle w:val="NormalWeb"/>
              <w:jc w:val="center"/>
            </w:pPr>
            <w:r>
              <w:t>0.4</w:t>
            </w:r>
          </w:p>
        </w:tc>
        <w:tc>
          <w:tcPr>
            <w:tcW w:w="1147" w:type="dxa"/>
            <w:hideMark/>
          </w:tcPr>
          <w:p w:rsidR="009B090E" w:rsidRDefault="009B090E" w:rsidP="00BB4B18">
            <w:pPr>
              <w:pStyle w:val="NormalWeb"/>
              <w:jc w:val="center"/>
            </w:pPr>
            <w:r>
              <w:t>0.2</w:t>
            </w:r>
          </w:p>
        </w:tc>
        <w:tc>
          <w:tcPr>
            <w:tcW w:w="1148" w:type="dxa"/>
            <w:hideMark/>
          </w:tcPr>
          <w:p w:rsidR="009B090E" w:rsidRDefault="009B090E" w:rsidP="00BB4B18">
            <w:pPr>
              <w:pStyle w:val="NormalWeb"/>
              <w:jc w:val="center"/>
            </w:pPr>
            <w:r>
              <w:t>0.3</w:t>
            </w:r>
          </w:p>
        </w:tc>
        <w:tc>
          <w:tcPr>
            <w:tcW w:w="1147" w:type="dxa"/>
            <w:hideMark/>
          </w:tcPr>
          <w:p w:rsidR="009B090E" w:rsidRDefault="009B090E" w:rsidP="00BB4B18">
            <w:pPr>
              <w:pStyle w:val="NormalWeb"/>
              <w:jc w:val="center"/>
            </w:pPr>
            <w:r>
              <w:t>1,654</w:t>
            </w:r>
          </w:p>
        </w:tc>
        <w:tc>
          <w:tcPr>
            <w:tcW w:w="1147" w:type="dxa"/>
            <w:hideMark/>
          </w:tcPr>
          <w:p w:rsidR="009B090E" w:rsidRDefault="009B090E" w:rsidP="00BB4B18">
            <w:pPr>
              <w:pStyle w:val="NormalWeb"/>
              <w:jc w:val="center"/>
            </w:pPr>
            <w:r>
              <w:t>1,745</w:t>
            </w:r>
          </w:p>
        </w:tc>
        <w:tc>
          <w:tcPr>
            <w:tcW w:w="1147" w:type="dxa"/>
            <w:hideMark/>
          </w:tcPr>
          <w:p w:rsidR="009B090E" w:rsidRDefault="009B090E" w:rsidP="00BB4B18">
            <w:pPr>
              <w:pStyle w:val="NormalWeb"/>
              <w:jc w:val="center"/>
            </w:pPr>
            <w:r>
              <w:t>3,407</w:t>
            </w:r>
          </w:p>
        </w:tc>
        <w:tc>
          <w:tcPr>
            <w:tcW w:w="1147" w:type="dxa"/>
            <w:hideMark/>
          </w:tcPr>
          <w:p w:rsidR="009B090E" w:rsidRDefault="009B090E" w:rsidP="00BB4B18">
            <w:pPr>
              <w:pStyle w:val="NormalWeb"/>
              <w:jc w:val="center"/>
            </w:pPr>
            <w:r>
              <w:t>109.7</w:t>
            </w:r>
          </w:p>
        </w:tc>
        <w:tc>
          <w:tcPr>
            <w:tcW w:w="1147" w:type="dxa"/>
            <w:hideMark/>
          </w:tcPr>
          <w:p w:rsidR="009B090E" w:rsidRDefault="009B090E" w:rsidP="00BB4B18">
            <w:pPr>
              <w:pStyle w:val="NormalWeb"/>
              <w:jc w:val="center"/>
            </w:pPr>
            <w:r>
              <w:t>111.0</w:t>
            </w:r>
          </w:p>
        </w:tc>
        <w:tc>
          <w:tcPr>
            <w:tcW w:w="1148" w:type="dxa"/>
            <w:hideMark/>
          </w:tcPr>
          <w:p w:rsidR="009B090E" w:rsidRDefault="009B090E" w:rsidP="00BB4B18">
            <w:pPr>
              <w:pStyle w:val="NormalWeb"/>
              <w:jc w:val="center"/>
            </w:pPr>
            <w:r>
              <w:t>110.6</w:t>
            </w:r>
          </w:p>
        </w:tc>
      </w:tr>
      <w:tr w:rsidR="009B090E" w:rsidTr="00BB4B18">
        <w:tc>
          <w:tcPr>
            <w:tcW w:w="0" w:type="auto"/>
            <w:hideMark/>
          </w:tcPr>
          <w:p w:rsidR="009B090E" w:rsidRDefault="009B090E">
            <w:pPr>
              <w:pStyle w:val="NormalWeb"/>
            </w:pPr>
            <w:r>
              <w:t>60 to 69</w:t>
            </w:r>
          </w:p>
        </w:tc>
        <w:tc>
          <w:tcPr>
            <w:tcW w:w="1147" w:type="dxa"/>
            <w:hideMark/>
          </w:tcPr>
          <w:p w:rsidR="009B090E" w:rsidRDefault="009B090E" w:rsidP="00BB4B18">
            <w:pPr>
              <w:pStyle w:val="NormalWeb"/>
              <w:jc w:val="center"/>
            </w:pPr>
            <w:r>
              <w:t>3</w:t>
            </w:r>
          </w:p>
        </w:tc>
        <w:tc>
          <w:tcPr>
            <w:tcW w:w="1147" w:type="dxa"/>
            <w:hideMark/>
          </w:tcPr>
          <w:p w:rsidR="009B090E" w:rsidRDefault="009B090E" w:rsidP="00BB4B18">
            <w:pPr>
              <w:pStyle w:val="NormalWeb"/>
              <w:jc w:val="center"/>
            </w:pPr>
            <w:r>
              <w:t>2</w:t>
            </w:r>
          </w:p>
        </w:tc>
        <w:tc>
          <w:tcPr>
            <w:tcW w:w="1147" w:type="dxa"/>
            <w:hideMark/>
          </w:tcPr>
          <w:p w:rsidR="009B090E" w:rsidRDefault="009B090E" w:rsidP="00BB4B18">
            <w:pPr>
              <w:pStyle w:val="NormalWeb"/>
              <w:jc w:val="center"/>
            </w:pPr>
            <w:r>
              <w:t>5</w:t>
            </w:r>
          </w:p>
        </w:tc>
        <w:tc>
          <w:tcPr>
            <w:tcW w:w="1147" w:type="dxa"/>
            <w:hideMark/>
          </w:tcPr>
          <w:p w:rsidR="009B090E" w:rsidRDefault="009B090E" w:rsidP="00BB4B18">
            <w:pPr>
              <w:pStyle w:val="NormalWeb"/>
              <w:jc w:val="center"/>
            </w:pPr>
            <w:r>
              <w:t>0.2</w:t>
            </w:r>
          </w:p>
        </w:tc>
        <w:tc>
          <w:tcPr>
            <w:tcW w:w="1147" w:type="dxa"/>
            <w:hideMark/>
          </w:tcPr>
          <w:p w:rsidR="009B090E" w:rsidRDefault="009B090E" w:rsidP="00BB4B18">
            <w:pPr>
              <w:pStyle w:val="NormalWeb"/>
              <w:jc w:val="center"/>
            </w:pPr>
            <w:r>
              <w:t>0.1</w:t>
            </w:r>
          </w:p>
        </w:tc>
        <w:tc>
          <w:tcPr>
            <w:tcW w:w="1148" w:type="dxa"/>
            <w:hideMark/>
          </w:tcPr>
          <w:p w:rsidR="009B090E" w:rsidRDefault="009B090E" w:rsidP="00BB4B18">
            <w:pPr>
              <w:pStyle w:val="NormalWeb"/>
              <w:jc w:val="center"/>
            </w:pPr>
            <w:r>
              <w:t>0.2</w:t>
            </w:r>
          </w:p>
        </w:tc>
        <w:tc>
          <w:tcPr>
            <w:tcW w:w="1147" w:type="dxa"/>
            <w:hideMark/>
          </w:tcPr>
          <w:p w:rsidR="009B090E" w:rsidRDefault="009B090E" w:rsidP="00BB4B18">
            <w:pPr>
              <w:pStyle w:val="NormalWeb"/>
              <w:jc w:val="center"/>
            </w:pPr>
            <w:r>
              <w:t>1,204</w:t>
            </w:r>
          </w:p>
        </w:tc>
        <w:tc>
          <w:tcPr>
            <w:tcW w:w="1147" w:type="dxa"/>
            <w:hideMark/>
          </w:tcPr>
          <w:p w:rsidR="009B090E" w:rsidRDefault="009B090E" w:rsidP="00BB4B18">
            <w:pPr>
              <w:pStyle w:val="NormalWeb"/>
              <w:jc w:val="center"/>
            </w:pPr>
            <w:r>
              <w:t>1,222</w:t>
            </w:r>
          </w:p>
        </w:tc>
        <w:tc>
          <w:tcPr>
            <w:tcW w:w="1147" w:type="dxa"/>
            <w:hideMark/>
          </w:tcPr>
          <w:p w:rsidR="009B090E" w:rsidRDefault="009B090E" w:rsidP="00BB4B18">
            <w:pPr>
              <w:pStyle w:val="NormalWeb"/>
              <w:jc w:val="center"/>
            </w:pPr>
            <w:r>
              <w:t>2,428</w:t>
            </w:r>
          </w:p>
        </w:tc>
        <w:tc>
          <w:tcPr>
            <w:tcW w:w="1147" w:type="dxa"/>
            <w:hideMark/>
          </w:tcPr>
          <w:p w:rsidR="009B090E" w:rsidRDefault="009B090E" w:rsidP="00BB4B18">
            <w:pPr>
              <w:pStyle w:val="NormalWeb"/>
              <w:jc w:val="center"/>
            </w:pPr>
            <w:r>
              <w:t>94.7</w:t>
            </w:r>
          </w:p>
        </w:tc>
        <w:tc>
          <w:tcPr>
            <w:tcW w:w="1147" w:type="dxa"/>
            <w:hideMark/>
          </w:tcPr>
          <w:p w:rsidR="009B090E" w:rsidRDefault="009B090E" w:rsidP="00BB4B18">
            <w:pPr>
              <w:pStyle w:val="NormalWeb"/>
              <w:jc w:val="center"/>
            </w:pPr>
            <w:r>
              <w:t>91.0</w:t>
            </w:r>
          </w:p>
        </w:tc>
        <w:tc>
          <w:tcPr>
            <w:tcW w:w="1148" w:type="dxa"/>
            <w:hideMark/>
          </w:tcPr>
          <w:p w:rsidR="009B090E" w:rsidRDefault="009B090E" w:rsidP="00BB4B18">
            <w:pPr>
              <w:pStyle w:val="NormalWeb"/>
              <w:jc w:val="center"/>
            </w:pPr>
            <w:r>
              <w:t>92.9</w:t>
            </w:r>
          </w:p>
        </w:tc>
      </w:tr>
      <w:tr w:rsidR="00155167" w:rsidTr="00BB4B18">
        <w:trPr>
          <w:cnfStyle w:val="000000010000" w:firstRow="0" w:lastRow="0" w:firstColumn="0" w:lastColumn="0" w:oddVBand="0" w:evenVBand="0" w:oddHBand="0" w:evenHBand="1" w:firstRowFirstColumn="0" w:firstRowLastColumn="0" w:lastRowFirstColumn="0" w:lastRowLastColumn="0"/>
        </w:trPr>
        <w:tc>
          <w:tcPr>
            <w:tcW w:w="0" w:type="auto"/>
            <w:hideMark/>
          </w:tcPr>
          <w:p w:rsidR="009B090E" w:rsidRDefault="009B090E">
            <w:pPr>
              <w:pStyle w:val="NormalWeb"/>
            </w:pPr>
            <w:r>
              <w:t>70 to 79</w:t>
            </w:r>
          </w:p>
        </w:tc>
        <w:tc>
          <w:tcPr>
            <w:tcW w:w="1147" w:type="dxa"/>
            <w:hideMark/>
          </w:tcPr>
          <w:p w:rsidR="009B090E" w:rsidRDefault="009B090E" w:rsidP="00BB4B18">
            <w:pPr>
              <w:pStyle w:val="NormalWeb"/>
              <w:jc w:val="center"/>
            </w:pPr>
            <w:r>
              <w:t>0</w:t>
            </w:r>
          </w:p>
        </w:tc>
        <w:tc>
          <w:tcPr>
            <w:tcW w:w="1147" w:type="dxa"/>
            <w:hideMark/>
          </w:tcPr>
          <w:p w:rsidR="009B090E" w:rsidRDefault="009B090E" w:rsidP="00BB4B18">
            <w:pPr>
              <w:pStyle w:val="NormalWeb"/>
              <w:jc w:val="center"/>
            </w:pPr>
            <w:r>
              <w:t>0</w:t>
            </w:r>
          </w:p>
        </w:tc>
        <w:tc>
          <w:tcPr>
            <w:tcW w:w="1147" w:type="dxa"/>
            <w:hideMark/>
          </w:tcPr>
          <w:p w:rsidR="009B090E" w:rsidRDefault="009B090E" w:rsidP="00BB4B18">
            <w:pPr>
              <w:pStyle w:val="NormalWeb"/>
              <w:jc w:val="center"/>
            </w:pPr>
            <w:r>
              <w:t>0</w:t>
            </w:r>
          </w:p>
        </w:tc>
        <w:tc>
          <w:tcPr>
            <w:tcW w:w="1147" w:type="dxa"/>
            <w:hideMark/>
          </w:tcPr>
          <w:p w:rsidR="009B090E" w:rsidRDefault="009B090E" w:rsidP="00BB4B18">
            <w:pPr>
              <w:pStyle w:val="NormalWeb"/>
              <w:jc w:val="center"/>
            </w:pPr>
            <w:r>
              <w:t>0.0</w:t>
            </w:r>
          </w:p>
        </w:tc>
        <w:tc>
          <w:tcPr>
            <w:tcW w:w="1147" w:type="dxa"/>
            <w:hideMark/>
          </w:tcPr>
          <w:p w:rsidR="009B090E" w:rsidRDefault="009B090E" w:rsidP="00BB4B18">
            <w:pPr>
              <w:pStyle w:val="NormalWeb"/>
              <w:jc w:val="center"/>
            </w:pPr>
            <w:r>
              <w:t>0.0</w:t>
            </w:r>
          </w:p>
        </w:tc>
        <w:tc>
          <w:tcPr>
            <w:tcW w:w="1148" w:type="dxa"/>
            <w:hideMark/>
          </w:tcPr>
          <w:p w:rsidR="009B090E" w:rsidRDefault="009B090E" w:rsidP="00BB4B18">
            <w:pPr>
              <w:pStyle w:val="NormalWeb"/>
              <w:jc w:val="center"/>
            </w:pPr>
            <w:r>
              <w:t>0.0</w:t>
            </w:r>
          </w:p>
        </w:tc>
        <w:tc>
          <w:tcPr>
            <w:tcW w:w="1147" w:type="dxa"/>
            <w:hideMark/>
          </w:tcPr>
          <w:p w:rsidR="009B090E" w:rsidRDefault="009B090E" w:rsidP="00BB4B18">
            <w:pPr>
              <w:pStyle w:val="NormalWeb"/>
              <w:jc w:val="center"/>
            </w:pPr>
            <w:r>
              <w:t>855</w:t>
            </w:r>
          </w:p>
        </w:tc>
        <w:tc>
          <w:tcPr>
            <w:tcW w:w="1147" w:type="dxa"/>
            <w:hideMark/>
          </w:tcPr>
          <w:p w:rsidR="009B090E" w:rsidRDefault="009B090E" w:rsidP="00BB4B18">
            <w:pPr>
              <w:pStyle w:val="NormalWeb"/>
              <w:jc w:val="center"/>
            </w:pPr>
            <w:r>
              <w:t>756</w:t>
            </w:r>
          </w:p>
        </w:tc>
        <w:tc>
          <w:tcPr>
            <w:tcW w:w="1147" w:type="dxa"/>
            <w:hideMark/>
          </w:tcPr>
          <w:p w:rsidR="009B090E" w:rsidRDefault="009B090E" w:rsidP="00BB4B18">
            <w:pPr>
              <w:pStyle w:val="NormalWeb"/>
              <w:jc w:val="center"/>
            </w:pPr>
            <w:r>
              <w:t>1,611</w:t>
            </w:r>
          </w:p>
        </w:tc>
        <w:tc>
          <w:tcPr>
            <w:tcW w:w="1147" w:type="dxa"/>
            <w:hideMark/>
          </w:tcPr>
          <w:p w:rsidR="009B090E" w:rsidRDefault="009B090E" w:rsidP="00BB4B18">
            <w:pPr>
              <w:pStyle w:val="NormalWeb"/>
              <w:jc w:val="center"/>
            </w:pPr>
            <w:r>
              <w:t>98.3</w:t>
            </w:r>
          </w:p>
        </w:tc>
        <w:tc>
          <w:tcPr>
            <w:tcW w:w="1147" w:type="dxa"/>
            <w:hideMark/>
          </w:tcPr>
          <w:p w:rsidR="009B090E" w:rsidRDefault="009B090E" w:rsidP="00BB4B18">
            <w:pPr>
              <w:pStyle w:val="NormalWeb"/>
              <w:jc w:val="center"/>
            </w:pPr>
            <w:r>
              <w:t>82.0</w:t>
            </w:r>
          </w:p>
        </w:tc>
        <w:tc>
          <w:tcPr>
            <w:tcW w:w="1148" w:type="dxa"/>
            <w:hideMark/>
          </w:tcPr>
          <w:p w:rsidR="009B090E" w:rsidRDefault="009B090E" w:rsidP="00BB4B18">
            <w:pPr>
              <w:pStyle w:val="NormalWeb"/>
              <w:jc w:val="center"/>
            </w:pPr>
            <w:r>
              <w:t>89.9</w:t>
            </w:r>
          </w:p>
        </w:tc>
      </w:tr>
      <w:tr w:rsidR="009B090E" w:rsidTr="00BB4B18">
        <w:tc>
          <w:tcPr>
            <w:tcW w:w="0" w:type="auto"/>
            <w:hideMark/>
          </w:tcPr>
          <w:p w:rsidR="009B090E" w:rsidRDefault="009B090E">
            <w:pPr>
              <w:pStyle w:val="NormalWeb"/>
            </w:pPr>
            <w:r>
              <w:t>80 to 89</w:t>
            </w:r>
          </w:p>
        </w:tc>
        <w:tc>
          <w:tcPr>
            <w:tcW w:w="1147" w:type="dxa"/>
            <w:hideMark/>
          </w:tcPr>
          <w:p w:rsidR="009B090E" w:rsidRDefault="009B090E" w:rsidP="00BB4B18">
            <w:pPr>
              <w:pStyle w:val="NormalWeb"/>
              <w:jc w:val="center"/>
            </w:pPr>
            <w:r>
              <w:t>0</w:t>
            </w:r>
          </w:p>
        </w:tc>
        <w:tc>
          <w:tcPr>
            <w:tcW w:w="1147" w:type="dxa"/>
            <w:hideMark/>
          </w:tcPr>
          <w:p w:rsidR="009B090E" w:rsidRDefault="009B090E" w:rsidP="00BB4B18">
            <w:pPr>
              <w:pStyle w:val="NormalWeb"/>
              <w:jc w:val="center"/>
            </w:pPr>
            <w:r>
              <w:t>0</w:t>
            </w:r>
          </w:p>
        </w:tc>
        <w:tc>
          <w:tcPr>
            <w:tcW w:w="1147" w:type="dxa"/>
            <w:hideMark/>
          </w:tcPr>
          <w:p w:rsidR="009B090E" w:rsidRDefault="009B090E" w:rsidP="00BB4B18">
            <w:pPr>
              <w:pStyle w:val="NormalWeb"/>
              <w:jc w:val="center"/>
            </w:pPr>
            <w:r>
              <w:t>0</w:t>
            </w:r>
          </w:p>
        </w:tc>
        <w:tc>
          <w:tcPr>
            <w:tcW w:w="1147" w:type="dxa"/>
            <w:hideMark/>
          </w:tcPr>
          <w:p w:rsidR="009B090E" w:rsidRDefault="009B090E" w:rsidP="00BB4B18">
            <w:pPr>
              <w:pStyle w:val="NormalWeb"/>
              <w:jc w:val="center"/>
            </w:pPr>
            <w:r>
              <w:t>0.0</w:t>
            </w:r>
          </w:p>
        </w:tc>
        <w:tc>
          <w:tcPr>
            <w:tcW w:w="1147" w:type="dxa"/>
            <w:hideMark/>
          </w:tcPr>
          <w:p w:rsidR="009B090E" w:rsidRDefault="009B090E" w:rsidP="00BB4B18">
            <w:pPr>
              <w:pStyle w:val="NormalWeb"/>
              <w:jc w:val="center"/>
            </w:pPr>
            <w:r>
              <w:t>0.0</w:t>
            </w:r>
          </w:p>
        </w:tc>
        <w:tc>
          <w:tcPr>
            <w:tcW w:w="1148" w:type="dxa"/>
            <w:hideMark/>
          </w:tcPr>
          <w:p w:rsidR="009B090E" w:rsidRDefault="009B090E" w:rsidP="00BB4B18">
            <w:pPr>
              <w:pStyle w:val="NormalWeb"/>
              <w:jc w:val="center"/>
            </w:pPr>
            <w:r>
              <w:t>0.0</w:t>
            </w:r>
          </w:p>
        </w:tc>
        <w:tc>
          <w:tcPr>
            <w:tcW w:w="1147" w:type="dxa"/>
            <w:hideMark/>
          </w:tcPr>
          <w:p w:rsidR="009B090E" w:rsidRDefault="009B090E" w:rsidP="00BB4B18">
            <w:pPr>
              <w:pStyle w:val="NormalWeb"/>
              <w:jc w:val="center"/>
            </w:pPr>
            <w:r>
              <w:t>494</w:t>
            </w:r>
          </w:p>
        </w:tc>
        <w:tc>
          <w:tcPr>
            <w:tcW w:w="1147" w:type="dxa"/>
            <w:hideMark/>
          </w:tcPr>
          <w:p w:rsidR="009B090E" w:rsidRDefault="009B090E" w:rsidP="00BB4B18">
            <w:pPr>
              <w:pStyle w:val="NormalWeb"/>
              <w:jc w:val="center"/>
            </w:pPr>
            <w:r>
              <w:t>780</w:t>
            </w:r>
          </w:p>
        </w:tc>
        <w:tc>
          <w:tcPr>
            <w:tcW w:w="1147" w:type="dxa"/>
            <w:hideMark/>
          </w:tcPr>
          <w:p w:rsidR="009B090E" w:rsidRDefault="009B090E" w:rsidP="00BB4B18">
            <w:pPr>
              <w:pStyle w:val="NormalWeb"/>
              <w:jc w:val="center"/>
            </w:pPr>
            <w:r>
              <w:t>1,274</w:t>
            </w:r>
          </w:p>
        </w:tc>
        <w:tc>
          <w:tcPr>
            <w:tcW w:w="1147" w:type="dxa"/>
            <w:hideMark/>
          </w:tcPr>
          <w:p w:rsidR="009B090E" w:rsidRDefault="009B090E" w:rsidP="00BB4B18">
            <w:pPr>
              <w:pStyle w:val="NormalWeb"/>
              <w:jc w:val="center"/>
            </w:pPr>
            <w:r>
              <w:t>138.2</w:t>
            </w:r>
          </w:p>
        </w:tc>
        <w:tc>
          <w:tcPr>
            <w:tcW w:w="1147" w:type="dxa"/>
            <w:hideMark/>
          </w:tcPr>
          <w:p w:rsidR="009B090E" w:rsidRDefault="009B090E" w:rsidP="00BB4B18">
            <w:pPr>
              <w:pStyle w:val="NormalWeb"/>
              <w:jc w:val="center"/>
            </w:pPr>
            <w:r>
              <w:t>169.1</w:t>
            </w:r>
          </w:p>
        </w:tc>
        <w:tc>
          <w:tcPr>
            <w:tcW w:w="1148" w:type="dxa"/>
            <w:hideMark/>
          </w:tcPr>
          <w:p w:rsidR="009B090E" w:rsidRDefault="009B090E" w:rsidP="00BB4B18">
            <w:pPr>
              <w:pStyle w:val="NormalWeb"/>
              <w:jc w:val="center"/>
            </w:pPr>
            <w:r>
              <w:t>155.6</w:t>
            </w:r>
          </w:p>
        </w:tc>
      </w:tr>
      <w:tr w:rsidR="00155167" w:rsidTr="00BB4B18">
        <w:trPr>
          <w:cnfStyle w:val="000000010000" w:firstRow="0" w:lastRow="0" w:firstColumn="0" w:lastColumn="0" w:oddVBand="0" w:evenVBand="0" w:oddHBand="0" w:evenHBand="1" w:firstRowFirstColumn="0" w:firstRowLastColumn="0" w:lastRowFirstColumn="0" w:lastRowLastColumn="0"/>
        </w:trPr>
        <w:tc>
          <w:tcPr>
            <w:tcW w:w="0" w:type="auto"/>
            <w:hideMark/>
          </w:tcPr>
          <w:p w:rsidR="009B090E" w:rsidRDefault="009B090E">
            <w:pPr>
              <w:pStyle w:val="NormalWeb"/>
            </w:pPr>
            <w:r>
              <w:t>90 and over</w:t>
            </w:r>
          </w:p>
        </w:tc>
        <w:tc>
          <w:tcPr>
            <w:tcW w:w="1147" w:type="dxa"/>
            <w:hideMark/>
          </w:tcPr>
          <w:p w:rsidR="009B090E" w:rsidRDefault="009B090E" w:rsidP="00BB4B18">
            <w:pPr>
              <w:pStyle w:val="NormalWeb"/>
              <w:jc w:val="center"/>
            </w:pPr>
            <w:r>
              <w:t>0</w:t>
            </w:r>
          </w:p>
        </w:tc>
        <w:tc>
          <w:tcPr>
            <w:tcW w:w="1147" w:type="dxa"/>
            <w:hideMark/>
          </w:tcPr>
          <w:p w:rsidR="009B090E" w:rsidRDefault="009B090E" w:rsidP="00BB4B18">
            <w:pPr>
              <w:pStyle w:val="NormalWeb"/>
              <w:jc w:val="center"/>
            </w:pPr>
            <w:r>
              <w:t>0</w:t>
            </w:r>
          </w:p>
        </w:tc>
        <w:tc>
          <w:tcPr>
            <w:tcW w:w="1147" w:type="dxa"/>
            <w:hideMark/>
          </w:tcPr>
          <w:p w:rsidR="009B090E" w:rsidRDefault="009B090E" w:rsidP="00BB4B18">
            <w:pPr>
              <w:pStyle w:val="NormalWeb"/>
              <w:jc w:val="center"/>
            </w:pPr>
            <w:r>
              <w:t>0</w:t>
            </w:r>
          </w:p>
        </w:tc>
        <w:tc>
          <w:tcPr>
            <w:tcW w:w="1147" w:type="dxa"/>
            <w:hideMark/>
          </w:tcPr>
          <w:p w:rsidR="009B090E" w:rsidRDefault="009B090E" w:rsidP="00BB4B18">
            <w:pPr>
              <w:pStyle w:val="NormalWeb"/>
              <w:jc w:val="center"/>
            </w:pPr>
            <w:r>
              <w:t>0.0</w:t>
            </w:r>
          </w:p>
        </w:tc>
        <w:tc>
          <w:tcPr>
            <w:tcW w:w="1147" w:type="dxa"/>
            <w:hideMark/>
          </w:tcPr>
          <w:p w:rsidR="009B090E" w:rsidRDefault="009B090E" w:rsidP="00BB4B18">
            <w:pPr>
              <w:pStyle w:val="NormalWeb"/>
              <w:jc w:val="center"/>
            </w:pPr>
            <w:r>
              <w:t>0.0</w:t>
            </w:r>
          </w:p>
        </w:tc>
        <w:tc>
          <w:tcPr>
            <w:tcW w:w="1148" w:type="dxa"/>
            <w:hideMark/>
          </w:tcPr>
          <w:p w:rsidR="009B090E" w:rsidRDefault="009B090E" w:rsidP="00BB4B18">
            <w:pPr>
              <w:pStyle w:val="NormalWeb"/>
              <w:jc w:val="center"/>
            </w:pPr>
            <w:r>
              <w:t>0.0</w:t>
            </w:r>
          </w:p>
        </w:tc>
        <w:tc>
          <w:tcPr>
            <w:tcW w:w="1147" w:type="dxa"/>
            <w:hideMark/>
          </w:tcPr>
          <w:p w:rsidR="009B090E" w:rsidRDefault="009B090E" w:rsidP="00BB4B18">
            <w:pPr>
              <w:pStyle w:val="NormalWeb"/>
              <w:jc w:val="center"/>
            </w:pPr>
            <w:r>
              <w:t>229</w:t>
            </w:r>
          </w:p>
        </w:tc>
        <w:tc>
          <w:tcPr>
            <w:tcW w:w="1147" w:type="dxa"/>
            <w:hideMark/>
          </w:tcPr>
          <w:p w:rsidR="009B090E" w:rsidRDefault="009B090E" w:rsidP="00BB4B18">
            <w:pPr>
              <w:pStyle w:val="NormalWeb"/>
              <w:jc w:val="center"/>
            </w:pPr>
            <w:r>
              <w:t>552</w:t>
            </w:r>
          </w:p>
        </w:tc>
        <w:tc>
          <w:tcPr>
            <w:tcW w:w="1147" w:type="dxa"/>
            <w:hideMark/>
          </w:tcPr>
          <w:p w:rsidR="009B090E" w:rsidRDefault="009B090E" w:rsidP="00BB4B18">
            <w:pPr>
              <w:pStyle w:val="NormalWeb"/>
              <w:jc w:val="center"/>
            </w:pPr>
            <w:r>
              <w:t>782</w:t>
            </w:r>
          </w:p>
        </w:tc>
        <w:tc>
          <w:tcPr>
            <w:tcW w:w="1147" w:type="dxa"/>
            <w:hideMark/>
          </w:tcPr>
          <w:p w:rsidR="009B090E" w:rsidRDefault="009B090E" w:rsidP="00BB4B18">
            <w:pPr>
              <w:pStyle w:val="NormalWeb"/>
              <w:jc w:val="center"/>
            </w:pPr>
            <w:r>
              <w:t>333.7</w:t>
            </w:r>
          </w:p>
        </w:tc>
        <w:tc>
          <w:tcPr>
            <w:tcW w:w="1147" w:type="dxa"/>
            <w:hideMark/>
          </w:tcPr>
          <w:p w:rsidR="009B090E" w:rsidRDefault="009B090E" w:rsidP="00BB4B18">
            <w:pPr>
              <w:pStyle w:val="NormalWeb"/>
              <w:jc w:val="center"/>
            </w:pPr>
            <w:r>
              <w:t>413.3</w:t>
            </w:r>
          </w:p>
        </w:tc>
        <w:tc>
          <w:tcPr>
            <w:tcW w:w="1148" w:type="dxa"/>
            <w:hideMark/>
          </w:tcPr>
          <w:p w:rsidR="009B090E" w:rsidRDefault="009B090E" w:rsidP="00BB4B18">
            <w:pPr>
              <w:pStyle w:val="NormalWeb"/>
              <w:jc w:val="center"/>
            </w:pPr>
            <w:r>
              <w:t>386.8</w:t>
            </w:r>
          </w:p>
        </w:tc>
      </w:tr>
    </w:tbl>
    <w:p w:rsidR="008B5348" w:rsidRDefault="008B5348">
      <w:pPr>
        <w:rPr>
          <w:rStyle w:val="A10"/>
        </w:rPr>
        <w:sectPr w:rsidR="008B5348" w:rsidSect="00155167">
          <w:pgSz w:w="16838" w:h="11906" w:orient="landscape"/>
          <w:pgMar w:top="720" w:right="720" w:bottom="720" w:left="1134" w:header="709" w:footer="284" w:gutter="0"/>
          <w:cols w:space="708"/>
          <w:titlePg/>
          <w:docGrid w:linePitch="360"/>
        </w:sectPr>
      </w:pPr>
      <w:r>
        <w:rPr>
          <w:rStyle w:val="A10"/>
        </w:rPr>
        <w:br w:type="page"/>
      </w:r>
    </w:p>
    <w:p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rsidR="000A5F42" w:rsidRPr="000606CC" w:rsidRDefault="000A5F42" w:rsidP="000A5F42">
      <w:pPr>
        <w:pStyle w:val="NoSpacing"/>
        <w:rPr>
          <w:rFonts w:cstheme="minorHAnsi"/>
          <w:sz w:val="20"/>
          <w:szCs w:val="18"/>
        </w:rPr>
      </w:pPr>
      <w:r w:rsidRPr="000606CC">
        <w:rPr>
          <w:rFonts w:cstheme="minorHAnsi"/>
          <w:sz w:val="20"/>
          <w:szCs w:val="18"/>
        </w:rPr>
        <w:t>ISSN: 2209-6051 Online</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Department of Health. The journal aims to disseminate information on the epidemiology, surveillance, prevention and control of communicable diseases of relevance to Australia.</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9"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E54BBD" w:rsidRPr="00E54BBD">
        <w:rPr>
          <w:rFonts w:cstheme="minorHAnsi"/>
          <w:sz w:val="20"/>
          <w:szCs w:val="18"/>
        </w:rPr>
        <w:t>Environmental Health and Health Protection Policy Branch,</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0"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proofErr w:type="gramStart"/>
      <w:r w:rsidRPr="000606CC">
        <w:rPr>
          <w:rFonts w:cstheme="minorHAnsi"/>
          <w:sz w:val="20"/>
          <w:szCs w:val="18"/>
        </w:rPr>
        <w:t>You</w:t>
      </w:r>
      <w:proofErr w:type="gramEnd"/>
      <w:r w:rsidRPr="000606CC">
        <w:rPr>
          <w:rFonts w:cstheme="minorHAnsi"/>
          <w:sz w:val="20"/>
          <w:szCs w:val="18"/>
        </w:rPr>
        <w:t xml:space="preserve"> are invited to submit your next communicable disease related article to the Communicable Diseases Intelligence (CDI) for consideration. More information regarding CDI can be found at: </w:t>
      </w:r>
      <w:hyperlink r:id="rId21"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2" w:history="1">
        <w:r w:rsidRPr="000606CC">
          <w:rPr>
            <w:rStyle w:val="Hyperlink"/>
            <w:rFonts w:cstheme="minorHAnsi"/>
            <w:sz w:val="20"/>
            <w:szCs w:val="18"/>
          </w:rPr>
          <w:t>cdi.editor@health.gov.au</w:t>
        </w:r>
      </w:hyperlink>
      <w:r w:rsidRPr="000606CC">
        <w:rPr>
          <w:rFonts w:cstheme="minorHAnsi"/>
          <w:sz w:val="20"/>
          <w:szCs w:val="18"/>
        </w:rPr>
        <w:t>.</w:t>
      </w:r>
    </w:p>
    <w:p w:rsidR="000A5F42" w:rsidRPr="000606CC" w:rsidRDefault="000A5F42" w:rsidP="000A5F42">
      <w:pPr>
        <w:pStyle w:val="NoSpacing"/>
        <w:pBdr>
          <w:bottom w:val="single" w:sz="6" w:space="1" w:color="auto"/>
        </w:pBdr>
        <w:rPr>
          <w:rStyle w:val="Strong"/>
          <w:rFonts w:cstheme="minorHAnsi"/>
          <w:sz w:val="12"/>
          <w:szCs w:val="18"/>
        </w:rPr>
      </w:pP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3"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4"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rsidR="000A5F42" w:rsidRPr="000606CC" w:rsidRDefault="000A5F42" w:rsidP="000A5F42">
      <w:pPr>
        <w:pStyle w:val="NoSpacing"/>
        <w:numPr>
          <w:ilvl w:val="0"/>
          <w:numId w:val="6"/>
        </w:numPr>
        <w:rPr>
          <w:rFonts w:cstheme="minorHAnsi"/>
          <w:sz w:val="20"/>
          <w:szCs w:val="18"/>
        </w:rPr>
      </w:pPr>
      <w:proofErr w:type="gramStart"/>
      <w:r w:rsidRPr="000606CC">
        <w:rPr>
          <w:rFonts w:cstheme="minorHAnsi"/>
          <w:sz w:val="20"/>
          <w:szCs w:val="18"/>
        </w:rPr>
        <w:t>any</w:t>
      </w:r>
      <w:proofErr w:type="gramEnd"/>
      <w:r w:rsidRPr="000606CC">
        <w:rPr>
          <w:rFonts w:cstheme="minorHAnsi"/>
          <w:sz w:val="20"/>
          <w:szCs w:val="18"/>
        </w:rPr>
        <w:t xml:space="preserve"> material belonging to third parties.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5"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6" w:tooltip="Communicable Diseases Network Australia website" w:history="1">
        <w:r w:rsidRPr="000606CC">
          <w:rPr>
            <w:rStyle w:val="Hyperlink"/>
            <w:rFonts w:cstheme="minorHAnsi"/>
            <w:sz w:val="20"/>
            <w:szCs w:val="18"/>
          </w:rPr>
          <w:t>http://www.health.gov.au/cdna</w:t>
        </w:r>
      </w:hyperlink>
    </w:p>
    <w:p w:rsidR="001B37B8" w:rsidRPr="00E92237" w:rsidRDefault="001B37B8" w:rsidP="001B37B8">
      <w:pPr>
        <w:rPr>
          <w:rFonts w:cs="Myriad Pro"/>
          <w:color w:val="211D1E"/>
          <w:sz w:val="20"/>
          <w:szCs w:val="20"/>
        </w:rPr>
      </w:pPr>
    </w:p>
    <w:sectPr w:rsidR="001B37B8" w:rsidRPr="00E92237" w:rsidSect="002B75A9">
      <w:headerReference w:type="default" r:id="rId27"/>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6AC7" w:rsidRDefault="004E6AC7" w:rsidP="00E54DBA">
      <w:r>
        <w:separator/>
      </w:r>
    </w:p>
    <w:p w:rsidR="004E6AC7" w:rsidRDefault="004E6AC7"/>
    <w:p w:rsidR="004E6AC7" w:rsidRDefault="004E6AC7" w:rsidP="008714B0"/>
  </w:endnote>
  <w:endnote w:type="continuationSeparator" w:id="0">
    <w:p w:rsidR="004E6AC7" w:rsidRDefault="004E6AC7" w:rsidP="00E54DBA">
      <w:r>
        <w:continuationSeparator/>
      </w:r>
    </w:p>
    <w:p w:rsidR="004E6AC7" w:rsidRDefault="004E6AC7"/>
    <w:p w:rsidR="004E6AC7" w:rsidRDefault="004E6AC7"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Light"/>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AC7" w:rsidRPr="0042435E" w:rsidRDefault="004E6AC7"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3C6A8D">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3C6A8D">
      <w:rPr>
        <w:noProof/>
        <w:sz w:val="18"/>
      </w:rPr>
      <w:t>25</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6B1385">
      <w:rPr>
        <w:i/>
        <w:sz w:val="18"/>
      </w:rPr>
      <w:t>Commun</w:t>
    </w:r>
    <w:proofErr w:type="spellEnd"/>
    <w:r w:rsidRPr="006B1385">
      <w:rPr>
        <w:i/>
        <w:sz w:val="18"/>
      </w:rPr>
      <w:t xml:space="preserve"> Dis </w:t>
    </w:r>
    <w:proofErr w:type="spellStart"/>
    <w:r w:rsidRPr="006B1385">
      <w:rPr>
        <w:i/>
        <w:sz w:val="18"/>
      </w:rPr>
      <w:t>Intell</w:t>
    </w:r>
    <w:proofErr w:type="spellEnd"/>
    <w:r w:rsidRPr="006B1385">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https://doi.org/10.33321/cdi.2021.45.8</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3C6A8D">
      <w:rPr>
        <w:sz w:val="18"/>
      </w:rPr>
      <w:t>10/02/2021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AC7" w:rsidRPr="00BB5378" w:rsidRDefault="004E6AC7"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3C6A8D">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3C6A8D">
      <w:rPr>
        <w:noProof/>
        <w:sz w:val="18"/>
      </w:rPr>
      <w:t>25</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6B1385">
      <w:rPr>
        <w:i/>
        <w:sz w:val="18"/>
      </w:rPr>
      <w:t>Commun</w:t>
    </w:r>
    <w:proofErr w:type="spellEnd"/>
    <w:r w:rsidRPr="006B1385">
      <w:rPr>
        <w:i/>
        <w:sz w:val="18"/>
      </w:rPr>
      <w:t xml:space="preserve"> Dis </w:t>
    </w:r>
    <w:proofErr w:type="spellStart"/>
    <w:r w:rsidRPr="006B1385">
      <w:rPr>
        <w:i/>
        <w:sz w:val="18"/>
      </w:rPr>
      <w:t>Intell</w:t>
    </w:r>
    <w:proofErr w:type="spellEnd"/>
    <w:r w:rsidRPr="006B1385">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https://doi.org/10.33321/cdi.2021.45.8</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3C6A8D">
      <w:rPr>
        <w:sz w:val="18"/>
      </w:rPr>
      <w:t>10/02/2021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6AC7" w:rsidRDefault="004E6AC7" w:rsidP="00E54DBA">
      <w:r>
        <w:separator/>
      </w:r>
    </w:p>
  </w:footnote>
  <w:footnote w:type="continuationSeparator" w:id="0">
    <w:p w:rsidR="004E6AC7" w:rsidRDefault="004E6AC7" w:rsidP="00E54DBA">
      <w:r>
        <w:continuationSeparator/>
      </w:r>
    </w:p>
  </w:footnote>
  <w:footnote w:type="continuationNotice" w:id="1">
    <w:p w:rsidR="004E6AC7" w:rsidRPr="00224EFF" w:rsidRDefault="004E6AC7" w:rsidP="00224EFF">
      <w:pPr>
        <w:pStyle w:val="Footer"/>
      </w:pPr>
    </w:p>
  </w:footnote>
  <w:footnote w:id="2">
    <w:p w:rsidR="004E6AC7" w:rsidRDefault="004E6AC7">
      <w:pPr>
        <w:pStyle w:val="FootnoteText"/>
      </w:pPr>
      <w:r>
        <w:rPr>
          <w:rStyle w:val="FootnoteReference"/>
        </w:rPr>
        <w:footnoteRef/>
      </w:r>
      <w:r>
        <w:t xml:space="preserve"> </w:t>
      </w:r>
      <w:r w:rsidRPr="004E6AC7">
        <w:t>https://www.health.gov.au/news/australian-health-protection-principal-committee-ahppc-statement-on-hotel-quarantine</w:t>
      </w:r>
      <w:r>
        <w:t>.</w:t>
      </w:r>
    </w:p>
  </w:footnote>
  <w:footnote w:id="3">
    <w:p w:rsidR="00FB08B2" w:rsidRDefault="00FB08B2">
      <w:pPr>
        <w:pStyle w:val="FootnoteText"/>
      </w:pPr>
      <w:r>
        <w:rPr>
          <w:rStyle w:val="FootnoteReference"/>
        </w:rPr>
        <w:footnoteRef/>
      </w:r>
      <w:r>
        <w:t xml:space="preserve"> </w:t>
      </w:r>
      <w:r w:rsidRPr="00FB08B2">
        <w:t>New outbreaks as reported to COVID-Net in the reporting period; some outbreaks are reported retrospectively.</w:t>
      </w:r>
    </w:p>
  </w:footnote>
  <w:footnote w:id="4">
    <w:p w:rsidR="00FB08B2" w:rsidRDefault="00FB08B2">
      <w:pPr>
        <w:pStyle w:val="FootnoteText"/>
      </w:pPr>
      <w:r>
        <w:rPr>
          <w:rStyle w:val="FootnoteReference"/>
        </w:rPr>
        <w:footnoteRef/>
      </w:r>
      <w:r>
        <w:t xml:space="preserve"> </w:t>
      </w:r>
      <w:r w:rsidRPr="00FB08B2">
        <w:t>Open outbreaks are defined as those where a new epidemiologically-linked case was identified in the previous 14 days. Note the period of surveillance for clusters reporting differs from this reporting period.</w:t>
      </w:r>
    </w:p>
  </w:footnote>
  <w:footnote w:id="5">
    <w:p w:rsidR="00FB08B2" w:rsidRDefault="00FB08B2">
      <w:pPr>
        <w:pStyle w:val="FootnoteText"/>
      </w:pPr>
      <w:r>
        <w:rPr>
          <w:rStyle w:val="FootnoteReference"/>
        </w:rPr>
        <w:footnoteRef/>
      </w:r>
      <w:r>
        <w:t xml:space="preserve"> </w:t>
      </w:r>
      <w:r w:rsidRPr="00FB08B2">
        <w:t>Changes in the past 28 days reflects new and reconciled numbers due to data cleaning.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AC7" w:rsidRPr="00A153B6" w:rsidRDefault="003C6A8D"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4E6AC7">
          <w:t>Surveillance Summaries</w:t>
        </w:r>
      </w:sdtContent>
    </w:sdt>
    <w:r w:rsidR="004E6AC7">
      <w:ptab w:relativeTo="margin" w:alignment="right" w:leader="none"/>
    </w:r>
    <w:r w:rsidR="004E6AC7"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AC7" w:rsidRPr="000A5F42" w:rsidRDefault="004E6AC7" w:rsidP="000A5F42">
    <w:pPr>
      <w:pStyle w:val="Header"/>
      <w:jc w:val="center"/>
      <w:rPr>
        <w:b/>
      </w:rPr>
    </w:pPr>
    <w:r w:rsidRPr="00E810C5">
      <w:rPr>
        <w:rFonts w:cs="Myriad Pro"/>
        <w:noProof/>
        <w:color w:val="211D1E"/>
        <w:sz w:val="16"/>
      </w:rPr>
      <w:drawing>
        <wp:inline distT="0" distB="0" distL="0" distR="0" wp14:anchorId="25D92371"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A2EE7"/>
    <w:multiLevelType w:val="hybridMultilevel"/>
    <w:tmpl w:val="086ED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F5B0D66"/>
    <w:multiLevelType w:val="multilevel"/>
    <w:tmpl w:val="5F6E8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FA17F8B"/>
    <w:multiLevelType w:val="hybridMultilevel"/>
    <w:tmpl w:val="980CA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D4F4EC9"/>
    <w:multiLevelType w:val="hybridMultilevel"/>
    <w:tmpl w:val="70561B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F2071DC"/>
    <w:multiLevelType w:val="hybridMultilevel"/>
    <w:tmpl w:val="B546B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16637C8"/>
    <w:multiLevelType w:val="hybridMultilevel"/>
    <w:tmpl w:val="863AE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5555CBF"/>
    <w:multiLevelType w:val="hybridMultilevel"/>
    <w:tmpl w:val="88E64E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2417521"/>
    <w:multiLevelType w:val="multilevel"/>
    <w:tmpl w:val="AD22A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EE72B7"/>
    <w:multiLevelType w:val="hybridMultilevel"/>
    <w:tmpl w:val="48463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83A234D"/>
    <w:multiLevelType w:val="hybridMultilevel"/>
    <w:tmpl w:val="D0C01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9"/>
  </w:num>
  <w:num w:numId="4">
    <w:abstractNumId w:val="2"/>
  </w:num>
  <w:num w:numId="5">
    <w:abstractNumId w:val="11"/>
  </w:num>
  <w:num w:numId="6">
    <w:abstractNumId w:val="12"/>
  </w:num>
  <w:num w:numId="7">
    <w:abstractNumId w:val="13"/>
  </w:num>
  <w:num w:numId="8">
    <w:abstractNumId w:val="1"/>
  </w:num>
  <w:num w:numId="9">
    <w:abstractNumId w:val="0"/>
  </w:num>
  <w:num w:numId="10">
    <w:abstractNumId w:val="10"/>
  </w:num>
  <w:num w:numId="11">
    <w:abstractNumId w:val="4"/>
  </w:num>
  <w:num w:numId="12">
    <w:abstractNumId w:val="7"/>
  </w:num>
  <w:num w:numId="13">
    <w:abstractNumId w:val="15"/>
  </w:num>
  <w:num w:numId="14">
    <w:abstractNumId w:val="14"/>
  </w:num>
  <w:num w:numId="15">
    <w:abstractNumId w:val="6"/>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attachedTemplate r:id="rId1"/>
  <w:defaultTabStop w:val="720"/>
  <w:noPunctuationKerning/>
  <w:characterSpacingControl w:val="doNotCompress"/>
  <w:hdrShapeDefaults>
    <o:shapedefaults v:ext="edit" spidmax="12289"/>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8AA"/>
    <w:rsid w:val="00000B5B"/>
    <w:rsid w:val="00001611"/>
    <w:rsid w:val="000053A0"/>
    <w:rsid w:val="00007B1B"/>
    <w:rsid w:val="000104A8"/>
    <w:rsid w:val="0001246E"/>
    <w:rsid w:val="000124B1"/>
    <w:rsid w:val="00016FE6"/>
    <w:rsid w:val="00031064"/>
    <w:rsid w:val="00031692"/>
    <w:rsid w:val="00032531"/>
    <w:rsid w:val="000325A0"/>
    <w:rsid w:val="000471BF"/>
    <w:rsid w:val="00047B68"/>
    <w:rsid w:val="00052600"/>
    <w:rsid w:val="000546EC"/>
    <w:rsid w:val="0005608D"/>
    <w:rsid w:val="0005643C"/>
    <w:rsid w:val="0006264A"/>
    <w:rsid w:val="00073D77"/>
    <w:rsid w:val="00081655"/>
    <w:rsid w:val="00082C93"/>
    <w:rsid w:val="00084C80"/>
    <w:rsid w:val="000864E0"/>
    <w:rsid w:val="000969B3"/>
    <w:rsid w:val="000A5F42"/>
    <w:rsid w:val="000D4B4D"/>
    <w:rsid w:val="00113D58"/>
    <w:rsid w:val="001200CB"/>
    <w:rsid w:val="00122C09"/>
    <w:rsid w:val="001378A3"/>
    <w:rsid w:val="00155167"/>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130C"/>
    <w:rsid w:val="001D37C7"/>
    <w:rsid w:val="001D64F7"/>
    <w:rsid w:val="001D6888"/>
    <w:rsid w:val="001D6DA8"/>
    <w:rsid w:val="001E5A1C"/>
    <w:rsid w:val="00206CEE"/>
    <w:rsid w:val="00224EFF"/>
    <w:rsid w:val="002276DC"/>
    <w:rsid w:val="00227E00"/>
    <w:rsid w:val="002307CB"/>
    <w:rsid w:val="00231046"/>
    <w:rsid w:val="00234F21"/>
    <w:rsid w:val="00240363"/>
    <w:rsid w:val="00241E48"/>
    <w:rsid w:val="00242659"/>
    <w:rsid w:val="002428F7"/>
    <w:rsid w:val="0024315F"/>
    <w:rsid w:val="0024631C"/>
    <w:rsid w:val="00252C9A"/>
    <w:rsid w:val="00256309"/>
    <w:rsid w:val="00257484"/>
    <w:rsid w:val="00260636"/>
    <w:rsid w:val="002710C0"/>
    <w:rsid w:val="002747A6"/>
    <w:rsid w:val="00275C78"/>
    <w:rsid w:val="00280594"/>
    <w:rsid w:val="00281EE3"/>
    <w:rsid w:val="00284170"/>
    <w:rsid w:val="00284E4A"/>
    <w:rsid w:val="002A3799"/>
    <w:rsid w:val="002A3BCC"/>
    <w:rsid w:val="002A4516"/>
    <w:rsid w:val="002A569F"/>
    <w:rsid w:val="002A7066"/>
    <w:rsid w:val="002B001E"/>
    <w:rsid w:val="002B09B7"/>
    <w:rsid w:val="002B75A9"/>
    <w:rsid w:val="002C21B0"/>
    <w:rsid w:val="002E2FB3"/>
    <w:rsid w:val="002E6CBD"/>
    <w:rsid w:val="002F327B"/>
    <w:rsid w:val="00301626"/>
    <w:rsid w:val="003059EC"/>
    <w:rsid w:val="00306AF1"/>
    <w:rsid w:val="00316CCD"/>
    <w:rsid w:val="00324F7E"/>
    <w:rsid w:val="00330EF4"/>
    <w:rsid w:val="00330F8E"/>
    <w:rsid w:val="003323BC"/>
    <w:rsid w:val="00343045"/>
    <w:rsid w:val="00346D42"/>
    <w:rsid w:val="00346E11"/>
    <w:rsid w:val="003601C0"/>
    <w:rsid w:val="003635F5"/>
    <w:rsid w:val="00372A88"/>
    <w:rsid w:val="00381A0F"/>
    <w:rsid w:val="00381C4B"/>
    <w:rsid w:val="003A1B3A"/>
    <w:rsid w:val="003A40F5"/>
    <w:rsid w:val="003B5B8C"/>
    <w:rsid w:val="003C6A8D"/>
    <w:rsid w:val="003D79B1"/>
    <w:rsid w:val="003E74EE"/>
    <w:rsid w:val="003F0552"/>
    <w:rsid w:val="003F3BC2"/>
    <w:rsid w:val="003F547B"/>
    <w:rsid w:val="00401ED1"/>
    <w:rsid w:val="0040224C"/>
    <w:rsid w:val="00413EE1"/>
    <w:rsid w:val="004162AD"/>
    <w:rsid w:val="004164BB"/>
    <w:rsid w:val="00421ECE"/>
    <w:rsid w:val="00422FEB"/>
    <w:rsid w:val="0042435E"/>
    <w:rsid w:val="004256B3"/>
    <w:rsid w:val="00425CE0"/>
    <w:rsid w:val="004315F5"/>
    <w:rsid w:val="00433456"/>
    <w:rsid w:val="00433DFA"/>
    <w:rsid w:val="00435D67"/>
    <w:rsid w:val="00456775"/>
    <w:rsid w:val="004602B1"/>
    <w:rsid w:val="00464A58"/>
    <w:rsid w:val="00473D2D"/>
    <w:rsid w:val="00487080"/>
    <w:rsid w:val="004A1DB7"/>
    <w:rsid w:val="004A2125"/>
    <w:rsid w:val="004A38F6"/>
    <w:rsid w:val="004B4EB6"/>
    <w:rsid w:val="004C083C"/>
    <w:rsid w:val="004C67C6"/>
    <w:rsid w:val="004D29DE"/>
    <w:rsid w:val="004E6AC7"/>
    <w:rsid w:val="00510EAC"/>
    <w:rsid w:val="005319F1"/>
    <w:rsid w:val="00542A57"/>
    <w:rsid w:val="00565974"/>
    <w:rsid w:val="005732C0"/>
    <w:rsid w:val="0057336D"/>
    <w:rsid w:val="0057489A"/>
    <w:rsid w:val="00574ACF"/>
    <w:rsid w:val="00581588"/>
    <w:rsid w:val="0058540B"/>
    <w:rsid w:val="00587C87"/>
    <w:rsid w:val="00590B80"/>
    <w:rsid w:val="005B2A4B"/>
    <w:rsid w:val="005B3134"/>
    <w:rsid w:val="005B4E61"/>
    <w:rsid w:val="005B595A"/>
    <w:rsid w:val="005B66C2"/>
    <w:rsid w:val="005C12EA"/>
    <w:rsid w:val="005C773D"/>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926AA"/>
    <w:rsid w:val="006971F3"/>
    <w:rsid w:val="006B1385"/>
    <w:rsid w:val="006C207E"/>
    <w:rsid w:val="006C74A3"/>
    <w:rsid w:val="006D1381"/>
    <w:rsid w:val="006D31BC"/>
    <w:rsid w:val="006E0F9F"/>
    <w:rsid w:val="006E7943"/>
    <w:rsid w:val="006F24EA"/>
    <w:rsid w:val="00704CA9"/>
    <w:rsid w:val="0071048D"/>
    <w:rsid w:val="00710F86"/>
    <w:rsid w:val="007111A8"/>
    <w:rsid w:val="00715F30"/>
    <w:rsid w:val="0072420F"/>
    <w:rsid w:val="00731BC3"/>
    <w:rsid w:val="00741192"/>
    <w:rsid w:val="00743A33"/>
    <w:rsid w:val="00746080"/>
    <w:rsid w:val="0075144A"/>
    <w:rsid w:val="00754557"/>
    <w:rsid w:val="00786329"/>
    <w:rsid w:val="00786C9D"/>
    <w:rsid w:val="00792C7D"/>
    <w:rsid w:val="00794A4D"/>
    <w:rsid w:val="007A5234"/>
    <w:rsid w:val="007B7854"/>
    <w:rsid w:val="007C5238"/>
    <w:rsid w:val="007C56A1"/>
    <w:rsid w:val="007C603F"/>
    <w:rsid w:val="007C6454"/>
    <w:rsid w:val="007E01E0"/>
    <w:rsid w:val="007F0B93"/>
    <w:rsid w:val="007F1F7A"/>
    <w:rsid w:val="007F2ECA"/>
    <w:rsid w:val="008111A9"/>
    <w:rsid w:val="00811708"/>
    <w:rsid w:val="00816B90"/>
    <w:rsid w:val="00817799"/>
    <w:rsid w:val="00822F5F"/>
    <w:rsid w:val="00824FD3"/>
    <w:rsid w:val="00826589"/>
    <w:rsid w:val="00834BCC"/>
    <w:rsid w:val="00850D54"/>
    <w:rsid w:val="00865222"/>
    <w:rsid w:val="008714B0"/>
    <w:rsid w:val="00876331"/>
    <w:rsid w:val="00880726"/>
    <w:rsid w:val="0088565E"/>
    <w:rsid w:val="008A3544"/>
    <w:rsid w:val="008A4890"/>
    <w:rsid w:val="008B48B8"/>
    <w:rsid w:val="008B5348"/>
    <w:rsid w:val="008B58F8"/>
    <w:rsid w:val="008C0712"/>
    <w:rsid w:val="008C12BC"/>
    <w:rsid w:val="008C4520"/>
    <w:rsid w:val="008C5F09"/>
    <w:rsid w:val="008D470F"/>
    <w:rsid w:val="008E1F8F"/>
    <w:rsid w:val="008E4768"/>
    <w:rsid w:val="008E761E"/>
    <w:rsid w:val="008F77B3"/>
    <w:rsid w:val="009008F5"/>
    <w:rsid w:val="00904CC1"/>
    <w:rsid w:val="009066AF"/>
    <w:rsid w:val="00912050"/>
    <w:rsid w:val="0091276F"/>
    <w:rsid w:val="00912E48"/>
    <w:rsid w:val="00913BCA"/>
    <w:rsid w:val="0092746F"/>
    <w:rsid w:val="00935DC9"/>
    <w:rsid w:val="009446C0"/>
    <w:rsid w:val="0096082E"/>
    <w:rsid w:val="00961347"/>
    <w:rsid w:val="00963D9A"/>
    <w:rsid w:val="009672DD"/>
    <w:rsid w:val="00967410"/>
    <w:rsid w:val="00967D73"/>
    <w:rsid w:val="0098119A"/>
    <w:rsid w:val="00984AAF"/>
    <w:rsid w:val="00991B09"/>
    <w:rsid w:val="00993CB2"/>
    <w:rsid w:val="009A5166"/>
    <w:rsid w:val="009A76F8"/>
    <w:rsid w:val="009B090E"/>
    <w:rsid w:val="009B2B83"/>
    <w:rsid w:val="009C49F8"/>
    <w:rsid w:val="009D22EA"/>
    <w:rsid w:val="009D48F9"/>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5BDD"/>
    <w:rsid w:val="00A46A0A"/>
    <w:rsid w:val="00A553F8"/>
    <w:rsid w:val="00A647FE"/>
    <w:rsid w:val="00A6708F"/>
    <w:rsid w:val="00A71BF6"/>
    <w:rsid w:val="00A86F9A"/>
    <w:rsid w:val="00AA35E6"/>
    <w:rsid w:val="00AA50B6"/>
    <w:rsid w:val="00AA60FE"/>
    <w:rsid w:val="00AB3472"/>
    <w:rsid w:val="00AD0762"/>
    <w:rsid w:val="00AD30D6"/>
    <w:rsid w:val="00AE3DCF"/>
    <w:rsid w:val="00AE4452"/>
    <w:rsid w:val="00AE46BC"/>
    <w:rsid w:val="00AE7C38"/>
    <w:rsid w:val="00AF395D"/>
    <w:rsid w:val="00B01F99"/>
    <w:rsid w:val="00B02B37"/>
    <w:rsid w:val="00B05276"/>
    <w:rsid w:val="00B132DB"/>
    <w:rsid w:val="00B31427"/>
    <w:rsid w:val="00B33861"/>
    <w:rsid w:val="00B40DE2"/>
    <w:rsid w:val="00B47EA3"/>
    <w:rsid w:val="00B50210"/>
    <w:rsid w:val="00B53955"/>
    <w:rsid w:val="00B53E65"/>
    <w:rsid w:val="00B562A6"/>
    <w:rsid w:val="00B6408A"/>
    <w:rsid w:val="00B714B8"/>
    <w:rsid w:val="00B82C2C"/>
    <w:rsid w:val="00B8720B"/>
    <w:rsid w:val="00B876EF"/>
    <w:rsid w:val="00BA4697"/>
    <w:rsid w:val="00BA65B1"/>
    <w:rsid w:val="00BB4B18"/>
    <w:rsid w:val="00BB5378"/>
    <w:rsid w:val="00BC0BD3"/>
    <w:rsid w:val="00BD0107"/>
    <w:rsid w:val="00BE0C33"/>
    <w:rsid w:val="00BE262C"/>
    <w:rsid w:val="00BE6C3D"/>
    <w:rsid w:val="00BE71E6"/>
    <w:rsid w:val="00C00683"/>
    <w:rsid w:val="00C013D7"/>
    <w:rsid w:val="00C07606"/>
    <w:rsid w:val="00C12542"/>
    <w:rsid w:val="00C24725"/>
    <w:rsid w:val="00C30BA9"/>
    <w:rsid w:val="00C3185C"/>
    <w:rsid w:val="00C32097"/>
    <w:rsid w:val="00C3541E"/>
    <w:rsid w:val="00C36768"/>
    <w:rsid w:val="00C36A8F"/>
    <w:rsid w:val="00C42834"/>
    <w:rsid w:val="00C42FFA"/>
    <w:rsid w:val="00C507D8"/>
    <w:rsid w:val="00C62EAC"/>
    <w:rsid w:val="00C63F9F"/>
    <w:rsid w:val="00C7723C"/>
    <w:rsid w:val="00C838F5"/>
    <w:rsid w:val="00CA1AF4"/>
    <w:rsid w:val="00CA6068"/>
    <w:rsid w:val="00CB15E1"/>
    <w:rsid w:val="00CB16C3"/>
    <w:rsid w:val="00CB3D46"/>
    <w:rsid w:val="00CB4530"/>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672B7"/>
    <w:rsid w:val="00D74140"/>
    <w:rsid w:val="00DA6E56"/>
    <w:rsid w:val="00DB153E"/>
    <w:rsid w:val="00DC24E5"/>
    <w:rsid w:val="00DC6705"/>
    <w:rsid w:val="00DD2DE8"/>
    <w:rsid w:val="00DE38B4"/>
    <w:rsid w:val="00DE5D02"/>
    <w:rsid w:val="00E005A9"/>
    <w:rsid w:val="00E10964"/>
    <w:rsid w:val="00E1166E"/>
    <w:rsid w:val="00E21585"/>
    <w:rsid w:val="00E24DC0"/>
    <w:rsid w:val="00E2519C"/>
    <w:rsid w:val="00E25F2A"/>
    <w:rsid w:val="00E337E6"/>
    <w:rsid w:val="00E41455"/>
    <w:rsid w:val="00E42AD2"/>
    <w:rsid w:val="00E50856"/>
    <w:rsid w:val="00E538CC"/>
    <w:rsid w:val="00E54BBD"/>
    <w:rsid w:val="00E54DBA"/>
    <w:rsid w:val="00E618AA"/>
    <w:rsid w:val="00E63D7C"/>
    <w:rsid w:val="00E640D5"/>
    <w:rsid w:val="00E66416"/>
    <w:rsid w:val="00E66E2E"/>
    <w:rsid w:val="00E67691"/>
    <w:rsid w:val="00E92237"/>
    <w:rsid w:val="00E951EF"/>
    <w:rsid w:val="00E97B7F"/>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07C7"/>
    <w:rsid w:val="00F36B6D"/>
    <w:rsid w:val="00F43FA3"/>
    <w:rsid w:val="00F55648"/>
    <w:rsid w:val="00F70046"/>
    <w:rsid w:val="00F748C2"/>
    <w:rsid w:val="00F76C5C"/>
    <w:rsid w:val="00F81EF3"/>
    <w:rsid w:val="00F84496"/>
    <w:rsid w:val="00F85DCB"/>
    <w:rsid w:val="00F86F9C"/>
    <w:rsid w:val="00F90D76"/>
    <w:rsid w:val="00FA4493"/>
    <w:rsid w:val="00FB08B2"/>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6EABBD9B-F1E8-406E-BD2C-5993118A8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9B090E"/>
    <w:pPr>
      <w:spacing w:before="100" w:beforeAutospacing="1" w:after="100" w:afterAutospacing="1" w:line="240" w:lineRule="auto"/>
    </w:pPr>
    <w:rPr>
      <w:rFonts w:ascii="Times New Roman" w:hAnsi="Times New Roman" w:cs="Times New Roman"/>
      <w:sz w:val="24"/>
      <w:szCs w:val="24"/>
    </w:rPr>
  </w:style>
  <w:style w:type="paragraph" w:customStyle="1" w:styleId="greybackground">
    <w:name w:val="grey background"/>
    <w:basedOn w:val="Heading1"/>
    <w:qFormat/>
    <w:rsid w:val="0005608D"/>
    <w:pPr>
      <w:pBdr>
        <w:top w:val="single" w:sz="4" w:space="1" w:color="auto"/>
        <w:bottom w:val="single" w:sz="4" w:space="1" w:color="auto"/>
      </w:pBdr>
      <w:shd w:val="clear" w:color="auto" w:fill="F2F2F2" w:themeFill="background1" w:themeFillShade="F2"/>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7.png"/><Relationship Id="rId26" Type="http://schemas.openxmlformats.org/officeDocument/2006/relationships/hyperlink" Target="http://www.health.gov.au/cdna" TargetMode="External"/><Relationship Id="rId3" Type="http://schemas.openxmlformats.org/officeDocument/2006/relationships/numbering" Target="numbering.xml"/><Relationship Id="rId21" Type="http://schemas.openxmlformats.org/officeDocument/2006/relationships/hyperlink" Target="http://health.gov.au/cdi"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hyperlink" Target="mailto:copyright@health.gov.au"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cdi.editor@health.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itsanhonour.gov.au/"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s://creativecommons.org/licenses/by-nc-nd/4.0/legalcode"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health.gov.au/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mailto:cdi.editor@health.gov.au" TargetMode="External"/><Relationship Id="rId27"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8.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CC70BAB-5EFE-448E-8B79-90555BA41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4</TotalTime>
  <Pages>25</Pages>
  <Words>6942</Words>
  <Characters>40840</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Communicable Diseases Intelligence 2021 - COVID-19 Australia: Epidemiology Report 34</vt:lpstr>
    </vt:vector>
  </TitlesOfParts>
  <Company>Australian Government, Department of Health</Company>
  <LinksUpToDate>false</LinksUpToDate>
  <CharactersWithSpaces>47687</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COVID-19 Australia: Epidemiology Report 34</dc:title>
  <dc:subject>This is the thirty-fourth epidemiological report for coronavirus disease 2019 (COVID-19), reported in Australia as at 23:59 Australian Eastern Daylight Time [AEDT] 31 January 2021. It includes data on COVID-19 cases diagnosed in Australia and the international situation.</dc:subject>
  <dc:creator>COVID-19 National Incident Room Surveillance Team</dc:creator>
  <cp:keywords>SARS-CoV-2; novel coronavirus; 2019-nCoV; coronavirus disease 2019; COVID-19; acute respiratory disease; epidemiology; Australia</cp:keywords>
  <dc:description>© Commonwealth of Australia CC BY-NC-ND ISSN: 2209-6051 (Online)</dc:description>
  <cp:lastModifiedBy>YOUSEFI, Kasra</cp:lastModifiedBy>
  <cp:revision>6</cp:revision>
  <cp:lastPrinted>2018-05-10T02:19:00Z</cp:lastPrinted>
  <dcterms:created xsi:type="dcterms:W3CDTF">2021-02-09T02:39:00Z</dcterms:created>
  <dcterms:modified xsi:type="dcterms:W3CDTF">2021-02-09T22:48:00Z</dcterms:modified>
  <cp:category>Surveillance Summaries</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10/02/2021</vt:lpwstr>
  </property>
  <property fmtid="{D5CDD505-2E9C-101B-9397-08002B2CF9AE}" pid="5" name="DOI">
    <vt:lpwstr>https://doi.org/10.33321/cdi.2021.45.8</vt:lpwstr>
  </property>
</Properties>
</file>