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FA2EF" w14:textId="77777777" w:rsidR="00A3455B" w:rsidRPr="00E03842" w:rsidRDefault="00A3455B" w:rsidP="009D4C95">
      <w:pPr>
        <w:pStyle w:val="Title"/>
        <w:rPr>
          <w:rFonts w:eastAsia="Times New Roman"/>
          <w:sz w:val="36"/>
          <w:szCs w:val="24"/>
        </w:rPr>
      </w:pPr>
      <w:r w:rsidRPr="00E03842">
        <w:rPr>
          <w:rFonts w:eastAsia="Times New Roman"/>
          <w:sz w:val="40"/>
          <w:szCs w:val="28"/>
        </w:rPr>
        <w:t>Epidemiology of mumps outbreaks and the impact of an additional dose of MMR vaccine for outbreak control in regional Queensland, Australia, 2017–2018</w:t>
      </w:r>
    </w:p>
    <w:p w14:paraId="734A772C" w14:textId="77777777" w:rsidR="00A3455B" w:rsidRDefault="00A3455B" w:rsidP="009D4C95">
      <w:r>
        <w:t xml:space="preserve">Jacina Walker, </w:t>
      </w:r>
      <w:proofErr w:type="spellStart"/>
      <w:r>
        <w:t>Odewumi</w:t>
      </w:r>
      <w:proofErr w:type="spellEnd"/>
      <w:r>
        <w:t xml:space="preserve"> </w:t>
      </w:r>
      <w:proofErr w:type="spellStart"/>
      <w:r>
        <w:t>Adegbija</w:t>
      </w:r>
      <w:proofErr w:type="spellEnd"/>
      <w:r>
        <w:t xml:space="preserve">, Nicolas Smoll, Arifuzzaman Khan, Jordan </w:t>
      </w:r>
      <w:proofErr w:type="spellStart"/>
      <w:r>
        <w:t>Whicker</w:t>
      </w:r>
      <w:proofErr w:type="spellEnd"/>
      <w:r>
        <w:t xml:space="preserve">, Heidi Carroll, Rachael Rodney Harris, Gulam Khandaker </w:t>
      </w:r>
    </w:p>
    <w:p w14:paraId="0ACAD6B6" w14:textId="77777777" w:rsidR="00A3455B" w:rsidRPr="009D4C95" w:rsidRDefault="00A3455B" w:rsidP="009D4C95">
      <w:pPr>
        <w:pStyle w:val="Heading1"/>
      </w:pPr>
      <w:r w:rsidRPr="009D4C95">
        <w:t>Abstract</w:t>
      </w:r>
    </w:p>
    <w:p w14:paraId="229BC42F" w14:textId="77777777" w:rsidR="00A3455B" w:rsidRPr="009D4C95" w:rsidRDefault="00A3455B" w:rsidP="009D4C95">
      <w:pPr>
        <w:pStyle w:val="Heading2"/>
      </w:pPr>
      <w:r w:rsidRPr="009D4C95">
        <w:t>Background</w:t>
      </w:r>
    </w:p>
    <w:p w14:paraId="4CC1FE2A" w14:textId="77777777" w:rsidR="00A3455B" w:rsidRDefault="00A3455B" w:rsidP="009D4C95">
      <w:r>
        <w:t>In recent years, there have been ongoing outbreaks of mumps reported in Northern and North-Western Queensland, Western Australia and the Northern Territory, Australia. We aimed to define the epidemiology of mumps outbreaks in Central Queensland, Australia between October 2017 and October 2018 and evaluate the effectiveness of an additional dose of measles, mumps, rubella (MMR) vaccine.</w:t>
      </w:r>
    </w:p>
    <w:p w14:paraId="494068D9" w14:textId="77777777" w:rsidR="00A3455B" w:rsidRPr="009D4C95" w:rsidRDefault="00A3455B" w:rsidP="009D4C95">
      <w:pPr>
        <w:pStyle w:val="Heading2"/>
      </w:pPr>
      <w:r w:rsidRPr="009D4C95">
        <w:t>Methods</w:t>
      </w:r>
    </w:p>
    <w:p w14:paraId="470333A2" w14:textId="77777777" w:rsidR="00A3455B" w:rsidRDefault="00A3455B" w:rsidP="009D4C95">
      <w:r>
        <w:t>A retrospective case control study was conducted, including outbreak investigations with laboratory-confirmed cases of mumps and subsequent comparison with matched controls. We analysed mandatory notifications from the Queensland Health Notifiable Conditions System database and immunisation information from the Queensland Health Vaccination Information and Admin System (VIVAS) and the Australian Immunisation Register.</w:t>
      </w:r>
    </w:p>
    <w:p w14:paraId="60E0AFC8" w14:textId="77777777" w:rsidR="00A3455B" w:rsidRPr="009D4C95" w:rsidRDefault="00A3455B" w:rsidP="009D4C95">
      <w:pPr>
        <w:pStyle w:val="Heading2"/>
      </w:pPr>
      <w:r w:rsidRPr="009D4C95">
        <w:t>Results</w:t>
      </w:r>
    </w:p>
    <w:p w14:paraId="26C47502" w14:textId="77777777" w:rsidR="00A3455B" w:rsidRDefault="00A3455B" w:rsidP="009D4C95">
      <w:r>
        <w:t xml:space="preserve">Between October 2017 and October 2018, there were 93 cases of mumps reported in Central Queensland with three distinct outbreaks: a discrete Indigenous community; </w:t>
      </w:r>
      <w:proofErr w:type="gramStart"/>
      <w:r>
        <w:t>a correctional facility</w:t>
      </w:r>
      <w:proofErr w:type="gramEnd"/>
      <w:r>
        <w:t xml:space="preserve">; and a boarding school. Among all cases, 74 (79.6%) were fully vaccinated and 14 (15.1%) were partially vaccinated with MMR vaccine. Eighty-six cases (92.5%) were reported among Aboriginal and Torres Strait Islander people. In all outbreaks, an additional dose of MMR vaccine was offered with 35.4%, 73.6% and 35.8% of the target population being immunised in the discrete Indigenous community, the </w:t>
      </w:r>
      <w:proofErr w:type="gramStart"/>
      <w:r>
        <w:t>correctional facility</w:t>
      </w:r>
      <w:proofErr w:type="gramEnd"/>
      <w:r>
        <w:t xml:space="preserve"> and the boarding school, respectively. Prior to this additional dose of MMR, the mumps attack rate was 31.0 (95% confidence interval [95% CI]: 24.2–39.0) per 1000 population, compared to the post-additional dose MMR attack rate of 10.6 (95% CI: 6.7–15.9) per 1000 population.</w:t>
      </w:r>
    </w:p>
    <w:p w14:paraId="59C99009" w14:textId="77777777" w:rsidR="00A3455B" w:rsidRPr="009D4C95" w:rsidRDefault="00A3455B" w:rsidP="009D4C95">
      <w:pPr>
        <w:pStyle w:val="Heading2"/>
      </w:pPr>
      <w:r w:rsidRPr="009D4C95">
        <w:t>Conclusion</w:t>
      </w:r>
    </w:p>
    <w:p w14:paraId="24A79FF5" w14:textId="77777777" w:rsidR="00A3455B" w:rsidRDefault="00A3455B" w:rsidP="009D4C95">
      <w:r>
        <w:t>An additional or booster dose of MMR should be included as an effective public health intervention strategy, particularly in communal or high-density living conditions to control mumps outbreaks in highly vaccinated populations.</w:t>
      </w:r>
    </w:p>
    <w:p w14:paraId="4DB0490E" w14:textId="77777777" w:rsidR="00A3455B" w:rsidRDefault="00A3455B" w:rsidP="009D4C95">
      <w:r>
        <w:t>Keywords: Mumps; Boarding school; Indigenous; Prison; Outbreak; Queensland, Vaccination; MMR; Additional dose; Infection control</w:t>
      </w:r>
    </w:p>
    <w:p w14:paraId="7EEF69C3" w14:textId="77777777" w:rsidR="00A3455B" w:rsidRPr="009D4C95" w:rsidRDefault="00A3455B" w:rsidP="009D4C95">
      <w:pPr>
        <w:pStyle w:val="Heading1"/>
      </w:pPr>
      <w:r w:rsidRPr="009D4C95">
        <w:t>Background</w:t>
      </w:r>
    </w:p>
    <w:p w14:paraId="41B94936" w14:textId="6D7A1308" w:rsidR="00A3455B" w:rsidRDefault="00A3455B" w:rsidP="009D4C95">
      <w:r>
        <w:t xml:space="preserve">Mumps is a vaccine-preventable infectious disease belonging to the </w:t>
      </w:r>
      <w:proofErr w:type="spellStart"/>
      <w:r w:rsidRPr="001B2AFE">
        <w:rPr>
          <w:rStyle w:val="Emphasis"/>
          <w:b w:val="0"/>
          <w:bCs w:val="0"/>
        </w:rPr>
        <w:t>Paramyxoviridae</w:t>
      </w:r>
      <w:proofErr w:type="spellEnd"/>
      <w:r>
        <w:t xml:space="preserve"> family, spread through respiratory droplets and contact with contaminated fomites. </w:t>
      </w:r>
      <w:r>
        <w:rPr>
          <w:vertAlign w:val="superscript"/>
        </w:rPr>
        <w:t>1</w:t>
      </w:r>
      <w:r>
        <w:t xml:space="preserve"> Although generally considered a mild disease, mumps can cause serious complications, including inflammation of the testicles (i.e. orchitis, which may cause infertility), ovaries, pancreas, liver, heart and brain, and hearing loss. Infection during the first trimester of pregnancy may increase the risk of miscarriage. </w:t>
      </w:r>
      <w:r>
        <w:rPr>
          <w:vertAlign w:val="superscript"/>
        </w:rPr>
        <w:t>2,3</w:t>
      </w:r>
      <w:r>
        <w:t xml:space="preserve"> Outbreaks of mumps are not very common in highly vaccinated communities, </w:t>
      </w:r>
      <w:r>
        <w:lastRenderedPageBreak/>
        <w:t>however, in recent years there has been a resurgence of mumps, mainly among the Australian Indigenous</w:t>
      </w:r>
      <w:r w:rsidR="0075029F">
        <w:t> </w:t>
      </w:r>
      <w:r>
        <w:t xml:space="preserve">population. </w:t>
      </w:r>
      <w:r>
        <w:rPr>
          <w:vertAlign w:val="superscript"/>
        </w:rPr>
        <w:t>4,5</w:t>
      </w:r>
      <w:r>
        <w:t xml:space="preserve"> </w:t>
      </w:r>
    </w:p>
    <w:p w14:paraId="7C3A81B1" w14:textId="77777777" w:rsidR="00A3455B" w:rsidRDefault="00A3455B" w:rsidP="009D4C95">
      <w:r>
        <w:t xml:space="preserve">In Australia, a single dose of mumps-containing vaccine was recommended for young children from 1980 to 1989. A second dose of mumps-containing (measles-mumps-rubella, MMR) vaccine has been nationally funded since late 1992, with various catch-up vaccination programs offered across the states and territories for school aged children and adults born during or after 1966 who had not received two doses of MMR vaccine. </w:t>
      </w:r>
      <w:r>
        <w:rPr>
          <w:vertAlign w:val="superscript"/>
        </w:rPr>
        <w:t>4</w:t>
      </w:r>
      <w:r>
        <w:t xml:space="preserve"> </w:t>
      </w:r>
    </w:p>
    <w:p w14:paraId="6B8E64C6" w14:textId="77777777" w:rsidR="00A3455B" w:rsidRDefault="00A3455B" w:rsidP="009D4C95">
      <w:r>
        <w:t xml:space="preserve">Two doses of mumps-containing vaccine are expected to provide adequate immunity to protect against mumps infections; however, there are reports of mumps resurgence in highly vaccinated communities. </w:t>
      </w:r>
      <w:r>
        <w:rPr>
          <w:vertAlign w:val="superscript"/>
        </w:rPr>
        <w:t>6–8</w:t>
      </w:r>
      <w:r>
        <w:t xml:space="preserve"> Important programmatic considerations regarding the introduction of a nationally funded mumps-containing vaccine into Australia’s immunisation program have been instrumental in improving vaccine coverage and reducing the burden of disease. Nonetheless, despite the vaccination programs and high childhood vaccination rates, a national resurgence of mumps has been noted between 2015 to 2018, </w:t>
      </w:r>
      <w:r>
        <w:rPr>
          <w:vertAlign w:val="superscript"/>
        </w:rPr>
        <w:t>4,9</w:t>
      </w:r>
      <w:r>
        <w:t xml:space="preserve"> following the inception of reporting in 2001.</w:t>
      </w:r>
    </w:p>
    <w:p w14:paraId="50BCFB56" w14:textId="23F8603D" w:rsidR="00A3455B" w:rsidRDefault="00A3455B" w:rsidP="009D4C95">
      <w:r>
        <w:t xml:space="preserve">In Queensland, a tenfold increase over one year in 2017–2018 is thought to be due to a combination of waning immunity, particularly vaccine-derived immunity which can occur within a decade of receiving a mumps-containing vaccine, </w:t>
      </w:r>
      <w:r>
        <w:rPr>
          <w:vertAlign w:val="superscript"/>
        </w:rPr>
        <w:t>3</w:t>
      </w:r>
      <w:r>
        <w:t xml:space="preserve"> and high-risk accommodation settings where close living conditions and overcrowding are prevalent. </w:t>
      </w:r>
      <w:r>
        <w:rPr>
          <w:vertAlign w:val="superscript"/>
        </w:rPr>
        <w:t>3,10</w:t>
      </w:r>
      <w:r>
        <w:t xml:space="preserve"> Ongoing outbreaks have also been reported in recent years in the Northern Territory and Western Australia. Moreover, while there is growing evidence on the effectiveness of an additional dose of MMR vaccine during mumps outbreaks, in Australia there is no specific recommendation in highly vaccinated communities. </w:t>
      </w:r>
      <w:r>
        <w:rPr>
          <w:vertAlign w:val="superscript"/>
        </w:rPr>
        <w:t>11,12</w:t>
      </w:r>
      <w:r>
        <w:t xml:space="preserve"> We aimed to define the epidemiology of mumps outbreaks in Central Queensland, Australia between 2017 and 2018 and to evaluate the effectiveness of the administration of an additional dose of MMR vaccine in the context of a mumps</w:t>
      </w:r>
      <w:r w:rsidR="0075029F">
        <w:t> </w:t>
      </w:r>
      <w:r>
        <w:t>outbreak.</w:t>
      </w:r>
    </w:p>
    <w:p w14:paraId="7D02F25F" w14:textId="77777777" w:rsidR="00A3455B" w:rsidRPr="001B2AFE" w:rsidRDefault="00A3455B" w:rsidP="001B2AFE">
      <w:pPr>
        <w:pStyle w:val="Heading1"/>
      </w:pPr>
      <w:r w:rsidRPr="001B2AFE">
        <w:t>Methods</w:t>
      </w:r>
    </w:p>
    <w:p w14:paraId="7519286F" w14:textId="77777777" w:rsidR="00A3455B" w:rsidRDefault="00A3455B" w:rsidP="001B2AFE">
      <w:r>
        <w:t xml:space="preserve">This is a retrospective case control study of laboratory-confirmed mumps cases reported from Central Queensland, Australia between 25 October 2017 and 31 October 2018. We used mandatory reported notifications and individual case follow-up data from the Queensland Health Notifiable Conditions System (NOCS) database and immunisation information from the Queensland Health Vaccination Information and Admin System (VIVAS) and the Australian Immunisation Register (AIR). We included two controls per case, matched for age (i.e. age groups for every five-year interval), sex, Indigenous status, and outbreak location. Controls for the discrete Indigenous communities were selected from the seasonal influenza registration data within the local Government area. The inmates at the </w:t>
      </w:r>
      <w:proofErr w:type="gramStart"/>
      <w:r>
        <w:t>correctional facility</w:t>
      </w:r>
      <w:proofErr w:type="gramEnd"/>
      <w:r>
        <w:t xml:space="preserve"> and the students at the boarding school formed the controls for the respective outbreaks. Comparison between the cases and control groups were made on timing of first and second dose of MMR vaccine and the time interval between the two doses. An epidemiologic analysis of all outbreak cases and persons immunised with MMR vaccine was conducted as the outbreak progressed.</w:t>
      </w:r>
    </w:p>
    <w:p w14:paraId="61312953" w14:textId="77777777" w:rsidR="00A3455B" w:rsidRPr="001B2AFE" w:rsidRDefault="00A3455B" w:rsidP="001B2AFE">
      <w:pPr>
        <w:pStyle w:val="Heading2"/>
      </w:pPr>
      <w:r w:rsidRPr="001B2AFE">
        <w:t>Case definitions and laboratory investigations</w:t>
      </w:r>
    </w:p>
    <w:p w14:paraId="360B50DC" w14:textId="77777777" w:rsidR="00A3455B" w:rsidRDefault="00A3455B" w:rsidP="001B2AFE">
      <w:r>
        <w:t xml:space="preserve">A case definition of mumps consistent with Queensland Health Communicable Disease Control Guidance was adopted. </w:t>
      </w:r>
      <w:r>
        <w:rPr>
          <w:vertAlign w:val="superscript"/>
        </w:rPr>
        <w:t>3</w:t>
      </w:r>
      <w:r>
        <w:t xml:space="preserve"> A confirmed case of mumps required either: laboratory definitive evidence by mumps detection via nucleic acid testing; isolation of the mumps virus; immunoglobulin G (IgG) seroconversion or significant increase in antibody level; or a fourfold or greater rise in the titre via paired serology (in the absence of recent mumps immunisation). In addition, a confirmed case was also defined as anyone with laboratory suggestive evidence (detection of mumps specific IgM) and clinical evidence consistent with mumps. </w:t>
      </w:r>
      <w:r>
        <w:rPr>
          <w:vertAlign w:val="superscript"/>
        </w:rPr>
        <w:t>3</w:t>
      </w:r>
      <w:r>
        <w:t xml:space="preserve"> Only laboratory confirmed cases were included in this study.</w:t>
      </w:r>
    </w:p>
    <w:p w14:paraId="6B29DD7D" w14:textId="77777777" w:rsidR="00A3455B" w:rsidRDefault="00A3455B" w:rsidP="001B2AFE">
      <w:r>
        <w:t>Diagnosis of mumps was verified via laboratory testing using reverse transcription polymerase chain reaction (RT-PCR) on buccal, throat or urine samples specimens. All samples were tested at the Queensland Health reference laboratory, Forensics and Scientific Services (FSS), Public Health Virology Laboratory.</w:t>
      </w:r>
    </w:p>
    <w:p w14:paraId="4022EEE2" w14:textId="77777777" w:rsidR="00A3455B" w:rsidRPr="001B2AFE" w:rsidRDefault="00A3455B" w:rsidP="001B2AFE">
      <w:pPr>
        <w:pStyle w:val="Heading2"/>
      </w:pPr>
      <w:r w:rsidRPr="001B2AFE">
        <w:t>Outbreak cases</w:t>
      </w:r>
    </w:p>
    <w:p w14:paraId="1733324A" w14:textId="77777777" w:rsidR="00A3455B" w:rsidRDefault="00A3455B" w:rsidP="001B2AFE">
      <w:r>
        <w:t xml:space="preserve">According to the Mumps Queensland Health Guidelines for Public Health Units, ‘a mumps outbreak is defined as more than the expected incidence of cases in a defined community’. A mumps outbreak included any laboratory confirmed cases notified during October 2017 – October 2018 where an epidemiological link (contact between two individuals with clinically compatible illness suggestive of mumps) or a plausible mode of transmission during the infectious period could be established and the person contracted the disease within the incubation period of 12–25 days after contact. The Queensland Health Guidelines for Public Health Units defining epidemiological evidence criteria was adopted. </w:t>
      </w:r>
      <w:r>
        <w:rPr>
          <w:vertAlign w:val="superscript"/>
        </w:rPr>
        <w:t>3</w:t>
      </w:r>
      <w:r>
        <w:t xml:space="preserve"> </w:t>
      </w:r>
    </w:p>
    <w:p w14:paraId="221D00B9" w14:textId="77777777" w:rsidR="00A3455B" w:rsidRPr="001B2AFE" w:rsidRDefault="00A3455B" w:rsidP="001B2AFE">
      <w:pPr>
        <w:pStyle w:val="Heading2"/>
      </w:pPr>
      <w:r w:rsidRPr="001B2AFE">
        <w:t>Data management and analysis</w:t>
      </w:r>
    </w:p>
    <w:p w14:paraId="4DB189C1" w14:textId="77777777" w:rsidR="00A3455B" w:rsidRDefault="00A3455B" w:rsidP="001B2AFE">
      <w:r>
        <w:t xml:space="preserve">Demographic and vaccination history were analysed for all notified mumps cases by location. Incidence was calculated using the number of acute infections as the numerator and the population at risk to the outbreak (i.e. prisoners at the </w:t>
      </w:r>
      <w:proofErr w:type="gramStart"/>
      <w:r>
        <w:t>correctional facility</w:t>
      </w:r>
      <w:proofErr w:type="gramEnd"/>
      <w:r>
        <w:t xml:space="preserve">, students at the boarding school, or the Indigenous community) as the denominator. A discrete Indigenous community is defined as ‘a geographic location, bounded by physical or cadastral (legal) boundaries, and inhabited or intended to be inhabited by predominantly Indigenous people, with housing or infrastructure that is either owned or managed on a community basis’. </w:t>
      </w:r>
      <w:r>
        <w:rPr>
          <w:vertAlign w:val="superscript"/>
        </w:rPr>
        <w:t>13</w:t>
      </w:r>
      <w:r>
        <w:t xml:space="preserve"> In addition, age-specific attack rates in Indigenous and non-Indigenous people have been compared. Individuals were defined as fully vaccinated if two or more doses of a mumps-containing vaccine had been given at least four weeks apart, and the individual was at least 12 months old at the time of the first vaccine. </w:t>
      </w:r>
      <w:r>
        <w:rPr>
          <w:vertAlign w:val="superscript"/>
        </w:rPr>
        <w:t>14</w:t>
      </w:r>
      <w:r>
        <w:t xml:space="preserve"> Individuals were defined as partly vaccinated if they had received one dose of mumps-containing vaccine. In each of the outbreaks, the number of years since the second dose of mumps-containing vaccine was also measured and analysed to explore the possibility of waning immunity and of susceptibility to mumps. To explore whether there are any differences in time duration between the last dose of MMR and risk of disease acquisition between cases and controls, we also compared the time duration from the last dose of MMR to infection for the cases and to the mid-point of each outbreak for the controls. The pre-vaccination period was defined as before the mass vaccination clinic began within each setting. The post-vaccinated period was defined as two weeks after the final vaccination clinic in each setting.</w:t>
      </w:r>
    </w:p>
    <w:p w14:paraId="2EFE9512" w14:textId="77777777" w:rsidR="00A3455B" w:rsidRDefault="00A3455B" w:rsidP="001B2AFE">
      <w:r>
        <w:t>The independent t-test was used to assess the mean difference between cases and controls.</w:t>
      </w:r>
    </w:p>
    <w:p w14:paraId="77A992DA" w14:textId="77777777" w:rsidR="00A3455B" w:rsidRDefault="00A3455B" w:rsidP="001B2AFE">
      <w:r>
        <w:t xml:space="preserve">A </w:t>
      </w:r>
      <w:r w:rsidRPr="001B2AFE">
        <w:rPr>
          <w:rStyle w:val="Emphasis"/>
          <w:b w:val="0"/>
          <w:bCs w:val="0"/>
        </w:rPr>
        <w:t>p</w:t>
      </w:r>
      <w:r>
        <w:t xml:space="preserve"> -value less than 0.05 was considered statistically significant. Data were aggregated into MS Excel spreadsheet and imported into R studio </w:t>
      </w:r>
      <w:r>
        <w:rPr>
          <w:vertAlign w:val="superscript"/>
        </w:rPr>
        <w:t>15</w:t>
      </w:r>
      <w:r>
        <w:t xml:space="preserve"> for data cleaning, manipulation, analysis and production of tables and graphs.</w:t>
      </w:r>
    </w:p>
    <w:p w14:paraId="3F73A1B1" w14:textId="77777777" w:rsidR="00A3455B" w:rsidRPr="001B2AFE" w:rsidRDefault="00A3455B" w:rsidP="001B2AFE">
      <w:pPr>
        <w:pStyle w:val="Heading2"/>
      </w:pPr>
      <w:r w:rsidRPr="001B2AFE">
        <w:t>Ethical considerations</w:t>
      </w:r>
    </w:p>
    <w:p w14:paraId="520EDDBD" w14:textId="77777777" w:rsidR="00A3455B" w:rsidRDefault="00A3455B" w:rsidP="001B2AFE">
      <w:r>
        <w:t>Ethics approval to conduct this study was obtained from the Central Queensland Hospital and Health Service Human Research Ethics Committee (HREC Ref number HREC/2020/QCQ/61302) and the Australian National University Human Research Ethics Committee (HREC Ref number 2020/629). In addition, project endorsement was obtained from the Indigenous Steering Committee in Central Queensland, with committee delegate signature.</w:t>
      </w:r>
    </w:p>
    <w:p w14:paraId="1F5D7EB8" w14:textId="77777777" w:rsidR="00A3455B" w:rsidRPr="001B2AFE" w:rsidRDefault="00A3455B" w:rsidP="001B2AFE">
      <w:pPr>
        <w:pStyle w:val="Heading1"/>
      </w:pPr>
      <w:r w:rsidRPr="001B2AFE">
        <w:t>Results</w:t>
      </w:r>
    </w:p>
    <w:p w14:paraId="60D31143" w14:textId="77777777" w:rsidR="00A3455B" w:rsidRDefault="00A3455B" w:rsidP="001B2AFE">
      <w:r>
        <w:t>Between 25 October 2017 and 31 October 2018, there were 106 laboratory confirmed cases of mumps identified in the Central Queensland region, of which 93 cases were linked with three distinct outbreaks. Genotyping was available for one specimen and identified genotype G.</w:t>
      </w:r>
    </w:p>
    <w:p w14:paraId="1C4A2EEE" w14:textId="77777777" w:rsidR="00A3455B" w:rsidRDefault="00A3455B" w:rsidP="001B2AFE">
      <w:r>
        <w:t xml:space="preserve">Thirteen cases did not meet the outbreak case definition, as there was no established epidemiological link to the outbreaks; these were excluded from the study. Eighty-six (92.5%) of the outbreak cases were identified as Indigenous people (Table 1). Among the three outbreaks, 66/93 cases (71.0%) were identified from a discrete Indigenous community, with 27 of these cases (41.9%) male and 39 (59.1%) female. All cases identified in the other two outbreaks were male: 11/93 cases (11.8%) from a correctional facility; and 16/93 cases (17.2%) from a local boarding school, with a mean age for the boarding school cases of 16.8 years (standard deviation, SD: 1.1 years), and with a majority (10/16, 62.5%) of boarding school cases comprising Indigenous persons. The </w:t>
      </w:r>
      <w:proofErr w:type="gramStart"/>
      <w:r>
        <w:t>correctional facility</w:t>
      </w:r>
      <w:proofErr w:type="gramEnd"/>
      <w:r>
        <w:t xml:space="preserve"> is located 191 km and 251 km from the Indigenous community and boarding school, respectively.</w:t>
      </w:r>
    </w:p>
    <w:p w14:paraId="64F7100A" w14:textId="7D348E12" w:rsidR="00A3455B" w:rsidRDefault="00A3455B" w:rsidP="001B2AFE">
      <w:r>
        <w:t xml:space="preserve">The age, </w:t>
      </w:r>
      <w:proofErr w:type="gramStart"/>
      <w:r>
        <w:t>sex</w:t>
      </w:r>
      <w:proofErr w:type="gramEnd"/>
      <w:r>
        <w:t xml:space="preserve"> and distribution of outbreak cases by Indigenous status and location is reported in Table 1.</w:t>
      </w:r>
    </w:p>
    <w:p w14:paraId="52BCA524" w14:textId="77777777" w:rsidR="00583648" w:rsidRPr="006A3995" w:rsidRDefault="00583648" w:rsidP="00583648">
      <w:pPr>
        <w:pStyle w:val="CDIFigures"/>
      </w:pPr>
      <w:r w:rsidRPr="006A3995">
        <w:rPr>
          <w:rStyle w:val="Strong"/>
          <w:b/>
          <w:bCs w:val="0"/>
        </w:rPr>
        <w:t>Table 1. Demographic characteristics of 93 mumps cases connected to outbreaks, Central Queensland, 2017–2018</w:t>
      </w:r>
    </w:p>
    <w:tbl>
      <w:tblPr>
        <w:tblStyle w:val="CDI-StandardTable"/>
        <w:tblW w:w="0" w:type="auto"/>
        <w:tblCellMar>
          <w:top w:w="113" w:type="dxa"/>
          <w:bottom w:w="113" w:type="dxa"/>
        </w:tblCellMar>
        <w:tblLook w:val="04A0" w:firstRow="1" w:lastRow="0" w:firstColumn="1" w:lastColumn="0" w:noHBand="0" w:noVBand="1"/>
        <w:tblDescription w:val="Table 1 shows the distribution of sex, region of residence and in distribution of 94 mumps cases (86 Indigenous and 8 non-Indigenous people) identified in the outbreak (between January 2017 to December 2018). &#10;"/>
      </w:tblPr>
      <w:tblGrid>
        <w:gridCol w:w="2425"/>
        <w:gridCol w:w="2242"/>
        <w:gridCol w:w="2125"/>
        <w:gridCol w:w="1806"/>
        <w:gridCol w:w="1868"/>
      </w:tblGrid>
      <w:tr w:rsidR="00583648" w:rsidRPr="00CA25F6" w14:paraId="127C3241" w14:textId="77777777" w:rsidTr="007425F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2A184739" w14:textId="77777777" w:rsidR="00583648" w:rsidRPr="00CA25F6" w:rsidRDefault="00583648" w:rsidP="007425FF">
            <w:pPr>
              <w:pStyle w:val="NormalWeb"/>
              <w:rPr>
                <w:color w:val="FFFFFF" w:themeColor="background1"/>
              </w:rPr>
            </w:pPr>
            <w:r w:rsidRPr="00CA25F6">
              <w:rPr>
                <w:color w:val="FFFFFF" w:themeColor="background1"/>
              </w:rPr>
              <w:t>Demographic characteristic</w:t>
            </w:r>
          </w:p>
        </w:tc>
        <w:tc>
          <w:tcPr>
            <w:tcW w:w="0" w:type="auto"/>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007113D4" w14:textId="77777777" w:rsidR="00583648" w:rsidRPr="00CA25F6" w:rsidRDefault="00583648" w:rsidP="007425FF">
            <w:pPr>
              <w:pStyle w:val="NormalWeb"/>
              <w:jc w:val="center"/>
              <w:rPr>
                <w:color w:val="FFFFFF" w:themeColor="background1"/>
              </w:rPr>
            </w:pPr>
            <w:r w:rsidRPr="00CA25F6">
              <w:rPr>
                <w:color w:val="FFFFFF" w:themeColor="background1"/>
              </w:rPr>
              <w:t>Location of outbreak</w:t>
            </w:r>
          </w:p>
        </w:tc>
        <w:tc>
          <w:tcPr>
            <w:tcW w:w="0" w:type="auto"/>
            <w:vMerge w:val="restart"/>
            <w:tcBorders>
              <w:left w:val="single" w:sz="2" w:space="0" w:color="FFFFFF" w:themeColor="background1"/>
              <w:bottom w:val="single" w:sz="2" w:space="0" w:color="FFFFFF" w:themeColor="background1"/>
            </w:tcBorders>
            <w:vAlign w:val="center"/>
            <w:hideMark/>
          </w:tcPr>
          <w:p w14:paraId="0D124F63" w14:textId="77777777" w:rsidR="00583648" w:rsidRPr="00CA25F6" w:rsidRDefault="00583648" w:rsidP="007425FF">
            <w:pPr>
              <w:pStyle w:val="NormalWeb"/>
              <w:jc w:val="center"/>
              <w:rPr>
                <w:color w:val="FFFFFF" w:themeColor="background1"/>
              </w:rPr>
            </w:pPr>
            <w:r w:rsidRPr="00CA25F6">
              <w:rPr>
                <w:color w:val="FFFFFF" w:themeColor="background1"/>
              </w:rPr>
              <w:t>Total outbreak cases</w:t>
            </w:r>
          </w:p>
        </w:tc>
      </w:tr>
      <w:tr w:rsidR="00954CAF" w:rsidRPr="00CA25F6" w14:paraId="7635C786" w14:textId="77777777" w:rsidTr="007425F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vAlign w:val="center"/>
            <w:hideMark/>
          </w:tcPr>
          <w:p w14:paraId="41A0A9D0" w14:textId="77777777" w:rsidR="00583648" w:rsidRPr="00CA25F6" w:rsidRDefault="00583648" w:rsidP="007425FF">
            <w:pPr>
              <w:jc w:val="center"/>
              <w:rPr>
                <w:color w:val="FFFFFF" w:themeColor="background1"/>
                <w:sz w:val="24"/>
                <w:szCs w:val="24"/>
              </w:rPr>
            </w:pPr>
          </w:p>
        </w:tc>
        <w:tc>
          <w:tcPr>
            <w:tcW w:w="2242" w:type="dxa"/>
            <w:tcBorders>
              <w:top w:val="single" w:sz="2" w:space="0" w:color="FFFFFF" w:themeColor="background1"/>
              <w:left w:val="single" w:sz="2" w:space="0" w:color="FFFFFF" w:themeColor="background1"/>
              <w:right w:val="single" w:sz="2" w:space="0" w:color="FFFFFF" w:themeColor="background1"/>
            </w:tcBorders>
            <w:vAlign w:val="center"/>
            <w:hideMark/>
          </w:tcPr>
          <w:p w14:paraId="4B9F699D" w14:textId="77777777" w:rsidR="00583648" w:rsidRPr="00CA25F6" w:rsidRDefault="00583648" w:rsidP="007425FF">
            <w:pPr>
              <w:pStyle w:val="NormalWeb"/>
              <w:jc w:val="center"/>
              <w:rPr>
                <w:color w:val="FFFFFF" w:themeColor="background1"/>
              </w:rPr>
            </w:pPr>
            <w:r w:rsidRPr="00CA25F6">
              <w:rPr>
                <w:color w:val="FFFFFF" w:themeColor="background1"/>
              </w:rPr>
              <w:t>Discrete Indigenous community</w:t>
            </w:r>
            <w:r w:rsidRPr="00CA25F6">
              <w:rPr>
                <w:color w:val="FFFFFF" w:themeColor="background1"/>
              </w:rPr>
              <w:br/>
              <w:t>(N = 66)</w:t>
            </w:r>
          </w:p>
        </w:tc>
        <w:tc>
          <w:tcPr>
            <w:tcW w:w="2125" w:type="dxa"/>
            <w:tcBorders>
              <w:top w:val="single" w:sz="2" w:space="0" w:color="FFFFFF" w:themeColor="background1"/>
              <w:left w:val="single" w:sz="2" w:space="0" w:color="FFFFFF" w:themeColor="background1"/>
              <w:right w:val="single" w:sz="2" w:space="0" w:color="FFFFFF" w:themeColor="background1"/>
            </w:tcBorders>
            <w:vAlign w:val="center"/>
            <w:hideMark/>
          </w:tcPr>
          <w:p w14:paraId="3DA3947C" w14:textId="77777777" w:rsidR="00583648" w:rsidRPr="00CA25F6" w:rsidRDefault="00583648" w:rsidP="007425FF">
            <w:pPr>
              <w:pStyle w:val="NormalWeb"/>
              <w:jc w:val="center"/>
              <w:rPr>
                <w:color w:val="FFFFFF" w:themeColor="background1"/>
              </w:rPr>
            </w:pPr>
            <w:r w:rsidRPr="00CA25F6">
              <w:rPr>
                <w:color w:val="FFFFFF" w:themeColor="background1"/>
              </w:rPr>
              <w:t xml:space="preserve">Correctional </w:t>
            </w:r>
            <w:proofErr w:type="spellStart"/>
            <w:r w:rsidRPr="00CA25F6">
              <w:rPr>
                <w:color w:val="FFFFFF" w:themeColor="background1"/>
              </w:rPr>
              <w:t>facility</w:t>
            </w:r>
            <w:r w:rsidRPr="00583648">
              <w:rPr>
                <w:color w:val="FFFFFF" w:themeColor="background1"/>
                <w:vertAlign w:val="superscript"/>
              </w:rPr>
              <w:t>a</w:t>
            </w:r>
            <w:proofErr w:type="spellEnd"/>
            <w:r w:rsidRPr="00CA25F6">
              <w:rPr>
                <w:color w:val="FFFFFF" w:themeColor="background1"/>
              </w:rPr>
              <w:br/>
              <w:t>(N = 11)</w:t>
            </w:r>
          </w:p>
        </w:tc>
        <w:tc>
          <w:tcPr>
            <w:tcW w:w="1806" w:type="dxa"/>
            <w:tcBorders>
              <w:top w:val="single" w:sz="2" w:space="0" w:color="FFFFFF" w:themeColor="background1"/>
              <w:left w:val="single" w:sz="2" w:space="0" w:color="FFFFFF" w:themeColor="background1"/>
              <w:right w:val="single" w:sz="2" w:space="0" w:color="FFFFFF" w:themeColor="background1"/>
            </w:tcBorders>
            <w:vAlign w:val="center"/>
            <w:hideMark/>
          </w:tcPr>
          <w:p w14:paraId="36D1B26E" w14:textId="1B09F7C5" w:rsidR="00583648" w:rsidRPr="00CA25F6" w:rsidRDefault="00583648" w:rsidP="007425FF">
            <w:pPr>
              <w:pStyle w:val="NormalWeb"/>
              <w:jc w:val="center"/>
              <w:rPr>
                <w:color w:val="FFFFFF" w:themeColor="background1"/>
              </w:rPr>
            </w:pPr>
            <w:r w:rsidRPr="00CA25F6">
              <w:rPr>
                <w:color w:val="FFFFFF" w:themeColor="background1"/>
              </w:rPr>
              <w:t xml:space="preserve">Boarding </w:t>
            </w:r>
            <w:proofErr w:type="spellStart"/>
            <w:r w:rsidRPr="00CA25F6">
              <w:rPr>
                <w:color w:val="FFFFFF" w:themeColor="background1"/>
              </w:rPr>
              <w:t>school</w:t>
            </w:r>
            <w:r w:rsidRPr="00583648">
              <w:rPr>
                <w:color w:val="FFFFFF" w:themeColor="background1"/>
                <w:vertAlign w:val="superscript"/>
              </w:rPr>
              <w:t>a</w:t>
            </w:r>
            <w:proofErr w:type="spellEnd"/>
            <w:r w:rsidR="007425FF">
              <w:rPr>
                <w:color w:val="FFFFFF" w:themeColor="background1"/>
                <w:vertAlign w:val="superscript"/>
              </w:rPr>
              <w:br/>
            </w:r>
            <w:r w:rsidRPr="00CA25F6">
              <w:rPr>
                <w:color w:val="FFFFFF" w:themeColor="background1"/>
              </w:rPr>
              <w:t>(N = 16)</w:t>
            </w:r>
          </w:p>
        </w:tc>
        <w:tc>
          <w:tcPr>
            <w:tcW w:w="0" w:type="auto"/>
            <w:vMerge/>
            <w:tcBorders>
              <w:top w:val="single" w:sz="2" w:space="0" w:color="FFFFFF" w:themeColor="background1"/>
              <w:left w:val="single" w:sz="2" w:space="0" w:color="FFFFFF" w:themeColor="background1"/>
            </w:tcBorders>
            <w:vAlign w:val="center"/>
            <w:hideMark/>
          </w:tcPr>
          <w:p w14:paraId="25B6F084" w14:textId="77777777" w:rsidR="00583648" w:rsidRPr="00CA25F6" w:rsidRDefault="00583648" w:rsidP="007425FF">
            <w:pPr>
              <w:jc w:val="center"/>
              <w:rPr>
                <w:color w:val="FFFFFF" w:themeColor="background1"/>
                <w:sz w:val="24"/>
                <w:szCs w:val="24"/>
              </w:rPr>
            </w:pPr>
          </w:p>
        </w:tc>
      </w:tr>
      <w:tr w:rsidR="00583648" w14:paraId="5C867747" w14:textId="77777777" w:rsidTr="00954CAF">
        <w:tblPrEx>
          <w:tblCellMar>
            <w:left w:w="57" w:type="dxa"/>
            <w:right w:w="57" w:type="dxa"/>
          </w:tblCellMar>
        </w:tblPrEx>
        <w:tc>
          <w:tcPr>
            <w:tcW w:w="0" w:type="auto"/>
            <w:hideMark/>
          </w:tcPr>
          <w:p w14:paraId="08345C24" w14:textId="77777777" w:rsidR="00583648" w:rsidRDefault="00583648" w:rsidP="009B6A1D">
            <w:pPr>
              <w:pStyle w:val="NormalWeb"/>
            </w:pPr>
            <w:r>
              <w:t>Male, n (%)</w:t>
            </w:r>
          </w:p>
        </w:tc>
        <w:tc>
          <w:tcPr>
            <w:tcW w:w="2242" w:type="dxa"/>
            <w:hideMark/>
          </w:tcPr>
          <w:p w14:paraId="5BBF7950" w14:textId="77777777" w:rsidR="00583648" w:rsidRDefault="00583648" w:rsidP="00583648">
            <w:pPr>
              <w:pStyle w:val="NormalWeb"/>
              <w:jc w:val="center"/>
            </w:pPr>
            <w:r>
              <w:t>27 (40.9%)</w:t>
            </w:r>
          </w:p>
        </w:tc>
        <w:tc>
          <w:tcPr>
            <w:tcW w:w="2125" w:type="dxa"/>
            <w:hideMark/>
          </w:tcPr>
          <w:p w14:paraId="5B9DE0A8" w14:textId="77777777" w:rsidR="00583648" w:rsidRDefault="00583648" w:rsidP="00583648">
            <w:pPr>
              <w:pStyle w:val="NormalWeb"/>
              <w:jc w:val="center"/>
            </w:pPr>
            <w:r>
              <w:t>11 (100%)</w:t>
            </w:r>
          </w:p>
        </w:tc>
        <w:tc>
          <w:tcPr>
            <w:tcW w:w="1806" w:type="dxa"/>
            <w:hideMark/>
          </w:tcPr>
          <w:p w14:paraId="52C06AC4" w14:textId="77777777" w:rsidR="00583648" w:rsidRDefault="00583648" w:rsidP="00583648">
            <w:pPr>
              <w:pStyle w:val="NormalWeb"/>
              <w:jc w:val="center"/>
            </w:pPr>
            <w:r>
              <w:t>16(100%)</w:t>
            </w:r>
          </w:p>
        </w:tc>
        <w:tc>
          <w:tcPr>
            <w:tcW w:w="0" w:type="auto"/>
            <w:hideMark/>
          </w:tcPr>
          <w:p w14:paraId="3ACCC3F6" w14:textId="77777777" w:rsidR="00583648" w:rsidRDefault="00583648" w:rsidP="00583648">
            <w:pPr>
              <w:pStyle w:val="NormalWeb"/>
              <w:jc w:val="center"/>
            </w:pPr>
            <w:r>
              <w:t>54 (58.1%)</w:t>
            </w:r>
          </w:p>
        </w:tc>
      </w:tr>
      <w:tr w:rsidR="00583648" w14:paraId="073D4C29" w14:textId="77777777" w:rsidTr="00954CA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D9AC080" w14:textId="77777777" w:rsidR="00583648" w:rsidRDefault="00583648" w:rsidP="009B6A1D">
            <w:pPr>
              <w:pStyle w:val="NormalWeb"/>
            </w:pPr>
            <w:r>
              <w:t>Female, n (%)</w:t>
            </w:r>
          </w:p>
        </w:tc>
        <w:tc>
          <w:tcPr>
            <w:tcW w:w="2242" w:type="dxa"/>
            <w:hideMark/>
          </w:tcPr>
          <w:p w14:paraId="24D7C2F2" w14:textId="77777777" w:rsidR="00583648" w:rsidRDefault="00583648" w:rsidP="00583648">
            <w:pPr>
              <w:pStyle w:val="NormalWeb"/>
              <w:jc w:val="center"/>
            </w:pPr>
            <w:r>
              <w:t>39 (59.1%)</w:t>
            </w:r>
          </w:p>
        </w:tc>
        <w:tc>
          <w:tcPr>
            <w:tcW w:w="2125" w:type="dxa"/>
            <w:hideMark/>
          </w:tcPr>
          <w:p w14:paraId="045E8C98" w14:textId="77777777" w:rsidR="00583648" w:rsidRDefault="00583648" w:rsidP="00583648">
            <w:pPr>
              <w:pStyle w:val="NormalWeb"/>
              <w:jc w:val="center"/>
            </w:pPr>
            <w:r>
              <w:t>0 (0%)</w:t>
            </w:r>
          </w:p>
        </w:tc>
        <w:tc>
          <w:tcPr>
            <w:tcW w:w="1806" w:type="dxa"/>
            <w:hideMark/>
          </w:tcPr>
          <w:p w14:paraId="3A444C0E" w14:textId="77777777" w:rsidR="00583648" w:rsidRDefault="00583648" w:rsidP="00583648">
            <w:pPr>
              <w:pStyle w:val="NormalWeb"/>
              <w:jc w:val="center"/>
            </w:pPr>
            <w:r>
              <w:t>0 (0%)</w:t>
            </w:r>
          </w:p>
        </w:tc>
        <w:tc>
          <w:tcPr>
            <w:tcW w:w="0" w:type="auto"/>
            <w:hideMark/>
          </w:tcPr>
          <w:p w14:paraId="69268EB3" w14:textId="77777777" w:rsidR="00583648" w:rsidRDefault="00583648" w:rsidP="00583648">
            <w:pPr>
              <w:pStyle w:val="NormalWeb"/>
              <w:jc w:val="center"/>
            </w:pPr>
            <w:r>
              <w:t>39 (41.9%)</w:t>
            </w:r>
          </w:p>
        </w:tc>
      </w:tr>
      <w:tr w:rsidR="00583648" w14:paraId="6A88E305" w14:textId="77777777" w:rsidTr="00954CAF">
        <w:tblPrEx>
          <w:tblCellMar>
            <w:left w:w="57" w:type="dxa"/>
            <w:right w:w="57" w:type="dxa"/>
          </w:tblCellMar>
        </w:tblPrEx>
        <w:tc>
          <w:tcPr>
            <w:tcW w:w="0" w:type="auto"/>
            <w:hideMark/>
          </w:tcPr>
          <w:p w14:paraId="559F8048" w14:textId="77777777" w:rsidR="00583648" w:rsidRDefault="00583648" w:rsidP="009B6A1D">
            <w:pPr>
              <w:pStyle w:val="NormalWeb"/>
            </w:pPr>
            <w:r>
              <w:t>Mean age (SD)</w:t>
            </w:r>
          </w:p>
        </w:tc>
        <w:tc>
          <w:tcPr>
            <w:tcW w:w="2242" w:type="dxa"/>
            <w:hideMark/>
          </w:tcPr>
          <w:p w14:paraId="63093D9E" w14:textId="77777777" w:rsidR="00583648" w:rsidRDefault="00583648" w:rsidP="00583648">
            <w:pPr>
              <w:pStyle w:val="NormalWeb"/>
              <w:jc w:val="center"/>
            </w:pPr>
            <w:r>
              <w:t>21.2 (11.9)</w:t>
            </w:r>
          </w:p>
        </w:tc>
        <w:tc>
          <w:tcPr>
            <w:tcW w:w="2125" w:type="dxa"/>
            <w:hideMark/>
          </w:tcPr>
          <w:p w14:paraId="748DD314" w14:textId="77777777" w:rsidR="00583648" w:rsidRDefault="00583648" w:rsidP="00583648">
            <w:pPr>
              <w:pStyle w:val="NormalWeb"/>
              <w:jc w:val="center"/>
            </w:pPr>
            <w:r>
              <w:t>25.2 (6.5)</w:t>
            </w:r>
          </w:p>
        </w:tc>
        <w:tc>
          <w:tcPr>
            <w:tcW w:w="1806" w:type="dxa"/>
            <w:hideMark/>
          </w:tcPr>
          <w:p w14:paraId="7FE789B1" w14:textId="77777777" w:rsidR="00583648" w:rsidRDefault="00583648" w:rsidP="00583648">
            <w:pPr>
              <w:pStyle w:val="NormalWeb"/>
              <w:jc w:val="center"/>
            </w:pPr>
            <w:r>
              <w:t>16.8 (1.1)</w:t>
            </w:r>
          </w:p>
        </w:tc>
        <w:tc>
          <w:tcPr>
            <w:tcW w:w="0" w:type="auto"/>
            <w:hideMark/>
          </w:tcPr>
          <w:p w14:paraId="709A4D00" w14:textId="77777777" w:rsidR="00583648" w:rsidRDefault="00583648" w:rsidP="00583648">
            <w:pPr>
              <w:pStyle w:val="NormalWeb"/>
              <w:jc w:val="center"/>
            </w:pPr>
            <w:r>
              <w:t>20.9 (10.5)</w:t>
            </w:r>
          </w:p>
        </w:tc>
      </w:tr>
      <w:tr w:rsidR="00583648" w14:paraId="3E19B383" w14:textId="77777777" w:rsidTr="00954CA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07A37EC" w14:textId="77777777" w:rsidR="00583648" w:rsidRDefault="00583648" w:rsidP="009B6A1D">
            <w:pPr>
              <w:pStyle w:val="NormalWeb"/>
            </w:pPr>
            <w:r>
              <w:t>Median age [IQR]</w:t>
            </w:r>
            <w:r w:rsidRPr="002A4375">
              <w:rPr>
                <w:vertAlign w:val="superscript"/>
              </w:rPr>
              <w:t>b</w:t>
            </w:r>
          </w:p>
        </w:tc>
        <w:tc>
          <w:tcPr>
            <w:tcW w:w="2242" w:type="dxa"/>
            <w:hideMark/>
          </w:tcPr>
          <w:p w14:paraId="0BC00AF1" w14:textId="77777777" w:rsidR="00583648" w:rsidRDefault="00583648" w:rsidP="00583648">
            <w:pPr>
              <w:pStyle w:val="NormalWeb"/>
              <w:jc w:val="center"/>
            </w:pPr>
            <w:r>
              <w:t>18.5 [14.3–24.8]</w:t>
            </w:r>
          </w:p>
        </w:tc>
        <w:tc>
          <w:tcPr>
            <w:tcW w:w="2125" w:type="dxa"/>
            <w:hideMark/>
          </w:tcPr>
          <w:p w14:paraId="6170677C" w14:textId="77777777" w:rsidR="00583648" w:rsidRDefault="00583648" w:rsidP="00583648">
            <w:pPr>
              <w:pStyle w:val="NormalWeb"/>
              <w:jc w:val="center"/>
            </w:pPr>
            <w:r>
              <w:t>23.9 [21.3–26.6]</w:t>
            </w:r>
          </w:p>
        </w:tc>
        <w:tc>
          <w:tcPr>
            <w:tcW w:w="1806" w:type="dxa"/>
            <w:hideMark/>
          </w:tcPr>
          <w:p w14:paraId="303EF922" w14:textId="77777777" w:rsidR="00583648" w:rsidRDefault="00583648" w:rsidP="00583648">
            <w:pPr>
              <w:pStyle w:val="NormalWeb"/>
              <w:jc w:val="center"/>
            </w:pPr>
            <w:r>
              <w:t>17.0 [16.7–17.5]</w:t>
            </w:r>
          </w:p>
        </w:tc>
        <w:tc>
          <w:tcPr>
            <w:tcW w:w="0" w:type="auto"/>
            <w:hideMark/>
          </w:tcPr>
          <w:p w14:paraId="7AE85534" w14:textId="77777777" w:rsidR="00583648" w:rsidRDefault="00583648" w:rsidP="00583648">
            <w:pPr>
              <w:pStyle w:val="NormalWeb"/>
              <w:jc w:val="center"/>
            </w:pPr>
            <w:r>
              <w:t>18.1 [15.1–23.2]</w:t>
            </w:r>
          </w:p>
        </w:tc>
      </w:tr>
      <w:tr w:rsidR="00583648" w14:paraId="510BCC19" w14:textId="77777777" w:rsidTr="00954CAF">
        <w:tblPrEx>
          <w:tblCellMar>
            <w:left w:w="57" w:type="dxa"/>
            <w:right w:w="57" w:type="dxa"/>
          </w:tblCellMar>
        </w:tblPrEx>
        <w:tc>
          <w:tcPr>
            <w:tcW w:w="0" w:type="auto"/>
            <w:hideMark/>
          </w:tcPr>
          <w:p w14:paraId="7B0879BC" w14:textId="77777777" w:rsidR="00583648" w:rsidRDefault="00583648" w:rsidP="009B6A1D">
            <w:pPr>
              <w:pStyle w:val="NormalWeb"/>
            </w:pPr>
            <w:proofErr w:type="spellStart"/>
            <w:r>
              <w:t>IS:</w:t>
            </w:r>
            <w:r w:rsidRPr="00955921">
              <w:rPr>
                <w:vertAlign w:val="superscript"/>
              </w:rPr>
              <w:t>c</w:t>
            </w:r>
            <w:proofErr w:type="spellEnd"/>
            <w:r>
              <w:t xml:space="preserve"> Indigenous, n (%)</w:t>
            </w:r>
          </w:p>
        </w:tc>
        <w:tc>
          <w:tcPr>
            <w:tcW w:w="2242" w:type="dxa"/>
            <w:hideMark/>
          </w:tcPr>
          <w:p w14:paraId="0F3316A3" w14:textId="77777777" w:rsidR="00583648" w:rsidRDefault="00583648" w:rsidP="00583648">
            <w:pPr>
              <w:pStyle w:val="NormalWeb"/>
              <w:jc w:val="center"/>
            </w:pPr>
            <w:r>
              <w:t>66 (100)</w:t>
            </w:r>
          </w:p>
        </w:tc>
        <w:tc>
          <w:tcPr>
            <w:tcW w:w="2125" w:type="dxa"/>
            <w:hideMark/>
          </w:tcPr>
          <w:p w14:paraId="35F83013" w14:textId="77777777" w:rsidR="00583648" w:rsidRDefault="00583648" w:rsidP="00583648">
            <w:pPr>
              <w:pStyle w:val="NormalWeb"/>
              <w:jc w:val="center"/>
            </w:pPr>
            <w:r>
              <w:t>10 (90.9)</w:t>
            </w:r>
          </w:p>
        </w:tc>
        <w:tc>
          <w:tcPr>
            <w:tcW w:w="1806" w:type="dxa"/>
            <w:hideMark/>
          </w:tcPr>
          <w:p w14:paraId="0D591FF9" w14:textId="77777777" w:rsidR="00583648" w:rsidRDefault="00583648" w:rsidP="00583648">
            <w:pPr>
              <w:pStyle w:val="NormalWeb"/>
              <w:jc w:val="center"/>
            </w:pPr>
            <w:r>
              <w:t>10 (62.5)</w:t>
            </w:r>
          </w:p>
        </w:tc>
        <w:tc>
          <w:tcPr>
            <w:tcW w:w="0" w:type="auto"/>
            <w:hideMark/>
          </w:tcPr>
          <w:p w14:paraId="2F2C497B" w14:textId="77777777" w:rsidR="00583648" w:rsidRDefault="00583648" w:rsidP="00583648">
            <w:pPr>
              <w:pStyle w:val="NormalWeb"/>
              <w:jc w:val="center"/>
            </w:pPr>
            <w:r>
              <w:t>86 (92.5)</w:t>
            </w:r>
          </w:p>
        </w:tc>
      </w:tr>
      <w:tr w:rsidR="00583648" w14:paraId="0751214B" w14:textId="77777777" w:rsidTr="00954CA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A1C1CF" w14:textId="77777777" w:rsidR="00583648" w:rsidRDefault="00583648" w:rsidP="009B6A1D">
            <w:pPr>
              <w:pStyle w:val="NormalWeb"/>
            </w:pPr>
            <w:r>
              <w:t>IS: non-Indigenous, n (%)</w:t>
            </w:r>
          </w:p>
        </w:tc>
        <w:tc>
          <w:tcPr>
            <w:tcW w:w="2242" w:type="dxa"/>
            <w:hideMark/>
          </w:tcPr>
          <w:p w14:paraId="7494FD29" w14:textId="77777777" w:rsidR="00583648" w:rsidRDefault="00583648" w:rsidP="00583648">
            <w:pPr>
              <w:pStyle w:val="NormalWeb"/>
              <w:jc w:val="center"/>
            </w:pPr>
            <w:r>
              <w:t>0</w:t>
            </w:r>
          </w:p>
        </w:tc>
        <w:tc>
          <w:tcPr>
            <w:tcW w:w="2125" w:type="dxa"/>
            <w:hideMark/>
          </w:tcPr>
          <w:p w14:paraId="12C0FB5E" w14:textId="77777777" w:rsidR="00583648" w:rsidRDefault="00583648" w:rsidP="00583648">
            <w:pPr>
              <w:pStyle w:val="NormalWeb"/>
              <w:jc w:val="center"/>
            </w:pPr>
            <w:r>
              <w:t>1 (9.1)</w:t>
            </w:r>
          </w:p>
        </w:tc>
        <w:tc>
          <w:tcPr>
            <w:tcW w:w="1806" w:type="dxa"/>
            <w:hideMark/>
          </w:tcPr>
          <w:p w14:paraId="1078072A" w14:textId="77777777" w:rsidR="00583648" w:rsidRDefault="00583648" w:rsidP="00583648">
            <w:pPr>
              <w:pStyle w:val="NormalWeb"/>
              <w:jc w:val="center"/>
            </w:pPr>
            <w:r>
              <w:t>6 (37.5)</w:t>
            </w:r>
          </w:p>
        </w:tc>
        <w:tc>
          <w:tcPr>
            <w:tcW w:w="0" w:type="auto"/>
            <w:hideMark/>
          </w:tcPr>
          <w:p w14:paraId="67B78AB5" w14:textId="77777777" w:rsidR="00583648" w:rsidRDefault="00583648" w:rsidP="00583648">
            <w:pPr>
              <w:pStyle w:val="NormalWeb"/>
              <w:jc w:val="center"/>
            </w:pPr>
            <w:r>
              <w:t>7 (7.5)</w:t>
            </w:r>
          </w:p>
        </w:tc>
      </w:tr>
    </w:tbl>
    <w:p w14:paraId="4E76DE10" w14:textId="77777777" w:rsidR="00583648" w:rsidRDefault="00583648" w:rsidP="00583648">
      <w:pPr>
        <w:pStyle w:val="CDIfootnotes"/>
        <w:rPr>
          <w:lang w:val="en-GB"/>
        </w:rPr>
      </w:pPr>
      <w:r>
        <w:rPr>
          <w:lang w:val="en-GB"/>
        </w:rPr>
        <w:t>a</w:t>
      </w:r>
      <w:r>
        <w:rPr>
          <w:lang w:val="en-GB"/>
        </w:rPr>
        <w:tab/>
        <w:t xml:space="preserve">People with mumps in the boarding school or the </w:t>
      </w:r>
      <w:proofErr w:type="gramStart"/>
      <w:r>
        <w:rPr>
          <w:lang w:val="en-GB"/>
        </w:rPr>
        <w:t>correctional facility</w:t>
      </w:r>
      <w:proofErr w:type="gramEnd"/>
      <w:r>
        <w:rPr>
          <w:lang w:val="en-GB"/>
        </w:rPr>
        <w:t xml:space="preserve"> were listed by their school or correctional centre address, rather than by their permanent home address.</w:t>
      </w:r>
    </w:p>
    <w:p w14:paraId="4131DEE9" w14:textId="77777777" w:rsidR="00583648" w:rsidRDefault="00583648" w:rsidP="00583648">
      <w:pPr>
        <w:pStyle w:val="CDIfootnotes"/>
        <w:rPr>
          <w:lang w:val="en-GB"/>
        </w:rPr>
      </w:pPr>
      <w:r>
        <w:rPr>
          <w:lang w:val="en-GB"/>
        </w:rPr>
        <w:t>b</w:t>
      </w:r>
      <w:r>
        <w:rPr>
          <w:lang w:val="en-GB"/>
        </w:rPr>
        <w:tab/>
        <w:t>IQR: Inter-quartile range.</w:t>
      </w:r>
    </w:p>
    <w:p w14:paraId="643B51C3" w14:textId="09E511FE" w:rsidR="00583648" w:rsidRPr="00583648" w:rsidRDefault="00583648" w:rsidP="00583648">
      <w:pPr>
        <w:pStyle w:val="CDIfootnotes"/>
        <w:rPr>
          <w:lang w:val="en-GB"/>
        </w:rPr>
      </w:pPr>
      <w:r>
        <w:rPr>
          <w:lang w:val="en-GB"/>
        </w:rPr>
        <w:t>c</w:t>
      </w:r>
      <w:r>
        <w:rPr>
          <w:lang w:val="en-GB"/>
        </w:rPr>
        <w:tab/>
        <w:t>IS: Indigenous status.</w:t>
      </w:r>
    </w:p>
    <w:p w14:paraId="752F3695" w14:textId="77777777" w:rsidR="00A3455B" w:rsidRPr="001B2AFE" w:rsidRDefault="00A3455B" w:rsidP="001B2AFE">
      <w:pPr>
        <w:pStyle w:val="Heading2"/>
      </w:pPr>
      <w:r w:rsidRPr="001B2AFE">
        <w:t>Timeline of outbreaks</w:t>
      </w:r>
    </w:p>
    <w:p w14:paraId="2F4DE200" w14:textId="77777777" w:rsidR="00A3455B" w:rsidRDefault="00A3455B" w:rsidP="001B2AFE">
      <w:r>
        <w:t>The index case of the first mumps outbreak in the Central Queensland region was reported in a discrete Indigenous community on 25 October 2017. That outbreak lasted for 32 weeks (see Figure 1). We were unable to identify any epidemiological links between secondary cases and our first identified case in this outbreak.</w:t>
      </w:r>
    </w:p>
    <w:p w14:paraId="1D24E6AD" w14:textId="77777777" w:rsidR="002171D9" w:rsidRDefault="002171D9" w:rsidP="001B2AFE">
      <w:pPr>
        <w:sectPr w:rsidR="002171D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9127719" w14:textId="77777777" w:rsidR="002171D9" w:rsidRDefault="002171D9" w:rsidP="002171D9">
      <w:pPr>
        <w:pStyle w:val="CDIFigures"/>
        <w:rPr>
          <w:rStyle w:val="Strong"/>
          <w:b/>
          <w:bCs w:val="0"/>
          <w:vertAlign w:val="superscript"/>
        </w:rPr>
      </w:pPr>
      <w:r w:rsidRPr="00CA25F6">
        <w:rPr>
          <w:rStyle w:val="Strong"/>
          <w:b/>
          <w:bCs w:val="0"/>
        </w:rPr>
        <w:t xml:space="preserve">Figure 1: Epidemic curve of the mumps outbreak in three different </w:t>
      </w:r>
      <w:proofErr w:type="spellStart"/>
      <w:r w:rsidRPr="00CA25F6">
        <w:rPr>
          <w:rStyle w:val="Strong"/>
          <w:b/>
          <w:bCs w:val="0"/>
        </w:rPr>
        <w:t>communities</w:t>
      </w:r>
      <w:r w:rsidRPr="00CA25F6">
        <w:rPr>
          <w:rStyle w:val="Strong"/>
          <w:b/>
          <w:bCs w:val="0"/>
          <w:vertAlign w:val="superscript"/>
        </w:rPr>
        <w:t>a</w:t>
      </w:r>
      <w:proofErr w:type="spellEnd"/>
    </w:p>
    <w:p w14:paraId="40614DE1" w14:textId="52217857" w:rsidR="002171D9" w:rsidRPr="00CA25F6" w:rsidRDefault="002171D9" w:rsidP="002171D9">
      <w:pPr>
        <w:pStyle w:val="CDIFigures"/>
      </w:pPr>
      <w:r>
        <w:rPr>
          <w:rFonts w:eastAsia="Times New Roman"/>
          <w:noProof/>
          <w:lang w:val="en-GB"/>
        </w:rPr>
        <w:drawing>
          <wp:inline distT="0" distB="0" distL="0" distR="0" wp14:anchorId="39FD3F80" wp14:editId="1C6EA720">
            <wp:extent cx="9140971" cy="5736348"/>
            <wp:effectExtent l="0" t="0" r="3175" b="0"/>
            <wp:docPr id="3" name="Picture 3" descr="Figure 1 illustrates the Epidemic curve of 94 mumps outbreak cases in Central Queensland by outbreak from 25 October 2017 and 31 Octob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llustrates the Epidemic curve of 94 mumps outbreak cases in Central Queensland by outbreak from 25 October 2017 and 31 October 201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140971" cy="5736348"/>
                    </a:xfrm>
                    <a:prstGeom prst="rect">
                      <a:avLst/>
                    </a:prstGeom>
                  </pic:spPr>
                </pic:pic>
              </a:graphicData>
            </a:graphic>
          </wp:inline>
        </w:drawing>
      </w:r>
    </w:p>
    <w:p w14:paraId="6FF58BB3" w14:textId="77CA6477" w:rsidR="002171D9" w:rsidRDefault="00352969" w:rsidP="002171D9">
      <w:pPr>
        <w:pStyle w:val="CDIfootnotes"/>
        <w:rPr>
          <w:lang w:val="en-GB"/>
        </w:rPr>
      </w:pPr>
      <w:r>
        <w:rPr>
          <w:lang w:val="en-GB"/>
        </w:rPr>
        <w:t>a</w:t>
      </w:r>
      <w:r>
        <w:rPr>
          <w:lang w:val="en-GB"/>
        </w:rPr>
        <w:tab/>
      </w:r>
      <w:r w:rsidR="002171D9">
        <w:rPr>
          <w:lang w:val="en-GB"/>
        </w:rPr>
        <w:t xml:space="preserve">DIC: discrete Indigenous community; CF: </w:t>
      </w:r>
      <w:proofErr w:type="gramStart"/>
      <w:r w:rsidR="002171D9">
        <w:rPr>
          <w:lang w:val="en-GB"/>
        </w:rPr>
        <w:t>correctional facility</w:t>
      </w:r>
      <w:proofErr w:type="gramEnd"/>
      <w:r w:rsidR="002171D9">
        <w:rPr>
          <w:lang w:val="en-GB"/>
        </w:rPr>
        <w:t>; BS: boarding school.</w:t>
      </w:r>
    </w:p>
    <w:p w14:paraId="651A6353" w14:textId="77777777" w:rsidR="002171D9" w:rsidRDefault="002171D9" w:rsidP="001B2AFE">
      <w:pPr>
        <w:sectPr w:rsidR="002171D9" w:rsidSect="002171D9">
          <w:pgSz w:w="16838" w:h="11906" w:orient="landscape"/>
          <w:pgMar w:top="720" w:right="720" w:bottom="720" w:left="1134" w:header="709" w:footer="284" w:gutter="0"/>
          <w:cols w:space="708"/>
          <w:titlePg/>
          <w:docGrid w:linePitch="360"/>
        </w:sectPr>
      </w:pPr>
    </w:p>
    <w:p w14:paraId="59E3D4D1" w14:textId="6B56341E" w:rsidR="00A3455B" w:rsidRDefault="00A3455B" w:rsidP="001B2AFE">
      <w:r>
        <w:t xml:space="preserve">While the Indigenous community outbreak was ongoing, a case was notified from a regional </w:t>
      </w:r>
      <w:proofErr w:type="gramStart"/>
      <w:r>
        <w:t>correctional facility</w:t>
      </w:r>
      <w:proofErr w:type="gramEnd"/>
      <w:r>
        <w:t xml:space="preserve"> on 17 December 2017. The </w:t>
      </w:r>
      <w:proofErr w:type="gramStart"/>
      <w:r>
        <w:t>correctional facility</w:t>
      </w:r>
      <w:proofErr w:type="gramEnd"/>
      <w:r>
        <w:t xml:space="preserve"> outbreak lasted twelve weeks. The primary case from the </w:t>
      </w:r>
      <w:proofErr w:type="gramStart"/>
      <w:r>
        <w:t>correctional facility</w:t>
      </w:r>
      <w:proofErr w:type="gramEnd"/>
      <w:r>
        <w:t xml:space="preserve"> outbreak was epidemiologically linked with a confirmed case from the discrete Indigenous community when an asymptomatic but infectious person visited an inmate.</w:t>
      </w:r>
    </w:p>
    <w:p w14:paraId="14684652" w14:textId="77777777" w:rsidR="00A3455B" w:rsidRDefault="00A3455B" w:rsidP="001B2AFE">
      <w:r>
        <w:t>The final outbreak was at a boarding school and commenced on 11 August 2018, lasting about twelve weeks. We were unable to identify any epidemiological link to the first identified case of the school outbreak. However, the primary case from the boarding school outbreak cluster visited their home in Torres Strait Islands where there was known community mumps transmission at that time. Figure 1 shows the epidemiological curve of the outbreaks and indicates the timeline for public health interventions.</w:t>
      </w:r>
    </w:p>
    <w:p w14:paraId="7F5E7CF2" w14:textId="77777777" w:rsidR="00A3455B" w:rsidRPr="001B2AFE" w:rsidRDefault="00A3455B" w:rsidP="001B2AFE">
      <w:pPr>
        <w:pStyle w:val="Heading2"/>
      </w:pPr>
      <w:r w:rsidRPr="001B2AFE">
        <w:t>Attack rates of mumps outbreaks</w:t>
      </w:r>
    </w:p>
    <w:p w14:paraId="11CAEBB9" w14:textId="77777777" w:rsidR="00DE10D7" w:rsidRDefault="00A3455B" w:rsidP="001B2AFE">
      <w:pPr>
        <w:sectPr w:rsidR="00DE10D7" w:rsidSect="00A30C37">
          <w:pgSz w:w="11906" w:h="16838"/>
          <w:pgMar w:top="720" w:right="720" w:bottom="1134" w:left="720" w:header="709" w:footer="284" w:gutter="0"/>
          <w:cols w:space="708"/>
          <w:titlePg/>
          <w:docGrid w:linePitch="360"/>
        </w:sectPr>
      </w:pPr>
      <w:r>
        <w:t>The overall attack rate (cases per 1,000 population at risk) was 41.6 cases per 1,000 population (95% CI: 33.3–49.8). The attack rate was highest in the discrete Indigenous community, 65.7 cases per 1,000 population (95% CI: 50.4–81.0), followed by the boarding school, 26.1 cases per 1,000 population (95% CI: 15.0–42.0) and the correctional facility, 17.2 cases per 1,000 population (95% CI: 7.1–17.2). Age-specific attack rates are shown in Table 2.</w:t>
      </w:r>
    </w:p>
    <w:p w14:paraId="17A769A9" w14:textId="77777777" w:rsidR="00DE10D7" w:rsidRPr="00DE10D7" w:rsidRDefault="00DE10D7" w:rsidP="00DE10D7">
      <w:pPr>
        <w:pStyle w:val="CDIFigures"/>
      </w:pPr>
      <w:r w:rsidRPr="00DE10D7">
        <w:rPr>
          <w:rStyle w:val="Strong"/>
          <w:b/>
          <w:bCs w:val="0"/>
        </w:rPr>
        <w:t>Table 2: Age-specific mumps attack rates (per 1,000 population) for all outbreak cases (n=93)</w:t>
      </w:r>
    </w:p>
    <w:tbl>
      <w:tblPr>
        <w:tblStyle w:val="CDI-StandardTable"/>
        <w:tblW w:w="0" w:type="auto"/>
        <w:tblLook w:val="04A0" w:firstRow="1" w:lastRow="0" w:firstColumn="1" w:lastColumn="0" w:noHBand="0" w:noVBand="1"/>
        <w:tblDescription w:val="Table 2 presents the age specific attack rates (both overall and cluster specific) calculated for 1,000 population."/>
      </w:tblPr>
      <w:tblGrid>
        <w:gridCol w:w="751"/>
        <w:gridCol w:w="698"/>
        <w:gridCol w:w="1212"/>
        <w:gridCol w:w="1565"/>
        <w:gridCol w:w="699"/>
        <w:gridCol w:w="1213"/>
        <w:gridCol w:w="1565"/>
        <w:gridCol w:w="699"/>
        <w:gridCol w:w="1213"/>
        <w:gridCol w:w="1565"/>
        <w:gridCol w:w="733"/>
        <w:gridCol w:w="1506"/>
        <w:gridCol w:w="1565"/>
      </w:tblGrid>
      <w:tr w:rsidR="002E4CD9" w:rsidRPr="00DE10D7" w14:paraId="7E832E95" w14:textId="77777777" w:rsidTr="002E4CD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0C8D3790" w14:textId="77777777" w:rsidR="00DE10D7" w:rsidRPr="00DE10D7" w:rsidRDefault="00DE10D7" w:rsidP="00DE10D7">
            <w:pPr>
              <w:rPr>
                <w:color w:val="FFFFFF" w:themeColor="background1"/>
                <w:sz w:val="18"/>
                <w:szCs w:val="18"/>
                <w:lang w:val="en-GB"/>
              </w:rPr>
            </w:pPr>
          </w:p>
        </w:tc>
        <w:tc>
          <w:tcPr>
            <w:tcW w:w="0" w:type="auto"/>
            <w:gridSpan w:val="9"/>
            <w:tcBorders>
              <w:left w:val="single" w:sz="2" w:space="0" w:color="FFFFFF" w:themeColor="background1"/>
              <w:bottom w:val="single" w:sz="2" w:space="0" w:color="FFFFFF" w:themeColor="background1"/>
              <w:right w:val="single" w:sz="2" w:space="0" w:color="FFFFFF" w:themeColor="background1"/>
            </w:tcBorders>
            <w:vAlign w:val="center"/>
            <w:hideMark/>
          </w:tcPr>
          <w:p w14:paraId="20994783"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Cluster</w:t>
            </w:r>
          </w:p>
        </w:tc>
        <w:tc>
          <w:tcPr>
            <w:tcW w:w="0" w:type="auto"/>
            <w:gridSpan w:val="3"/>
            <w:vMerge w:val="restart"/>
            <w:tcBorders>
              <w:left w:val="single" w:sz="2" w:space="0" w:color="FFFFFF" w:themeColor="background1"/>
              <w:bottom w:val="single" w:sz="2" w:space="0" w:color="FFFFFF" w:themeColor="background1"/>
            </w:tcBorders>
            <w:vAlign w:val="center"/>
            <w:hideMark/>
          </w:tcPr>
          <w:p w14:paraId="335928E9"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All three outbreaks combined</w:t>
            </w:r>
          </w:p>
        </w:tc>
      </w:tr>
      <w:tr w:rsidR="002E4CD9" w:rsidRPr="00DE10D7" w14:paraId="727F9A18" w14:textId="77777777" w:rsidTr="002E4CD9">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099F1653" w14:textId="77777777" w:rsidR="00DE10D7" w:rsidRPr="00DE10D7" w:rsidRDefault="00DE10D7" w:rsidP="00DE10D7">
            <w:pPr>
              <w:rPr>
                <w:color w:val="FFFFFF" w:themeColor="background1"/>
                <w:sz w:val="18"/>
                <w:szCs w:val="18"/>
                <w:lang w:val="en-GB"/>
              </w:rPr>
            </w:pPr>
          </w:p>
        </w:tc>
        <w:tc>
          <w:tcPr>
            <w:tcW w:w="0" w:type="auto"/>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7281BEF"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Discrete</w:t>
            </w:r>
            <w:r w:rsidRPr="00DE10D7">
              <w:rPr>
                <w:color w:val="FFFFFF" w:themeColor="background1"/>
                <w:sz w:val="18"/>
                <w:szCs w:val="18"/>
              </w:rPr>
              <w:br/>
              <w:t>Indigenous community</w:t>
            </w:r>
          </w:p>
        </w:tc>
        <w:tc>
          <w:tcPr>
            <w:tcW w:w="0" w:type="auto"/>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8C478FE"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Correctional facility</w:t>
            </w:r>
          </w:p>
        </w:tc>
        <w:tc>
          <w:tcPr>
            <w:tcW w:w="0" w:type="auto"/>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4626198"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Boarding school</w:t>
            </w:r>
          </w:p>
        </w:tc>
        <w:tc>
          <w:tcPr>
            <w:tcW w:w="0" w:type="auto"/>
            <w:gridSpan w:val="3"/>
            <w:vMerge/>
            <w:tcBorders>
              <w:top w:val="single" w:sz="2" w:space="0" w:color="FFFFFF" w:themeColor="background1"/>
              <w:left w:val="single" w:sz="2" w:space="0" w:color="FFFFFF" w:themeColor="background1"/>
              <w:bottom w:val="single" w:sz="2" w:space="0" w:color="FFFFFF" w:themeColor="background1"/>
            </w:tcBorders>
            <w:vAlign w:val="center"/>
            <w:hideMark/>
          </w:tcPr>
          <w:p w14:paraId="0D46DC56" w14:textId="77777777" w:rsidR="00DE10D7" w:rsidRPr="00DE10D7" w:rsidRDefault="00DE10D7" w:rsidP="00DE10D7">
            <w:pPr>
              <w:jc w:val="center"/>
              <w:rPr>
                <w:color w:val="FFFFFF" w:themeColor="background1"/>
                <w:sz w:val="18"/>
                <w:szCs w:val="18"/>
              </w:rPr>
            </w:pPr>
          </w:p>
        </w:tc>
      </w:tr>
      <w:tr w:rsidR="002E4CD9" w:rsidRPr="00DE10D7" w14:paraId="36588B7D" w14:textId="77777777" w:rsidTr="002E4CD9">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vAlign w:val="center"/>
            <w:hideMark/>
          </w:tcPr>
          <w:p w14:paraId="2447762B" w14:textId="77777777" w:rsidR="00DE10D7" w:rsidRPr="00DE10D7" w:rsidRDefault="00DE10D7" w:rsidP="00DE10D7">
            <w:pPr>
              <w:pStyle w:val="NormalWeb"/>
              <w:rPr>
                <w:color w:val="FFFFFF" w:themeColor="background1"/>
                <w:sz w:val="18"/>
                <w:szCs w:val="18"/>
              </w:rPr>
            </w:pPr>
            <w:r w:rsidRPr="00DE10D7">
              <w:rPr>
                <w:color w:val="FFFFFF" w:themeColor="background1"/>
                <w:sz w:val="18"/>
                <w:szCs w:val="18"/>
              </w:rPr>
              <w:t>Age group</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648D1561"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cases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137A0834"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total population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4B995DD3"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Attack rate per 1,000 population (95% CI)</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5B14490"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cases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0CA02B25"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total population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7A3F451"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Attack rate per 1,000 population (95% CI)</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67E0CB5F"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cases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35E6F6C5"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N = total population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895B5AF"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Attack rate per 1,000 population (95% CI)</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2267FDC7"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Total cases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0A7F70DF"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Total denominator population</w:t>
            </w:r>
          </w:p>
        </w:tc>
        <w:tc>
          <w:tcPr>
            <w:tcW w:w="0" w:type="auto"/>
            <w:tcBorders>
              <w:top w:val="single" w:sz="2" w:space="0" w:color="FFFFFF" w:themeColor="background1"/>
              <w:left w:val="single" w:sz="2" w:space="0" w:color="FFFFFF" w:themeColor="background1"/>
            </w:tcBorders>
            <w:vAlign w:val="center"/>
            <w:hideMark/>
          </w:tcPr>
          <w:p w14:paraId="5619C99E" w14:textId="77777777" w:rsidR="00DE10D7" w:rsidRPr="00DE10D7" w:rsidRDefault="00DE10D7" w:rsidP="00DE10D7">
            <w:pPr>
              <w:pStyle w:val="NormalWeb"/>
              <w:jc w:val="center"/>
              <w:rPr>
                <w:color w:val="FFFFFF" w:themeColor="background1"/>
                <w:sz w:val="18"/>
                <w:szCs w:val="18"/>
              </w:rPr>
            </w:pPr>
            <w:r w:rsidRPr="00DE10D7">
              <w:rPr>
                <w:color w:val="FFFFFF" w:themeColor="background1"/>
                <w:sz w:val="18"/>
                <w:szCs w:val="18"/>
              </w:rPr>
              <w:t>Attack rate per 1,000 population (95% CI)</w:t>
            </w:r>
          </w:p>
        </w:tc>
      </w:tr>
      <w:tr w:rsidR="002E4CD9" w:rsidRPr="00DE10D7" w14:paraId="13EC1ADD" w14:textId="77777777" w:rsidTr="002E4CD9">
        <w:tblPrEx>
          <w:tblCellMar>
            <w:top w:w="57" w:type="dxa"/>
            <w:left w:w="57" w:type="dxa"/>
            <w:bottom w:w="57" w:type="dxa"/>
            <w:right w:w="57" w:type="dxa"/>
          </w:tblCellMar>
        </w:tblPrEx>
        <w:tc>
          <w:tcPr>
            <w:tcW w:w="0" w:type="auto"/>
            <w:vAlign w:val="center"/>
            <w:hideMark/>
          </w:tcPr>
          <w:p w14:paraId="7DEC131F" w14:textId="77777777" w:rsidR="00DE10D7" w:rsidRPr="00DE10D7" w:rsidRDefault="00DE10D7" w:rsidP="00DE10D7">
            <w:pPr>
              <w:pStyle w:val="NormalWeb"/>
              <w:rPr>
                <w:sz w:val="18"/>
                <w:szCs w:val="18"/>
              </w:rPr>
            </w:pPr>
            <w:r w:rsidRPr="00DE10D7">
              <w:rPr>
                <w:sz w:val="18"/>
                <w:szCs w:val="18"/>
              </w:rPr>
              <w:t>0–4</w:t>
            </w:r>
          </w:p>
        </w:tc>
        <w:tc>
          <w:tcPr>
            <w:tcW w:w="0" w:type="auto"/>
            <w:vAlign w:val="center"/>
            <w:hideMark/>
          </w:tcPr>
          <w:p w14:paraId="64A68EDC"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64C37ED6" w14:textId="77777777" w:rsidR="00DE10D7" w:rsidRPr="00DE10D7" w:rsidRDefault="00DE10D7" w:rsidP="00DE10D7">
            <w:pPr>
              <w:pStyle w:val="NormalWeb"/>
              <w:jc w:val="center"/>
              <w:rPr>
                <w:sz w:val="18"/>
                <w:szCs w:val="18"/>
              </w:rPr>
            </w:pPr>
            <w:r w:rsidRPr="00DE10D7">
              <w:rPr>
                <w:sz w:val="18"/>
                <w:szCs w:val="18"/>
              </w:rPr>
              <w:t>104</w:t>
            </w:r>
          </w:p>
        </w:tc>
        <w:tc>
          <w:tcPr>
            <w:tcW w:w="0" w:type="auto"/>
            <w:vAlign w:val="center"/>
            <w:hideMark/>
          </w:tcPr>
          <w:p w14:paraId="1D10624E" w14:textId="52D9C536" w:rsidR="00DE10D7" w:rsidRPr="00DE10D7" w:rsidRDefault="00DE10D7" w:rsidP="00DE10D7">
            <w:pPr>
              <w:pStyle w:val="NormalWeb"/>
              <w:jc w:val="center"/>
              <w:rPr>
                <w:sz w:val="18"/>
                <w:szCs w:val="18"/>
              </w:rPr>
            </w:pPr>
            <w:r w:rsidRPr="00DE10D7">
              <w:rPr>
                <w:sz w:val="18"/>
                <w:szCs w:val="18"/>
              </w:rPr>
              <w:t>48.1</w:t>
            </w:r>
            <w:r w:rsidR="002E4CD9">
              <w:rPr>
                <w:sz w:val="18"/>
                <w:szCs w:val="18"/>
              </w:rPr>
              <w:br/>
            </w:r>
            <w:r w:rsidRPr="00DE10D7">
              <w:rPr>
                <w:sz w:val="18"/>
                <w:szCs w:val="18"/>
              </w:rPr>
              <w:t>(7.0–89.2)</w:t>
            </w:r>
          </w:p>
        </w:tc>
        <w:tc>
          <w:tcPr>
            <w:tcW w:w="0" w:type="auto"/>
            <w:vAlign w:val="center"/>
            <w:hideMark/>
          </w:tcPr>
          <w:p w14:paraId="189818DD"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1DFE978D"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4B08B7B7"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287CC9DD"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5658E9B7"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2C0B07CB"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3E36C951"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56D608B5" w14:textId="77777777" w:rsidR="00DE10D7" w:rsidRPr="00DE10D7" w:rsidRDefault="00DE10D7" w:rsidP="00DE10D7">
            <w:pPr>
              <w:pStyle w:val="NormalWeb"/>
              <w:jc w:val="center"/>
              <w:rPr>
                <w:sz w:val="18"/>
                <w:szCs w:val="18"/>
              </w:rPr>
            </w:pPr>
            <w:r w:rsidRPr="00DE10D7">
              <w:rPr>
                <w:sz w:val="18"/>
                <w:szCs w:val="18"/>
              </w:rPr>
              <w:t>104</w:t>
            </w:r>
          </w:p>
        </w:tc>
        <w:tc>
          <w:tcPr>
            <w:tcW w:w="0" w:type="auto"/>
            <w:vAlign w:val="center"/>
            <w:hideMark/>
          </w:tcPr>
          <w:p w14:paraId="6C18F140" w14:textId="77777777" w:rsidR="00DE10D7" w:rsidRPr="00DE10D7" w:rsidRDefault="00DE10D7" w:rsidP="00DE10D7">
            <w:pPr>
              <w:pStyle w:val="NormalWeb"/>
              <w:jc w:val="center"/>
              <w:rPr>
                <w:sz w:val="18"/>
                <w:szCs w:val="18"/>
              </w:rPr>
            </w:pPr>
            <w:r w:rsidRPr="00DE10D7">
              <w:rPr>
                <w:sz w:val="18"/>
                <w:szCs w:val="18"/>
              </w:rPr>
              <w:t>48.1</w:t>
            </w:r>
            <w:r w:rsidRPr="00DE10D7">
              <w:rPr>
                <w:sz w:val="18"/>
                <w:szCs w:val="18"/>
              </w:rPr>
              <w:br/>
              <w:t>(7.0–89.2)</w:t>
            </w:r>
          </w:p>
        </w:tc>
      </w:tr>
      <w:tr w:rsidR="002E4CD9" w:rsidRPr="00DE10D7" w14:paraId="7AF852AE" w14:textId="77777777" w:rsidTr="002E4CD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63CF5870" w14:textId="77777777" w:rsidR="00DE10D7" w:rsidRPr="00DE10D7" w:rsidRDefault="00DE10D7" w:rsidP="00DE10D7">
            <w:pPr>
              <w:pStyle w:val="NormalWeb"/>
              <w:rPr>
                <w:sz w:val="18"/>
                <w:szCs w:val="18"/>
              </w:rPr>
            </w:pPr>
            <w:r w:rsidRPr="00DE10D7">
              <w:rPr>
                <w:sz w:val="18"/>
                <w:szCs w:val="18"/>
              </w:rPr>
              <w:t>5–9</w:t>
            </w:r>
          </w:p>
        </w:tc>
        <w:tc>
          <w:tcPr>
            <w:tcW w:w="0" w:type="auto"/>
            <w:vAlign w:val="center"/>
            <w:hideMark/>
          </w:tcPr>
          <w:p w14:paraId="2480BDD2" w14:textId="77777777" w:rsidR="00DE10D7" w:rsidRPr="00DE10D7" w:rsidRDefault="00DE10D7" w:rsidP="00DE10D7">
            <w:pPr>
              <w:pStyle w:val="NormalWeb"/>
              <w:jc w:val="center"/>
              <w:rPr>
                <w:sz w:val="18"/>
                <w:szCs w:val="18"/>
              </w:rPr>
            </w:pPr>
            <w:r w:rsidRPr="00DE10D7">
              <w:rPr>
                <w:sz w:val="18"/>
                <w:szCs w:val="18"/>
              </w:rPr>
              <w:t>2</w:t>
            </w:r>
          </w:p>
        </w:tc>
        <w:tc>
          <w:tcPr>
            <w:tcW w:w="0" w:type="auto"/>
            <w:vAlign w:val="center"/>
            <w:hideMark/>
          </w:tcPr>
          <w:p w14:paraId="79FEE1CD" w14:textId="77777777" w:rsidR="00DE10D7" w:rsidRPr="00DE10D7" w:rsidRDefault="00DE10D7" w:rsidP="00DE10D7">
            <w:pPr>
              <w:pStyle w:val="NormalWeb"/>
              <w:jc w:val="center"/>
              <w:rPr>
                <w:sz w:val="18"/>
                <w:szCs w:val="18"/>
              </w:rPr>
            </w:pPr>
            <w:r w:rsidRPr="00DE10D7">
              <w:rPr>
                <w:sz w:val="18"/>
                <w:szCs w:val="18"/>
              </w:rPr>
              <w:t>121</w:t>
            </w:r>
          </w:p>
        </w:tc>
        <w:tc>
          <w:tcPr>
            <w:tcW w:w="0" w:type="auto"/>
            <w:vAlign w:val="center"/>
            <w:hideMark/>
          </w:tcPr>
          <w:p w14:paraId="481647BD" w14:textId="5F1CEF72" w:rsidR="00DE10D7" w:rsidRPr="00DE10D7" w:rsidRDefault="00DE10D7" w:rsidP="00DE10D7">
            <w:pPr>
              <w:pStyle w:val="NormalWeb"/>
              <w:jc w:val="center"/>
              <w:rPr>
                <w:sz w:val="18"/>
                <w:szCs w:val="18"/>
              </w:rPr>
            </w:pPr>
            <w:r w:rsidRPr="00DE10D7">
              <w:rPr>
                <w:sz w:val="18"/>
                <w:szCs w:val="18"/>
              </w:rPr>
              <w:t>16.5</w:t>
            </w:r>
            <w:r w:rsidR="002E4CD9">
              <w:rPr>
                <w:sz w:val="18"/>
                <w:szCs w:val="18"/>
              </w:rPr>
              <w:br/>
            </w:r>
            <w:r w:rsidRPr="00DE10D7">
              <w:rPr>
                <w:sz w:val="18"/>
                <w:szCs w:val="18"/>
              </w:rPr>
              <w:t>(0–39.2)</w:t>
            </w:r>
          </w:p>
        </w:tc>
        <w:tc>
          <w:tcPr>
            <w:tcW w:w="0" w:type="auto"/>
            <w:vAlign w:val="center"/>
            <w:hideMark/>
          </w:tcPr>
          <w:p w14:paraId="19CB06B6"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1CCD40EC"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0940582F"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0483AA44"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4A27A61B"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6E1C2482"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48B1931A" w14:textId="77777777" w:rsidR="00DE10D7" w:rsidRPr="00DE10D7" w:rsidRDefault="00DE10D7" w:rsidP="00DE10D7">
            <w:pPr>
              <w:pStyle w:val="NormalWeb"/>
              <w:jc w:val="center"/>
              <w:rPr>
                <w:sz w:val="18"/>
                <w:szCs w:val="18"/>
              </w:rPr>
            </w:pPr>
            <w:r w:rsidRPr="00DE10D7">
              <w:rPr>
                <w:sz w:val="18"/>
                <w:szCs w:val="18"/>
              </w:rPr>
              <w:t>2</w:t>
            </w:r>
          </w:p>
        </w:tc>
        <w:tc>
          <w:tcPr>
            <w:tcW w:w="0" w:type="auto"/>
            <w:vAlign w:val="center"/>
            <w:hideMark/>
          </w:tcPr>
          <w:p w14:paraId="5F651A4B" w14:textId="77777777" w:rsidR="00DE10D7" w:rsidRPr="00DE10D7" w:rsidRDefault="00DE10D7" w:rsidP="00DE10D7">
            <w:pPr>
              <w:pStyle w:val="NormalWeb"/>
              <w:jc w:val="center"/>
              <w:rPr>
                <w:sz w:val="18"/>
                <w:szCs w:val="18"/>
              </w:rPr>
            </w:pPr>
            <w:r w:rsidRPr="00DE10D7">
              <w:rPr>
                <w:sz w:val="18"/>
                <w:szCs w:val="18"/>
              </w:rPr>
              <w:t>121</w:t>
            </w:r>
          </w:p>
        </w:tc>
        <w:tc>
          <w:tcPr>
            <w:tcW w:w="0" w:type="auto"/>
            <w:vAlign w:val="center"/>
            <w:hideMark/>
          </w:tcPr>
          <w:p w14:paraId="44AEA4E2" w14:textId="77777777" w:rsidR="00DE10D7" w:rsidRPr="00DE10D7" w:rsidRDefault="00DE10D7" w:rsidP="00DE10D7">
            <w:pPr>
              <w:pStyle w:val="NormalWeb"/>
              <w:jc w:val="center"/>
              <w:rPr>
                <w:sz w:val="18"/>
                <w:szCs w:val="18"/>
              </w:rPr>
            </w:pPr>
            <w:r w:rsidRPr="00DE10D7">
              <w:rPr>
                <w:sz w:val="18"/>
                <w:szCs w:val="18"/>
              </w:rPr>
              <w:t>16.5</w:t>
            </w:r>
            <w:r w:rsidRPr="00DE10D7">
              <w:rPr>
                <w:sz w:val="18"/>
                <w:szCs w:val="18"/>
              </w:rPr>
              <w:br/>
              <w:t>(0–39.2)</w:t>
            </w:r>
          </w:p>
        </w:tc>
      </w:tr>
      <w:tr w:rsidR="002E4CD9" w:rsidRPr="00DE10D7" w14:paraId="7CA8066F" w14:textId="77777777" w:rsidTr="002E4CD9">
        <w:tblPrEx>
          <w:tblCellMar>
            <w:top w:w="57" w:type="dxa"/>
            <w:left w:w="57" w:type="dxa"/>
            <w:bottom w:w="57" w:type="dxa"/>
            <w:right w:w="57" w:type="dxa"/>
          </w:tblCellMar>
        </w:tblPrEx>
        <w:tc>
          <w:tcPr>
            <w:tcW w:w="0" w:type="auto"/>
            <w:vAlign w:val="center"/>
            <w:hideMark/>
          </w:tcPr>
          <w:p w14:paraId="2388E296" w14:textId="77777777" w:rsidR="00DE10D7" w:rsidRPr="00DE10D7" w:rsidRDefault="00DE10D7" w:rsidP="00DE10D7">
            <w:pPr>
              <w:pStyle w:val="NormalWeb"/>
              <w:rPr>
                <w:sz w:val="18"/>
                <w:szCs w:val="18"/>
              </w:rPr>
            </w:pPr>
            <w:r w:rsidRPr="00DE10D7">
              <w:rPr>
                <w:sz w:val="18"/>
                <w:szCs w:val="18"/>
              </w:rPr>
              <w:t>10–14</w:t>
            </w:r>
          </w:p>
        </w:tc>
        <w:tc>
          <w:tcPr>
            <w:tcW w:w="0" w:type="auto"/>
            <w:vAlign w:val="center"/>
            <w:hideMark/>
          </w:tcPr>
          <w:p w14:paraId="55695441" w14:textId="77777777" w:rsidR="00DE10D7" w:rsidRPr="00DE10D7" w:rsidRDefault="00DE10D7" w:rsidP="00DE10D7">
            <w:pPr>
              <w:pStyle w:val="NormalWeb"/>
              <w:jc w:val="center"/>
              <w:rPr>
                <w:sz w:val="18"/>
                <w:szCs w:val="18"/>
              </w:rPr>
            </w:pPr>
            <w:r w:rsidRPr="00DE10D7">
              <w:rPr>
                <w:sz w:val="18"/>
                <w:szCs w:val="18"/>
              </w:rPr>
              <w:t>14</w:t>
            </w:r>
          </w:p>
        </w:tc>
        <w:tc>
          <w:tcPr>
            <w:tcW w:w="0" w:type="auto"/>
            <w:vAlign w:val="center"/>
            <w:hideMark/>
          </w:tcPr>
          <w:p w14:paraId="44D2318E" w14:textId="77777777" w:rsidR="00DE10D7" w:rsidRPr="00DE10D7" w:rsidRDefault="00DE10D7" w:rsidP="00DE10D7">
            <w:pPr>
              <w:pStyle w:val="NormalWeb"/>
              <w:jc w:val="center"/>
              <w:rPr>
                <w:sz w:val="18"/>
                <w:szCs w:val="18"/>
              </w:rPr>
            </w:pPr>
            <w:r w:rsidRPr="00DE10D7">
              <w:rPr>
                <w:sz w:val="18"/>
                <w:szCs w:val="18"/>
              </w:rPr>
              <w:t>100</w:t>
            </w:r>
          </w:p>
        </w:tc>
        <w:tc>
          <w:tcPr>
            <w:tcW w:w="0" w:type="auto"/>
            <w:vAlign w:val="center"/>
            <w:hideMark/>
          </w:tcPr>
          <w:p w14:paraId="4FC0C4B2" w14:textId="445E2979" w:rsidR="00DE10D7" w:rsidRPr="00DE10D7" w:rsidRDefault="00DE10D7" w:rsidP="00DE10D7">
            <w:pPr>
              <w:pStyle w:val="NormalWeb"/>
              <w:jc w:val="center"/>
              <w:rPr>
                <w:sz w:val="18"/>
                <w:szCs w:val="18"/>
              </w:rPr>
            </w:pPr>
            <w:r w:rsidRPr="00DE10D7">
              <w:rPr>
                <w:sz w:val="18"/>
                <w:szCs w:val="18"/>
              </w:rPr>
              <w:t>140.0</w:t>
            </w:r>
            <w:r w:rsidR="002E4CD9">
              <w:rPr>
                <w:sz w:val="18"/>
                <w:szCs w:val="18"/>
              </w:rPr>
              <w:br/>
            </w:r>
            <w:r w:rsidRPr="00DE10D7">
              <w:rPr>
                <w:sz w:val="18"/>
                <w:szCs w:val="18"/>
              </w:rPr>
              <w:t>(72.0–208.0)</w:t>
            </w:r>
          </w:p>
        </w:tc>
        <w:tc>
          <w:tcPr>
            <w:tcW w:w="0" w:type="auto"/>
            <w:vAlign w:val="center"/>
            <w:hideMark/>
          </w:tcPr>
          <w:p w14:paraId="3146D0AF"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04C09242"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6AB7A8CB"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22D36424"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22B57E3D" w14:textId="77777777" w:rsidR="00DE10D7" w:rsidRPr="00DE10D7" w:rsidRDefault="00DE10D7" w:rsidP="00DE10D7">
            <w:pPr>
              <w:pStyle w:val="NormalWeb"/>
              <w:jc w:val="center"/>
              <w:rPr>
                <w:sz w:val="18"/>
                <w:szCs w:val="18"/>
              </w:rPr>
            </w:pPr>
            <w:r w:rsidRPr="00DE10D7">
              <w:rPr>
                <w:sz w:val="18"/>
                <w:szCs w:val="18"/>
              </w:rPr>
              <w:t>274</w:t>
            </w:r>
          </w:p>
        </w:tc>
        <w:tc>
          <w:tcPr>
            <w:tcW w:w="0" w:type="auto"/>
            <w:vAlign w:val="center"/>
            <w:hideMark/>
          </w:tcPr>
          <w:p w14:paraId="27B8B6BD" w14:textId="77777777" w:rsidR="00DE10D7" w:rsidRPr="00DE10D7" w:rsidRDefault="00DE10D7" w:rsidP="00DE10D7">
            <w:pPr>
              <w:pStyle w:val="NormalWeb"/>
              <w:jc w:val="center"/>
              <w:rPr>
                <w:sz w:val="18"/>
                <w:szCs w:val="18"/>
              </w:rPr>
            </w:pPr>
            <w:r w:rsidRPr="00DE10D7">
              <w:rPr>
                <w:sz w:val="18"/>
                <w:szCs w:val="18"/>
              </w:rPr>
              <w:t>3.6</w:t>
            </w:r>
          </w:p>
          <w:p w14:paraId="74473C8F" w14:textId="77777777" w:rsidR="00DE10D7" w:rsidRPr="00DE10D7" w:rsidRDefault="00DE10D7" w:rsidP="00DE10D7">
            <w:pPr>
              <w:pStyle w:val="NormalWeb"/>
              <w:jc w:val="center"/>
              <w:rPr>
                <w:sz w:val="18"/>
                <w:szCs w:val="18"/>
              </w:rPr>
            </w:pPr>
            <w:r w:rsidRPr="00DE10D7">
              <w:rPr>
                <w:sz w:val="18"/>
                <w:szCs w:val="18"/>
              </w:rPr>
              <w:t>(0–10.8)</w:t>
            </w:r>
          </w:p>
        </w:tc>
        <w:tc>
          <w:tcPr>
            <w:tcW w:w="0" w:type="auto"/>
            <w:vAlign w:val="center"/>
            <w:hideMark/>
          </w:tcPr>
          <w:p w14:paraId="6BEB3A39" w14:textId="77777777" w:rsidR="00DE10D7" w:rsidRPr="00DE10D7" w:rsidRDefault="00DE10D7" w:rsidP="00DE10D7">
            <w:pPr>
              <w:pStyle w:val="NormalWeb"/>
              <w:jc w:val="center"/>
              <w:rPr>
                <w:sz w:val="18"/>
                <w:szCs w:val="18"/>
              </w:rPr>
            </w:pPr>
            <w:r w:rsidRPr="00DE10D7">
              <w:rPr>
                <w:sz w:val="18"/>
                <w:szCs w:val="18"/>
              </w:rPr>
              <w:t>15</w:t>
            </w:r>
          </w:p>
        </w:tc>
        <w:tc>
          <w:tcPr>
            <w:tcW w:w="0" w:type="auto"/>
            <w:vAlign w:val="center"/>
            <w:hideMark/>
          </w:tcPr>
          <w:p w14:paraId="3A259BB6" w14:textId="77777777" w:rsidR="00DE10D7" w:rsidRPr="00DE10D7" w:rsidRDefault="00DE10D7" w:rsidP="00DE10D7">
            <w:pPr>
              <w:pStyle w:val="NormalWeb"/>
              <w:jc w:val="center"/>
              <w:rPr>
                <w:sz w:val="18"/>
                <w:szCs w:val="18"/>
              </w:rPr>
            </w:pPr>
            <w:r w:rsidRPr="00DE10D7">
              <w:rPr>
                <w:sz w:val="18"/>
                <w:szCs w:val="18"/>
              </w:rPr>
              <w:t>374</w:t>
            </w:r>
          </w:p>
        </w:tc>
        <w:tc>
          <w:tcPr>
            <w:tcW w:w="0" w:type="auto"/>
            <w:vAlign w:val="center"/>
            <w:hideMark/>
          </w:tcPr>
          <w:p w14:paraId="4FD36A76" w14:textId="77777777" w:rsidR="00DE10D7" w:rsidRPr="00DE10D7" w:rsidRDefault="00DE10D7" w:rsidP="00DE10D7">
            <w:pPr>
              <w:pStyle w:val="NormalWeb"/>
              <w:jc w:val="center"/>
              <w:rPr>
                <w:sz w:val="18"/>
                <w:szCs w:val="18"/>
              </w:rPr>
            </w:pPr>
            <w:r w:rsidRPr="00DE10D7">
              <w:rPr>
                <w:sz w:val="18"/>
                <w:szCs w:val="18"/>
              </w:rPr>
              <w:t>40.1</w:t>
            </w:r>
            <w:r w:rsidRPr="00DE10D7">
              <w:rPr>
                <w:sz w:val="18"/>
                <w:szCs w:val="18"/>
              </w:rPr>
              <w:br/>
              <w:t>(20.2–60.0)</w:t>
            </w:r>
          </w:p>
        </w:tc>
      </w:tr>
      <w:tr w:rsidR="002E4CD9" w:rsidRPr="00DE10D7" w14:paraId="1B2163C5" w14:textId="77777777" w:rsidTr="002E4CD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550BBACC" w14:textId="77777777" w:rsidR="00DE10D7" w:rsidRPr="00DE10D7" w:rsidRDefault="00DE10D7" w:rsidP="00DE10D7">
            <w:pPr>
              <w:pStyle w:val="NormalWeb"/>
              <w:rPr>
                <w:sz w:val="18"/>
                <w:szCs w:val="18"/>
              </w:rPr>
            </w:pPr>
            <w:r w:rsidRPr="00DE10D7">
              <w:rPr>
                <w:sz w:val="18"/>
                <w:szCs w:val="18"/>
              </w:rPr>
              <w:t>15–19</w:t>
            </w:r>
          </w:p>
        </w:tc>
        <w:tc>
          <w:tcPr>
            <w:tcW w:w="0" w:type="auto"/>
            <w:vAlign w:val="center"/>
            <w:hideMark/>
          </w:tcPr>
          <w:p w14:paraId="3E0A024B" w14:textId="77777777" w:rsidR="00DE10D7" w:rsidRPr="00DE10D7" w:rsidRDefault="00DE10D7" w:rsidP="00DE10D7">
            <w:pPr>
              <w:pStyle w:val="NormalWeb"/>
              <w:jc w:val="center"/>
              <w:rPr>
                <w:sz w:val="18"/>
                <w:szCs w:val="18"/>
              </w:rPr>
            </w:pPr>
            <w:r w:rsidRPr="00DE10D7">
              <w:rPr>
                <w:sz w:val="18"/>
                <w:szCs w:val="18"/>
              </w:rPr>
              <w:t>12</w:t>
            </w:r>
          </w:p>
        </w:tc>
        <w:tc>
          <w:tcPr>
            <w:tcW w:w="0" w:type="auto"/>
            <w:vAlign w:val="center"/>
            <w:hideMark/>
          </w:tcPr>
          <w:p w14:paraId="2106DD73" w14:textId="77777777" w:rsidR="00DE10D7" w:rsidRPr="00DE10D7" w:rsidRDefault="00DE10D7" w:rsidP="00DE10D7">
            <w:pPr>
              <w:pStyle w:val="NormalWeb"/>
              <w:jc w:val="center"/>
              <w:rPr>
                <w:sz w:val="18"/>
                <w:szCs w:val="18"/>
              </w:rPr>
            </w:pPr>
            <w:r w:rsidRPr="00DE10D7">
              <w:rPr>
                <w:sz w:val="18"/>
                <w:szCs w:val="18"/>
              </w:rPr>
              <w:t>93</w:t>
            </w:r>
          </w:p>
        </w:tc>
        <w:tc>
          <w:tcPr>
            <w:tcW w:w="0" w:type="auto"/>
            <w:vAlign w:val="center"/>
            <w:hideMark/>
          </w:tcPr>
          <w:p w14:paraId="4D58351B" w14:textId="555DE0C0" w:rsidR="00DE10D7" w:rsidRPr="00DE10D7" w:rsidRDefault="00DE10D7" w:rsidP="00DE10D7">
            <w:pPr>
              <w:pStyle w:val="NormalWeb"/>
              <w:jc w:val="center"/>
              <w:rPr>
                <w:sz w:val="18"/>
                <w:szCs w:val="18"/>
              </w:rPr>
            </w:pPr>
            <w:r w:rsidRPr="00DE10D7">
              <w:rPr>
                <w:sz w:val="18"/>
                <w:szCs w:val="18"/>
              </w:rPr>
              <w:t>129.0</w:t>
            </w:r>
            <w:r w:rsidR="002E4CD9">
              <w:rPr>
                <w:sz w:val="18"/>
                <w:szCs w:val="18"/>
              </w:rPr>
              <w:br/>
            </w:r>
            <w:r w:rsidRPr="00DE10D7">
              <w:rPr>
                <w:sz w:val="18"/>
                <w:szCs w:val="18"/>
              </w:rPr>
              <w:t>(60.9–197.7)</w:t>
            </w:r>
          </w:p>
        </w:tc>
        <w:tc>
          <w:tcPr>
            <w:tcW w:w="0" w:type="auto"/>
            <w:vAlign w:val="center"/>
            <w:hideMark/>
          </w:tcPr>
          <w:p w14:paraId="4BFA327C" w14:textId="77777777" w:rsidR="00DE10D7" w:rsidRPr="00DE10D7" w:rsidRDefault="00DE10D7" w:rsidP="00DE10D7">
            <w:pPr>
              <w:pStyle w:val="NormalWeb"/>
              <w:jc w:val="center"/>
              <w:rPr>
                <w:sz w:val="18"/>
                <w:szCs w:val="18"/>
              </w:rPr>
            </w:pPr>
            <w:r w:rsidRPr="00DE10D7">
              <w:rPr>
                <w:sz w:val="18"/>
                <w:szCs w:val="18"/>
              </w:rPr>
              <w:t>2</w:t>
            </w:r>
          </w:p>
        </w:tc>
        <w:tc>
          <w:tcPr>
            <w:tcW w:w="0" w:type="auto"/>
            <w:vAlign w:val="center"/>
            <w:hideMark/>
          </w:tcPr>
          <w:p w14:paraId="586FAB8B" w14:textId="77777777" w:rsidR="00DE10D7" w:rsidRPr="00DE10D7" w:rsidRDefault="00DE10D7" w:rsidP="00DE10D7">
            <w:pPr>
              <w:pStyle w:val="NormalWeb"/>
              <w:jc w:val="center"/>
              <w:rPr>
                <w:sz w:val="18"/>
                <w:szCs w:val="18"/>
              </w:rPr>
            </w:pPr>
            <w:r w:rsidRPr="00DE10D7">
              <w:rPr>
                <w:sz w:val="18"/>
                <w:szCs w:val="18"/>
              </w:rPr>
              <w:t>10</w:t>
            </w:r>
          </w:p>
        </w:tc>
        <w:tc>
          <w:tcPr>
            <w:tcW w:w="0" w:type="auto"/>
            <w:vAlign w:val="center"/>
            <w:hideMark/>
          </w:tcPr>
          <w:p w14:paraId="6C2D2CE1" w14:textId="3C782EC2" w:rsidR="00DE10D7" w:rsidRPr="00DE10D7" w:rsidRDefault="00DE10D7" w:rsidP="00DE10D7">
            <w:pPr>
              <w:pStyle w:val="NormalWeb"/>
              <w:jc w:val="center"/>
              <w:rPr>
                <w:sz w:val="18"/>
                <w:szCs w:val="18"/>
              </w:rPr>
            </w:pPr>
            <w:r w:rsidRPr="00DE10D7">
              <w:rPr>
                <w:sz w:val="18"/>
                <w:szCs w:val="18"/>
              </w:rPr>
              <w:t>200.0</w:t>
            </w:r>
            <w:r w:rsidR="002E4CD9">
              <w:rPr>
                <w:sz w:val="18"/>
                <w:szCs w:val="18"/>
              </w:rPr>
              <w:br/>
            </w:r>
            <w:r w:rsidRPr="00DE10D7">
              <w:rPr>
                <w:sz w:val="18"/>
                <w:szCs w:val="18"/>
              </w:rPr>
              <w:t>(25.2–556.1)</w:t>
            </w:r>
          </w:p>
        </w:tc>
        <w:tc>
          <w:tcPr>
            <w:tcW w:w="0" w:type="auto"/>
            <w:vAlign w:val="center"/>
            <w:hideMark/>
          </w:tcPr>
          <w:p w14:paraId="1C1F9286" w14:textId="77777777" w:rsidR="00DE10D7" w:rsidRPr="00DE10D7" w:rsidRDefault="00DE10D7" w:rsidP="00DE10D7">
            <w:pPr>
              <w:pStyle w:val="NormalWeb"/>
              <w:jc w:val="center"/>
              <w:rPr>
                <w:sz w:val="18"/>
                <w:szCs w:val="18"/>
              </w:rPr>
            </w:pPr>
            <w:r w:rsidRPr="00DE10D7">
              <w:rPr>
                <w:sz w:val="18"/>
                <w:szCs w:val="18"/>
              </w:rPr>
              <w:t>15</w:t>
            </w:r>
          </w:p>
        </w:tc>
        <w:tc>
          <w:tcPr>
            <w:tcW w:w="0" w:type="auto"/>
            <w:vAlign w:val="center"/>
            <w:hideMark/>
          </w:tcPr>
          <w:p w14:paraId="0244EFFB" w14:textId="77777777" w:rsidR="00DE10D7" w:rsidRPr="00DE10D7" w:rsidRDefault="00DE10D7" w:rsidP="00DE10D7">
            <w:pPr>
              <w:pStyle w:val="NormalWeb"/>
              <w:jc w:val="center"/>
              <w:rPr>
                <w:sz w:val="18"/>
                <w:szCs w:val="18"/>
              </w:rPr>
            </w:pPr>
            <w:r w:rsidRPr="00DE10D7">
              <w:rPr>
                <w:sz w:val="18"/>
                <w:szCs w:val="18"/>
              </w:rPr>
              <w:t>340</w:t>
            </w:r>
          </w:p>
        </w:tc>
        <w:tc>
          <w:tcPr>
            <w:tcW w:w="0" w:type="auto"/>
            <w:vAlign w:val="center"/>
            <w:hideMark/>
          </w:tcPr>
          <w:p w14:paraId="7255B6C3" w14:textId="07FAA3F7" w:rsidR="00DE10D7" w:rsidRPr="00DE10D7" w:rsidRDefault="00DE10D7" w:rsidP="00DE10D7">
            <w:pPr>
              <w:pStyle w:val="NormalWeb"/>
              <w:jc w:val="center"/>
              <w:rPr>
                <w:sz w:val="18"/>
                <w:szCs w:val="18"/>
              </w:rPr>
            </w:pPr>
            <w:r w:rsidRPr="00DE10D7">
              <w:rPr>
                <w:sz w:val="18"/>
                <w:szCs w:val="18"/>
              </w:rPr>
              <w:t>44.1</w:t>
            </w:r>
            <w:r w:rsidR="002E4CD9">
              <w:rPr>
                <w:sz w:val="18"/>
                <w:szCs w:val="18"/>
              </w:rPr>
              <w:br/>
            </w:r>
            <w:r w:rsidRPr="00DE10D7">
              <w:rPr>
                <w:sz w:val="18"/>
                <w:szCs w:val="18"/>
              </w:rPr>
              <w:t>(24.9–71.7)</w:t>
            </w:r>
          </w:p>
        </w:tc>
        <w:tc>
          <w:tcPr>
            <w:tcW w:w="0" w:type="auto"/>
            <w:vAlign w:val="center"/>
            <w:hideMark/>
          </w:tcPr>
          <w:p w14:paraId="5D515E15" w14:textId="77777777" w:rsidR="00DE10D7" w:rsidRPr="00DE10D7" w:rsidRDefault="00DE10D7" w:rsidP="00DE10D7">
            <w:pPr>
              <w:pStyle w:val="NormalWeb"/>
              <w:jc w:val="center"/>
              <w:rPr>
                <w:sz w:val="18"/>
                <w:szCs w:val="18"/>
              </w:rPr>
            </w:pPr>
            <w:r w:rsidRPr="00DE10D7">
              <w:rPr>
                <w:sz w:val="18"/>
                <w:szCs w:val="18"/>
              </w:rPr>
              <w:t>29</w:t>
            </w:r>
          </w:p>
        </w:tc>
        <w:tc>
          <w:tcPr>
            <w:tcW w:w="0" w:type="auto"/>
            <w:vAlign w:val="center"/>
            <w:hideMark/>
          </w:tcPr>
          <w:p w14:paraId="15934697" w14:textId="77777777" w:rsidR="00DE10D7" w:rsidRPr="00DE10D7" w:rsidRDefault="00DE10D7" w:rsidP="00DE10D7">
            <w:pPr>
              <w:pStyle w:val="NormalWeb"/>
              <w:jc w:val="center"/>
              <w:rPr>
                <w:sz w:val="18"/>
                <w:szCs w:val="18"/>
              </w:rPr>
            </w:pPr>
            <w:r w:rsidRPr="00DE10D7">
              <w:rPr>
                <w:sz w:val="18"/>
                <w:szCs w:val="18"/>
              </w:rPr>
              <w:t>443</w:t>
            </w:r>
          </w:p>
        </w:tc>
        <w:tc>
          <w:tcPr>
            <w:tcW w:w="0" w:type="auto"/>
            <w:vAlign w:val="center"/>
            <w:hideMark/>
          </w:tcPr>
          <w:p w14:paraId="4E07C51A" w14:textId="77777777" w:rsidR="00DE10D7" w:rsidRPr="00DE10D7" w:rsidRDefault="00DE10D7" w:rsidP="00DE10D7">
            <w:pPr>
              <w:pStyle w:val="NormalWeb"/>
              <w:jc w:val="center"/>
              <w:rPr>
                <w:sz w:val="18"/>
                <w:szCs w:val="18"/>
              </w:rPr>
            </w:pPr>
            <w:r w:rsidRPr="00DE10D7">
              <w:rPr>
                <w:sz w:val="18"/>
                <w:szCs w:val="18"/>
              </w:rPr>
              <w:t>65.5</w:t>
            </w:r>
            <w:r w:rsidRPr="00DE10D7">
              <w:rPr>
                <w:sz w:val="18"/>
                <w:szCs w:val="18"/>
              </w:rPr>
              <w:br/>
              <w:t>(42.4–88.5)</w:t>
            </w:r>
          </w:p>
        </w:tc>
      </w:tr>
      <w:tr w:rsidR="002E4CD9" w:rsidRPr="00DE10D7" w14:paraId="051ED940" w14:textId="77777777" w:rsidTr="002E4CD9">
        <w:tblPrEx>
          <w:tblCellMar>
            <w:top w:w="57" w:type="dxa"/>
            <w:left w:w="57" w:type="dxa"/>
            <w:bottom w:w="57" w:type="dxa"/>
            <w:right w:w="57" w:type="dxa"/>
          </w:tblCellMar>
        </w:tblPrEx>
        <w:tc>
          <w:tcPr>
            <w:tcW w:w="0" w:type="auto"/>
            <w:vAlign w:val="center"/>
            <w:hideMark/>
          </w:tcPr>
          <w:p w14:paraId="6AFD3090" w14:textId="77777777" w:rsidR="00DE10D7" w:rsidRPr="00DE10D7" w:rsidRDefault="00DE10D7" w:rsidP="00DE10D7">
            <w:pPr>
              <w:pStyle w:val="NormalWeb"/>
              <w:rPr>
                <w:sz w:val="18"/>
                <w:szCs w:val="18"/>
              </w:rPr>
            </w:pPr>
            <w:r w:rsidRPr="00DE10D7">
              <w:rPr>
                <w:sz w:val="18"/>
                <w:szCs w:val="18"/>
              </w:rPr>
              <w:t>20–24</w:t>
            </w:r>
          </w:p>
        </w:tc>
        <w:tc>
          <w:tcPr>
            <w:tcW w:w="0" w:type="auto"/>
            <w:vAlign w:val="center"/>
            <w:hideMark/>
          </w:tcPr>
          <w:p w14:paraId="0E3D06C4" w14:textId="77777777" w:rsidR="00DE10D7" w:rsidRPr="00DE10D7" w:rsidRDefault="00DE10D7" w:rsidP="00DE10D7">
            <w:pPr>
              <w:pStyle w:val="NormalWeb"/>
              <w:jc w:val="center"/>
              <w:rPr>
                <w:sz w:val="18"/>
                <w:szCs w:val="18"/>
              </w:rPr>
            </w:pPr>
            <w:r w:rsidRPr="00DE10D7">
              <w:rPr>
                <w:sz w:val="18"/>
                <w:szCs w:val="18"/>
              </w:rPr>
              <w:t>15</w:t>
            </w:r>
          </w:p>
        </w:tc>
        <w:tc>
          <w:tcPr>
            <w:tcW w:w="0" w:type="auto"/>
            <w:vAlign w:val="center"/>
            <w:hideMark/>
          </w:tcPr>
          <w:p w14:paraId="563949D2" w14:textId="77777777" w:rsidR="00DE10D7" w:rsidRPr="00DE10D7" w:rsidRDefault="00DE10D7" w:rsidP="00DE10D7">
            <w:pPr>
              <w:pStyle w:val="NormalWeb"/>
              <w:jc w:val="center"/>
              <w:rPr>
                <w:sz w:val="18"/>
                <w:szCs w:val="18"/>
              </w:rPr>
            </w:pPr>
            <w:r w:rsidRPr="00DE10D7">
              <w:rPr>
                <w:sz w:val="18"/>
                <w:szCs w:val="18"/>
              </w:rPr>
              <w:t>96</w:t>
            </w:r>
          </w:p>
        </w:tc>
        <w:tc>
          <w:tcPr>
            <w:tcW w:w="0" w:type="auto"/>
            <w:vAlign w:val="center"/>
            <w:hideMark/>
          </w:tcPr>
          <w:p w14:paraId="02E94228" w14:textId="1C4191E9" w:rsidR="00DE10D7" w:rsidRPr="00DE10D7" w:rsidRDefault="00DE10D7" w:rsidP="00DE10D7">
            <w:pPr>
              <w:pStyle w:val="NormalWeb"/>
              <w:jc w:val="center"/>
              <w:rPr>
                <w:sz w:val="18"/>
                <w:szCs w:val="18"/>
              </w:rPr>
            </w:pPr>
            <w:r w:rsidRPr="00DE10D7">
              <w:rPr>
                <w:sz w:val="18"/>
                <w:szCs w:val="18"/>
              </w:rPr>
              <w:t>156.3</w:t>
            </w:r>
            <w:r w:rsidR="002E4CD9">
              <w:rPr>
                <w:sz w:val="18"/>
                <w:szCs w:val="18"/>
              </w:rPr>
              <w:br/>
            </w:r>
            <w:r w:rsidRPr="00DE10D7">
              <w:rPr>
                <w:sz w:val="18"/>
                <w:szCs w:val="18"/>
              </w:rPr>
              <w:t>(83.6–228.9)</w:t>
            </w:r>
          </w:p>
        </w:tc>
        <w:tc>
          <w:tcPr>
            <w:tcW w:w="0" w:type="auto"/>
            <w:vAlign w:val="center"/>
            <w:hideMark/>
          </w:tcPr>
          <w:p w14:paraId="499BA7D0"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7381A1A4" w14:textId="77777777" w:rsidR="00DE10D7" w:rsidRPr="00DE10D7" w:rsidRDefault="00DE10D7" w:rsidP="00DE10D7">
            <w:pPr>
              <w:pStyle w:val="NormalWeb"/>
              <w:jc w:val="center"/>
              <w:rPr>
                <w:sz w:val="18"/>
                <w:szCs w:val="18"/>
              </w:rPr>
            </w:pPr>
            <w:r w:rsidRPr="00DE10D7">
              <w:rPr>
                <w:sz w:val="18"/>
                <w:szCs w:val="18"/>
              </w:rPr>
              <w:t>97</w:t>
            </w:r>
          </w:p>
        </w:tc>
        <w:tc>
          <w:tcPr>
            <w:tcW w:w="0" w:type="auto"/>
            <w:vAlign w:val="center"/>
            <w:hideMark/>
          </w:tcPr>
          <w:p w14:paraId="0D001496" w14:textId="38BF0E53" w:rsidR="00DE10D7" w:rsidRPr="00DE10D7" w:rsidRDefault="00DE10D7" w:rsidP="00DE10D7">
            <w:pPr>
              <w:pStyle w:val="NormalWeb"/>
              <w:jc w:val="center"/>
              <w:rPr>
                <w:sz w:val="18"/>
                <w:szCs w:val="18"/>
              </w:rPr>
            </w:pPr>
            <w:r w:rsidRPr="00DE10D7">
              <w:rPr>
                <w:sz w:val="18"/>
                <w:szCs w:val="18"/>
              </w:rPr>
              <w:t>51.5</w:t>
            </w:r>
            <w:r w:rsidR="002E4CD9">
              <w:rPr>
                <w:sz w:val="18"/>
                <w:szCs w:val="18"/>
              </w:rPr>
              <w:br/>
            </w:r>
            <w:r w:rsidRPr="00DE10D7">
              <w:rPr>
                <w:sz w:val="18"/>
                <w:szCs w:val="18"/>
              </w:rPr>
              <w:t>(7.5–95.5)</w:t>
            </w:r>
          </w:p>
        </w:tc>
        <w:tc>
          <w:tcPr>
            <w:tcW w:w="0" w:type="auto"/>
            <w:vAlign w:val="center"/>
            <w:hideMark/>
          </w:tcPr>
          <w:p w14:paraId="57226A19" w14:textId="77777777" w:rsidR="00DE10D7" w:rsidRPr="00DE10D7" w:rsidRDefault="00DE10D7" w:rsidP="00DE10D7">
            <w:pPr>
              <w:pStyle w:val="NormalWeb"/>
              <w:jc w:val="center"/>
              <w:rPr>
                <w:sz w:val="18"/>
                <w:szCs w:val="18"/>
              </w:rPr>
            </w:pPr>
            <w:proofErr w:type="spellStart"/>
            <w:r w:rsidRPr="00DE10D7">
              <w:rPr>
                <w:sz w:val="18"/>
                <w:szCs w:val="18"/>
              </w:rPr>
              <w:t>NA</w:t>
            </w:r>
            <w:r w:rsidRPr="002E4CD9">
              <w:rPr>
                <w:sz w:val="18"/>
                <w:szCs w:val="18"/>
                <w:vertAlign w:val="superscript"/>
              </w:rPr>
              <w:t>a</w:t>
            </w:r>
            <w:proofErr w:type="spellEnd"/>
          </w:p>
        </w:tc>
        <w:tc>
          <w:tcPr>
            <w:tcW w:w="0" w:type="auto"/>
            <w:vAlign w:val="center"/>
            <w:hideMark/>
          </w:tcPr>
          <w:p w14:paraId="5E4D3658"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532AB212"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27FE5028" w14:textId="77777777" w:rsidR="00DE10D7" w:rsidRPr="00DE10D7" w:rsidRDefault="00DE10D7" w:rsidP="00DE10D7">
            <w:pPr>
              <w:pStyle w:val="NormalWeb"/>
              <w:jc w:val="center"/>
              <w:rPr>
                <w:sz w:val="18"/>
                <w:szCs w:val="18"/>
              </w:rPr>
            </w:pPr>
            <w:r w:rsidRPr="00DE10D7">
              <w:rPr>
                <w:sz w:val="18"/>
                <w:szCs w:val="18"/>
              </w:rPr>
              <w:t>20</w:t>
            </w:r>
          </w:p>
        </w:tc>
        <w:tc>
          <w:tcPr>
            <w:tcW w:w="0" w:type="auto"/>
            <w:vAlign w:val="center"/>
            <w:hideMark/>
          </w:tcPr>
          <w:p w14:paraId="6255CC6C" w14:textId="77777777" w:rsidR="00DE10D7" w:rsidRPr="00DE10D7" w:rsidRDefault="00DE10D7" w:rsidP="00DE10D7">
            <w:pPr>
              <w:pStyle w:val="NormalWeb"/>
              <w:jc w:val="center"/>
              <w:rPr>
                <w:sz w:val="18"/>
                <w:szCs w:val="18"/>
              </w:rPr>
            </w:pPr>
            <w:r w:rsidRPr="00DE10D7">
              <w:rPr>
                <w:sz w:val="18"/>
                <w:szCs w:val="18"/>
              </w:rPr>
              <w:t>193</w:t>
            </w:r>
          </w:p>
        </w:tc>
        <w:tc>
          <w:tcPr>
            <w:tcW w:w="0" w:type="auto"/>
            <w:vAlign w:val="center"/>
            <w:hideMark/>
          </w:tcPr>
          <w:p w14:paraId="1090266D" w14:textId="77777777" w:rsidR="00DE10D7" w:rsidRPr="00DE10D7" w:rsidRDefault="00DE10D7" w:rsidP="00DE10D7">
            <w:pPr>
              <w:pStyle w:val="NormalWeb"/>
              <w:jc w:val="center"/>
              <w:rPr>
                <w:sz w:val="18"/>
                <w:szCs w:val="18"/>
              </w:rPr>
            </w:pPr>
            <w:r w:rsidRPr="00DE10D7">
              <w:rPr>
                <w:sz w:val="18"/>
                <w:szCs w:val="18"/>
              </w:rPr>
              <w:t>103.6</w:t>
            </w:r>
            <w:r w:rsidRPr="00DE10D7">
              <w:rPr>
                <w:sz w:val="18"/>
                <w:szCs w:val="18"/>
              </w:rPr>
              <w:br/>
              <w:t>(60.6–146.6)</w:t>
            </w:r>
          </w:p>
        </w:tc>
      </w:tr>
      <w:tr w:rsidR="002E4CD9" w:rsidRPr="00DE10D7" w14:paraId="5E8EC176" w14:textId="77777777" w:rsidTr="002E4CD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0B8121D4" w14:textId="77777777" w:rsidR="00DE10D7" w:rsidRPr="00DE10D7" w:rsidRDefault="00DE10D7" w:rsidP="00DE10D7">
            <w:pPr>
              <w:pStyle w:val="NormalWeb"/>
              <w:rPr>
                <w:sz w:val="18"/>
                <w:szCs w:val="18"/>
              </w:rPr>
            </w:pPr>
            <w:r w:rsidRPr="00DE10D7">
              <w:rPr>
                <w:sz w:val="18"/>
                <w:szCs w:val="18"/>
              </w:rPr>
              <w:t>25–29</w:t>
            </w:r>
          </w:p>
        </w:tc>
        <w:tc>
          <w:tcPr>
            <w:tcW w:w="0" w:type="auto"/>
            <w:vAlign w:val="center"/>
            <w:hideMark/>
          </w:tcPr>
          <w:p w14:paraId="73FB709E"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101C5CDB" w14:textId="77777777" w:rsidR="00DE10D7" w:rsidRPr="00DE10D7" w:rsidRDefault="00DE10D7" w:rsidP="00DE10D7">
            <w:pPr>
              <w:pStyle w:val="NormalWeb"/>
              <w:jc w:val="center"/>
              <w:rPr>
                <w:sz w:val="18"/>
                <w:szCs w:val="18"/>
              </w:rPr>
            </w:pPr>
            <w:r w:rsidRPr="00DE10D7">
              <w:rPr>
                <w:sz w:val="18"/>
                <w:szCs w:val="18"/>
              </w:rPr>
              <w:t>87</w:t>
            </w:r>
          </w:p>
        </w:tc>
        <w:tc>
          <w:tcPr>
            <w:tcW w:w="0" w:type="auto"/>
            <w:vAlign w:val="center"/>
            <w:hideMark/>
          </w:tcPr>
          <w:p w14:paraId="765D79C0" w14:textId="533CF73A" w:rsidR="00DE10D7" w:rsidRPr="00DE10D7" w:rsidRDefault="00DE10D7" w:rsidP="00DE10D7">
            <w:pPr>
              <w:pStyle w:val="NormalWeb"/>
              <w:jc w:val="center"/>
              <w:rPr>
                <w:sz w:val="18"/>
                <w:szCs w:val="18"/>
              </w:rPr>
            </w:pPr>
            <w:r w:rsidRPr="00DE10D7">
              <w:rPr>
                <w:sz w:val="18"/>
                <w:szCs w:val="18"/>
              </w:rPr>
              <w:t>57.5</w:t>
            </w:r>
            <w:r w:rsidR="002E4CD9">
              <w:rPr>
                <w:sz w:val="18"/>
                <w:szCs w:val="18"/>
              </w:rPr>
              <w:br/>
            </w:r>
            <w:r w:rsidRPr="00DE10D7">
              <w:rPr>
                <w:sz w:val="18"/>
                <w:szCs w:val="18"/>
              </w:rPr>
              <w:t>(8.6–106.4)</w:t>
            </w:r>
          </w:p>
        </w:tc>
        <w:tc>
          <w:tcPr>
            <w:tcW w:w="0" w:type="auto"/>
            <w:vAlign w:val="center"/>
            <w:hideMark/>
          </w:tcPr>
          <w:p w14:paraId="7B14A778" w14:textId="77777777" w:rsidR="00DE10D7" w:rsidRPr="00DE10D7" w:rsidRDefault="00DE10D7" w:rsidP="00DE10D7">
            <w:pPr>
              <w:pStyle w:val="NormalWeb"/>
              <w:jc w:val="center"/>
              <w:rPr>
                <w:sz w:val="18"/>
                <w:szCs w:val="18"/>
              </w:rPr>
            </w:pPr>
            <w:r w:rsidRPr="00DE10D7">
              <w:rPr>
                <w:sz w:val="18"/>
                <w:szCs w:val="18"/>
              </w:rPr>
              <w:t>2</w:t>
            </w:r>
          </w:p>
        </w:tc>
        <w:tc>
          <w:tcPr>
            <w:tcW w:w="0" w:type="auto"/>
            <w:vAlign w:val="center"/>
            <w:hideMark/>
          </w:tcPr>
          <w:p w14:paraId="62699603" w14:textId="77777777" w:rsidR="00DE10D7" w:rsidRPr="00DE10D7" w:rsidRDefault="00DE10D7" w:rsidP="00DE10D7">
            <w:pPr>
              <w:pStyle w:val="NormalWeb"/>
              <w:jc w:val="center"/>
              <w:rPr>
                <w:sz w:val="18"/>
                <w:szCs w:val="18"/>
              </w:rPr>
            </w:pPr>
            <w:r w:rsidRPr="00DE10D7">
              <w:rPr>
                <w:sz w:val="18"/>
                <w:szCs w:val="18"/>
              </w:rPr>
              <w:t>137</w:t>
            </w:r>
          </w:p>
        </w:tc>
        <w:tc>
          <w:tcPr>
            <w:tcW w:w="0" w:type="auto"/>
            <w:vAlign w:val="center"/>
            <w:hideMark/>
          </w:tcPr>
          <w:p w14:paraId="0B875769" w14:textId="3DCA9066" w:rsidR="00DE10D7" w:rsidRPr="00DE10D7" w:rsidRDefault="00DE10D7" w:rsidP="00DE10D7">
            <w:pPr>
              <w:pStyle w:val="NormalWeb"/>
              <w:jc w:val="center"/>
              <w:rPr>
                <w:sz w:val="18"/>
                <w:szCs w:val="18"/>
              </w:rPr>
            </w:pPr>
            <w:r w:rsidRPr="00DE10D7">
              <w:rPr>
                <w:sz w:val="18"/>
                <w:szCs w:val="18"/>
              </w:rPr>
              <w:t>14.6</w:t>
            </w:r>
            <w:r w:rsidR="002E4CD9">
              <w:rPr>
                <w:sz w:val="18"/>
                <w:szCs w:val="18"/>
              </w:rPr>
              <w:br/>
            </w:r>
            <w:r w:rsidRPr="00DE10D7">
              <w:rPr>
                <w:sz w:val="18"/>
                <w:szCs w:val="18"/>
              </w:rPr>
              <w:t>(0–34.7)</w:t>
            </w:r>
          </w:p>
        </w:tc>
        <w:tc>
          <w:tcPr>
            <w:tcW w:w="0" w:type="auto"/>
            <w:vAlign w:val="center"/>
            <w:hideMark/>
          </w:tcPr>
          <w:p w14:paraId="62311A0E"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10C16CCC"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67777C30"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6DE43279" w14:textId="77777777" w:rsidR="00DE10D7" w:rsidRPr="00DE10D7" w:rsidRDefault="00DE10D7" w:rsidP="00DE10D7">
            <w:pPr>
              <w:pStyle w:val="NormalWeb"/>
              <w:jc w:val="center"/>
              <w:rPr>
                <w:sz w:val="18"/>
                <w:szCs w:val="18"/>
              </w:rPr>
            </w:pPr>
            <w:r w:rsidRPr="00DE10D7">
              <w:rPr>
                <w:sz w:val="18"/>
                <w:szCs w:val="18"/>
              </w:rPr>
              <w:t>7</w:t>
            </w:r>
          </w:p>
        </w:tc>
        <w:tc>
          <w:tcPr>
            <w:tcW w:w="0" w:type="auto"/>
            <w:vAlign w:val="center"/>
            <w:hideMark/>
          </w:tcPr>
          <w:p w14:paraId="66714184" w14:textId="77777777" w:rsidR="00DE10D7" w:rsidRPr="00DE10D7" w:rsidRDefault="00DE10D7" w:rsidP="00DE10D7">
            <w:pPr>
              <w:pStyle w:val="NormalWeb"/>
              <w:jc w:val="center"/>
              <w:rPr>
                <w:sz w:val="18"/>
                <w:szCs w:val="18"/>
              </w:rPr>
            </w:pPr>
            <w:r w:rsidRPr="00DE10D7">
              <w:rPr>
                <w:sz w:val="18"/>
                <w:szCs w:val="18"/>
              </w:rPr>
              <w:t>224</w:t>
            </w:r>
          </w:p>
        </w:tc>
        <w:tc>
          <w:tcPr>
            <w:tcW w:w="0" w:type="auto"/>
            <w:vAlign w:val="center"/>
            <w:hideMark/>
          </w:tcPr>
          <w:p w14:paraId="21EB6502" w14:textId="77777777" w:rsidR="00DE10D7" w:rsidRPr="00DE10D7" w:rsidRDefault="00DE10D7" w:rsidP="00DE10D7">
            <w:pPr>
              <w:pStyle w:val="NormalWeb"/>
              <w:jc w:val="center"/>
              <w:rPr>
                <w:sz w:val="18"/>
                <w:szCs w:val="18"/>
              </w:rPr>
            </w:pPr>
            <w:r w:rsidRPr="00DE10D7">
              <w:rPr>
                <w:sz w:val="18"/>
                <w:szCs w:val="18"/>
              </w:rPr>
              <w:t>31.3</w:t>
            </w:r>
            <w:r w:rsidRPr="00DE10D7">
              <w:rPr>
                <w:sz w:val="18"/>
                <w:szCs w:val="18"/>
              </w:rPr>
              <w:br/>
              <w:t>(8.5–54.0)</w:t>
            </w:r>
          </w:p>
        </w:tc>
      </w:tr>
      <w:tr w:rsidR="002E4CD9" w:rsidRPr="00DE10D7" w14:paraId="1CC5D76D" w14:textId="77777777" w:rsidTr="002E4CD9">
        <w:tblPrEx>
          <w:tblCellMar>
            <w:top w:w="57" w:type="dxa"/>
            <w:left w:w="57" w:type="dxa"/>
            <w:bottom w:w="57" w:type="dxa"/>
            <w:right w:w="57" w:type="dxa"/>
          </w:tblCellMar>
        </w:tblPrEx>
        <w:tc>
          <w:tcPr>
            <w:tcW w:w="0" w:type="auto"/>
            <w:vAlign w:val="center"/>
            <w:hideMark/>
          </w:tcPr>
          <w:p w14:paraId="25A0AD80" w14:textId="77777777" w:rsidR="00DE10D7" w:rsidRPr="00DE10D7" w:rsidRDefault="00DE10D7" w:rsidP="00DE10D7">
            <w:pPr>
              <w:pStyle w:val="NormalWeb"/>
              <w:rPr>
                <w:sz w:val="18"/>
                <w:szCs w:val="18"/>
              </w:rPr>
            </w:pPr>
            <w:r w:rsidRPr="00DE10D7">
              <w:rPr>
                <w:sz w:val="18"/>
                <w:szCs w:val="18"/>
              </w:rPr>
              <w:t>30–34</w:t>
            </w:r>
          </w:p>
        </w:tc>
        <w:tc>
          <w:tcPr>
            <w:tcW w:w="0" w:type="auto"/>
            <w:vAlign w:val="center"/>
            <w:hideMark/>
          </w:tcPr>
          <w:p w14:paraId="202CD4FA"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72F34D9D" w14:textId="77777777" w:rsidR="00DE10D7" w:rsidRPr="00DE10D7" w:rsidRDefault="00DE10D7" w:rsidP="00DE10D7">
            <w:pPr>
              <w:pStyle w:val="NormalWeb"/>
              <w:jc w:val="center"/>
              <w:rPr>
                <w:sz w:val="18"/>
                <w:szCs w:val="18"/>
              </w:rPr>
            </w:pPr>
            <w:r w:rsidRPr="00DE10D7">
              <w:rPr>
                <w:sz w:val="18"/>
                <w:szCs w:val="18"/>
              </w:rPr>
              <w:t>54</w:t>
            </w:r>
          </w:p>
        </w:tc>
        <w:tc>
          <w:tcPr>
            <w:tcW w:w="0" w:type="auto"/>
            <w:vAlign w:val="center"/>
            <w:hideMark/>
          </w:tcPr>
          <w:p w14:paraId="359EE8D8" w14:textId="4B13C92D" w:rsidR="00DE10D7" w:rsidRPr="00DE10D7" w:rsidRDefault="00DE10D7" w:rsidP="00DE10D7">
            <w:pPr>
              <w:pStyle w:val="NormalWeb"/>
              <w:jc w:val="center"/>
              <w:rPr>
                <w:sz w:val="18"/>
                <w:szCs w:val="18"/>
              </w:rPr>
            </w:pPr>
            <w:r w:rsidRPr="00DE10D7">
              <w:rPr>
                <w:sz w:val="18"/>
                <w:szCs w:val="18"/>
              </w:rPr>
              <w:t>92.6</w:t>
            </w:r>
            <w:r w:rsidR="002E4CD9">
              <w:rPr>
                <w:sz w:val="18"/>
                <w:szCs w:val="18"/>
              </w:rPr>
              <w:br/>
            </w:r>
            <w:r w:rsidRPr="00DE10D7">
              <w:rPr>
                <w:sz w:val="18"/>
                <w:szCs w:val="18"/>
              </w:rPr>
              <w:t>(15.3–169.9)</w:t>
            </w:r>
          </w:p>
        </w:tc>
        <w:tc>
          <w:tcPr>
            <w:tcW w:w="0" w:type="auto"/>
            <w:vAlign w:val="center"/>
            <w:hideMark/>
          </w:tcPr>
          <w:p w14:paraId="2C5777EB"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32A036DB" w14:textId="77777777" w:rsidR="00DE10D7" w:rsidRPr="00DE10D7" w:rsidRDefault="00DE10D7" w:rsidP="00DE10D7">
            <w:pPr>
              <w:pStyle w:val="NormalWeb"/>
              <w:jc w:val="center"/>
              <w:rPr>
                <w:sz w:val="18"/>
                <w:szCs w:val="18"/>
              </w:rPr>
            </w:pPr>
            <w:r w:rsidRPr="00DE10D7">
              <w:rPr>
                <w:sz w:val="18"/>
                <w:szCs w:val="18"/>
              </w:rPr>
              <w:t>125</w:t>
            </w:r>
          </w:p>
        </w:tc>
        <w:tc>
          <w:tcPr>
            <w:tcW w:w="0" w:type="auto"/>
            <w:vAlign w:val="center"/>
            <w:hideMark/>
          </w:tcPr>
          <w:p w14:paraId="13DA5E70" w14:textId="2247476F" w:rsidR="00DE10D7" w:rsidRPr="00DE10D7" w:rsidRDefault="00DE10D7" w:rsidP="00DE10D7">
            <w:pPr>
              <w:pStyle w:val="NormalWeb"/>
              <w:jc w:val="center"/>
              <w:rPr>
                <w:sz w:val="18"/>
                <w:szCs w:val="18"/>
              </w:rPr>
            </w:pPr>
            <w:r w:rsidRPr="00DE10D7">
              <w:rPr>
                <w:sz w:val="18"/>
                <w:szCs w:val="18"/>
              </w:rPr>
              <w:t>8.0</w:t>
            </w:r>
            <w:r w:rsidR="002E4CD9">
              <w:rPr>
                <w:sz w:val="18"/>
                <w:szCs w:val="18"/>
              </w:rPr>
              <w:br/>
            </w:r>
            <w:r w:rsidRPr="00DE10D7">
              <w:rPr>
                <w:sz w:val="18"/>
                <w:szCs w:val="18"/>
              </w:rPr>
              <w:t>(0–23.6)</w:t>
            </w:r>
          </w:p>
        </w:tc>
        <w:tc>
          <w:tcPr>
            <w:tcW w:w="0" w:type="auto"/>
            <w:vAlign w:val="center"/>
            <w:hideMark/>
          </w:tcPr>
          <w:p w14:paraId="3B659EDE"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448C7C9F"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5C95AEA9"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755A6D7F" w14:textId="77777777" w:rsidR="00DE10D7" w:rsidRPr="00DE10D7" w:rsidRDefault="00DE10D7" w:rsidP="00DE10D7">
            <w:pPr>
              <w:pStyle w:val="NormalWeb"/>
              <w:jc w:val="center"/>
              <w:rPr>
                <w:sz w:val="18"/>
                <w:szCs w:val="18"/>
              </w:rPr>
            </w:pPr>
            <w:r w:rsidRPr="00DE10D7">
              <w:rPr>
                <w:sz w:val="18"/>
                <w:szCs w:val="18"/>
              </w:rPr>
              <w:t>6</w:t>
            </w:r>
          </w:p>
        </w:tc>
        <w:tc>
          <w:tcPr>
            <w:tcW w:w="0" w:type="auto"/>
            <w:vAlign w:val="center"/>
            <w:hideMark/>
          </w:tcPr>
          <w:p w14:paraId="292794C1" w14:textId="77777777" w:rsidR="00DE10D7" w:rsidRPr="00DE10D7" w:rsidRDefault="00DE10D7" w:rsidP="00DE10D7">
            <w:pPr>
              <w:pStyle w:val="NormalWeb"/>
              <w:jc w:val="center"/>
              <w:rPr>
                <w:sz w:val="18"/>
                <w:szCs w:val="18"/>
              </w:rPr>
            </w:pPr>
            <w:r w:rsidRPr="00DE10D7">
              <w:rPr>
                <w:sz w:val="18"/>
                <w:szCs w:val="18"/>
              </w:rPr>
              <w:t>179</w:t>
            </w:r>
          </w:p>
        </w:tc>
        <w:tc>
          <w:tcPr>
            <w:tcW w:w="0" w:type="auto"/>
            <w:vAlign w:val="center"/>
            <w:hideMark/>
          </w:tcPr>
          <w:p w14:paraId="6E826E14" w14:textId="77777777" w:rsidR="00DE10D7" w:rsidRPr="00DE10D7" w:rsidRDefault="00DE10D7" w:rsidP="00DE10D7">
            <w:pPr>
              <w:pStyle w:val="NormalWeb"/>
              <w:jc w:val="center"/>
              <w:rPr>
                <w:sz w:val="18"/>
                <w:szCs w:val="18"/>
              </w:rPr>
            </w:pPr>
            <w:r w:rsidRPr="00DE10D7">
              <w:rPr>
                <w:sz w:val="18"/>
                <w:szCs w:val="18"/>
              </w:rPr>
              <w:t>33.5</w:t>
            </w:r>
            <w:r w:rsidRPr="00DE10D7">
              <w:rPr>
                <w:sz w:val="18"/>
                <w:szCs w:val="18"/>
              </w:rPr>
              <w:br/>
              <w:t>(7.2–59.9)</w:t>
            </w:r>
          </w:p>
        </w:tc>
      </w:tr>
      <w:tr w:rsidR="002E4CD9" w:rsidRPr="00DE10D7" w14:paraId="4EF4E911" w14:textId="77777777" w:rsidTr="002E4CD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6CE62246" w14:textId="77777777" w:rsidR="00DE10D7" w:rsidRPr="00DE10D7" w:rsidRDefault="00DE10D7" w:rsidP="00DE10D7">
            <w:pPr>
              <w:pStyle w:val="NormalWeb"/>
              <w:rPr>
                <w:sz w:val="18"/>
                <w:szCs w:val="18"/>
              </w:rPr>
            </w:pPr>
            <w:r w:rsidRPr="00DE10D7">
              <w:rPr>
                <w:sz w:val="18"/>
                <w:szCs w:val="18"/>
              </w:rPr>
              <w:t>35–39</w:t>
            </w:r>
          </w:p>
        </w:tc>
        <w:tc>
          <w:tcPr>
            <w:tcW w:w="0" w:type="auto"/>
            <w:vAlign w:val="center"/>
            <w:hideMark/>
          </w:tcPr>
          <w:p w14:paraId="53BDC1AD"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31BBF991" w14:textId="77777777" w:rsidR="00DE10D7" w:rsidRPr="00DE10D7" w:rsidRDefault="00DE10D7" w:rsidP="00DE10D7">
            <w:pPr>
              <w:pStyle w:val="NormalWeb"/>
              <w:jc w:val="center"/>
              <w:rPr>
                <w:sz w:val="18"/>
                <w:szCs w:val="18"/>
              </w:rPr>
            </w:pPr>
            <w:r w:rsidRPr="00DE10D7">
              <w:rPr>
                <w:sz w:val="18"/>
                <w:szCs w:val="18"/>
              </w:rPr>
              <w:t>65</w:t>
            </w:r>
          </w:p>
        </w:tc>
        <w:tc>
          <w:tcPr>
            <w:tcW w:w="0" w:type="auto"/>
            <w:vAlign w:val="center"/>
            <w:hideMark/>
          </w:tcPr>
          <w:p w14:paraId="32140A23" w14:textId="61DAA7A3" w:rsidR="00DE10D7" w:rsidRPr="00DE10D7" w:rsidRDefault="00DE10D7" w:rsidP="00DE10D7">
            <w:pPr>
              <w:pStyle w:val="NormalWeb"/>
              <w:jc w:val="center"/>
              <w:rPr>
                <w:sz w:val="18"/>
                <w:szCs w:val="18"/>
              </w:rPr>
            </w:pPr>
            <w:r w:rsidRPr="00DE10D7">
              <w:rPr>
                <w:sz w:val="18"/>
                <w:szCs w:val="18"/>
              </w:rPr>
              <w:t>15.4</w:t>
            </w:r>
            <w:r w:rsidR="002E4CD9">
              <w:rPr>
                <w:sz w:val="18"/>
                <w:szCs w:val="18"/>
              </w:rPr>
              <w:br/>
            </w:r>
            <w:r w:rsidRPr="00DE10D7">
              <w:rPr>
                <w:sz w:val="18"/>
                <w:szCs w:val="18"/>
              </w:rPr>
              <w:t>(0–45.3)</w:t>
            </w:r>
          </w:p>
        </w:tc>
        <w:tc>
          <w:tcPr>
            <w:tcW w:w="0" w:type="auto"/>
            <w:vAlign w:val="center"/>
            <w:hideMark/>
          </w:tcPr>
          <w:p w14:paraId="45D5A93F"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30CAA922" w14:textId="77777777" w:rsidR="00DE10D7" w:rsidRPr="00DE10D7" w:rsidRDefault="00DE10D7" w:rsidP="00DE10D7">
            <w:pPr>
              <w:pStyle w:val="NormalWeb"/>
              <w:jc w:val="center"/>
              <w:rPr>
                <w:sz w:val="18"/>
                <w:szCs w:val="18"/>
              </w:rPr>
            </w:pPr>
            <w:r w:rsidRPr="00DE10D7">
              <w:rPr>
                <w:sz w:val="18"/>
                <w:szCs w:val="18"/>
              </w:rPr>
              <w:t>98</w:t>
            </w:r>
          </w:p>
        </w:tc>
        <w:tc>
          <w:tcPr>
            <w:tcW w:w="0" w:type="auto"/>
            <w:vAlign w:val="center"/>
            <w:hideMark/>
          </w:tcPr>
          <w:p w14:paraId="1E467189" w14:textId="54908A97" w:rsidR="00DE10D7" w:rsidRPr="00DE10D7" w:rsidRDefault="00DE10D7" w:rsidP="00DE10D7">
            <w:pPr>
              <w:pStyle w:val="NormalWeb"/>
              <w:jc w:val="center"/>
              <w:rPr>
                <w:sz w:val="18"/>
                <w:szCs w:val="18"/>
              </w:rPr>
            </w:pPr>
            <w:r w:rsidRPr="00DE10D7">
              <w:rPr>
                <w:sz w:val="18"/>
                <w:szCs w:val="18"/>
              </w:rPr>
              <w:t>10.2</w:t>
            </w:r>
            <w:r w:rsidR="002E4CD9">
              <w:rPr>
                <w:sz w:val="18"/>
                <w:szCs w:val="18"/>
              </w:rPr>
              <w:br/>
            </w:r>
            <w:r w:rsidRPr="00DE10D7">
              <w:rPr>
                <w:sz w:val="18"/>
                <w:szCs w:val="18"/>
              </w:rPr>
              <w:t>(0–30.1)</w:t>
            </w:r>
          </w:p>
        </w:tc>
        <w:tc>
          <w:tcPr>
            <w:tcW w:w="0" w:type="auto"/>
            <w:vAlign w:val="center"/>
            <w:hideMark/>
          </w:tcPr>
          <w:p w14:paraId="0F7E6865"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7F779313"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29523C6F"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52E543F7" w14:textId="77777777" w:rsidR="00DE10D7" w:rsidRPr="00DE10D7" w:rsidRDefault="00DE10D7" w:rsidP="00DE10D7">
            <w:pPr>
              <w:pStyle w:val="NormalWeb"/>
              <w:jc w:val="center"/>
              <w:rPr>
                <w:sz w:val="18"/>
                <w:szCs w:val="18"/>
              </w:rPr>
            </w:pPr>
            <w:r w:rsidRPr="00DE10D7">
              <w:rPr>
                <w:sz w:val="18"/>
                <w:szCs w:val="18"/>
              </w:rPr>
              <w:t>2</w:t>
            </w:r>
          </w:p>
        </w:tc>
        <w:tc>
          <w:tcPr>
            <w:tcW w:w="0" w:type="auto"/>
            <w:vAlign w:val="center"/>
            <w:hideMark/>
          </w:tcPr>
          <w:p w14:paraId="406D4C2C" w14:textId="77777777" w:rsidR="00DE10D7" w:rsidRPr="00DE10D7" w:rsidRDefault="00DE10D7" w:rsidP="00DE10D7">
            <w:pPr>
              <w:pStyle w:val="NormalWeb"/>
              <w:jc w:val="center"/>
              <w:rPr>
                <w:sz w:val="18"/>
                <w:szCs w:val="18"/>
              </w:rPr>
            </w:pPr>
            <w:r w:rsidRPr="00DE10D7">
              <w:rPr>
                <w:sz w:val="18"/>
                <w:szCs w:val="18"/>
              </w:rPr>
              <w:t>163</w:t>
            </w:r>
          </w:p>
        </w:tc>
        <w:tc>
          <w:tcPr>
            <w:tcW w:w="0" w:type="auto"/>
            <w:vAlign w:val="center"/>
            <w:hideMark/>
          </w:tcPr>
          <w:p w14:paraId="3C100DF9" w14:textId="77777777" w:rsidR="00DE10D7" w:rsidRPr="00DE10D7" w:rsidRDefault="00DE10D7" w:rsidP="00DE10D7">
            <w:pPr>
              <w:pStyle w:val="NormalWeb"/>
              <w:jc w:val="center"/>
              <w:rPr>
                <w:sz w:val="18"/>
                <w:szCs w:val="18"/>
              </w:rPr>
            </w:pPr>
            <w:r w:rsidRPr="00DE10D7">
              <w:rPr>
                <w:sz w:val="18"/>
                <w:szCs w:val="18"/>
              </w:rPr>
              <w:t>12.3</w:t>
            </w:r>
            <w:r w:rsidRPr="00DE10D7">
              <w:rPr>
                <w:sz w:val="18"/>
                <w:szCs w:val="18"/>
              </w:rPr>
              <w:br/>
              <w:t>(0–29.2)</w:t>
            </w:r>
          </w:p>
        </w:tc>
      </w:tr>
      <w:tr w:rsidR="002E4CD9" w:rsidRPr="00DE10D7" w14:paraId="7E71CEAF" w14:textId="77777777" w:rsidTr="002E4CD9">
        <w:tblPrEx>
          <w:tblCellMar>
            <w:top w:w="57" w:type="dxa"/>
            <w:left w:w="57" w:type="dxa"/>
            <w:bottom w:w="57" w:type="dxa"/>
            <w:right w:w="57" w:type="dxa"/>
          </w:tblCellMar>
        </w:tblPrEx>
        <w:tc>
          <w:tcPr>
            <w:tcW w:w="0" w:type="auto"/>
            <w:vAlign w:val="center"/>
            <w:hideMark/>
          </w:tcPr>
          <w:p w14:paraId="249E0253" w14:textId="77777777" w:rsidR="00DE10D7" w:rsidRPr="00DE10D7" w:rsidRDefault="00DE10D7" w:rsidP="00DE10D7">
            <w:pPr>
              <w:pStyle w:val="NormalWeb"/>
              <w:rPr>
                <w:sz w:val="18"/>
                <w:szCs w:val="18"/>
              </w:rPr>
            </w:pPr>
            <w:r w:rsidRPr="00DE10D7">
              <w:rPr>
                <w:sz w:val="18"/>
                <w:szCs w:val="18"/>
              </w:rPr>
              <w:t>40–44</w:t>
            </w:r>
          </w:p>
        </w:tc>
        <w:tc>
          <w:tcPr>
            <w:tcW w:w="0" w:type="auto"/>
            <w:vAlign w:val="center"/>
            <w:hideMark/>
          </w:tcPr>
          <w:p w14:paraId="5CCBF920"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18212BB3" w14:textId="77777777" w:rsidR="00DE10D7" w:rsidRPr="00DE10D7" w:rsidRDefault="00DE10D7" w:rsidP="00DE10D7">
            <w:pPr>
              <w:pStyle w:val="NormalWeb"/>
              <w:jc w:val="center"/>
              <w:rPr>
                <w:sz w:val="18"/>
                <w:szCs w:val="18"/>
              </w:rPr>
            </w:pPr>
            <w:r w:rsidRPr="00DE10D7">
              <w:rPr>
                <w:sz w:val="18"/>
                <w:szCs w:val="18"/>
              </w:rPr>
              <w:t>43</w:t>
            </w:r>
          </w:p>
        </w:tc>
        <w:tc>
          <w:tcPr>
            <w:tcW w:w="0" w:type="auto"/>
            <w:vAlign w:val="center"/>
            <w:hideMark/>
          </w:tcPr>
          <w:p w14:paraId="5D685229" w14:textId="5F1B26B7" w:rsidR="00DE10D7" w:rsidRPr="00DE10D7" w:rsidRDefault="00DE10D7" w:rsidP="00DE10D7">
            <w:pPr>
              <w:pStyle w:val="NormalWeb"/>
              <w:jc w:val="center"/>
              <w:rPr>
                <w:sz w:val="18"/>
                <w:szCs w:val="18"/>
              </w:rPr>
            </w:pPr>
            <w:r w:rsidRPr="00DE10D7">
              <w:rPr>
                <w:sz w:val="18"/>
                <w:szCs w:val="18"/>
              </w:rPr>
              <w:t>116.3</w:t>
            </w:r>
            <w:r w:rsidR="002E4CD9">
              <w:rPr>
                <w:sz w:val="18"/>
                <w:szCs w:val="18"/>
              </w:rPr>
              <w:br/>
            </w:r>
            <w:r w:rsidRPr="00DE10D7">
              <w:rPr>
                <w:sz w:val="18"/>
                <w:szCs w:val="18"/>
              </w:rPr>
              <w:t>(20.5–212.1)</w:t>
            </w:r>
          </w:p>
        </w:tc>
        <w:tc>
          <w:tcPr>
            <w:tcW w:w="0" w:type="auto"/>
            <w:vAlign w:val="center"/>
            <w:hideMark/>
          </w:tcPr>
          <w:p w14:paraId="0624C691"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4BE249B8" w14:textId="77777777" w:rsidR="00DE10D7" w:rsidRPr="00DE10D7" w:rsidRDefault="00DE10D7" w:rsidP="00DE10D7">
            <w:pPr>
              <w:pStyle w:val="NormalWeb"/>
              <w:jc w:val="center"/>
              <w:rPr>
                <w:sz w:val="18"/>
                <w:szCs w:val="18"/>
              </w:rPr>
            </w:pPr>
            <w:r w:rsidRPr="00DE10D7">
              <w:rPr>
                <w:sz w:val="18"/>
                <w:szCs w:val="18"/>
              </w:rPr>
              <w:t>62</w:t>
            </w:r>
          </w:p>
        </w:tc>
        <w:tc>
          <w:tcPr>
            <w:tcW w:w="0" w:type="auto"/>
            <w:vAlign w:val="center"/>
            <w:hideMark/>
          </w:tcPr>
          <w:p w14:paraId="4332F5A7"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1506F165"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46676E7B"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090646C5"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50D59E20" w14:textId="77777777" w:rsidR="00DE10D7" w:rsidRPr="00DE10D7" w:rsidRDefault="00DE10D7" w:rsidP="00DE10D7">
            <w:pPr>
              <w:pStyle w:val="NormalWeb"/>
              <w:jc w:val="center"/>
              <w:rPr>
                <w:sz w:val="18"/>
                <w:szCs w:val="18"/>
              </w:rPr>
            </w:pPr>
            <w:r w:rsidRPr="00DE10D7">
              <w:rPr>
                <w:sz w:val="18"/>
                <w:szCs w:val="18"/>
              </w:rPr>
              <w:t>5</w:t>
            </w:r>
          </w:p>
        </w:tc>
        <w:tc>
          <w:tcPr>
            <w:tcW w:w="0" w:type="auto"/>
            <w:vAlign w:val="center"/>
            <w:hideMark/>
          </w:tcPr>
          <w:p w14:paraId="2E20120F" w14:textId="77777777" w:rsidR="00DE10D7" w:rsidRPr="00DE10D7" w:rsidRDefault="00DE10D7" w:rsidP="00DE10D7">
            <w:pPr>
              <w:pStyle w:val="NormalWeb"/>
              <w:jc w:val="center"/>
              <w:rPr>
                <w:sz w:val="18"/>
                <w:szCs w:val="18"/>
              </w:rPr>
            </w:pPr>
            <w:r w:rsidRPr="00DE10D7">
              <w:rPr>
                <w:sz w:val="18"/>
                <w:szCs w:val="18"/>
              </w:rPr>
              <w:t>105</w:t>
            </w:r>
          </w:p>
        </w:tc>
        <w:tc>
          <w:tcPr>
            <w:tcW w:w="0" w:type="auto"/>
            <w:vAlign w:val="center"/>
            <w:hideMark/>
          </w:tcPr>
          <w:p w14:paraId="1F619A86" w14:textId="77777777" w:rsidR="00DE10D7" w:rsidRPr="00DE10D7" w:rsidRDefault="00DE10D7" w:rsidP="00DE10D7">
            <w:pPr>
              <w:pStyle w:val="NormalWeb"/>
              <w:jc w:val="center"/>
              <w:rPr>
                <w:sz w:val="18"/>
                <w:szCs w:val="18"/>
              </w:rPr>
            </w:pPr>
            <w:r w:rsidRPr="00DE10D7">
              <w:rPr>
                <w:sz w:val="18"/>
                <w:szCs w:val="18"/>
              </w:rPr>
              <w:t>47.6</w:t>
            </w:r>
            <w:r w:rsidRPr="00DE10D7">
              <w:rPr>
                <w:sz w:val="18"/>
                <w:szCs w:val="18"/>
              </w:rPr>
              <w:br/>
              <w:t>(6.9–88.4)</w:t>
            </w:r>
          </w:p>
        </w:tc>
      </w:tr>
      <w:tr w:rsidR="002E4CD9" w:rsidRPr="00DE10D7" w14:paraId="798A7250" w14:textId="77777777" w:rsidTr="002E4CD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6F12FEC4" w14:textId="77777777" w:rsidR="00DE10D7" w:rsidRPr="00DE10D7" w:rsidRDefault="00DE10D7" w:rsidP="00DE10D7">
            <w:pPr>
              <w:pStyle w:val="NormalWeb"/>
              <w:rPr>
                <w:sz w:val="18"/>
                <w:szCs w:val="18"/>
              </w:rPr>
            </w:pPr>
            <w:r w:rsidRPr="00DE10D7">
              <w:rPr>
                <w:sz w:val="18"/>
                <w:szCs w:val="18"/>
              </w:rPr>
              <w:t>45–49</w:t>
            </w:r>
          </w:p>
        </w:tc>
        <w:tc>
          <w:tcPr>
            <w:tcW w:w="0" w:type="auto"/>
            <w:vAlign w:val="center"/>
            <w:hideMark/>
          </w:tcPr>
          <w:p w14:paraId="46C49452"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7E7AF603" w14:textId="77777777" w:rsidR="00DE10D7" w:rsidRPr="00DE10D7" w:rsidRDefault="00DE10D7" w:rsidP="00DE10D7">
            <w:pPr>
              <w:pStyle w:val="NormalWeb"/>
              <w:jc w:val="center"/>
              <w:rPr>
                <w:sz w:val="18"/>
                <w:szCs w:val="18"/>
              </w:rPr>
            </w:pPr>
            <w:r w:rsidRPr="00DE10D7">
              <w:rPr>
                <w:sz w:val="18"/>
                <w:szCs w:val="18"/>
              </w:rPr>
              <w:t>64</w:t>
            </w:r>
          </w:p>
        </w:tc>
        <w:tc>
          <w:tcPr>
            <w:tcW w:w="0" w:type="auto"/>
            <w:vAlign w:val="center"/>
            <w:hideMark/>
          </w:tcPr>
          <w:p w14:paraId="0C44B272" w14:textId="08C76E10" w:rsidR="00DE10D7" w:rsidRPr="00DE10D7" w:rsidRDefault="00DE10D7" w:rsidP="00DE10D7">
            <w:pPr>
              <w:pStyle w:val="NormalWeb"/>
              <w:jc w:val="center"/>
              <w:rPr>
                <w:sz w:val="18"/>
                <w:szCs w:val="18"/>
              </w:rPr>
            </w:pPr>
            <w:r w:rsidRPr="00DE10D7">
              <w:rPr>
                <w:sz w:val="18"/>
                <w:szCs w:val="18"/>
              </w:rPr>
              <w:t>15.6</w:t>
            </w:r>
            <w:r w:rsidR="002E4CD9">
              <w:rPr>
                <w:sz w:val="18"/>
                <w:szCs w:val="18"/>
              </w:rPr>
              <w:br/>
            </w:r>
            <w:r w:rsidRPr="00DE10D7">
              <w:rPr>
                <w:sz w:val="18"/>
                <w:szCs w:val="18"/>
              </w:rPr>
              <w:t>(0–46.0)</w:t>
            </w:r>
          </w:p>
        </w:tc>
        <w:tc>
          <w:tcPr>
            <w:tcW w:w="0" w:type="auto"/>
            <w:vAlign w:val="center"/>
            <w:hideMark/>
          </w:tcPr>
          <w:p w14:paraId="427E706B"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07AB8AC5" w14:textId="77777777" w:rsidR="00DE10D7" w:rsidRPr="00DE10D7" w:rsidRDefault="00DE10D7" w:rsidP="00DE10D7">
            <w:pPr>
              <w:pStyle w:val="NormalWeb"/>
              <w:jc w:val="center"/>
              <w:rPr>
                <w:sz w:val="18"/>
                <w:szCs w:val="18"/>
              </w:rPr>
            </w:pPr>
            <w:r w:rsidRPr="00DE10D7">
              <w:rPr>
                <w:sz w:val="18"/>
                <w:szCs w:val="18"/>
              </w:rPr>
              <w:t>55</w:t>
            </w:r>
          </w:p>
        </w:tc>
        <w:tc>
          <w:tcPr>
            <w:tcW w:w="0" w:type="auto"/>
            <w:vAlign w:val="center"/>
            <w:hideMark/>
          </w:tcPr>
          <w:p w14:paraId="5AF76F7F"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617D435C"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1D8E13AA"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6E95222B"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6A4CBB69"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1CBEABA6" w14:textId="77777777" w:rsidR="00DE10D7" w:rsidRPr="00DE10D7" w:rsidRDefault="00DE10D7" w:rsidP="00DE10D7">
            <w:pPr>
              <w:pStyle w:val="NormalWeb"/>
              <w:jc w:val="center"/>
              <w:rPr>
                <w:sz w:val="18"/>
                <w:szCs w:val="18"/>
              </w:rPr>
            </w:pPr>
            <w:r w:rsidRPr="00DE10D7">
              <w:rPr>
                <w:sz w:val="18"/>
                <w:szCs w:val="18"/>
              </w:rPr>
              <w:t>119</w:t>
            </w:r>
          </w:p>
        </w:tc>
        <w:tc>
          <w:tcPr>
            <w:tcW w:w="0" w:type="auto"/>
            <w:vAlign w:val="center"/>
            <w:hideMark/>
          </w:tcPr>
          <w:p w14:paraId="59CBC67C" w14:textId="77777777" w:rsidR="00DE10D7" w:rsidRPr="00DE10D7" w:rsidRDefault="00DE10D7" w:rsidP="00DE10D7">
            <w:pPr>
              <w:pStyle w:val="NormalWeb"/>
              <w:jc w:val="center"/>
              <w:rPr>
                <w:sz w:val="18"/>
                <w:szCs w:val="18"/>
              </w:rPr>
            </w:pPr>
            <w:r w:rsidRPr="00DE10D7">
              <w:rPr>
                <w:sz w:val="18"/>
                <w:szCs w:val="18"/>
              </w:rPr>
              <w:t>1.6</w:t>
            </w:r>
            <w:r w:rsidRPr="00DE10D7">
              <w:rPr>
                <w:sz w:val="18"/>
                <w:szCs w:val="18"/>
              </w:rPr>
              <w:br/>
              <w:t>(0–9.0)</w:t>
            </w:r>
          </w:p>
        </w:tc>
      </w:tr>
      <w:tr w:rsidR="002E4CD9" w:rsidRPr="00DE10D7" w14:paraId="557F8BEC" w14:textId="77777777" w:rsidTr="002E4CD9">
        <w:tblPrEx>
          <w:tblCellMar>
            <w:top w:w="57" w:type="dxa"/>
            <w:left w:w="57" w:type="dxa"/>
            <w:bottom w:w="57" w:type="dxa"/>
            <w:right w:w="57" w:type="dxa"/>
          </w:tblCellMar>
        </w:tblPrEx>
        <w:tc>
          <w:tcPr>
            <w:tcW w:w="0" w:type="auto"/>
            <w:vAlign w:val="center"/>
            <w:hideMark/>
          </w:tcPr>
          <w:p w14:paraId="4F505D26" w14:textId="77777777" w:rsidR="00DE10D7" w:rsidRPr="00DE10D7" w:rsidRDefault="00DE10D7" w:rsidP="00DE10D7">
            <w:pPr>
              <w:pStyle w:val="NormalWeb"/>
              <w:rPr>
                <w:sz w:val="18"/>
                <w:szCs w:val="18"/>
              </w:rPr>
            </w:pPr>
            <w:r w:rsidRPr="00DE10D7">
              <w:rPr>
                <w:sz w:val="18"/>
                <w:szCs w:val="18"/>
              </w:rPr>
              <w:t>50+</w:t>
            </w:r>
          </w:p>
        </w:tc>
        <w:tc>
          <w:tcPr>
            <w:tcW w:w="0" w:type="auto"/>
            <w:vAlign w:val="center"/>
            <w:hideMark/>
          </w:tcPr>
          <w:p w14:paraId="59125ED5"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30CCFE07" w14:textId="77777777" w:rsidR="00DE10D7" w:rsidRPr="00DE10D7" w:rsidRDefault="00DE10D7" w:rsidP="00DE10D7">
            <w:pPr>
              <w:pStyle w:val="NormalWeb"/>
              <w:jc w:val="center"/>
              <w:rPr>
                <w:sz w:val="18"/>
                <w:szCs w:val="18"/>
              </w:rPr>
            </w:pPr>
            <w:r w:rsidRPr="00DE10D7">
              <w:rPr>
                <w:sz w:val="18"/>
                <w:szCs w:val="18"/>
              </w:rPr>
              <w:t>178</w:t>
            </w:r>
          </w:p>
        </w:tc>
        <w:tc>
          <w:tcPr>
            <w:tcW w:w="0" w:type="auto"/>
            <w:vAlign w:val="center"/>
            <w:hideMark/>
          </w:tcPr>
          <w:p w14:paraId="26336667" w14:textId="5FD05EA8" w:rsidR="00DE10D7" w:rsidRPr="00DE10D7" w:rsidRDefault="00DE10D7" w:rsidP="00DE10D7">
            <w:pPr>
              <w:pStyle w:val="NormalWeb"/>
              <w:jc w:val="center"/>
              <w:rPr>
                <w:sz w:val="18"/>
                <w:szCs w:val="18"/>
              </w:rPr>
            </w:pPr>
            <w:r w:rsidRPr="00DE10D7">
              <w:rPr>
                <w:sz w:val="18"/>
                <w:szCs w:val="18"/>
              </w:rPr>
              <w:t>5.6</w:t>
            </w:r>
            <w:r w:rsidR="002E4CD9">
              <w:rPr>
                <w:sz w:val="18"/>
                <w:szCs w:val="18"/>
              </w:rPr>
              <w:br/>
            </w:r>
            <w:r w:rsidRPr="00DE10D7">
              <w:rPr>
                <w:sz w:val="18"/>
                <w:szCs w:val="18"/>
              </w:rPr>
              <w:t>(0–16.6)</w:t>
            </w:r>
          </w:p>
        </w:tc>
        <w:tc>
          <w:tcPr>
            <w:tcW w:w="0" w:type="auto"/>
            <w:vAlign w:val="center"/>
            <w:hideMark/>
          </w:tcPr>
          <w:p w14:paraId="1CEC3697"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2CF70909" w14:textId="77777777" w:rsidR="00DE10D7" w:rsidRPr="00DE10D7" w:rsidRDefault="00DE10D7" w:rsidP="00DE10D7">
            <w:pPr>
              <w:pStyle w:val="NormalWeb"/>
              <w:jc w:val="center"/>
              <w:rPr>
                <w:sz w:val="18"/>
                <w:szCs w:val="18"/>
              </w:rPr>
            </w:pPr>
            <w:r w:rsidRPr="00DE10D7">
              <w:rPr>
                <w:sz w:val="18"/>
                <w:szCs w:val="18"/>
              </w:rPr>
              <w:t>57</w:t>
            </w:r>
          </w:p>
        </w:tc>
        <w:tc>
          <w:tcPr>
            <w:tcW w:w="0" w:type="auto"/>
            <w:vAlign w:val="center"/>
            <w:hideMark/>
          </w:tcPr>
          <w:p w14:paraId="1C22715E" w14:textId="77777777" w:rsidR="00DE10D7" w:rsidRPr="00DE10D7" w:rsidRDefault="00DE10D7" w:rsidP="00DE10D7">
            <w:pPr>
              <w:pStyle w:val="NormalWeb"/>
              <w:jc w:val="center"/>
              <w:rPr>
                <w:sz w:val="18"/>
                <w:szCs w:val="18"/>
              </w:rPr>
            </w:pPr>
            <w:r w:rsidRPr="00DE10D7">
              <w:rPr>
                <w:sz w:val="18"/>
                <w:szCs w:val="18"/>
              </w:rPr>
              <w:t>0</w:t>
            </w:r>
          </w:p>
        </w:tc>
        <w:tc>
          <w:tcPr>
            <w:tcW w:w="0" w:type="auto"/>
            <w:vAlign w:val="center"/>
            <w:hideMark/>
          </w:tcPr>
          <w:p w14:paraId="7063E77B"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43B44CB3" w14:textId="77777777" w:rsidR="00DE10D7" w:rsidRPr="00DE10D7" w:rsidRDefault="00DE10D7" w:rsidP="00DE10D7">
            <w:pPr>
              <w:pStyle w:val="NormalWeb"/>
              <w:jc w:val="center"/>
              <w:rPr>
                <w:sz w:val="18"/>
                <w:szCs w:val="18"/>
              </w:rPr>
            </w:pPr>
            <w:r w:rsidRPr="00DE10D7">
              <w:rPr>
                <w:sz w:val="18"/>
                <w:szCs w:val="18"/>
              </w:rPr>
              <w:t>NA</w:t>
            </w:r>
          </w:p>
        </w:tc>
        <w:tc>
          <w:tcPr>
            <w:tcW w:w="0" w:type="auto"/>
            <w:vAlign w:val="center"/>
            <w:hideMark/>
          </w:tcPr>
          <w:p w14:paraId="76EF41F8" w14:textId="77777777" w:rsidR="00DE10D7" w:rsidRPr="00DE10D7" w:rsidRDefault="00DE10D7" w:rsidP="00DE10D7">
            <w:pPr>
              <w:pStyle w:val="NormalWeb"/>
              <w:jc w:val="center"/>
              <w:rPr>
                <w:sz w:val="18"/>
                <w:szCs w:val="18"/>
              </w:rPr>
            </w:pPr>
            <w:r w:rsidRPr="00DE10D7">
              <w:rPr>
                <w:sz w:val="18"/>
                <w:szCs w:val="18"/>
              </w:rPr>
              <w:t>–</w:t>
            </w:r>
          </w:p>
        </w:tc>
        <w:tc>
          <w:tcPr>
            <w:tcW w:w="0" w:type="auto"/>
            <w:vAlign w:val="center"/>
            <w:hideMark/>
          </w:tcPr>
          <w:p w14:paraId="53C2CA38" w14:textId="77777777" w:rsidR="00DE10D7" w:rsidRPr="00DE10D7" w:rsidRDefault="00DE10D7" w:rsidP="00DE10D7">
            <w:pPr>
              <w:pStyle w:val="NormalWeb"/>
              <w:jc w:val="center"/>
              <w:rPr>
                <w:sz w:val="18"/>
                <w:szCs w:val="18"/>
              </w:rPr>
            </w:pPr>
            <w:r w:rsidRPr="00DE10D7">
              <w:rPr>
                <w:sz w:val="18"/>
                <w:szCs w:val="18"/>
              </w:rPr>
              <w:t>1</w:t>
            </w:r>
          </w:p>
        </w:tc>
        <w:tc>
          <w:tcPr>
            <w:tcW w:w="0" w:type="auto"/>
            <w:vAlign w:val="center"/>
            <w:hideMark/>
          </w:tcPr>
          <w:p w14:paraId="72D49B62" w14:textId="77777777" w:rsidR="00DE10D7" w:rsidRPr="00DE10D7" w:rsidRDefault="00DE10D7" w:rsidP="00DE10D7">
            <w:pPr>
              <w:pStyle w:val="NormalWeb"/>
              <w:jc w:val="center"/>
              <w:rPr>
                <w:sz w:val="18"/>
                <w:szCs w:val="18"/>
              </w:rPr>
            </w:pPr>
            <w:r w:rsidRPr="00DE10D7">
              <w:rPr>
                <w:sz w:val="18"/>
                <w:szCs w:val="18"/>
              </w:rPr>
              <w:t>235</w:t>
            </w:r>
          </w:p>
        </w:tc>
        <w:tc>
          <w:tcPr>
            <w:tcW w:w="0" w:type="auto"/>
            <w:vAlign w:val="center"/>
            <w:hideMark/>
          </w:tcPr>
          <w:p w14:paraId="615A0505" w14:textId="77777777" w:rsidR="00DE10D7" w:rsidRPr="00DE10D7" w:rsidRDefault="00DE10D7" w:rsidP="00DE10D7">
            <w:pPr>
              <w:pStyle w:val="NormalWeb"/>
              <w:jc w:val="center"/>
              <w:rPr>
                <w:sz w:val="18"/>
                <w:szCs w:val="18"/>
              </w:rPr>
            </w:pPr>
            <w:r w:rsidRPr="00DE10D7">
              <w:rPr>
                <w:sz w:val="18"/>
                <w:szCs w:val="18"/>
              </w:rPr>
              <w:t>4.3</w:t>
            </w:r>
            <w:r w:rsidRPr="00DE10D7">
              <w:rPr>
                <w:sz w:val="18"/>
                <w:szCs w:val="18"/>
              </w:rPr>
              <w:br/>
              <w:t>(0–12.6)</w:t>
            </w:r>
          </w:p>
        </w:tc>
      </w:tr>
      <w:tr w:rsidR="002E4CD9" w:rsidRPr="00A71211" w14:paraId="539D5C07" w14:textId="77777777" w:rsidTr="00A7121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vAlign w:val="center"/>
            <w:hideMark/>
          </w:tcPr>
          <w:p w14:paraId="1927C749" w14:textId="77777777" w:rsidR="00DE10D7" w:rsidRPr="00A71211" w:rsidRDefault="00DE10D7" w:rsidP="00DE10D7">
            <w:pPr>
              <w:pStyle w:val="NormalWeb"/>
              <w:rPr>
                <w:b/>
                <w:bCs/>
                <w:sz w:val="18"/>
                <w:szCs w:val="18"/>
              </w:rPr>
            </w:pPr>
            <w:r w:rsidRPr="00A71211">
              <w:rPr>
                <w:b/>
                <w:bCs/>
                <w:sz w:val="18"/>
                <w:szCs w:val="18"/>
              </w:rPr>
              <w:t>Total</w:t>
            </w:r>
          </w:p>
        </w:tc>
        <w:tc>
          <w:tcPr>
            <w:tcW w:w="0" w:type="auto"/>
            <w:shd w:val="clear" w:color="auto" w:fill="FDE9D9" w:themeFill="accent6" w:themeFillTint="33"/>
            <w:vAlign w:val="center"/>
            <w:hideMark/>
          </w:tcPr>
          <w:p w14:paraId="2614FA3D" w14:textId="77777777" w:rsidR="00DE10D7" w:rsidRPr="00A71211" w:rsidRDefault="00DE10D7" w:rsidP="00DE10D7">
            <w:pPr>
              <w:pStyle w:val="NormalWeb"/>
              <w:jc w:val="center"/>
              <w:rPr>
                <w:b/>
                <w:bCs/>
                <w:sz w:val="18"/>
                <w:szCs w:val="18"/>
              </w:rPr>
            </w:pPr>
            <w:r w:rsidRPr="00A71211">
              <w:rPr>
                <w:b/>
                <w:bCs/>
                <w:sz w:val="18"/>
                <w:szCs w:val="18"/>
              </w:rPr>
              <w:t>66</w:t>
            </w:r>
          </w:p>
        </w:tc>
        <w:tc>
          <w:tcPr>
            <w:tcW w:w="0" w:type="auto"/>
            <w:shd w:val="clear" w:color="auto" w:fill="FDE9D9" w:themeFill="accent6" w:themeFillTint="33"/>
            <w:vAlign w:val="center"/>
            <w:hideMark/>
          </w:tcPr>
          <w:p w14:paraId="0DD0AAEA" w14:textId="77777777" w:rsidR="00DE10D7" w:rsidRPr="00A71211" w:rsidRDefault="00DE10D7" w:rsidP="00DE10D7">
            <w:pPr>
              <w:pStyle w:val="NormalWeb"/>
              <w:jc w:val="center"/>
              <w:rPr>
                <w:b/>
                <w:bCs/>
                <w:sz w:val="18"/>
                <w:szCs w:val="18"/>
              </w:rPr>
            </w:pPr>
            <w:r w:rsidRPr="00A71211">
              <w:rPr>
                <w:b/>
                <w:bCs/>
                <w:sz w:val="18"/>
                <w:szCs w:val="18"/>
              </w:rPr>
              <w:t>1,005</w:t>
            </w:r>
          </w:p>
        </w:tc>
        <w:tc>
          <w:tcPr>
            <w:tcW w:w="0" w:type="auto"/>
            <w:shd w:val="clear" w:color="auto" w:fill="FDE9D9" w:themeFill="accent6" w:themeFillTint="33"/>
            <w:vAlign w:val="center"/>
            <w:hideMark/>
          </w:tcPr>
          <w:p w14:paraId="4E311CFF" w14:textId="5223D32E" w:rsidR="00DE10D7" w:rsidRPr="00A71211" w:rsidRDefault="00DE10D7" w:rsidP="00DE10D7">
            <w:pPr>
              <w:pStyle w:val="NormalWeb"/>
              <w:jc w:val="center"/>
              <w:rPr>
                <w:b/>
                <w:bCs/>
                <w:sz w:val="18"/>
                <w:szCs w:val="18"/>
              </w:rPr>
            </w:pPr>
            <w:r w:rsidRPr="00A71211">
              <w:rPr>
                <w:b/>
                <w:bCs/>
                <w:sz w:val="18"/>
                <w:szCs w:val="18"/>
              </w:rPr>
              <w:t>65.7</w:t>
            </w:r>
            <w:r w:rsidR="002E4CD9" w:rsidRPr="00A71211">
              <w:rPr>
                <w:b/>
                <w:bCs/>
                <w:sz w:val="18"/>
                <w:szCs w:val="18"/>
              </w:rPr>
              <w:br/>
            </w:r>
            <w:r w:rsidRPr="00A71211">
              <w:rPr>
                <w:b/>
                <w:bCs/>
                <w:sz w:val="18"/>
                <w:szCs w:val="18"/>
              </w:rPr>
              <w:t>(50.4–81.0)</w:t>
            </w:r>
          </w:p>
        </w:tc>
        <w:tc>
          <w:tcPr>
            <w:tcW w:w="0" w:type="auto"/>
            <w:shd w:val="clear" w:color="auto" w:fill="FDE9D9" w:themeFill="accent6" w:themeFillTint="33"/>
            <w:vAlign w:val="center"/>
            <w:hideMark/>
          </w:tcPr>
          <w:p w14:paraId="4D32373B" w14:textId="77777777" w:rsidR="00DE10D7" w:rsidRPr="00A71211" w:rsidRDefault="00DE10D7" w:rsidP="00DE10D7">
            <w:pPr>
              <w:pStyle w:val="NormalWeb"/>
              <w:jc w:val="center"/>
              <w:rPr>
                <w:b/>
                <w:bCs/>
                <w:sz w:val="18"/>
                <w:szCs w:val="18"/>
              </w:rPr>
            </w:pPr>
            <w:r w:rsidRPr="00A71211">
              <w:rPr>
                <w:b/>
                <w:bCs/>
                <w:sz w:val="18"/>
                <w:szCs w:val="18"/>
              </w:rPr>
              <w:t>11</w:t>
            </w:r>
          </w:p>
        </w:tc>
        <w:tc>
          <w:tcPr>
            <w:tcW w:w="0" w:type="auto"/>
            <w:shd w:val="clear" w:color="auto" w:fill="FDE9D9" w:themeFill="accent6" w:themeFillTint="33"/>
            <w:vAlign w:val="center"/>
            <w:hideMark/>
          </w:tcPr>
          <w:p w14:paraId="1A7DAF0C" w14:textId="77777777" w:rsidR="00DE10D7" w:rsidRPr="00A71211" w:rsidRDefault="00DE10D7" w:rsidP="00DE10D7">
            <w:pPr>
              <w:pStyle w:val="NormalWeb"/>
              <w:jc w:val="center"/>
              <w:rPr>
                <w:b/>
                <w:bCs/>
                <w:sz w:val="18"/>
                <w:szCs w:val="18"/>
              </w:rPr>
            </w:pPr>
            <w:r w:rsidRPr="00A71211">
              <w:rPr>
                <w:b/>
                <w:bCs/>
                <w:sz w:val="18"/>
                <w:szCs w:val="18"/>
              </w:rPr>
              <w:t>641</w:t>
            </w:r>
          </w:p>
        </w:tc>
        <w:tc>
          <w:tcPr>
            <w:tcW w:w="0" w:type="auto"/>
            <w:shd w:val="clear" w:color="auto" w:fill="FDE9D9" w:themeFill="accent6" w:themeFillTint="33"/>
            <w:vAlign w:val="center"/>
            <w:hideMark/>
          </w:tcPr>
          <w:p w14:paraId="4117CBCA" w14:textId="4B3D7914" w:rsidR="00DE10D7" w:rsidRPr="00A71211" w:rsidRDefault="00DE10D7" w:rsidP="00DE10D7">
            <w:pPr>
              <w:pStyle w:val="NormalWeb"/>
              <w:jc w:val="center"/>
              <w:rPr>
                <w:b/>
                <w:bCs/>
                <w:sz w:val="18"/>
                <w:szCs w:val="18"/>
              </w:rPr>
            </w:pPr>
            <w:r w:rsidRPr="00A71211">
              <w:rPr>
                <w:b/>
                <w:bCs/>
                <w:sz w:val="18"/>
                <w:szCs w:val="18"/>
              </w:rPr>
              <w:t>17.2</w:t>
            </w:r>
            <w:r w:rsidR="002E4CD9" w:rsidRPr="00A71211">
              <w:rPr>
                <w:b/>
                <w:bCs/>
                <w:sz w:val="18"/>
                <w:szCs w:val="18"/>
              </w:rPr>
              <w:br/>
            </w:r>
            <w:r w:rsidRPr="00A71211">
              <w:rPr>
                <w:b/>
                <w:bCs/>
                <w:sz w:val="18"/>
                <w:szCs w:val="18"/>
              </w:rPr>
              <w:t>(7.1–27.2)</w:t>
            </w:r>
          </w:p>
        </w:tc>
        <w:tc>
          <w:tcPr>
            <w:tcW w:w="0" w:type="auto"/>
            <w:shd w:val="clear" w:color="auto" w:fill="FDE9D9" w:themeFill="accent6" w:themeFillTint="33"/>
            <w:vAlign w:val="center"/>
            <w:hideMark/>
          </w:tcPr>
          <w:p w14:paraId="48F1E078" w14:textId="77777777" w:rsidR="00DE10D7" w:rsidRPr="00A71211" w:rsidRDefault="00DE10D7" w:rsidP="00DE10D7">
            <w:pPr>
              <w:pStyle w:val="NormalWeb"/>
              <w:jc w:val="center"/>
              <w:rPr>
                <w:b/>
                <w:bCs/>
                <w:sz w:val="18"/>
                <w:szCs w:val="18"/>
              </w:rPr>
            </w:pPr>
            <w:r w:rsidRPr="00A71211">
              <w:rPr>
                <w:b/>
                <w:bCs/>
                <w:sz w:val="18"/>
                <w:szCs w:val="18"/>
              </w:rPr>
              <w:t>16</w:t>
            </w:r>
          </w:p>
        </w:tc>
        <w:tc>
          <w:tcPr>
            <w:tcW w:w="0" w:type="auto"/>
            <w:shd w:val="clear" w:color="auto" w:fill="FDE9D9" w:themeFill="accent6" w:themeFillTint="33"/>
            <w:vAlign w:val="center"/>
            <w:hideMark/>
          </w:tcPr>
          <w:p w14:paraId="023D3E81" w14:textId="77777777" w:rsidR="00DE10D7" w:rsidRPr="00A71211" w:rsidRDefault="00DE10D7" w:rsidP="00DE10D7">
            <w:pPr>
              <w:pStyle w:val="NormalWeb"/>
              <w:jc w:val="center"/>
              <w:rPr>
                <w:b/>
                <w:bCs/>
                <w:sz w:val="18"/>
                <w:szCs w:val="18"/>
              </w:rPr>
            </w:pPr>
            <w:r w:rsidRPr="00A71211">
              <w:rPr>
                <w:b/>
                <w:bCs/>
                <w:sz w:val="18"/>
                <w:szCs w:val="18"/>
              </w:rPr>
              <w:t>614</w:t>
            </w:r>
          </w:p>
        </w:tc>
        <w:tc>
          <w:tcPr>
            <w:tcW w:w="0" w:type="auto"/>
            <w:shd w:val="clear" w:color="auto" w:fill="FDE9D9" w:themeFill="accent6" w:themeFillTint="33"/>
            <w:vAlign w:val="center"/>
            <w:hideMark/>
          </w:tcPr>
          <w:p w14:paraId="0293855A" w14:textId="77777777" w:rsidR="00DE10D7" w:rsidRPr="00A71211" w:rsidRDefault="00DE10D7" w:rsidP="00DE10D7">
            <w:pPr>
              <w:pStyle w:val="NormalWeb"/>
              <w:jc w:val="center"/>
              <w:rPr>
                <w:b/>
                <w:bCs/>
                <w:sz w:val="18"/>
                <w:szCs w:val="18"/>
              </w:rPr>
            </w:pPr>
            <w:r w:rsidRPr="00A71211">
              <w:rPr>
                <w:b/>
                <w:bCs/>
                <w:sz w:val="18"/>
                <w:szCs w:val="18"/>
              </w:rPr>
              <w:t>26.1</w:t>
            </w:r>
            <w:r w:rsidRPr="00A71211">
              <w:rPr>
                <w:b/>
                <w:bCs/>
                <w:sz w:val="18"/>
                <w:szCs w:val="18"/>
              </w:rPr>
              <w:br/>
              <w:t>(15.0–42.0)</w:t>
            </w:r>
          </w:p>
        </w:tc>
        <w:tc>
          <w:tcPr>
            <w:tcW w:w="0" w:type="auto"/>
            <w:shd w:val="clear" w:color="auto" w:fill="FDE9D9" w:themeFill="accent6" w:themeFillTint="33"/>
            <w:vAlign w:val="center"/>
            <w:hideMark/>
          </w:tcPr>
          <w:p w14:paraId="706F80CC" w14:textId="77777777" w:rsidR="00DE10D7" w:rsidRPr="00A71211" w:rsidRDefault="00DE10D7" w:rsidP="00DE10D7">
            <w:pPr>
              <w:pStyle w:val="NormalWeb"/>
              <w:jc w:val="center"/>
              <w:rPr>
                <w:b/>
                <w:bCs/>
                <w:sz w:val="18"/>
                <w:szCs w:val="18"/>
              </w:rPr>
            </w:pPr>
            <w:r w:rsidRPr="00A71211">
              <w:rPr>
                <w:b/>
                <w:bCs/>
                <w:sz w:val="18"/>
                <w:szCs w:val="18"/>
              </w:rPr>
              <w:t>93</w:t>
            </w:r>
          </w:p>
        </w:tc>
        <w:tc>
          <w:tcPr>
            <w:tcW w:w="0" w:type="auto"/>
            <w:shd w:val="clear" w:color="auto" w:fill="FDE9D9" w:themeFill="accent6" w:themeFillTint="33"/>
            <w:vAlign w:val="center"/>
            <w:hideMark/>
          </w:tcPr>
          <w:p w14:paraId="00ACFE4E" w14:textId="77777777" w:rsidR="00DE10D7" w:rsidRPr="00A71211" w:rsidRDefault="00DE10D7" w:rsidP="00DE10D7">
            <w:pPr>
              <w:pStyle w:val="NormalWeb"/>
              <w:jc w:val="center"/>
              <w:rPr>
                <w:b/>
                <w:bCs/>
                <w:sz w:val="18"/>
                <w:szCs w:val="18"/>
              </w:rPr>
            </w:pPr>
            <w:r w:rsidRPr="00A71211">
              <w:rPr>
                <w:b/>
                <w:bCs/>
                <w:sz w:val="18"/>
                <w:szCs w:val="18"/>
              </w:rPr>
              <w:t>2,260</w:t>
            </w:r>
          </w:p>
        </w:tc>
        <w:tc>
          <w:tcPr>
            <w:tcW w:w="0" w:type="auto"/>
            <w:shd w:val="clear" w:color="auto" w:fill="FDE9D9" w:themeFill="accent6" w:themeFillTint="33"/>
            <w:vAlign w:val="center"/>
            <w:hideMark/>
          </w:tcPr>
          <w:p w14:paraId="07A4AD69" w14:textId="77777777" w:rsidR="00DE10D7" w:rsidRPr="00A71211" w:rsidRDefault="00DE10D7" w:rsidP="00DE10D7">
            <w:pPr>
              <w:pStyle w:val="NormalWeb"/>
              <w:jc w:val="center"/>
              <w:rPr>
                <w:b/>
                <w:bCs/>
                <w:sz w:val="18"/>
                <w:szCs w:val="18"/>
              </w:rPr>
            </w:pPr>
            <w:r w:rsidRPr="00A71211">
              <w:rPr>
                <w:b/>
                <w:bCs/>
                <w:sz w:val="18"/>
                <w:szCs w:val="18"/>
              </w:rPr>
              <w:t>41.6</w:t>
            </w:r>
            <w:r w:rsidRPr="00A71211">
              <w:rPr>
                <w:b/>
                <w:bCs/>
                <w:sz w:val="18"/>
                <w:szCs w:val="18"/>
              </w:rPr>
              <w:br/>
              <w:t>(33.3–49.8)</w:t>
            </w:r>
          </w:p>
        </w:tc>
      </w:tr>
    </w:tbl>
    <w:p w14:paraId="56E05770" w14:textId="77777777" w:rsidR="00DE10D7" w:rsidRDefault="00DE10D7" w:rsidP="00DE10D7">
      <w:pPr>
        <w:pStyle w:val="CDIfootnotes"/>
        <w:rPr>
          <w:lang w:val="en-GB"/>
        </w:rPr>
      </w:pPr>
      <w:r>
        <w:rPr>
          <w:lang w:val="en-GB"/>
        </w:rPr>
        <w:t>a</w:t>
      </w:r>
      <w:r>
        <w:rPr>
          <w:lang w:val="en-GB"/>
        </w:rPr>
        <w:tab/>
        <w:t>NA: not applicable.</w:t>
      </w:r>
    </w:p>
    <w:p w14:paraId="17A113E0" w14:textId="77777777" w:rsidR="00DE10D7" w:rsidRDefault="00DE10D7" w:rsidP="001B2AFE">
      <w:pPr>
        <w:sectPr w:rsidR="00DE10D7" w:rsidSect="00DE10D7">
          <w:pgSz w:w="16838" w:h="11906" w:orient="landscape"/>
          <w:pgMar w:top="720" w:right="720" w:bottom="720" w:left="1134" w:header="709" w:footer="284" w:gutter="0"/>
          <w:cols w:space="708"/>
          <w:titlePg/>
          <w:docGrid w:linePitch="360"/>
        </w:sectPr>
      </w:pPr>
    </w:p>
    <w:p w14:paraId="77DA9588" w14:textId="30C1D8A6" w:rsidR="00DE10D7" w:rsidRDefault="00DE10D7" w:rsidP="001B2AFE"/>
    <w:p w14:paraId="10CD979D" w14:textId="77777777" w:rsidR="00A3455B" w:rsidRDefault="00A3455B" w:rsidP="001B2AFE">
      <w:r>
        <w:t xml:space="preserve">Among the discrete Indigenous community people, the attack rate was highest in the 20–24 years age group, 156.3 cases per 1,000 population (95% CI: 83.6–228.9), followed by the 10–14 years age group, 140.0 cases per 1,000 population (95% CI: 72.0–208.0). The 15-19 years age group had the highest attack rates in both the </w:t>
      </w:r>
      <w:proofErr w:type="gramStart"/>
      <w:r>
        <w:t>correctional facility</w:t>
      </w:r>
      <w:proofErr w:type="gramEnd"/>
      <w:r>
        <w:t xml:space="preserve"> (200.0 cases per 1,000 population; 95% CI: 25.2–556.1) and the boarding school (44.1 cases per 1,000 population; 95% CI: 24.9–71.7).</w:t>
      </w:r>
    </w:p>
    <w:p w14:paraId="1D1E527D" w14:textId="77777777" w:rsidR="00885CDD" w:rsidRDefault="00A3455B" w:rsidP="001B2AFE">
      <w:pPr>
        <w:sectPr w:rsidR="00885CDD" w:rsidSect="00A30C37">
          <w:pgSz w:w="11906" w:h="16838"/>
          <w:pgMar w:top="720" w:right="720" w:bottom="1134" w:left="720" w:header="709" w:footer="284" w:gutter="0"/>
          <w:cols w:space="708"/>
          <w:titlePg/>
          <w:docGrid w:linePitch="360"/>
        </w:sectPr>
      </w:pPr>
      <w:r>
        <w:t xml:space="preserve">The attack rate was lowest in people aged over 50 years (Table 2, Figure 2). All children in the 0–4 years age group were fully vaccinated for age. Two children received their second dose of mumps-containing vaccine less than one year before acquiring the disease; one child had received the first scheduled dose of mumps-containing vaccine and was not eligible for dose 2 due to age, before acquiring the disease. Only one adult in the 40–44 years age group was fully </w:t>
      </w:r>
      <w:proofErr w:type="gramStart"/>
      <w:r>
        <w:t>vaccinated</w:t>
      </w:r>
      <w:proofErr w:type="gramEnd"/>
      <w:r>
        <w:t xml:space="preserve"> and the remaining cohort had either no vaccination history, or only a partial vaccination history, for a mumps-containing vaccine.</w:t>
      </w:r>
    </w:p>
    <w:p w14:paraId="6D8ED505" w14:textId="22009498" w:rsidR="00885CDD" w:rsidRDefault="00885CDD" w:rsidP="00885CDD">
      <w:pPr>
        <w:pStyle w:val="CDIFigures"/>
        <w:rPr>
          <w:vertAlign w:val="superscript"/>
          <w:lang w:val="en-GB"/>
        </w:rPr>
      </w:pPr>
      <w:r>
        <w:rPr>
          <w:lang w:val="en-GB"/>
        </w:rPr>
        <w:t xml:space="preserve">Figure 2: Age-specific mumps attack rates during outbreaks in three different settings (a boarding school, a correctional facility and a discrete Indigenous </w:t>
      </w:r>
      <w:proofErr w:type="gramStart"/>
      <w:r>
        <w:rPr>
          <w:lang w:val="en-GB"/>
        </w:rPr>
        <w:t>community)</w:t>
      </w:r>
      <w:r w:rsidRPr="00CA25F6">
        <w:rPr>
          <w:vertAlign w:val="superscript"/>
          <w:lang w:val="en-GB"/>
        </w:rPr>
        <w:t>a</w:t>
      </w:r>
      <w:proofErr w:type="gramEnd"/>
    </w:p>
    <w:p w14:paraId="0B515C85" w14:textId="4B5710DD" w:rsidR="00885CDD" w:rsidRDefault="00885CDD" w:rsidP="00885CDD">
      <w:pPr>
        <w:pStyle w:val="CDIFigures"/>
        <w:jc w:val="center"/>
        <w:rPr>
          <w:lang w:val="en-GB"/>
        </w:rPr>
      </w:pPr>
      <w:r>
        <w:rPr>
          <w:rFonts w:eastAsia="Times New Roman"/>
          <w:noProof/>
          <w:lang w:val="en-GB"/>
        </w:rPr>
        <w:drawing>
          <wp:inline distT="0" distB="0" distL="0" distR="0" wp14:anchorId="662ED11D" wp14:editId="5C0E479F">
            <wp:extent cx="7687072" cy="5425451"/>
            <wp:effectExtent l="0" t="0" r="9525" b="3810"/>
            <wp:docPr id="2" name="Picture 2" descr="Figure 2 presents the Mumps attack rates during outbreaks by age group in regional Queensland between October 2017 to October 2018 [n=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presents the Mumps attack rates during outbreaks by age group in regional Queensland between October 2017 to October 2018 [n=9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87072" cy="5425451"/>
                    </a:xfrm>
                    <a:prstGeom prst="rect">
                      <a:avLst/>
                    </a:prstGeom>
                  </pic:spPr>
                </pic:pic>
              </a:graphicData>
            </a:graphic>
          </wp:inline>
        </w:drawing>
      </w:r>
    </w:p>
    <w:p w14:paraId="1B8F05F9" w14:textId="77777777" w:rsidR="00885CDD" w:rsidRDefault="00885CDD" w:rsidP="00885CDD">
      <w:pPr>
        <w:pStyle w:val="CDIfootnotes"/>
        <w:rPr>
          <w:lang w:val="en-GB"/>
        </w:rPr>
      </w:pPr>
      <w:proofErr w:type="spellStart"/>
      <w:proofErr w:type="gramStart"/>
      <w:r>
        <w:rPr>
          <w:lang w:val="en-GB"/>
        </w:rPr>
        <w:t>a</w:t>
      </w:r>
      <w:proofErr w:type="spellEnd"/>
      <w:proofErr w:type="gramEnd"/>
      <w:r>
        <w:rPr>
          <w:lang w:val="en-GB"/>
        </w:rPr>
        <w:t xml:space="preserve"> </w:t>
      </w:r>
      <w:r>
        <w:rPr>
          <w:lang w:val="en-GB"/>
        </w:rPr>
        <w:tab/>
        <w:t>Error bars indicate the 95% confidence interval.</w:t>
      </w:r>
    </w:p>
    <w:p w14:paraId="1042CBBD" w14:textId="77777777" w:rsidR="00885CDD" w:rsidRDefault="00885CDD" w:rsidP="001B2AFE">
      <w:pPr>
        <w:sectPr w:rsidR="00885CDD" w:rsidSect="00885CDD">
          <w:pgSz w:w="16838" w:h="11906" w:orient="landscape"/>
          <w:pgMar w:top="720" w:right="720" w:bottom="720" w:left="1134" w:header="709" w:footer="284" w:gutter="0"/>
          <w:cols w:space="708"/>
          <w:titlePg/>
          <w:docGrid w:linePitch="360"/>
        </w:sectPr>
      </w:pPr>
    </w:p>
    <w:p w14:paraId="7CE59C13" w14:textId="77777777" w:rsidR="00A3455B" w:rsidRDefault="00A3455B" w:rsidP="001B2AFE">
      <w:r>
        <w:t xml:space="preserve">The attack rate (cases per 1,000 population at risk) in the outbreak was significantly reduced from 31.0 (95% CI: 24.2–39.0) to 10.6 (95% CI: 6.7–15.9) after vaccination with a third dose. This reduction was found significant for the discrete Indigenous community only (54.9 [95% CI: 41.0–71.8] to 17.6 [95% CI: 10.1–28.4]), </w:t>
      </w:r>
      <w:r w:rsidRPr="001B2AFE">
        <w:rPr>
          <w:rStyle w:val="Emphasis"/>
          <w:b w:val="0"/>
          <w:bCs w:val="0"/>
        </w:rPr>
        <w:t>p</w:t>
      </w:r>
      <w:r>
        <w:t xml:space="preserve"> &lt; 0.001; significance was not evident for other groups (Table 4).</w:t>
      </w:r>
    </w:p>
    <w:p w14:paraId="0FA18149" w14:textId="77777777" w:rsidR="00A3455B" w:rsidRPr="00232CC6" w:rsidRDefault="00A3455B" w:rsidP="00232CC6">
      <w:pPr>
        <w:pStyle w:val="Heading2"/>
      </w:pPr>
      <w:r w:rsidRPr="00232CC6">
        <w:rPr>
          <w:rStyle w:val="Strong"/>
          <w:b/>
          <w:bCs/>
        </w:rPr>
        <w:t>MMR immunisation status among outbreak cases and controls</w:t>
      </w:r>
      <w:r w:rsidRPr="00232CC6">
        <w:t xml:space="preserve"> </w:t>
      </w:r>
    </w:p>
    <w:p w14:paraId="41E99514" w14:textId="77777777" w:rsidR="00A3455B" w:rsidRDefault="00A3455B" w:rsidP="00232CC6">
      <w:r>
        <w:t>Seventy-four cases (79.6%) had received two documented doses of MMR vaccine, compared with 141/168 (83.9%) in the control population. Fourteen cases (15.1%) and 16 controls (9.6%) were partially vaccinated with one dose of MMR vaccine; five cases (5.4%) and 11 controls (6.5%) had no evidence of receiving a mumps-containing vaccine (Table 3).</w:t>
      </w:r>
    </w:p>
    <w:p w14:paraId="255EF2CA" w14:textId="5A7CD667" w:rsidR="00A3455B" w:rsidRDefault="00A3455B" w:rsidP="00232CC6">
      <w:pPr>
        <w:pStyle w:val="NormalWeb"/>
        <w:numPr>
          <w:ilvl w:val="0"/>
          <w:numId w:val="10"/>
        </w:numPr>
      </w:pPr>
      <w:r w:rsidRPr="001B2AFE">
        <w:rPr>
          <w:rStyle w:val="Emphasis"/>
          <w:b w:val="0"/>
          <w:bCs w:val="0"/>
        </w:rPr>
        <w:t>Time interval between dose 1 and dose 2</w:t>
      </w:r>
      <w:r>
        <w:t xml:space="preserve"> </w:t>
      </w:r>
      <w:r w:rsidR="00232CC6">
        <w:br/>
      </w:r>
      <w:r>
        <w:t xml:space="preserve">The mean interval between dose 1 and dose 2 of the MMR vaccine for the cases was 3.0 years, versus 4.1 years for the controls </w:t>
      </w:r>
      <w:proofErr w:type="gramStart"/>
      <w:r>
        <w:t xml:space="preserve">( </w:t>
      </w:r>
      <w:r w:rsidRPr="00232CC6">
        <w:rPr>
          <w:rStyle w:val="Emphasis"/>
          <w:b w:val="0"/>
          <w:bCs w:val="0"/>
        </w:rPr>
        <w:t>p</w:t>
      </w:r>
      <w:proofErr w:type="gramEnd"/>
      <w:r>
        <w:t xml:space="preserve"> = 0.01</w:t>
      </w:r>
      <w:r w:rsidR="00A257DF">
        <w:t xml:space="preserve"> </w:t>
      </w:r>
      <w:r>
        <w:t xml:space="preserve">). For those born before 1 March 2000 (prior to the introduction of the two-dose MMR vaccination catch-up program in Australia), the mean interval between the first and second dose of MMR vaccine was significantly less ( </w:t>
      </w:r>
      <w:r w:rsidRPr="00232CC6">
        <w:rPr>
          <w:rStyle w:val="Emphasis"/>
          <w:b w:val="0"/>
          <w:bCs w:val="0"/>
        </w:rPr>
        <w:t>p</w:t>
      </w:r>
      <w:r>
        <w:t xml:space="preserve"> = 0.0003</w:t>
      </w:r>
      <w:r w:rsidR="00A257DF">
        <w:t xml:space="preserve"> </w:t>
      </w:r>
      <w:r>
        <w:t>) for cases (3.6 years) than for controls (5.9 years).</w:t>
      </w:r>
      <w:r w:rsidR="00232CC6">
        <w:br/>
      </w:r>
    </w:p>
    <w:p w14:paraId="5A9EAEC5" w14:textId="023A204A" w:rsidR="00A3455B" w:rsidRDefault="00A3455B" w:rsidP="00232CC6">
      <w:pPr>
        <w:pStyle w:val="NormalWeb"/>
        <w:numPr>
          <w:ilvl w:val="0"/>
          <w:numId w:val="10"/>
        </w:numPr>
      </w:pPr>
      <w:r w:rsidRPr="001B2AFE">
        <w:rPr>
          <w:rStyle w:val="Emphasis"/>
          <w:b w:val="0"/>
          <w:bCs w:val="0"/>
        </w:rPr>
        <w:t>Time interval from last dose of MMR vaccine</w:t>
      </w:r>
      <w:r>
        <w:t xml:space="preserve"> </w:t>
      </w:r>
      <w:r w:rsidR="00232CC6">
        <w:br/>
      </w:r>
      <w:r>
        <w:t xml:space="preserve">The respective mean durations between the last MMR vaccination and the date of test for the correctional facility cases, and for cases within the boarding school, were significantly greater than the mean durations between the last MMR dose and the local outbreak midpoint in the corresponding control populations ( </w:t>
      </w:r>
      <w:r w:rsidRPr="00232CC6">
        <w:rPr>
          <w:rStyle w:val="Emphasis"/>
          <w:b w:val="0"/>
          <w:bCs w:val="0"/>
        </w:rPr>
        <w:t>p</w:t>
      </w:r>
      <w:r>
        <w:t xml:space="preserve"> = 0.01 and </w:t>
      </w:r>
      <w:r w:rsidRPr="00232CC6">
        <w:rPr>
          <w:rStyle w:val="Emphasis"/>
          <w:b w:val="0"/>
          <w:bCs w:val="0"/>
        </w:rPr>
        <w:t>p</w:t>
      </w:r>
      <w:r>
        <w:t xml:space="preserve"> = 0.004 respectively) (Table 3). There was no significant difference found in mean duration among cases and controls for the discrete Indigenous community </w:t>
      </w:r>
      <w:proofErr w:type="gramStart"/>
      <w:r>
        <w:t>(</w:t>
      </w:r>
      <w:r w:rsidR="00A257DF">
        <w:t xml:space="preserve"> </w:t>
      </w:r>
      <w:r w:rsidRPr="00232CC6">
        <w:rPr>
          <w:rStyle w:val="Emphasis"/>
          <w:b w:val="0"/>
          <w:bCs w:val="0"/>
        </w:rPr>
        <w:t>p</w:t>
      </w:r>
      <w:proofErr w:type="gramEnd"/>
      <w:r>
        <w:t xml:space="preserve"> = 0.13</w:t>
      </w:r>
      <w:r w:rsidR="00A257DF">
        <w:t xml:space="preserve"> </w:t>
      </w:r>
      <w:r>
        <w:t>).</w:t>
      </w:r>
    </w:p>
    <w:p w14:paraId="770CCFAC" w14:textId="3740B658" w:rsidR="002F40DA" w:rsidRPr="002F40DA" w:rsidRDefault="002F40DA" w:rsidP="002F40DA">
      <w:pPr>
        <w:pStyle w:val="CDIFigures"/>
      </w:pPr>
      <w:r w:rsidRPr="002F40DA">
        <w:t> Table 3: Result from matched case-control study regarding MMR vaccination status and timeliness</w:t>
      </w:r>
    </w:p>
    <w:tbl>
      <w:tblPr>
        <w:tblStyle w:val="CDI-StandardTable"/>
        <w:tblW w:w="10466" w:type="dxa"/>
        <w:tblLook w:val="04A0" w:firstRow="1" w:lastRow="0" w:firstColumn="1" w:lastColumn="0" w:noHBand="0" w:noVBand="1"/>
        <w:tblDescription w:val="Table 3 illustrates if MMR vaccination status (i.e., 3rd dose, interval between Dose 1 and 2 and time of last vaccination) is associated with attack rate after matched with age, sex, Indigenous status and residence.  &#10;"/>
      </w:tblPr>
      <w:tblGrid>
        <w:gridCol w:w="3969"/>
        <w:gridCol w:w="1134"/>
        <w:gridCol w:w="1276"/>
        <w:gridCol w:w="1559"/>
        <w:gridCol w:w="1332"/>
        <w:gridCol w:w="1196"/>
      </w:tblGrid>
      <w:tr w:rsidR="002F40DA" w:rsidRPr="00372671" w14:paraId="1601A374" w14:textId="77777777" w:rsidTr="00A257DF">
        <w:trPr>
          <w:cnfStyle w:val="100000000000" w:firstRow="1" w:lastRow="0" w:firstColumn="0" w:lastColumn="0" w:oddVBand="0" w:evenVBand="0" w:oddHBand="0" w:evenHBand="0" w:firstRowFirstColumn="0" w:firstRowLastColumn="0" w:lastRowFirstColumn="0" w:lastRowLastColumn="0"/>
          <w:tblHeader/>
        </w:trPr>
        <w:tc>
          <w:tcPr>
            <w:tcW w:w="10466" w:type="dxa"/>
            <w:gridSpan w:val="6"/>
            <w:tcBorders>
              <w:bottom w:val="single" w:sz="2" w:space="0" w:color="FFFFFF" w:themeColor="background1"/>
            </w:tcBorders>
            <w:hideMark/>
          </w:tcPr>
          <w:p w14:paraId="4187E8FA" w14:textId="77777777" w:rsidR="002F40DA" w:rsidRPr="00372671" w:rsidRDefault="002F40DA" w:rsidP="002F40DA">
            <w:pPr>
              <w:pStyle w:val="NormalWeb"/>
              <w:rPr>
                <w:color w:val="FFFFFF" w:themeColor="background1"/>
                <w:sz w:val="18"/>
                <w:szCs w:val="18"/>
              </w:rPr>
            </w:pPr>
            <w:r w:rsidRPr="00372671">
              <w:rPr>
                <w:color w:val="FFFFFF" w:themeColor="background1"/>
                <w:sz w:val="18"/>
                <w:szCs w:val="18"/>
              </w:rPr>
              <w:t>MMR vaccination status among cases and controls</w:t>
            </w:r>
          </w:p>
        </w:tc>
      </w:tr>
      <w:tr w:rsidR="002F40DA" w:rsidRPr="00372671" w14:paraId="4E5607FD" w14:textId="77777777" w:rsidTr="00A257DF">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2" w:space="0" w:color="FFFFFF" w:themeColor="background1"/>
              <w:bottom w:val="single" w:sz="2" w:space="0" w:color="FFFFFF" w:themeColor="background1"/>
              <w:right w:val="single" w:sz="2" w:space="0" w:color="FFFFFF" w:themeColor="background1"/>
            </w:tcBorders>
            <w:hideMark/>
          </w:tcPr>
          <w:p w14:paraId="57E84A71" w14:textId="77777777" w:rsidR="002F40DA" w:rsidRPr="00372671" w:rsidRDefault="002F40DA" w:rsidP="002F40DA">
            <w:pPr>
              <w:pStyle w:val="NormalWeb"/>
              <w:rPr>
                <w:color w:val="FFFFFF" w:themeColor="background1"/>
                <w:sz w:val="18"/>
                <w:szCs w:val="18"/>
              </w:rPr>
            </w:pPr>
            <w:r w:rsidRPr="00372671">
              <w:rPr>
                <w:color w:val="FFFFFF" w:themeColor="background1"/>
                <w:sz w:val="18"/>
                <w:szCs w:val="18"/>
              </w:rPr>
              <w:t>Traits</w:t>
            </w:r>
          </w:p>
        </w:tc>
        <w:tc>
          <w:tcPr>
            <w:tcW w:w="2410" w:type="dxa"/>
            <w:gridSpan w:val="2"/>
            <w:tcBorders>
              <w:left w:val="single" w:sz="2" w:space="0" w:color="FFFFFF" w:themeColor="background1"/>
              <w:bottom w:val="single" w:sz="2" w:space="0" w:color="FFFFFF" w:themeColor="background1"/>
              <w:right w:val="single" w:sz="2" w:space="0" w:color="FFFFFF" w:themeColor="background1"/>
            </w:tcBorders>
            <w:hideMark/>
          </w:tcPr>
          <w:p w14:paraId="057CBED3"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Cases (N = 93)</w:t>
            </w:r>
          </w:p>
        </w:tc>
        <w:tc>
          <w:tcPr>
            <w:tcW w:w="28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DB15C1A"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Controls (N = 168)</w:t>
            </w:r>
          </w:p>
        </w:tc>
        <w:tc>
          <w:tcPr>
            <w:tcW w:w="1196" w:type="dxa"/>
            <w:tcBorders>
              <w:top w:val="single" w:sz="2" w:space="0" w:color="FFFFFF" w:themeColor="background1"/>
              <w:left w:val="single" w:sz="2" w:space="0" w:color="FFFFFF" w:themeColor="background1"/>
              <w:bottom w:val="single" w:sz="2" w:space="0" w:color="FFFFFF" w:themeColor="background1"/>
            </w:tcBorders>
            <w:hideMark/>
          </w:tcPr>
          <w:p w14:paraId="382714CF"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p-value</w:t>
            </w:r>
          </w:p>
        </w:tc>
      </w:tr>
      <w:tr w:rsidR="002F40DA" w:rsidRPr="00372671" w14:paraId="21B649FD" w14:textId="77777777" w:rsidTr="00A257DF">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2" w:space="0" w:color="FFFFFF" w:themeColor="background1"/>
              <w:bottom w:val="single" w:sz="2" w:space="0" w:color="808080" w:themeColor="background1" w:themeShade="80"/>
              <w:right w:val="single" w:sz="2" w:space="0" w:color="FFFFFF" w:themeColor="background1"/>
            </w:tcBorders>
            <w:hideMark/>
          </w:tcPr>
          <w:p w14:paraId="557D56FE" w14:textId="77777777" w:rsidR="002F40DA" w:rsidRPr="00372671" w:rsidRDefault="002F40DA" w:rsidP="002F40DA">
            <w:pPr>
              <w:pStyle w:val="NormalWeb"/>
              <w:rPr>
                <w:color w:val="FFFFFF" w:themeColor="background1"/>
                <w:sz w:val="18"/>
                <w:szCs w:val="18"/>
              </w:rPr>
            </w:pPr>
            <w:r w:rsidRPr="00372671">
              <w:rPr>
                <w:color w:val="FFFFFF" w:themeColor="background1"/>
                <w:sz w:val="18"/>
                <w:szCs w:val="18"/>
              </w:rPr>
              <w:t>MMR vaccination status</w:t>
            </w:r>
          </w:p>
        </w:tc>
        <w:tc>
          <w:tcPr>
            <w:tcW w:w="1134"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47F1F32"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n</w:t>
            </w:r>
          </w:p>
        </w:tc>
        <w:tc>
          <w:tcPr>
            <w:tcW w:w="1276"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5BDCA198"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w:t>
            </w:r>
          </w:p>
        </w:tc>
        <w:tc>
          <w:tcPr>
            <w:tcW w:w="1559"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3A303BA8"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n</w:t>
            </w:r>
          </w:p>
        </w:tc>
        <w:tc>
          <w:tcPr>
            <w:tcW w:w="1332"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676D6409" w14:textId="77777777" w:rsidR="002F40DA" w:rsidRPr="00372671" w:rsidRDefault="002F40DA" w:rsidP="002F40DA">
            <w:pPr>
              <w:pStyle w:val="NormalWeb"/>
              <w:jc w:val="center"/>
              <w:rPr>
                <w:color w:val="FFFFFF" w:themeColor="background1"/>
                <w:sz w:val="18"/>
                <w:szCs w:val="18"/>
              </w:rPr>
            </w:pPr>
            <w:r w:rsidRPr="00372671">
              <w:rPr>
                <w:color w:val="FFFFFF" w:themeColor="background1"/>
                <w:sz w:val="18"/>
                <w:szCs w:val="18"/>
              </w:rPr>
              <w:t>%</w:t>
            </w:r>
          </w:p>
        </w:tc>
        <w:tc>
          <w:tcPr>
            <w:tcW w:w="1196" w:type="dxa"/>
            <w:tcBorders>
              <w:top w:val="single" w:sz="2" w:space="0" w:color="FFFFFF" w:themeColor="background1"/>
              <w:left w:val="single" w:sz="2" w:space="0" w:color="FFFFFF" w:themeColor="background1"/>
              <w:bottom w:val="single" w:sz="2" w:space="0" w:color="808080" w:themeColor="background1" w:themeShade="80"/>
            </w:tcBorders>
            <w:hideMark/>
          </w:tcPr>
          <w:p w14:paraId="6AA39C76" w14:textId="77777777" w:rsidR="002F40DA" w:rsidRPr="00372671" w:rsidRDefault="002F40DA" w:rsidP="002F40DA">
            <w:pPr>
              <w:jc w:val="center"/>
              <w:rPr>
                <w:color w:val="FFFFFF" w:themeColor="background1"/>
                <w:sz w:val="18"/>
                <w:szCs w:val="18"/>
              </w:rPr>
            </w:pPr>
          </w:p>
        </w:tc>
      </w:tr>
      <w:tr w:rsidR="002F40DA" w:rsidRPr="00372671" w14:paraId="63509B74"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4130B2" w14:textId="77777777" w:rsidR="002F40DA" w:rsidRPr="00372671" w:rsidRDefault="002F40DA" w:rsidP="002F40DA">
            <w:pPr>
              <w:pStyle w:val="NormalWeb"/>
              <w:rPr>
                <w:sz w:val="18"/>
                <w:szCs w:val="18"/>
              </w:rPr>
            </w:pPr>
            <w:r w:rsidRPr="00372671">
              <w:rPr>
                <w:sz w:val="18"/>
                <w:szCs w:val="18"/>
              </w:rPr>
              <w:t>Not vaccinated</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4F608F0" w14:textId="77777777" w:rsidR="002F40DA" w:rsidRPr="00372671" w:rsidRDefault="002F40DA" w:rsidP="002F40DA">
            <w:pPr>
              <w:pStyle w:val="NormalWeb"/>
              <w:jc w:val="center"/>
              <w:rPr>
                <w:sz w:val="18"/>
                <w:szCs w:val="18"/>
              </w:rPr>
            </w:pPr>
            <w:r w:rsidRPr="00372671">
              <w:rPr>
                <w:sz w:val="18"/>
                <w:szCs w:val="18"/>
              </w:rPr>
              <w:t>5</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C1A4B8" w14:textId="77777777" w:rsidR="002F40DA" w:rsidRPr="00372671" w:rsidRDefault="002F40DA" w:rsidP="002F40DA">
            <w:pPr>
              <w:pStyle w:val="NormalWeb"/>
              <w:jc w:val="center"/>
              <w:rPr>
                <w:sz w:val="18"/>
                <w:szCs w:val="18"/>
              </w:rPr>
            </w:pPr>
            <w:r w:rsidRPr="00372671">
              <w:rPr>
                <w:sz w:val="18"/>
                <w:szCs w:val="18"/>
              </w:rPr>
              <w:t>6.4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D91643" w14:textId="77777777" w:rsidR="002F40DA" w:rsidRPr="00372671" w:rsidRDefault="002F40DA" w:rsidP="002F40DA">
            <w:pPr>
              <w:pStyle w:val="NormalWeb"/>
              <w:jc w:val="center"/>
              <w:rPr>
                <w:sz w:val="18"/>
                <w:szCs w:val="18"/>
              </w:rPr>
            </w:pPr>
            <w:r w:rsidRPr="00372671">
              <w:rPr>
                <w:sz w:val="18"/>
                <w:szCs w:val="18"/>
              </w:rPr>
              <w:t>11</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B37E612" w14:textId="77777777" w:rsidR="002F40DA" w:rsidRPr="00372671" w:rsidRDefault="002F40DA" w:rsidP="002F40DA">
            <w:pPr>
              <w:pStyle w:val="NormalWeb"/>
              <w:jc w:val="center"/>
              <w:rPr>
                <w:sz w:val="18"/>
                <w:szCs w:val="18"/>
              </w:rPr>
            </w:pPr>
            <w:r w:rsidRPr="00372671">
              <w:rPr>
                <w:sz w:val="18"/>
                <w:szCs w:val="18"/>
              </w:rPr>
              <w:t>6.5</w:t>
            </w:r>
          </w:p>
        </w:tc>
        <w:tc>
          <w:tcPr>
            <w:tcW w:w="11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A8249A9" w14:textId="77777777" w:rsidR="002F40DA" w:rsidRPr="00372671" w:rsidRDefault="002F40DA" w:rsidP="002F40DA">
            <w:pPr>
              <w:pStyle w:val="NormalWeb"/>
              <w:jc w:val="center"/>
              <w:rPr>
                <w:sz w:val="18"/>
                <w:szCs w:val="18"/>
              </w:rPr>
            </w:pPr>
            <w:r w:rsidRPr="00372671">
              <w:rPr>
                <w:sz w:val="18"/>
                <w:szCs w:val="18"/>
              </w:rPr>
              <w:t>0.9</w:t>
            </w:r>
            <w:r w:rsidRPr="00372671">
              <w:rPr>
                <w:sz w:val="18"/>
                <w:szCs w:val="18"/>
                <w:vertAlign w:val="superscript"/>
              </w:rPr>
              <w:t>a</w:t>
            </w:r>
          </w:p>
        </w:tc>
      </w:tr>
      <w:tr w:rsidR="002F40DA" w:rsidRPr="00372671" w14:paraId="7DF1F7C7"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68A0C9" w14:textId="77777777" w:rsidR="002F40DA" w:rsidRPr="00372671" w:rsidRDefault="002F40DA" w:rsidP="002F40DA">
            <w:pPr>
              <w:pStyle w:val="NormalWeb"/>
              <w:rPr>
                <w:sz w:val="18"/>
                <w:szCs w:val="18"/>
              </w:rPr>
            </w:pPr>
            <w:r w:rsidRPr="00372671">
              <w:rPr>
                <w:sz w:val="18"/>
                <w:szCs w:val="18"/>
              </w:rPr>
              <w:t>1 dose only</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6ED0B39" w14:textId="77777777" w:rsidR="002F40DA" w:rsidRPr="00372671" w:rsidRDefault="002F40DA" w:rsidP="002F40DA">
            <w:pPr>
              <w:pStyle w:val="NormalWeb"/>
              <w:jc w:val="center"/>
              <w:rPr>
                <w:sz w:val="18"/>
                <w:szCs w:val="18"/>
              </w:rPr>
            </w:pPr>
            <w:r w:rsidRPr="00372671">
              <w:rPr>
                <w:sz w:val="18"/>
                <w:szCs w:val="18"/>
              </w:rPr>
              <w:t>14</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ED45922" w14:textId="77777777" w:rsidR="002F40DA" w:rsidRPr="00372671" w:rsidRDefault="002F40DA" w:rsidP="002F40DA">
            <w:pPr>
              <w:pStyle w:val="NormalWeb"/>
              <w:jc w:val="center"/>
              <w:rPr>
                <w:sz w:val="18"/>
                <w:szCs w:val="18"/>
              </w:rPr>
            </w:pPr>
            <w:r w:rsidRPr="00372671">
              <w:rPr>
                <w:sz w:val="18"/>
                <w:szCs w:val="18"/>
              </w:rPr>
              <w:t>14.9</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36C3582" w14:textId="77777777" w:rsidR="002F40DA" w:rsidRPr="00372671" w:rsidRDefault="002F40DA" w:rsidP="002F40DA">
            <w:pPr>
              <w:pStyle w:val="NormalWeb"/>
              <w:jc w:val="center"/>
              <w:rPr>
                <w:sz w:val="18"/>
                <w:szCs w:val="18"/>
              </w:rPr>
            </w:pPr>
            <w:r w:rsidRPr="00372671">
              <w:rPr>
                <w:sz w:val="18"/>
                <w:szCs w:val="18"/>
              </w:rPr>
              <w:t>16</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94D92FE" w14:textId="77777777" w:rsidR="002F40DA" w:rsidRPr="00372671" w:rsidRDefault="002F40DA" w:rsidP="002F40DA">
            <w:pPr>
              <w:pStyle w:val="NormalWeb"/>
              <w:jc w:val="center"/>
              <w:rPr>
                <w:sz w:val="18"/>
                <w:szCs w:val="18"/>
              </w:rPr>
            </w:pPr>
            <w:r w:rsidRPr="00372671">
              <w:rPr>
                <w:sz w:val="18"/>
                <w:szCs w:val="18"/>
              </w:rPr>
              <w:t>9.5</w:t>
            </w:r>
          </w:p>
        </w:tc>
        <w:tc>
          <w:tcPr>
            <w:tcW w:w="11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00D0127" w14:textId="77777777" w:rsidR="002F40DA" w:rsidRPr="00372671" w:rsidRDefault="002F40DA" w:rsidP="002F40DA">
            <w:pPr>
              <w:jc w:val="center"/>
              <w:rPr>
                <w:sz w:val="18"/>
                <w:szCs w:val="18"/>
              </w:rPr>
            </w:pPr>
          </w:p>
        </w:tc>
      </w:tr>
      <w:tr w:rsidR="002F40DA" w:rsidRPr="00372671" w14:paraId="4F71A068"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BB797D" w14:textId="77777777" w:rsidR="002F40DA" w:rsidRPr="00372671" w:rsidRDefault="002F40DA" w:rsidP="002F40DA">
            <w:pPr>
              <w:pStyle w:val="NormalWeb"/>
              <w:rPr>
                <w:sz w:val="18"/>
                <w:szCs w:val="18"/>
              </w:rPr>
            </w:pPr>
            <w:r w:rsidRPr="00372671">
              <w:rPr>
                <w:sz w:val="18"/>
                <w:szCs w:val="18"/>
              </w:rPr>
              <w:t>2 doses</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1309557" w14:textId="77777777" w:rsidR="002F40DA" w:rsidRPr="00372671" w:rsidRDefault="002F40DA" w:rsidP="002F40DA">
            <w:pPr>
              <w:pStyle w:val="NormalWeb"/>
              <w:jc w:val="center"/>
              <w:rPr>
                <w:sz w:val="18"/>
                <w:szCs w:val="18"/>
              </w:rPr>
            </w:pPr>
            <w:r w:rsidRPr="00372671">
              <w:rPr>
                <w:sz w:val="18"/>
                <w:szCs w:val="18"/>
              </w:rPr>
              <w:t>74</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FDDF7C8" w14:textId="77777777" w:rsidR="002F40DA" w:rsidRPr="00372671" w:rsidRDefault="002F40DA" w:rsidP="002F40DA">
            <w:pPr>
              <w:pStyle w:val="NormalWeb"/>
              <w:jc w:val="center"/>
              <w:rPr>
                <w:sz w:val="18"/>
                <w:szCs w:val="18"/>
              </w:rPr>
            </w:pPr>
            <w:r w:rsidRPr="00372671">
              <w:rPr>
                <w:sz w:val="18"/>
                <w:szCs w:val="18"/>
              </w:rPr>
              <w:t>78.7</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17790F1" w14:textId="77777777" w:rsidR="002F40DA" w:rsidRPr="00372671" w:rsidRDefault="002F40DA" w:rsidP="002F40DA">
            <w:pPr>
              <w:pStyle w:val="NormalWeb"/>
              <w:jc w:val="center"/>
              <w:rPr>
                <w:sz w:val="18"/>
                <w:szCs w:val="18"/>
              </w:rPr>
            </w:pPr>
            <w:r w:rsidRPr="00372671">
              <w:rPr>
                <w:sz w:val="18"/>
                <w:szCs w:val="18"/>
              </w:rPr>
              <w:t>141</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3004CDC" w14:textId="77777777" w:rsidR="002F40DA" w:rsidRPr="00372671" w:rsidRDefault="002F40DA" w:rsidP="002F40DA">
            <w:pPr>
              <w:pStyle w:val="NormalWeb"/>
              <w:jc w:val="center"/>
              <w:rPr>
                <w:sz w:val="18"/>
                <w:szCs w:val="18"/>
              </w:rPr>
            </w:pPr>
            <w:r w:rsidRPr="00372671">
              <w:rPr>
                <w:sz w:val="18"/>
                <w:szCs w:val="18"/>
              </w:rPr>
              <w:t>84.0</w:t>
            </w:r>
          </w:p>
        </w:tc>
        <w:tc>
          <w:tcPr>
            <w:tcW w:w="11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D916F8E" w14:textId="77777777" w:rsidR="002F40DA" w:rsidRPr="00372671" w:rsidRDefault="002F40DA" w:rsidP="002F40DA">
            <w:pPr>
              <w:jc w:val="center"/>
              <w:rPr>
                <w:sz w:val="18"/>
                <w:szCs w:val="18"/>
              </w:rPr>
            </w:pPr>
          </w:p>
        </w:tc>
      </w:tr>
      <w:tr w:rsidR="002F40DA" w:rsidRPr="00372671" w14:paraId="52AAFD04"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6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5239F81" w14:textId="77777777" w:rsidR="002F40DA" w:rsidRPr="00372671" w:rsidRDefault="002F40DA" w:rsidP="002F40DA">
            <w:pPr>
              <w:pStyle w:val="NormalWeb"/>
              <w:jc w:val="center"/>
              <w:rPr>
                <w:b/>
                <w:bCs/>
                <w:sz w:val="18"/>
                <w:szCs w:val="18"/>
              </w:rPr>
            </w:pPr>
            <w:r w:rsidRPr="00372671">
              <w:rPr>
                <w:b/>
                <w:bCs/>
                <w:sz w:val="18"/>
                <w:szCs w:val="18"/>
              </w:rPr>
              <w:t>Time interval between doses 1 and 2 for those who received two doses of MMR vaccine (years)</w:t>
            </w:r>
          </w:p>
        </w:tc>
      </w:tr>
      <w:tr w:rsidR="002F40DA" w:rsidRPr="00372671" w14:paraId="1FC75F85"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B9648A" w14:textId="77777777" w:rsidR="002F40DA" w:rsidRPr="00372671" w:rsidRDefault="002F40DA" w:rsidP="002F40DA">
            <w:pPr>
              <w:pStyle w:val="NormalWeb"/>
              <w:rPr>
                <w:b/>
                <w:bCs/>
                <w:sz w:val="18"/>
                <w:szCs w:val="18"/>
              </w:rPr>
            </w:pPr>
            <w:r w:rsidRPr="00372671">
              <w:rPr>
                <w:b/>
                <w:bCs/>
                <w:sz w:val="18"/>
                <w:szCs w:val="18"/>
              </w:rPr>
              <w:t>Traits</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752ACB1" w14:textId="77777777" w:rsidR="002F40DA" w:rsidRPr="00372671" w:rsidRDefault="002F40DA" w:rsidP="002F40DA">
            <w:pPr>
              <w:pStyle w:val="NormalWeb"/>
              <w:jc w:val="center"/>
              <w:rPr>
                <w:b/>
                <w:bCs/>
                <w:sz w:val="18"/>
                <w:szCs w:val="18"/>
              </w:rPr>
            </w:pPr>
            <w:r w:rsidRPr="00372671">
              <w:rPr>
                <w:b/>
                <w:bCs/>
                <w:sz w:val="18"/>
                <w:szCs w:val="18"/>
              </w:rPr>
              <w:t xml:space="preserve">Cases (n = </w:t>
            </w:r>
            <w:proofErr w:type="gramStart"/>
            <w:r w:rsidRPr="00372671">
              <w:rPr>
                <w:b/>
                <w:bCs/>
                <w:sz w:val="18"/>
                <w:szCs w:val="18"/>
              </w:rPr>
              <w:t>74)</w:t>
            </w:r>
            <w:r w:rsidRPr="00372671">
              <w:rPr>
                <w:b/>
                <w:bCs/>
                <w:sz w:val="18"/>
                <w:szCs w:val="18"/>
                <w:vertAlign w:val="superscript"/>
              </w:rPr>
              <w:t>b</w:t>
            </w:r>
            <w:proofErr w:type="gramEnd"/>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9B7E2BC" w14:textId="77777777" w:rsidR="002F40DA" w:rsidRPr="00372671" w:rsidRDefault="002F40DA" w:rsidP="002F40DA">
            <w:pPr>
              <w:pStyle w:val="NormalWeb"/>
              <w:jc w:val="center"/>
              <w:rPr>
                <w:b/>
                <w:bCs/>
                <w:sz w:val="18"/>
                <w:szCs w:val="18"/>
              </w:rPr>
            </w:pPr>
            <w:r w:rsidRPr="00372671">
              <w:rPr>
                <w:b/>
                <w:bCs/>
                <w:sz w:val="18"/>
                <w:szCs w:val="18"/>
              </w:rPr>
              <w:t xml:space="preserve">Controls (n = 141) </w:t>
            </w:r>
            <w:r w:rsidRPr="00372671">
              <w:rPr>
                <w:b/>
                <w:bCs/>
                <w:sz w:val="18"/>
                <w:szCs w:val="18"/>
                <w:vertAlign w:val="superscript"/>
              </w:rPr>
              <w:t>b</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E82175F" w14:textId="77777777" w:rsidR="002F40DA" w:rsidRPr="00372671" w:rsidRDefault="002F40DA" w:rsidP="002F40DA">
            <w:pPr>
              <w:pStyle w:val="NormalWeb"/>
              <w:jc w:val="center"/>
              <w:rPr>
                <w:b/>
                <w:bCs/>
                <w:sz w:val="18"/>
                <w:szCs w:val="18"/>
              </w:rPr>
            </w:pPr>
            <w:r w:rsidRPr="00372671">
              <w:rPr>
                <w:b/>
                <w:bCs/>
                <w:sz w:val="18"/>
                <w:szCs w:val="18"/>
              </w:rPr>
              <w:t>p-value</w:t>
            </w:r>
          </w:p>
        </w:tc>
      </w:tr>
      <w:tr w:rsidR="002F40DA" w:rsidRPr="00372671" w14:paraId="5657C997"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A83A26" w14:textId="77777777" w:rsidR="002F40DA" w:rsidRPr="00372671" w:rsidRDefault="002F40DA" w:rsidP="002F40DA">
            <w:pPr>
              <w:pStyle w:val="NormalWeb"/>
              <w:rPr>
                <w:sz w:val="18"/>
                <w:szCs w:val="18"/>
              </w:rPr>
            </w:pPr>
            <w:r w:rsidRPr="00372671">
              <w:rPr>
                <w:sz w:val="18"/>
                <w:szCs w:val="18"/>
              </w:rPr>
              <w:t>All</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6CB8C8F" w14:textId="77777777" w:rsidR="002F40DA" w:rsidRPr="00372671" w:rsidRDefault="002F40DA" w:rsidP="002F40DA">
            <w:pPr>
              <w:pStyle w:val="NormalWeb"/>
              <w:jc w:val="center"/>
              <w:rPr>
                <w:sz w:val="18"/>
                <w:szCs w:val="18"/>
              </w:rPr>
            </w:pPr>
            <w:r w:rsidRPr="00372671">
              <w:rPr>
                <w:sz w:val="18"/>
                <w:szCs w:val="18"/>
              </w:rPr>
              <w:t>3.0 (1.4)</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9DC3219" w14:textId="77777777" w:rsidR="002F40DA" w:rsidRPr="00372671" w:rsidRDefault="002F40DA" w:rsidP="002F40DA">
            <w:pPr>
              <w:pStyle w:val="NormalWeb"/>
              <w:jc w:val="center"/>
              <w:rPr>
                <w:sz w:val="18"/>
                <w:szCs w:val="18"/>
              </w:rPr>
            </w:pPr>
            <w:r w:rsidRPr="00372671">
              <w:rPr>
                <w:sz w:val="18"/>
                <w:szCs w:val="18"/>
              </w:rPr>
              <w:t>4.1 (3.9)</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F7AD55A" w14:textId="77777777" w:rsidR="002F40DA" w:rsidRPr="00372671" w:rsidRDefault="002F40DA" w:rsidP="002F40DA">
            <w:pPr>
              <w:pStyle w:val="NormalWeb"/>
              <w:jc w:val="center"/>
              <w:rPr>
                <w:sz w:val="18"/>
                <w:szCs w:val="18"/>
              </w:rPr>
            </w:pPr>
            <w:r w:rsidRPr="00372671">
              <w:rPr>
                <w:sz w:val="18"/>
                <w:szCs w:val="18"/>
              </w:rPr>
              <w:t>0.01</w:t>
            </w:r>
          </w:p>
        </w:tc>
      </w:tr>
      <w:tr w:rsidR="002F40DA" w:rsidRPr="00372671" w14:paraId="69744380"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DD9547" w14:textId="77777777" w:rsidR="002F40DA" w:rsidRPr="00372671" w:rsidRDefault="002F40DA" w:rsidP="002F40DA">
            <w:pPr>
              <w:pStyle w:val="NormalWeb"/>
              <w:rPr>
                <w:sz w:val="18"/>
                <w:szCs w:val="18"/>
              </w:rPr>
            </w:pPr>
            <w:r w:rsidRPr="00372671">
              <w:rPr>
                <w:sz w:val="18"/>
                <w:szCs w:val="18"/>
              </w:rPr>
              <w:t>Persons born prior to 1 March 2000</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FB47C17" w14:textId="77777777" w:rsidR="002F40DA" w:rsidRPr="00372671" w:rsidRDefault="002F40DA" w:rsidP="002F40DA">
            <w:pPr>
              <w:pStyle w:val="NormalWeb"/>
              <w:jc w:val="center"/>
              <w:rPr>
                <w:sz w:val="18"/>
                <w:szCs w:val="18"/>
              </w:rPr>
            </w:pPr>
            <w:r w:rsidRPr="00372671">
              <w:rPr>
                <w:sz w:val="18"/>
                <w:szCs w:val="18"/>
              </w:rPr>
              <w:t>3.6 (1.8)</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A095A24" w14:textId="77777777" w:rsidR="002F40DA" w:rsidRPr="00372671" w:rsidRDefault="002F40DA" w:rsidP="002F40DA">
            <w:pPr>
              <w:pStyle w:val="NormalWeb"/>
              <w:jc w:val="center"/>
              <w:rPr>
                <w:sz w:val="18"/>
                <w:szCs w:val="18"/>
              </w:rPr>
            </w:pPr>
            <w:r w:rsidRPr="00372671">
              <w:rPr>
                <w:sz w:val="18"/>
                <w:szCs w:val="18"/>
              </w:rPr>
              <w:t>5.9 (5.2)</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3D40FF0" w14:textId="77777777" w:rsidR="002F40DA" w:rsidRPr="00372671" w:rsidRDefault="002F40DA" w:rsidP="002F40DA">
            <w:pPr>
              <w:pStyle w:val="NormalWeb"/>
              <w:jc w:val="center"/>
              <w:rPr>
                <w:sz w:val="18"/>
                <w:szCs w:val="18"/>
              </w:rPr>
            </w:pPr>
            <w:r w:rsidRPr="00372671">
              <w:rPr>
                <w:sz w:val="18"/>
                <w:szCs w:val="18"/>
              </w:rPr>
              <w:t>0.0003</w:t>
            </w:r>
          </w:p>
        </w:tc>
      </w:tr>
      <w:tr w:rsidR="002F40DA" w:rsidRPr="00372671" w14:paraId="68EA3F23"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4E731F" w14:textId="77777777" w:rsidR="002F40DA" w:rsidRPr="00372671" w:rsidRDefault="002F40DA" w:rsidP="002F40DA">
            <w:pPr>
              <w:pStyle w:val="NormalWeb"/>
              <w:rPr>
                <w:sz w:val="18"/>
                <w:szCs w:val="18"/>
              </w:rPr>
            </w:pPr>
            <w:r w:rsidRPr="00372671">
              <w:rPr>
                <w:sz w:val="18"/>
                <w:szCs w:val="18"/>
              </w:rPr>
              <w:t>Persons born after 1 March 2000</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8A33C22" w14:textId="77777777" w:rsidR="002F40DA" w:rsidRPr="00372671" w:rsidRDefault="002F40DA" w:rsidP="002F40DA">
            <w:pPr>
              <w:pStyle w:val="NormalWeb"/>
              <w:jc w:val="center"/>
              <w:rPr>
                <w:sz w:val="18"/>
                <w:szCs w:val="18"/>
              </w:rPr>
            </w:pPr>
            <w:r w:rsidRPr="00372671">
              <w:rPr>
                <w:sz w:val="18"/>
                <w:szCs w:val="18"/>
              </w:rPr>
              <w:t>2.6 (1.1)</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946D652" w14:textId="77777777" w:rsidR="002F40DA" w:rsidRPr="00372671" w:rsidRDefault="002F40DA" w:rsidP="002F40DA">
            <w:pPr>
              <w:pStyle w:val="NormalWeb"/>
              <w:jc w:val="center"/>
              <w:rPr>
                <w:sz w:val="18"/>
                <w:szCs w:val="18"/>
              </w:rPr>
            </w:pPr>
            <w:r w:rsidRPr="00372671">
              <w:rPr>
                <w:sz w:val="18"/>
                <w:szCs w:val="18"/>
              </w:rPr>
              <w:t>2.9 (1.9)</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98C5D4" w14:textId="77777777" w:rsidR="002F40DA" w:rsidRPr="00372671" w:rsidRDefault="002F40DA" w:rsidP="002F40DA">
            <w:pPr>
              <w:pStyle w:val="NormalWeb"/>
              <w:jc w:val="center"/>
              <w:rPr>
                <w:sz w:val="18"/>
                <w:szCs w:val="18"/>
              </w:rPr>
            </w:pPr>
            <w:r w:rsidRPr="00372671">
              <w:rPr>
                <w:sz w:val="18"/>
                <w:szCs w:val="18"/>
              </w:rPr>
              <w:t>0.2</w:t>
            </w:r>
          </w:p>
        </w:tc>
      </w:tr>
      <w:tr w:rsidR="002F40DA" w:rsidRPr="00372671" w14:paraId="768D1063" w14:textId="77777777" w:rsidTr="00A257DF">
        <w:tblPrEx>
          <w:tblCellMar>
            <w:top w:w="57" w:type="dxa"/>
            <w:left w:w="57" w:type="dxa"/>
            <w:bottom w:w="57" w:type="dxa"/>
            <w:right w:w="57" w:type="dxa"/>
          </w:tblCellMar>
        </w:tblPrEx>
        <w:tc>
          <w:tcPr>
            <w:tcW w:w="10466"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7D851BEB" w14:textId="77777777" w:rsidR="002F40DA" w:rsidRPr="00372671" w:rsidRDefault="002F40DA" w:rsidP="002F40DA">
            <w:pPr>
              <w:pStyle w:val="NormalWeb"/>
              <w:jc w:val="center"/>
              <w:rPr>
                <w:b/>
                <w:bCs/>
                <w:sz w:val="18"/>
                <w:szCs w:val="18"/>
              </w:rPr>
            </w:pPr>
            <w:r w:rsidRPr="00372671">
              <w:rPr>
                <w:b/>
                <w:bCs/>
                <w:sz w:val="18"/>
                <w:szCs w:val="18"/>
              </w:rPr>
              <w:t>Time interval from most recent MMR vaccine (i.e. either dose 1 or dose 2) to infection (years)</w:t>
            </w:r>
          </w:p>
        </w:tc>
      </w:tr>
      <w:tr w:rsidR="002F40DA" w:rsidRPr="00372671" w14:paraId="168B3AC8"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BA9649" w14:textId="77777777" w:rsidR="002F40DA" w:rsidRPr="00372671" w:rsidRDefault="002F40DA" w:rsidP="002F40DA">
            <w:pPr>
              <w:pStyle w:val="NormalWeb"/>
              <w:rPr>
                <w:b/>
                <w:bCs/>
                <w:sz w:val="18"/>
                <w:szCs w:val="18"/>
              </w:rPr>
            </w:pPr>
            <w:r w:rsidRPr="00372671">
              <w:rPr>
                <w:b/>
                <w:bCs/>
                <w:sz w:val="18"/>
                <w:szCs w:val="18"/>
              </w:rPr>
              <w:t>Traits</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D242CC9" w14:textId="77777777" w:rsidR="002F40DA" w:rsidRPr="00372671" w:rsidRDefault="002F40DA" w:rsidP="002F40DA">
            <w:pPr>
              <w:pStyle w:val="NormalWeb"/>
              <w:jc w:val="center"/>
              <w:rPr>
                <w:b/>
                <w:bCs/>
                <w:sz w:val="18"/>
                <w:szCs w:val="18"/>
              </w:rPr>
            </w:pPr>
            <w:r w:rsidRPr="00372671">
              <w:rPr>
                <w:b/>
                <w:bCs/>
                <w:sz w:val="18"/>
                <w:szCs w:val="18"/>
              </w:rPr>
              <w:t xml:space="preserve">Cases (n = </w:t>
            </w:r>
            <w:proofErr w:type="gramStart"/>
            <w:r w:rsidRPr="00372671">
              <w:rPr>
                <w:b/>
                <w:bCs/>
                <w:sz w:val="18"/>
                <w:szCs w:val="18"/>
              </w:rPr>
              <w:t>74)</w:t>
            </w:r>
            <w:r w:rsidRPr="00372671">
              <w:rPr>
                <w:b/>
                <w:bCs/>
                <w:sz w:val="18"/>
                <w:szCs w:val="18"/>
                <w:vertAlign w:val="superscript"/>
              </w:rPr>
              <w:t>b</w:t>
            </w:r>
            <w:proofErr w:type="gramEnd"/>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FD6F2B0" w14:textId="77777777" w:rsidR="002F40DA" w:rsidRPr="00372671" w:rsidRDefault="002F40DA" w:rsidP="002F40DA">
            <w:pPr>
              <w:pStyle w:val="NormalWeb"/>
              <w:jc w:val="center"/>
              <w:rPr>
                <w:b/>
                <w:bCs/>
                <w:sz w:val="18"/>
                <w:szCs w:val="18"/>
              </w:rPr>
            </w:pPr>
            <w:r w:rsidRPr="00372671">
              <w:rPr>
                <w:b/>
                <w:bCs/>
                <w:sz w:val="18"/>
                <w:szCs w:val="18"/>
              </w:rPr>
              <w:t xml:space="preserve">Controls (n = </w:t>
            </w:r>
            <w:proofErr w:type="gramStart"/>
            <w:r w:rsidRPr="00372671">
              <w:rPr>
                <w:b/>
                <w:bCs/>
                <w:sz w:val="18"/>
                <w:szCs w:val="18"/>
              </w:rPr>
              <w:t>141)</w:t>
            </w:r>
            <w:proofErr w:type="spellStart"/>
            <w:r w:rsidRPr="00372671">
              <w:rPr>
                <w:b/>
                <w:bCs/>
                <w:sz w:val="18"/>
                <w:szCs w:val="18"/>
                <w:vertAlign w:val="superscript"/>
              </w:rPr>
              <w:t>b</w:t>
            </w:r>
            <w:proofErr w:type="gramEnd"/>
            <w:r w:rsidRPr="00372671">
              <w:rPr>
                <w:b/>
                <w:bCs/>
                <w:sz w:val="18"/>
                <w:szCs w:val="18"/>
                <w:vertAlign w:val="superscript"/>
              </w:rPr>
              <w:t>,c</w:t>
            </w:r>
            <w:proofErr w:type="spellEnd"/>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4291158" w14:textId="77777777" w:rsidR="002F40DA" w:rsidRPr="00372671" w:rsidRDefault="002F40DA" w:rsidP="002F40DA">
            <w:pPr>
              <w:pStyle w:val="NormalWeb"/>
              <w:jc w:val="center"/>
              <w:rPr>
                <w:b/>
                <w:bCs/>
                <w:sz w:val="18"/>
                <w:szCs w:val="18"/>
              </w:rPr>
            </w:pPr>
            <w:r w:rsidRPr="00372671">
              <w:rPr>
                <w:b/>
                <w:bCs/>
                <w:sz w:val="18"/>
                <w:szCs w:val="18"/>
              </w:rPr>
              <w:t>p-value</w:t>
            </w:r>
          </w:p>
        </w:tc>
      </w:tr>
      <w:tr w:rsidR="002F40DA" w:rsidRPr="00372671" w14:paraId="21E86477"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5ACE04" w14:textId="77777777" w:rsidR="002F40DA" w:rsidRPr="00372671" w:rsidRDefault="002F40DA" w:rsidP="002F40DA">
            <w:pPr>
              <w:pStyle w:val="NormalWeb"/>
              <w:rPr>
                <w:sz w:val="18"/>
                <w:szCs w:val="18"/>
              </w:rPr>
            </w:pPr>
            <w:r w:rsidRPr="00372671">
              <w:rPr>
                <w:sz w:val="18"/>
                <w:szCs w:val="18"/>
              </w:rPr>
              <w:t>Discrete Indigenous community</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49E549C" w14:textId="77777777" w:rsidR="002F40DA" w:rsidRPr="00372671" w:rsidRDefault="002F40DA" w:rsidP="002F40DA">
            <w:pPr>
              <w:pStyle w:val="NormalWeb"/>
              <w:jc w:val="center"/>
              <w:rPr>
                <w:sz w:val="18"/>
                <w:szCs w:val="18"/>
              </w:rPr>
            </w:pPr>
            <w:r w:rsidRPr="00372671">
              <w:rPr>
                <w:sz w:val="18"/>
                <w:szCs w:val="18"/>
              </w:rPr>
              <w:t>12.1 (0.7)</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920A08B" w14:textId="77777777" w:rsidR="002F40DA" w:rsidRPr="00372671" w:rsidRDefault="002F40DA" w:rsidP="002F40DA">
            <w:pPr>
              <w:pStyle w:val="NormalWeb"/>
              <w:jc w:val="center"/>
              <w:rPr>
                <w:sz w:val="18"/>
                <w:szCs w:val="18"/>
              </w:rPr>
            </w:pPr>
            <w:r w:rsidRPr="00372671">
              <w:rPr>
                <w:sz w:val="18"/>
                <w:szCs w:val="18"/>
              </w:rPr>
              <w:t>11.1 (0.5)</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3BBACFF" w14:textId="77777777" w:rsidR="002F40DA" w:rsidRPr="00372671" w:rsidRDefault="002F40DA" w:rsidP="002F40DA">
            <w:pPr>
              <w:pStyle w:val="NormalWeb"/>
              <w:jc w:val="center"/>
              <w:rPr>
                <w:sz w:val="18"/>
                <w:szCs w:val="18"/>
              </w:rPr>
            </w:pPr>
            <w:r w:rsidRPr="00372671">
              <w:rPr>
                <w:sz w:val="18"/>
                <w:szCs w:val="18"/>
              </w:rPr>
              <w:t>0.13</w:t>
            </w:r>
          </w:p>
        </w:tc>
      </w:tr>
      <w:tr w:rsidR="002F40DA" w:rsidRPr="00372671" w14:paraId="66B273CD" w14:textId="77777777" w:rsidTr="00A257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62FB0D" w14:textId="77777777" w:rsidR="002F40DA" w:rsidRPr="00372671" w:rsidRDefault="002F40DA" w:rsidP="002F40DA">
            <w:pPr>
              <w:pStyle w:val="NormalWeb"/>
              <w:rPr>
                <w:sz w:val="18"/>
                <w:szCs w:val="18"/>
              </w:rPr>
            </w:pPr>
            <w:r w:rsidRPr="00372671">
              <w:rPr>
                <w:sz w:val="18"/>
                <w:szCs w:val="18"/>
              </w:rPr>
              <w:t>Correctional facility</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F46090C" w14:textId="77777777" w:rsidR="002F40DA" w:rsidRPr="00372671" w:rsidRDefault="002F40DA" w:rsidP="002F40DA">
            <w:pPr>
              <w:pStyle w:val="NormalWeb"/>
              <w:jc w:val="center"/>
              <w:rPr>
                <w:sz w:val="18"/>
                <w:szCs w:val="18"/>
              </w:rPr>
            </w:pPr>
            <w:r w:rsidRPr="00372671">
              <w:rPr>
                <w:sz w:val="18"/>
                <w:szCs w:val="18"/>
              </w:rPr>
              <w:t>12.8 (0.3)</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CD5FDC8" w14:textId="77777777" w:rsidR="002F40DA" w:rsidRPr="00372671" w:rsidRDefault="002F40DA" w:rsidP="002F40DA">
            <w:pPr>
              <w:pStyle w:val="NormalWeb"/>
              <w:jc w:val="center"/>
              <w:rPr>
                <w:sz w:val="18"/>
                <w:szCs w:val="18"/>
              </w:rPr>
            </w:pPr>
            <w:r w:rsidRPr="00372671">
              <w:rPr>
                <w:sz w:val="18"/>
                <w:szCs w:val="18"/>
              </w:rPr>
              <w:t>11.9 (0.2)</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875B520" w14:textId="77777777" w:rsidR="002F40DA" w:rsidRPr="00372671" w:rsidRDefault="002F40DA" w:rsidP="002F40DA">
            <w:pPr>
              <w:pStyle w:val="NormalWeb"/>
              <w:jc w:val="center"/>
              <w:rPr>
                <w:sz w:val="18"/>
                <w:szCs w:val="18"/>
              </w:rPr>
            </w:pPr>
            <w:r w:rsidRPr="00372671">
              <w:rPr>
                <w:sz w:val="18"/>
                <w:szCs w:val="18"/>
              </w:rPr>
              <w:t>0.01</w:t>
            </w:r>
          </w:p>
        </w:tc>
      </w:tr>
      <w:tr w:rsidR="002F40DA" w:rsidRPr="00372671" w14:paraId="26C0BA85" w14:textId="77777777" w:rsidTr="00A257DF">
        <w:tblPrEx>
          <w:tblCellMar>
            <w:top w:w="57" w:type="dxa"/>
            <w:left w:w="57" w:type="dxa"/>
            <w:bottom w:w="57" w:type="dxa"/>
            <w:right w:w="57" w:type="dxa"/>
          </w:tblCellMar>
        </w:tblPrEx>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115DE1" w14:textId="77777777" w:rsidR="002F40DA" w:rsidRPr="00372671" w:rsidRDefault="002F40DA" w:rsidP="002F40DA">
            <w:pPr>
              <w:pStyle w:val="NormalWeb"/>
              <w:rPr>
                <w:sz w:val="18"/>
                <w:szCs w:val="18"/>
              </w:rPr>
            </w:pPr>
            <w:r w:rsidRPr="00372671">
              <w:rPr>
                <w:sz w:val="18"/>
                <w:szCs w:val="18"/>
              </w:rPr>
              <w:t>Boarding school</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04B7BD9" w14:textId="77777777" w:rsidR="002F40DA" w:rsidRPr="00372671" w:rsidRDefault="002F40DA" w:rsidP="002F40DA">
            <w:pPr>
              <w:pStyle w:val="NormalWeb"/>
              <w:jc w:val="center"/>
              <w:rPr>
                <w:sz w:val="18"/>
                <w:szCs w:val="18"/>
              </w:rPr>
            </w:pPr>
            <w:r w:rsidRPr="00372671">
              <w:rPr>
                <w:sz w:val="18"/>
                <w:szCs w:val="18"/>
              </w:rPr>
              <w:t>16.1 (1.3)</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ADAF805" w14:textId="77777777" w:rsidR="002F40DA" w:rsidRPr="00372671" w:rsidRDefault="002F40DA" w:rsidP="002F40DA">
            <w:pPr>
              <w:pStyle w:val="NormalWeb"/>
              <w:jc w:val="center"/>
              <w:rPr>
                <w:sz w:val="18"/>
                <w:szCs w:val="18"/>
              </w:rPr>
            </w:pPr>
            <w:r w:rsidRPr="00372671">
              <w:rPr>
                <w:sz w:val="18"/>
                <w:szCs w:val="18"/>
              </w:rPr>
              <w:t>8.1 (1.8)</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D699689" w14:textId="77777777" w:rsidR="002F40DA" w:rsidRPr="00372671" w:rsidRDefault="002F40DA" w:rsidP="002F40DA">
            <w:pPr>
              <w:pStyle w:val="NormalWeb"/>
              <w:jc w:val="center"/>
              <w:rPr>
                <w:sz w:val="18"/>
                <w:szCs w:val="18"/>
              </w:rPr>
            </w:pPr>
            <w:r w:rsidRPr="00372671">
              <w:rPr>
                <w:sz w:val="18"/>
                <w:szCs w:val="18"/>
              </w:rPr>
              <w:t>0.004</w:t>
            </w:r>
          </w:p>
        </w:tc>
      </w:tr>
      <w:tr w:rsidR="002F40DA" w:rsidRPr="00372671" w14:paraId="7C6E29BC" w14:textId="77777777" w:rsidTr="004358C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C0555C" w14:textId="77777777" w:rsidR="002F40DA" w:rsidRPr="00372671" w:rsidRDefault="002F40DA" w:rsidP="004358CF">
            <w:pPr>
              <w:pStyle w:val="NormalWeb"/>
              <w:rPr>
                <w:sz w:val="18"/>
                <w:szCs w:val="18"/>
              </w:rPr>
            </w:pPr>
            <w:r w:rsidRPr="00372671">
              <w:rPr>
                <w:sz w:val="18"/>
                <w:szCs w:val="18"/>
              </w:rPr>
              <w:t>All</w:t>
            </w:r>
          </w:p>
        </w:tc>
        <w:tc>
          <w:tcPr>
            <w:tcW w:w="24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F978A7B" w14:textId="77777777" w:rsidR="002F40DA" w:rsidRPr="00372671" w:rsidRDefault="002F40DA" w:rsidP="002F40DA">
            <w:pPr>
              <w:pStyle w:val="NormalWeb"/>
              <w:jc w:val="center"/>
              <w:rPr>
                <w:sz w:val="18"/>
                <w:szCs w:val="18"/>
              </w:rPr>
            </w:pPr>
            <w:r w:rsidRPr="00372671">
              <w:rPr>
                <w:sz w:val="18"/>
                <w:szCs w:val="18"/>
              </w:rPr>
              <w:t>12.7 (0.5)</w:t>
            </w:r>
          </w:p>
        </w:tc>
        <w:tc>
          <w:tcPr>
            <w:tcW w:w="28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3A86548" w14:textId="77777777" w:rsidR="002F40DA" w:rsidRPr="00372671" w:rsidRDefault="002F40DA" w:rsidP="002F40DA">
            <w:pPr>
              <w:pStyle w:val="NormalWeb"/>
              <w:jc w:val="center"/>
              <w:rPr>
                <w:sz w:val="18"/>
                <w:szCs w:val="18"/>
              </w:rPr>
            </w:pPr>
            <w:r w:rsidRPr="00372671">
              <w:rPr>
                <w:sz w:val="18"/>
                <w:szCs w:val="18"/>
              </w:rPr>
              <w:t>10.9 (0.4)</w:t>
            </w:r>
          </w:p>
        </w:tc>
        <w:tc>
          <w:tcPr>
            <w:tcW w:w="11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E423167" w14:textId="77777777" w:rsidR="002F40DA" w:rsidRPr="00372671" w:rsidRDefault="002F40DA" w:rsidP="002F40DA">
            <w:pPr>
              <w:pStyle w:val="NormalWeb"/>
              <w:jc w:val="center"/>
              <w:rPr>
                <w:sz w:val="18"/>
                <w:szCs w:val="18"/>
              </w:rPr>
            </w:pPr>
            <w:r w:rsidRPr="00372671">
              <w:rPr>
                <w:sz w:val="18"/>
                <w:szCs w:val="18"/>
              </w:rPr>
              <w:t>0.01</w:t>
            </w:r>
          </w:p>
        </w:tc>
      </w:tr>
    </w:tbl>
    <w:p w14:paraId="2944121A" w14:textId="4176E9FF" w:rsidR="002F40DA" w:rsidRPr="004358CF" w:rsidRDefault="002F40DA" w:rsidP="004358CF">
      <w:pPr>
        <w:pStyle w:val="CDIfootnotes"/>
        <w:numPr>
          <w:ilvl w:val="0"/>
          <w:numId w:val="17"/>
        </w:numPr>
      </w:pPr>
      <w:r w:rsidRPr="004358CF">
        <w:t>Comparison includes only individuals with zero, one or two doses.</w:t>
      </w:r>
    </w:p>
    <w:p w14:paraId="33772C37" w14:textId="1776A61E" w:rsidR="002F40DA" w:rsidRPr="004358CF" w:rsidRDefault="002F40DA" w:rsidP="004358CF">
      <w:pPr>
        <w:pStyle w:val="CDIfootnotes"/>
        <w:numPr>
          <w:ilvl w:val="0"/>
          <w:numId w:val="17"/>
        </w:numPr>
      </w:pPr>
      <w:r w:rsidRPr="004358CF">
        <w:t>Mean (standard deviation).</w:t>
      </w:r>
    </w:p>
    <w:p w14:paraId="4D98B962" w14:textId="5DCA258B" w:rsidR="002F40DA" w:rsidRPr="004358CF" w:rsidRDefault="002F40DA" w:rsidP="004358CF">
      <w:pPr>
        <w:pStyle w:val="CDIfootnotes"/>
        <w:numPr>
          <w:ilvl w:val="0"/>
          <w:numId w:val="17"/>
        </w:numPr>
      </w:pPr>
      <w:r w:rsidRPr="004358CF">
        <w:t>Interval from most recent MMR vaccine to outbreak midpoint.</w:t>
      </w:r>
    </w:p>
    <w:p w14:paraId="14A3B002" w14:textId="3A8CFB7D" w:rsidR="00A3455B" w:rsidRPr="00087562" w:rsidRDefault="00A3455B" w:rsidP="00087562">
      <w:pPr>
        <w:pStyle w:val="Heading2"/>
      </w:pPr>
      <w:r w:rsidRPr="00087562">
        <w:t>Public health measures and infection prevention and control measures</w:t>
      </w:r>
    </w:p>
    <w:p w14:paraId="66A3FA8A" w14:textId="77777777" w:rsidR="00A3455B" w:rsidRDefault="00A3455B" w:rsidP="00087562">
      <w:r>
        <w:t xml:space="preserve">During the mumps outbreak within the discrete Indigenous community, the </w:t>
      </w:r>
      <w:proofErr w:type="gramStart"/>
      <w:r>
        <w:t>correctional facility</w:t>
      </w:r>
      <w:proofErr w:type="gramEnd"/>
      <w:r>
        <w:t xml:space="preserve"> and the boarding school, outbreak investigation and control measures were led by Central Queensland Public Health Unit (CQPHU) in collaboration with key stakeholders. These measures included community education on disease transmission, infection prevention and control advice including use of personal protective equipment (PPE) where appropriate, case isolation, testing on clinical suspicion, hand hygiene, refraining from sharing food, drinks, cigarettes and utensils, environmental cleaning, cough etiquette and vaccination of household/household-like contacts.</w:t>
      </w:r>
    </w:p>
    <w:p w14:paraId="3BCF7AB7" w14:textId="77777777" w:rsidR="00A3455B" w:rsidRDefault="00A3455B" w:rsidP="00087562">
      <w:r>
        <w:t xml:space="preserve">During the outbreak within the </w:t>
      </w:r>
      <w:proofErr w:type="gramStart"/>
      <w:r>
        <w:t>correctional facility</w:t>
      </w:r>
      <w:proofErr w:type="gramEnd"/>
      <w:r>
        <w:t>, asymptomatic inmates were able to attend scheduled appointments (e.g. court appearances); however, transfers to other correctional facilities were suspended for 25 days (one maximum incubation period) after the last confirmed case. To minimise the risk of exposure to the correctional facility population, admissions and transfers to unaffected units within the facility were minimised and were permitted only for inmates who had a previous confirmed mumps infection during the outbreak and those who had received a minimum of two doses of mumps-containing vaccine, with the last dose administered at least two weeks prior to transfer.</w:t>
      </w:r>
    </w:p>
    <w:p w14:paraId="21A39E9E" w14:textId="77777777" w:rsidR="00A3455B" w:rsidRDefault="00A3455B" w:rsidP="00087562">
      <w:r>
        <w:t>To minimise the risk of exposure to the boarding school population, symptomatic and confirmed cases were excluded from school activities and from the boarding houses (if a boarding student) and were either sent home or isolated in the school health clinic until non-infectious.</w:t>
      </w:r>
    </w:p>
    <w:p w14:paraId="1D08C89A" w14:textId="77777777" w:rsidR="00A3455B" w:rsidRPr="00087562" w:rsidRDefault="00A3455B" w:rsidP="00087562">
      <w:pPr>
        <w:pStyle w:val="Heading2"/>
      </w:pPr>
      <w:r w:rsidRPr="00087562">
        <w:t>Mass immunisation campaign with an additional dose MMR vaccine</w:t>
      </w:r>
    </w:p>
    <w:p w14:paraId="75046E12" w14:textId="77777777" w:rsidR="00A3455B" w:rsidRDefault="00A3455B" w:rsidP="00087562">
      <w:r>
        <w:t>In response to these outbreaks, the CQPHU initiated a mass immunisation campaign targeting specific populations (Table 4):</w:t>
      </w:r>
    </w:p>
    <w:p w14:paraId="45FF963C" w14:textId="77777777" w:rsidR="00A3455B" w:rsidRPr="00087562" w:rsidRDefault="00A3455B" w:rsidP="00087562">
      <w:pPr>
        <w:pStyle w:val="ListParagraph"/>
        <w:numPr>
          <w:ilvl w:val="0"/>
          <w:numId w:val="12"/>
        </w:numPr>
        <w:rPr>
          <w:rFonts w:eastAsia="Times New Roman"/>
        </w:rPr>
      </w:pPr>
      <w:r w:rsidRPr="00087562">
        <w:rPr>
          <w:rFonts w:eastAsia="Times New Roman"/>
        </w:rPr>
        <w:t xml:space="preserve">people aged between 8 and 52 years (i.e. people born between 1966 and 2009 inclusive) in the Indigenous </w:t>
      </w:r>
      <w:proofErr w:type="gramStart"/>
      <w:r w:rsidRPr="00087562">
        <w:rPr>
          <w:rFonts w:eastAsia="Times New Roman"/>
        </w:rPr>
        <w:t>community;</w:t>
      </w:r>
      <w:proofErr w:type="gramEnd"/>
    </w:p>
    <w:p w14:paraId="793352A3" w14:textId="77777777" w:rsidR="00A3455B" w:rsidRPr="00087562" w:rsidRDefault="00A3455B" w:rsidP="00087562">
      <w:pPr>
        <w:pStyle w:val="ListParagraph"/>
        <w:numPr>
          <w:ilvl w:val="0"/>
          <w:numId w:val="12"/>
        </w:numPr>
        <w:rPr>
          <w:rFonts w:eastAsia="Times New Roman"/>
        </w:rPr>
      </w:pPr>
      <w:r w:rsidRPr="00087562">
        <w:rPr>
          <w:rFonts w:eastAsia="Times New Roman"/>
        </w:rPr>
        <w:t>students at the boarding school; and</w:t>
      </w:r>
    </w:p>
    <w:p w14:paraId="40F6250F" w14:textId="77777777" w:rsidR="00A3455B" w:rsidRPr="00087562" w:rsidRDefault="00A3455B" w:rsidP="00087562">
      <w:pPr>
        <w:pStyle w:val="ListParagraph"/>
        <w:numPr>
          <w:ilvl w:val="0"/>
          <w:numId w:val="12"/>
        </w:numPr>
        <w:rPr>
          <w:rFonts w:eastAsia="Times New Roman"/>
        </w:rPr>
      </w:pPr>
      <w:r w:rsidRPr="00087562">
        <w:rPr>
          <w:rFonts w:eastAsia="Times New Roman"/>
        </w:rPr>
        <w:t xml:space="preserve">the entire </w:t>
      </w:r>
      <w:proofErr w:type="gramStart"/>
      <w:r w:rsidRPr="00087562">
        <w:rPr>
          <w:rFonts w:eastAsia="Times New Roman"/>
        </w:rPr>
        <w:t>correctional facility</w:t>
      </w:r>
      <w:proofErr w:type="gramEnd"/>
      <w:r w:rsidRPr="00087562">
        <w:rPr>
          <w:rFonts w:eastAsia="Times New Roman"/>
        </w:rPr>
        <w:t xml:space="preserve"> population.</w:t>
      </w:r>
    </w:p>
    <w:p w14:paraId="4496BBB6" w14:textId="77777777" w:rsidR="009B6A1D" w:rsidRDefault="009B6A1D" w:rsidP="009B6A1D">
      <w:pPr>
        <w:pStyle w:val="CDIFigures"/>
        <w:sectPr w:rsidR="009B6A1D" w:rsidSect="00A30C37">
          <w:pgSz w:w="11906" w:h="16838"/>
          <w:pgMar w:top="720" w:right="720" w:bottom="1134" w:left="720" w:header="709" w:footer="284" w:gutter="0"/>
          <w:cols w:space="708"/>
          <w:titlePg/>
          <w:docGrid w:linePitch="360"/>
        </w:sectPr>
      </w:pPr>
    </w:p>
    <w:p w14:paraId="695C2269" w14:textId="111743F5" w:rsidR="009B6A1D" w:rsidRPr="009B6A1D" w:rsidRDefault="009B6A1D" w:rsidP="00B33DBF">
      <w:pPr>
        <w:pStyle w:val="CDIFigures"/>
      </w:pPr>
      <w:r w:rsidRPr="009B6A1D">
        <w:t>Table 4. Vaccination timeline, vaccination coverage and pre- and post- additional vaccination attack rate</w:t>
      </w:r>
    </w:p>
    <w:tbl>
      <w:tblPr>
        <w:tblStyle w:val="CDI-StandardTable"/>
        <w:tblW w:w="0" w:type="auto"/>
        <w:tblLook w:val="04A0" w:firstRow="1" w:lastRow="0" w:firstColumn="1" w:lastColumn="0" w:noHBand="0" w:noVBand="1"/>
        <w:tblDescription w:val="Table 4 illustrates Number of people vaccinated during the mass vaccination program, proportion immunised with MMR vaccine and attack rate pre and post mass vaccination campaign with third dose MMR vaccine.&#10;"/>
      </w:tblPr>
      <w:tblGrid>
        <w:gridCol w:w="2552"/>
        <w:gridCol w:w="2410"/>
        <w:gridCol w:w="2004"/>
        <w:gridCol w:w="2004"/>
        <w:gridCol w:w="2005"/>
        <w:gridCol w:w="2004"/>
        <w:gridCol w:w="2005"/>
      </w:tblGrid>
      <w:tr w:rsidR="00B33DBF" w:rsidRPr="00B33DBF" w14:paraId="75AE6C87" w14:textId="77777777" w:rsidTr="00823C9A">
        <w:trPr>
          <w:cnfStyle w:val="100000000000" w:firstRow="1" w:lastRow="0" w:firstColumn="0" w:lastColumn="0" w:oddVBand="0" w:evenVBand="0" w:oddHBand="0" w:evenHBand="0" w:firstRowFirstColumn="0" w:firstRowLastColumn="0" w:lastRowFirstColumn="0" w:lastRowLastColumn="0"/>
        </w:trPr>
        <w:tc>
          <w:tcPr>
            <w:tcW w:w="2552" w:type="dxa"/>
            <w:tcBorders>
              <w:right w:val="single" w:sz="2" w:space="0" w:color="FFFFFF" w:themeColor="background1"/>
            </w:tcBorders>
            <w:vAlign w:val="center"/>
            <w:hideMark/>
          </w:tcPr>
          <w:p w14:paraId="0EA117A0" w14:textId="77777777" w:rsidR="009B6A1D" w:rsidRPr="00B33DBF" w:rsidRDefault="009B6A1D" w:rsidP="00B33DBF">
            <w:pPr>
              <w:pStyle w:val="NormalWeb"/>
              <w:rPr>
                <w:color w:val="FFFFFF" w:themeColor="background1"/>
                <w:sz w:val="18"/>
                <w:szCs w:val="18"/>
              </w:rPr>
            </w:pPr>
            <w:r w:rsidRPr="00B33DBF">
              <w:rPr>
                <w:color w:val="FFFFFF" w:themeColor="background1"/>
                <w:sz w:val="18"/>
                <w:szCs w:val="18"/>
              </w:rPr>
              <w:t>Outbreak setting</w:t>
            </w:r>
          </w:p>
        </w:tc>
        <w:tc>
          <w:tcPr>
            <w:tcW w:w="2410" w:type="dxa"/>
            <w:tcBorders>
              <w:left w:val="single" w:sz="2" w:space="0" w:color="FFFFFF" w:themeColor="background1"/>
              <w:right w:val="single" w:sz="2" w:space="0" w:color="FFFFFF" w:themeColor="background1"/>
            </w:tcBorders>
            <w:vAlign w:val="center"/>
            <w:hideMark/>
          </w:tcPr>
          <w:p w14:paraId="551403CE"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Duration of mass immunisation program</w:t>
            </w:r>
          </w:p>
        </w:tc>
        <w:tc>
          <w:tcPr>
            <w:tcW w:w="2004" w:type="dxa"/>
            <w:tcBorders>
              <w:left w:val="single" w:sz="2" w:space="0" w:color="FFFFFF" w:themeColor="background1"/>
              <w:right w:val="single" w:sz="2" w:space="0" w:color="FFFFFF" w:themeColor="background1"/>
            </w:tcBorders>
            <w:vAlign w:val="center"/>
            <w:hideMark/>
          </w:tcPr>
          <w:p w14:paraId="7BE2D5E4"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Population targeted for an additional MMR dose</w:t>
            </w:r>
          </w:p>
        </w:tc>
        <w:tc>
          <w:tcPr>
            <w:tcW w:w="2004" w:type="dxa"/>
            <w:tcBorders>
              <w:left w:val="single" w:sz="2" w:space="0" w:color="FFFFFF" w:themeColor="background1"/>
              <w:right w:val="single" w:sz="2" w:space="0" w:color="FFFFFF" w:themeColor="background1"/>
            </w:tcBorders>
            <w:vAlign w:val="center"/>
            <w:hideMark/>
          </w:tcPr>
          <w:p w14:paraId="483486C9"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Number of target population immunised with an additional MMR dose</w:t>
            </w:r>
          </w:p>
        </w:tc>
        <w:tc>
          <w:tcPr>
            <w:tcW w:w="2005" w:type="dxa"/>
            <w:tcBorders>
              <w:left w:val="single" w:sz="2" w:space="0" w:color="FFFFFF" w:themeColor="background1"/>
              <w:right w:val="single" w:sz="2" w:space="0" w:color="FFFFFF" w:themeColor="background1"/>
            </w:tcBorders>
            <w:vAlign w:val="center"/>
            <w:hideMark/>
          </w:tcPr>
          <w:p w14:paraId="2223A9B5"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Proportion of target population vaccinated</w:t>
            </w:r>
          </w:p>
        </w:tc>
        <w:tc>
          <w:tcPr>
            <w:tcW w:w="2004" w:type="dxa"/>
            <w:tcBorders>
              <w:left w:val="single" w:sz="2" w:space="0" w:color="FFFFFF" w:themeColor="background1"/>
              <w:right w:val="single" w:sz="2" w:space="0" w:color="FFFFFF" w:themeColor="background1"/>
            </w:tcBorders>
            <w:vAlign w:val="center"/>
            <w:hideMark/>
          </w:tcPr>
          <w:p w14:paraId="4D3252AE"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Pre-additional vaccination attack rate</w:t>
            </w:r>
          </w:p>
          <w:p w14:paraId="2FE3459A" w14:textId="18EC1C5A"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per 1,000 population</w:t>
            </w:r>
            <w:r w:rsidR="00B33DBF">
              <w:rPr>
                <w:color w:val="FFFFFF" w:themeColor="background1"/>
                <w:sz w:val="18"/>
                <w:szCs w:val="18"/>
              </w:rPr>
              <w:br/>
            </w:r>
            <w:r w:rsidRPr="00B33DBF">
              <w:rPr>
                <w:color w:val="FFFFFF" w:themeColor="background1"/>
                <w:sz w:val="18"/>
                <w:szCs w:val="18"/>
              </w:rPr>
              <w:t>(95% CI)</w:t>
            </w:r>
          </w:p>
        </w:tc>
        <w:tc>
          <w:tcPr>
            <w:tcW w:w="2005" w:type="dxa"/>
            <w:tcBorders>
              <w:left w:val="single" w:sz="2" w:space="0" w:color="FFFFFF" w:themeColor="background1"/>
            </w:tcBorders>
            <w:vAlign w:val="center"/>
            <w:hideMark/>
          </w:tcPr>
          <w:p w14:paraId="3CF20454" w14:textId="77777777"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Post-additional vaccination attack rate</w:t>
            </w:r>
          </w:p>
          <w:p w14:paraId="3E41999A" w14:textId="1BB6A1D1" w:rsidR="009B6A1D" w:rsidRPr="00B33DBF" w:rsidRDefault="009B6A1D" w:rsidP="00B33DBF">
            <w:pPr>
              <w:pStyle w:val="NormalWeb"/>
              <w:jc w:val="center"/>
              <w:rPr>
                <w:color w:val="FFFFFF" w:themeColor="background1"/>
                <w:sz w:val="18"/>
                <w:szCs w:val="18"/>
              </w:rPr>
            </w:pPr>
            <w:r w:rsidRPr="00B33DBF">
              <w:rPr>
                <w:color w:val="FFFFFF" w:themeColor="background1"/>
                <w:sz w:val="18"/>
                <w:szCs w:val="18"/>
              </w:rPr>
              <w:t>per 1,000 population</w:t>
            </w:r>
            <w:r w:rsidR="00B33DBF">
              <w:rPr>
                <w:color w:val="FFFFFF" w:themeColor="background1"/>
                <w:sz w:val="18"/>
                <w:szCs w:val="18"/>
              </w:rPr>
              <w:br/>
            </w:r>
            <w:r w:rsidRPr="00B33DBF">
              <w:rPr>
                <w:color w:val="FFFFFF" w:themeColor="background1"/>
                <w:sz w:val="18"/>
                <w:szCs w:val="18"/>
              </w:rPr>
              <w:t>(95% CI)</w:t>
            </w:r>
          </w:p>
        </w:tc>
      </w:tr>
      <w:tr w:rsidR="00B33DBF" w:rsidRPr="00B33DBF" w14:paraId="3553C309" w14:textId="77777777" w:rsidTr="00823C9A">
        <w:tblPrEx>
          <w:tblCellMar>
            <w:top w:w="57" w:type="dxa"/>
            <w:left w:w="57" w:type="dxa"/>
            <w:bottom w:w="57" w:type="dxa"/>
            <w:right w:w="57" w:type="dxa"/>
          </w:tblCellMar>
        </w:tblPrEx>
        <w:tc>
          <w:tcPr>
            <w:tcW w:w="2552" w:type="dxa"/>
            <w:vAlign w:val="center"/>
            <w:hideMark/>
          </w:tcPr>
          <w:p w14:paraId="3F86711A" w14:textId="77777777" w:rsidR="009B6A1D" w:rsidRPr="00B33DBF" w:rsidRDefault="009B6A1D" w:rsidP="00B33DBF">
            <w:pPr>
              <w:pStyle w:val="NormalWeb"/>
              <w:rPr>
                <w:sz w:val="18"/>
                <w:szCs w:val="18"/>
              </w:rPr>
            </w:pPr>
            <w:r w:rsidRPr="00B33DBF">
              <w:rPr>
                <w:sz w:val="18"/>
                <w:szCs w:val="18"/>
              </w:rPr>
              <w:t>Discrete Indigenous community</w:t>
            </w:r>
          </w:p>
        </w:tc>
        <w:tc>
          <w:tcPr>
            <w:tcW w:w="2410" w:type="dxa"/>
            <w:vAlign w:val="center"/>
            <w:hideMark/>
          </w:tcPr>
          <w:p w14:paraId="23ADC83E" w14:textId="77777777" w:rsidR="009B6A1D" w:rsidRPr="00B33DBF" w:rsidRDefault="009B6A1D" w:rsidP="00B33DBF">
            <w:pPr>
              <w:pStyle w:val="NormalWeb"/>
              <w:jc w:val="center"/>
              <w:rPr>
                <w:sz w:val="18"/>
                <w:szCs w:val="18"/>
              </w:rPr>
            </w:pPr>
            <w:r w:rsidRPr="00B33DBF">
              <w:rPr>
                <w:sz w:val="18"/>
                <w:szCs w:val="18"/>
              </w:rPr>
              <w:t>21 Nov 2017 – 29 Nov 2017</w:t>
            </w:r>
          </w:p>
        </w:tc>
        <w:tc>
          <w:tcPr>
            <w:tcW w:w="2004" w:type="dxa"/>
            <w:vAlign w:val="center"/>
            <w:hideMark/>
          </w:tcPr>
          <w:p w14:paraId="5CE7A52C" w14:textId="77777777" w:rsidR="009B6A1D" w:rsidRPr="00B33DBF" w:rsidRDefault="009B6A1D" w:rsidP="00B33DBF">
            <w:pPr>
              <w:pStyle w:val="NormalWeb"/>
              <w:jc w:val="center"/>
              <w:rPr>
                <w:sz w:val="18"/>
                <w:szCs w:val="18"/>
              </w:rPr>
            </w:pPr>
            <w:r w:rsidRPr="00B33DBF">
              <w:rPr>
                <w:sz w:val="18"/>
                <w:szCs w:val="18"/>
              </w:rPr>
              <w:t>911</w:t>
            </w:r>
            <w:proofErr w:type="gramStart"/>
            <w:r w:rsidRPr="00B33DBF">
              <w:rPr>
                <w:sz w:val="18"/>
                <w:szCs w:val="18"/>
                <w:vertAlign w:val="superscript"/>
              </w:rPr>
              <w:t>a,b</w:t>
            </w:r>
            <w:proofErr w:type="gramEnd"/>
          </w:p>
        </w:tc>
        <w:tc>
          <w:tcPr>
            <w:tcW w:w="2004" w:type="dxa"/>
            <w:vAlign w:val="center"/>
            <w:hideMark/>
          </w:tcPr>
          <w:p w14:paraId="3DB88118" w14:textId="77777777" w:rsidR="009B6A1D" w:rsidRPr="00B33DBF" w:rsidRDefault="009B6A1D" w:rsidP="00B33DBF">
            <w:pPr>
              <w:pStyle w:val="NormalWeb"/>
              <w:jc w:val="center"/>
              <w:rPr>
                <w:sz w:val="18"/>
                <w:szCs w:val="18"/>
              </w:rPr>
            </w:pPr>
            <w:r w:rsidRPr="00B33DBF">
              <w:rPr>
                <w:sz w:val="18"/>
                <w:szCs w:val="18"/>
              </w:rPr>
              <w:t>323</w:t>
            </w:r>
          </w:p>
        </w:tc>
        <w:tc>
          <w:tcPr>
            <w:tcW w:w="2005" w:type="dxa"/>
            <w:vAlign w:val="center"/>
            <w:hideMark/>
          </w:tcPr>
          <w:p w14:paraId="6A3D5613" w14:textId="77777777" w:rsidR="009B6A1D" w:rsidRPr="00B33DBF" w:rsidRDefault="009B6A1D" w:rsidP="00B33DBF">
            <w:pPr>
              <w:pStyle w:val="NormalWeb"/>
              <w:jc w:val="center"/>
              <w:rPr>
                <w:sz w:val="18"/>
                <w:szCs w:val="18"/>
              </w:rPr>
            </w:pPr>
            <w:r w:rsidRPr="00B33DBF">
              <w:rPr>
                <w:sz w:val="18"/>
                <w:szCs w:val="18"/>
              </w:rPr>
              <w:t>35.4%</w:t>
            </w:r>
          </w:p>
        </w:tc>
        <w:tc>
          <w:tcPr>
            <w:tcW w:w="2004" w:type="dxa"/>
            <w:vAlign w:val="center"/>
            <w:hideMark/>
          </w:tcPr>
          <w:p w14:paraId="4E1C075F" w14:textId="77777777" w:rsidR="009B6A1D" w:rsidRPr="00B33DBF" w:rsidRDefault="009B6A1D" w:rsidP="00B33DBF">
            <w:pPr>
              <w:pStyle w:val="NormalWeb"/>
              <w:jc w:val="center"/>
              <w:rPr>
                <w:sz w:val="18"/>
                <w:szCs w:val="18"/>
              </w:rPr>
            </w:pPr>
            <w:r w:rsidRPr="00B33DBF">
              <w:rPr>
                <w:sz w:val="18"/>
                <w:szCs w:val="18"/>
              </w:rPr>
              <w:t>54.9</w:t>
            </w:r>
            <w:r w:rsidRPr="00B33DBF">
              <w:rPr>
                <w:sz w:val="18"/>
                <w:szCs w:val="18"/>
              </w:rPr>
              <w:br/>
              <w:t>(41.0–71.8)</w:t>
            </w:r>
          </w:p>
        </w:tc>
        <w:tc>
          <w:tcPr>
            <w:tcW w:w="2005" w:type="dxa"/>
            <w:vAlign w:val="center"/>
            <w:hideMark/>
          </w:tcPr>
          <w:p w14:paraId="245393A4" w14:textId="77777777" w:rsidR="009B6A1D" w:rsidRPr="00B33DBF" w:rsidRDefault="009B6A1D" w:rsidP="00B33DBF">
            <w:pPr>
              <w:pStyle w:val="NormalWeb"/>
              <w:jc w:val="center"/>
              <w:rPr>
                <w:sz w:val="18"/>
                <w:szCs w:val="18"/>
              </w:rPr>
            </w:pPr>
            <w:r w:rsidRPr="00B33DBF">
              <w:rPr>
                <w:sz w:val="18"/>
                <w:szCs w:val="18"/>
              </w:rPr>
              <w:t>16.8</w:t>
            </w:r>
            <w:r w:rsidRPr="00B33DBF">
              <w:rPr>
                <w:sz w:val="18"/>
                <w:szCs w:val="18"/>
              </w:rPr>
              <w:br/>
              <w:t>(8.6–24.9)</w:t>
            </w:r>
          </w:p>
        </w:tc>
      </w:tr>
      <w:tr w:rsidR="00B33DBF" w:rsidRPr="00B33DBF" w14:paraId="704CB2D2" w14:textId="77777777" w:rsidTr="00823C9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vAlign w:val="center"/>
            <w:hideMark/>
          </w:tcPr>
          <w:p w14:paraId="696DFC8B" w14:textId="77777777" w:rsidR="009B6A1D" w:rsidRPr="00B33DBF" w:rsidRDefault="009B6A1D" w:rsidP="00B33DBF">
            <w:pPr>
              <w:pStyle w:val="NormalWeb"/>
              <w:rPr>
                <w:sz w:val="18"/>
                <w:szCs w:val="18"/>
              </w:rPr>
            </w:pPr>
            <w:r w:rsidRPr="00B33DBF">
              <w:rPr>
                <w:sz w:val="18"/>
                <w:szCs w:val="18"/>
              </w:rPr>
              <w:t>Correctional facility</w:t>
            </w:r>
          </w:p>
        </w:tc>
        <w:tc>
          <w:tcPr>
            <w:tcW w:w="2410" w:type="dxa"/>
            <w:vAlign w:val="center"/>
            <w:hideMark/>
          </w:tcPr>
          <w:p w14:paraId="3B7E5D41" w14:textId="77777777" w:rsidR="009B6A1D" w:rsidRPr="00B33DBF" w:rsidRDefault="009B6A1D" w:rsidP="00B33DBF">
            <w:pPr>
              <w:pStyle w:val="NormalWeb"/>
              <w:jc w:val="center"/>
              <w:rPr>
                <w:sz w:val="18"/>
                <w:szCs w:val="18"/>
              </w:rPr>
            </w:pPr>
            <w:r w:rsidRPr="00B33DBF">
              <w:rPr>
                <w:sz w:val="18"/>
                <w:szCs w:val="18"/>
              </w:rPr>
              <w:t>21 Dec 2017 – 11 Jan 2018</w:t>
            </w:r>
          </w:p>
        </w:tc>
        <w:tc>
          <w:tcPr>
            <w:tcW w:w="2004" w:type="dxa"/>
            <w:vAlign w:val="center"/>
            <w:hideMark/>
          </w:tcPr>
          <w:p w14:paraId="79CC4AA5" w14:textId="77777777" w:rsidR="009B6A1D" w:rsidRPr="00B33DBF" w:rsidRDefault="009B6A1D" w:rsidP="00B33DBF">
            <w:pPr>
              <w:pStyle w:val="NormalWeb"/>
              <w:jc w:val="center"/>
              <w:rPr>
                <w:sz w:val="18"/>
                <w:szCs w:val="18"/>
              </w:rPr>
            </w:pPr>
            <w:r w:rsidRPr="00B33DBF">
              <w:rPr>
                <w:sz w:val="18"/>
                <w:szCs w:val="18"/>
              </w:rPr>
              <w:t>641c</w:t>
            </w:r>
          </w:p>
        </w:tc>
        <w:tc>
          <w:tcPr>
            <w:tcW w:w="2004" w:type="dxa"/>
            <w:vAlign w:val="center"/>
            <w:hideMark/>
          </w:tcPr>
          <w:p w14:paraId="2D589973" w14:textId="77777777" w:rsidR="009B6A1D" w:rsidRPr="00B33DBF" w:rsidRDefault="009B6A1D" w:rsidP="00B33DBF">
            <w:pPr>
              <w:pStyle w:val="NormalWeb"/>
              <w:jc w:val="center"/>
              <w:rPr>
                <w:sz w:val="18"/>
                <w:szCs w:val="18"/>
              </w:rPr>
            </w:pPr>
            <w:r w:rsidRPr="00B33DBF">
              <w:rPr>
                <w:sz w:val="18"/>
                <w:szCs w:val="18"/>
              </w:rPr>
              <w:t>472</w:t>
            </w:r>
          </w:p>
        </w:tc>
        <w:tc>
          <w:tcPr>
            <w:tcW w:w="2005" w:type="dxa"/>
            <w:vAlign w:val="center"/>
            <w:hideMark/>
          </w:tcPr>
          <w:p w14:paraId="3B038DD8" w14:textId="77777777" w:rsidR="009B6A1D" w:rsidRPr="00B33DBF" w:rsidRDefault="009B6A1D" w:rsidP="00B33DBF">
            <w:pPr>
              <w:pStyle w:val="NormalWeb"/>
              <w:jc w:val="center"/>
              <w:rPr>
                <w:sz w:val="18"/>
                <w:szCs w:val="18"/>
              </w:rPr>
            </w:pPr>
            <w:r w:rsidRPr="00B33DBF">
              <w:rPr>
                <w:sz w:val="18"/>
                <w:szCs w:val="18"/>
              </w:rPr>
              <w:t>73.6%</w:t>
            </w:r>
          </w:p>
        </w:tc>
        <w:tc>
          <w:tcPr>
            <w:tcW w:w="2004" w:type="dxa"/>
            <w:vAlign w:val="center"/>
            <w:hideMark/>
          </w:tcPr>
          <w:p w14:paraId="126572BC" w14:textId="77777777" w:rsidR="009B6A1D" w:rsidRPr="00B33DBF" w:rsidRDefault="009B6A1D" w:rsidP="00B33DBF">
            <w:pPr>
              <w:pStyle w:val="NormalWeb"/>
              <w:jc w:val="center"/>
              <w:rPr>
                <w:sz w:val="18"/>
                <w:szCs w:val="18"/>
              </w:rPr>
            </w:pPr>
            <w:r w:rsidRPr="00B33DBF">
              <w:rPr>
                <w:sz w:val="18"/>
                <w:szCs w:val="18"/>
              </w:rPr>
              <w:t>15.6</w:t>
            </w:r>
            <w:r w:rsidRPr="00B33DBF">
              <w:rPr>
                <w:sz w:val="18"/>
                <w:szCs w:val="18"/>
              </w:rPr>
              <w:br/>
              <w:t>(7.5–28.5)</w:t>
            </w:r>
          </w:p>
        </w:tc>
        <w:tc>
          <w:tcPr>
            <w:tcW w:w="2005" w:type="dxa"/>
            <w:vAlign w:val="center"/>
            <w:hideMark/>
          </w:tcPr>
          <w:p w14:paraId="58EF52EA" w14:textId="77777777" w:rsidR="009B6A1D" w:rsidRPr="00B33DBF" w:rsidRDefault="009B6A1D" w:rsidP="00B33DBF">
            <w:pPr>
              <w:pStyle w:val="NormalWeb"/>
              <w:jc w:val="center"/>
              <w:rPr>
                <w:sz w:val="18"/>
                <w:szCs w:val="18"/>
              </w:rPr>
            </w:pPr>
            <w:r w:rsidRPr="00B33DBF">
              <w:rPr>
                <w:sz w:val="18"/>
                <w:szCs w:val="18"/>
              </w:rPr>
              <w:t>1.6</w:t>
            </w:r>
            <w:r w:rsidRPr="00B33DBF">
              <w:rPr>
                <w:sz w:val="18"/>
                <w:szCs w:val="18"/>
              </w:rPr>
              <w:br/>
              <w:t>(0.0–4.7)</w:t>
            </w:r>
          </w:p>
        </w:tc>
      </w:tr>
      <w:tr w:rsidR="00B33DBF" w:rsidRPr="00B33DBF" w14:paraId="56991C82" w14:textId="77777777" w:rsidTr="00823C9A">
        <w:tblPrEx>
          <w:tblCellMar>
            <w:top w:w="57" w:type="dxa"/>
            <w:left w:w="57" w:type="dxa"/>
            <w:bottom w:w="57" w:type="dxa"/>
            <w:right w:w="57" w:type="dxa"/>
          </w:tblCellMar>
        </w:tblPrEx>
        <w:tc>
          <w:tcPr>
            <w:tcW w:w="2552" w:type="dxa"/>
            <w:vAlign w:val="center"/>
            <w:hideMark/>
          </w:tcPr>
          <w:p w14:paraId="49751DFF" w14:textId="77777777" w:rsidR="009B6A1D" w:rsidRPr="00B33DBF" w:rsidRDefault="009B6A1D" w:rsidP="00B33DBF">
            <w:pPr>
              <w:pStyle w:val="NormalWeb"/>
              <w:rPr>
                <w:sz w:val="18"/>
                <w:szCs w:val="18"/>
              </w:rPr>
            </w:pPr>
            <w:r w:rsidRPr="00B33DBF">
              <w:rPr>
                <w:sz w:val="18"/>
                <w:szCs w:val="18"/>
              </w:rPr>
              <w:t>Boarding school</w:t>
            </w:r>
          </w:p>
        </w:tc>
        <w:tc>
          <w:tcPr>
            <w:tcW w:w="2410" w:type="dxa"/>
            <w:vAlign w:val="center"/>
            <w:hideMark/>
          </w:tcPr>
          <w:p w14:paraId="2D0C9548" w14:textId="77777777" w:rsidR="009B6A1D" w:rsidRPr="00B33DBF" w:rsidRDefault="009B6A1D" w:rsidP="00B33DBF">
            <w:pPr>
              <w:pStyle w:val="NormalWeb"/>
              <w:jc w:val="center"/>
              <w:rPr>
                <w:sz w:val="18"/>
                <w:szCs w:val="18"/>
              </w:rPr>
            </w:pPr>
            <w:r w:rsidRPr="00B33DBF">
              <w:rPr>
                <w:sz w:val="18"/>
                <w:szCs w:val="18"/>
              </w:rPr>
              <w:t>26 Aug 2018 –11 Oct 2018</w:t>
            </w:r>
          </w:p>
        </w:tc>
        <w:tc>
          <w:tcPr>
            <w:tcW w:w="2004" w:type="dxa"/>
            <w:vAlign w:val="center"/>
            <w:hideMark/>
          </w:tcPr>
          <w:p w14:paraId="56C7B63C" w14:textId="77777777" w:rsidR="009B6A1D" w:rsidRPr="00B33DBF" w:rsidRDefault="009B6A1D" w:rsidP="00B33DBF">
            <w:pPr>
              <w:pStyle w:val="NormalWeb"/>
              <w:jc w:val="center"/>
              <w:rPr>
                <w:sz w:val="18"/>
                <w:szCs w:val="18"/>
              </w:rPr>
            </w:pPr>
            <w:r w:rsidRPr="00B33DBF">
              <w:rPr>
                <w:sz w:val="18"/>
                <w:szCs w:val="18"/>
              </w:rPr>
              <w:t>614a</w:t>
            </w:r>
          </w:p>
        </w:tc>
        <w:tc>
          <w:tcPr>
            <w:tcW w:w="2004" w:type="dxa"/>
            <w:vAlign w:val="center"/>
            <w:hideMark/>
          </w:tcPr>
          <w:p w14:paraId="46A6F5C9" w14:textId="77777777" w:rsidR="009B6A1D" w:rsidRPr="00B33DBF" w:rsidRDefault="009B6A1D" w:rsidP="00B33DBF">
            <w:pPr>
              <w:pStyle w:val="NormalWeb"/>
              <w:jc w:val="center"/>
              <w:rPr>
                <w:sz w:val="18"/>
                <w:szCs w:val="18"/>
              </w:rPr>
            </w:pPr>
            <w:r w:rsidRPr="00B33DBF">
              <w:rPr>
                <w:sz w:val="18"/>
                <w:szCs w:val="18"/>
              </w:rPr>
              <w:t>220</w:t>
            </w:r>
          </w:p>
        </w:tc>
        <w:tc>
          <w:tcPr>
            <w:tcW w:w="2005" w:type="dxa"/>
            <w:vAlign w:val="center"/>
            <w:hideMark/>
          </w:tcPr>
          <w:p w14:paraId="0E2FFFA2" w14:textId="77777777" w:rsidR="009B6A1D" w:rsidRPr="00B33DBF" w:rsidRDefault="009B6A1D" w:rsidP="00B33DBF">
            <w:pPr>
              <w:pStyle w:val="NormalWeb"/>
              <w:jc w:val="center"/>
              <w:rPr>
                <w:sz w:val="18"/>
                <w:szCs w:val="18"/>
              </w:rPr>
            </w:pPr>
            <w:r w:rsidRPr="00B33DBF">
              <w:rPr>
                <w:sz w:val="18"/>
                <w:szCs w:val="18"/>
              </w:rPr>
              <w:t>35.8%</w:t>
            </w:r>
          </w:p>
        </w:tc>
        <w:tc>
          <w:tcPr>
            <w:tcW w:w="2004" w:type="dxa"/>
            <w:vAlign w:val="center"/>
            <w:hideMark/>
          </w:tcPr>
          <w:p w14:paraId="626E94A2" w14:textId="77777777" w:rsidR="009B6A1D" w:rsidRPr="00B33DBF" w:rsidRDefault="009B6A1D" w:rsidP="00B33DBF">
            <w:pPr>
              <w:pStyle w:val="NormalWeb"/>
              <w:jc w:val="center"/>
              <w:rPr>
                <w:sz w:val="18"/>
                <w:szCs w:val="18"/>
              </w:rPr>
            </w:pPr>
            <w:r w:rsidRPr="00B33DBF">
              <w:rPr>
                <w:sz w:val="18"/>
                <w:szCs w:val="18"/>
              </w:rPr>
              <w:t>16.3</w:t>
            </w:r>
            <w:r w:rsidRPr="00B33DBF">
              <w:rPr>
                <w:sz w:val="18"/>
                <w:szCs w:val="18"/>
              </w:rPr>
              <w:br/>
              <w:t>(7.5–29.7)</w:t>
            </w:r>
          </w:p>
        </w:tc>
        <w:tc>
          <w:tcPr>
            <w:tcW w:w="2005" w:type="dxa"/>
            <w:vAlign w:val="center"/>
            <w:hideMark/>
          </w:tcPr>
          <w:p w14:paraId="47490030" w14:textId="77777777" w:rsidR="009B6A1D" w:rsidRPr="00B33DBF" w:rsidRDefault="009B6A1D" w:rsidP="00B33DBF">
            <w:pPr>
              <w:pStyle w:val="NormalWeb"/>
              <w:jc w:val="center"/>
              <w:rPr>
                <w:sz w:val="18"/>
                <w:szCs w:val="18"/>
              </w:rPr>
            </w:pPr>
            <w:r w:rsidRPr="00B33DBF">
              <w:rPr>
                <w:sz w:val="18"/>
                <w:szCs w:val="18"/>
              </w:rPr>
              <w:t>9.9</w:t>
            </w:r>
            <w:r w:rsidRPr="00B33DBF">
              <w:rPr>
                <w:sz w:val="18"/>
                <w:szCs w:val="18"/>
              </w:rPr>
              <w:br/>
              <w:t>(2.0–17.7)</w:t>
            </w:r>
          </w:p>
        </w:tc>
      </w:tr>
      <w:tr w:rsidR="00B33DBF" w:rsidRPr="00B33DBF" w14:paraId="6DF439B9" w14:textId="77777777" w:rsidTr="00823C9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shd w:val="clear" w:color="auto" w:fill="FDE9D9" w:themeFill="accent6" w:themeFillTint="33"/>
            <w:vAlign w:val="center"/>
            <w:hideMark/>
          </w:tcPr>
          <w:p w14:paraId="4AE796B8" w14:textId="77777777" w:rsidR="009B6A1D" w:rsidRPr="00B33DBF" w:rsidRDefault="009B6A1D" w:rsidP="00B33DBF">
            <w:pPr>
              <w:pStyle w:val="NormalWeb"/>
              <w:rPr>
                <w:b/>
                <w:bCs/>
                <w:sz w:val="18"/>
                <w:szCs w:val="18"/>
              </w:rPr>
            </w:pPr>
            <w:r w:rsidRPr="00B33DBF">
              <w:rPr>
                <w:b/>
                <w:bCs/>
                <w:sz w:val="18"/>
                <w:szCs w:val="18"/>
              </w:rPr>
              <w:t>Overall total</w:t>
            </w:r>
          </w:p>
        </w:tc>
        <w:tc>
          <w:tcPr>
            <w:tcW w:w="2410" w:type="dxa"/>
            <w:shd w:val="clear" w:color="auto" w:fill="FDE9D9" w:themeFill="accent6" w:themeFillTint="33"/>
            <w:vAlign w:val="center"/>
            <w:hideMark/>
          </w:tcPr>
          <w:p w14:paraId="318DF579" w14:textId="77777777" w:rsidR="009B6A1D" w:rsidRPr="00B33DBF" w:rsidRDefault="009B6A1D" w:rsidP="00B33DBF">
            <w:pPr>
              <w:pStyle w:val="NormalWeb"/>
              <w:jc w:val="center"/>
              <w:rPr>
                <w:b/>
                <w:bCs/>
                <w:sz w:val="18"/>
                <w:szCs w:val="18"/>
              </w:rPr>
            </w:pPr>
            <w:r w:rsidRPr="00B33DBF">
              <w:rPr>
                <w:b/>
                <w:bCs/>
                <w:sz w:val="18"/>
                <w:szCs w:val="18"/>
              </w:rPr>
              <w:t>21 Nov 2017 – 11 Oct 2018</w:t>
            </w:r>
          </w:p>
        </w:tc>
        <w:tc>
          <w:tcPr>
            <w:tcW w:w="2004" w:type="dxa"/>
            <w:shd w:val="clear" w:color="auto" w:fill="FDE9D9" w:themeFill="accent6" w:themeFillTint="33"/>
            <w:vAlign w:val="center"/>
            <w:hideMark/>
          </w:tcPr>
          <w:p w14:paraId="2E0EFAA0" w14:textId="77777777" w:rsidR="009B6A1D" w:rsidRPr="00B33DBF" w:rsidRDefault="009B6A1D" w:rsidP="00B33DBF">
            <w:pPr>
              <w:pStyle w:val="NormalWeb"/>
              <w:jc w:val="center"/>
              <w:rPr>
                <w:b/>
                <w:bCs/>
                <w:sz w:val="18"/>
                <w:szCs w:val="18"/>
              </w:rPr>
            </w:pPr>
            <w:r w:rsidRPr="00B33DBF">
              <w:rPr>
                <w:b/>
                <w:bCs/>
                <w:sz w:val="18"/>
                <w:szCs w:val="18"/>
              </w:rPr>
              <w:t>2,166</w:t>
            </w:r>
          </w:p>
        </w:tc>
        <w:tc>
          <w:tcPr>
            <w:tcW w:w="2004" w:type="dxa"/>
            <w:shd w:val="clear" w:color="auto" w:fill="FDE9D9" w:themeFill="accent6" w:themeFillTint="33"/>
            <w:vAlign w:val="center"/>
            <w:hideMark/>
          </w:tcPr>
          <w:p w14:paraId="0FB19389" w14:textId="77777777" w:rsidR="009B6A1D" w:rsidRPr="00B33DBF" w:rsidRDefault="009B6A1D" w:rsidP="00B33DBF">
            <w:pPr>
              <w:pStyle w:val="NormalWeb"/>
              <w:jc w:val="center"/>
              <w:rPr>
                <w:b/>
                <w:bCs/>
                <w:sz w:val="18"/>
                <w:szCs w:val="18"/>
              </w:rPr>
            </w:pPr>
            <w:r w:rsidRPr="00B33DBF">
              <w:rPr>
                <w:b/>
                <w:bCs/>
                <w:sz w:val="18"/>
                <w:szCs w:val="18"/>
              </w:rPr>
              <w:t>1,015</w:t>
            </w:r>
          </w:p>
        </w:tc>
        <w:tc>
          <w:tcPr>
            <w:tcW w:w="2005" w:type="dxa"/>
            <w:shd w:val="clear" w:color="auto" w:fill="FDE9D9" w:themeFill="accent6" w:themeFillTint="33"/>
            <w:vAlign w:val="center"/>
            <w:hideMark/>
          </w:tcPr>
          <w:p w14:paraId="2A75A638" w14:textId="77777777" w:rsidR="009B6A1D" w:rsidRPr="00B33DBF" w:rsidRDefault="009B6A1D" w:rsidP="00B33DBF">
            <w:pPr>
              <w:pStyle w:val="NormalWeb"/>
              <w:jc w:val="center"/>
              <w:rPr>
                <w:b/>
                <w:bCs/>
                <w:sz w:val="18"/>
                <w:szCs w:val="18"/>
              </w:rPr>
            </w:pPr>
            <w:r w:rsidRPr="00B33DBF">
              <w:rPr>
                <w:b/>
                <w:bCs/>
                <w:sz w:val="18"/>
                <w:szCs w:val="18"/>
              </w:rPr>
              <w:t>46.8%</w:t>
            </w:r>
          </w:p>
        </w:tc>
        <w:tc>
          <w:tcPr>
            <w:tcW w:w="2004" w:type="dxa"/>
            <w:shd w:val="clear" w:color="auto" w:fill="FDE9D9" w:themeFill="accent6" w:themeFillTint="33"/>
            <w:vAlign w:val="center"/>
            <w:hideMark/>
          </w:tcPr>
          <w:p w14:paraId="7E7675B3" w14:textId="77777777" w:rsidR="009B6A1D" w:rsidRPr="00B33DBF" w:rsidRDefault="009B6A1D" w:rsidP="00B33DBF">
            <w:pPr>
              <w:pStyle w:val="NormalWeb"/>
              <w:jc w:val="center"/>
              <w:rPr>
                <w:b/>
                <w:bCs/>
                <w:sz w:val="18"/>
                <w:szCs w:val="18"/>
              </w:rPr>
            </w:pPr>
            <w:r w:rsidRPr="00B33DBF">
              <w:rPr>
                <w:b/>
                <w:bCs/>
                <w:sz w:val="18"/>
                <w:szCs w:val="18"/>
              </w:rPr>
              <w:t>31.0</w:t>
            </w:r>
            <w:r w:rsidRPr="00B33DBF">
              <w:rPr>
                <w:b/>
                <w:bCs/>
                <w:sz w:val="18"/>
                <w:szCs w:val="18"/>
              </w:rPr>
              <w:br/>
              <w:t>(24.2–39.0)</w:t>
            </w:r>
          </w:p>
        </w:tc>
        <w:tc>
          <w:tcPr>
            <w:tcW w:w="2005" w:type="dxa"/>
            <w:shd w:val="clear" w:color="auto" w:fill="FDE9D9" w:themeFill="accent6" w:themeFillTint="33"/>
            <w:vAlign w:val="center"/>
            <w:hideMark/>
          </w:tcPr>
          <w:p w14:paraId="218E5F8C" w14:textId="77777777" w:rsidR="009B6A1D" w:rsidRPr="00B33DBF" w:rsidRDefault="009B6A1D" w:rsidP="00B33DBF">
            <w:pPr>
              <w:pStyle w:val="NormalWeb"/>
              <w:jc w:val="center"/>
              <w:rPr>
                <w:b/>
                <w:bCs/>
                <w:sz w:val="18"/>
                <w:szCs w:val="18"/>
              </w:rPr>
            </w:pPr>
            <w:r w:rsidRPr="00B33DBF">
              <w:rPr>
                <w:b/>
                <w:bCs/>
                <w:sz w:val="18"/>
                <w:szCs w:val="18"/>
              </w:rPr>
              <w:t>10.6</w:t>
            </w:r>
            <w:r w:rsidRPr="00B33DBF">
              <w:rPr>
                <w:b/>
                <w:bCs/>
                <w:sz w:val="18"/>
                <w:szCs w:val="18"/>
              </w:rPr>
              <w:br/>
              <w:t>(6.7–15.9)</w:t>
            </w:r>
          </w:p>
        </w:tc>
      </w:tr>
    </w:tbl>
    <w:p w14:paraId="4D57736E" w14:textId="77777777" w:rsidR="009B6A1D" w:rsidRPr="00B33DBF" w:rsidRDefault="009B6A1D" w:rsidP="00B33DBF">
      <w:pPr>
        <w:pStyle w:val="CDIfootnotes"/>
      </w:pPr>
      <w:proofErr w:type="spellStart"/>
      <w:r w:rsidRPr="00B33DBF">
        <w:t>a</w:t>
      </w:r>
      <w:proofErr w:type="spellEnd"/>
      <w:r w:rsidRPr="00B33DBF">
        <w:tab/>
      </w:r>
      <w:proofErr w:type="gramStart"/>
      <w:r w:rsidRPr="00B33DBF">
        <w:t>An</w:t>
      </w:r>
      <w:proofErr w:type="gramEnd"/>
      <w:r w:rsidRPr="00B33DBF">
        <w:t xml:space="preserve"> additional dose of MMR vaccine was offered to those born between 1966 and 2009 (i.e. aged between 8 and 52 years).</w:t>
      </w:r>
    </w:p>
    <w:p w14:paraId="2EF41B4E" w14:textId="77777777" w:rsidR="009B6A1D" w:rsidRPr="00B33DBF" w:rsidRDefault="009B6A1D" w:rsidP="00B33DBF">
      <w:pPr>
        <w:pStyle w:val="CDIfootnotes"/>
      </w:pPr>
      <w:r w:rsidRPr="00B33DBF">
        <w:t>b</w:t>
      </w:r>
      <w:r w:rsidRPr="00B33DBF">
        <w:tab/>
        <w:t>Australian Bureau of Statistics 2017 Census data include age groups of persons 5 to 54 years within the discrete Indigenous community.</w:t>
      </w:r>
    </w:p>
    <w:p w14:paraId="65C838BB" w14:textId="77777777" w:rsidR="009B6A1D" w:rsidRPr="00B33DBF" w:rsidRDefault="009B6A1D" w:rsidP="00B33DBF">
      <w:pPr>
        <w:pStyle w:val="CDIfootnotes"/>
      </w:pPr>
      <w:r w:rsidRPr="00B33DBF">
        <w:t>c</w:t>
      </w:r>
      <w:r w:rsidRPr="00B33DBF">
        <w:tab/>
      </w:r>
      <w:proofErr w:type="gramStart"/>
      <w:r w:rsidRPr="00B33DBF">
        <w:t>An</w:t>
      </w:r>
      <w:proofErr w:type="gramEnd"/>
      <w:r w:rsidRPr="00B33DBF">
        <w:t xml:space="preserve"> additional dose of MMR vaccine was offered to all inmates.</w:t>
      </w:r>
    </w:p>
    <w:p w14:paraId="5F69115D" w14:textId="77777777" w:rsidR="00B33DBF" w:rsidRDefault="00B33DBF" w:rsidP="00087562">
      <w:pPr>
        <w:sectPr w:rsidR="00B33DBF" w:rsidSect="00B33DBF">
          <w:pgSz w:w="16838" w:h="11906" w:orient="landscape"/>
          <w:pgMar w:top="720" w:right="720" w:bottom="720" w:left="1134" w:header="709" w:footer="284" w:gutter="0"/>
          <w:cols w:space="708"/>
          <w:titlePg/>
          <w:docGrid w:linePitch="360"/>
        </w:sectPr>
      </w:pPr>
    </w:p>
    <w:p w14:paraId="245EF14F" w14:textId="08DB4815" w:rsidR="009B6A1D" w:rsidRDefault="009B6A1D" w:rsidP="00087562"/>
    <w:p w14:paraId="3DF89561" w14:textId="6EAE00BB" w:rsidR="00A3455B" w:rsidRDefault="00A3455B" w:rsidP="00087562">
      <w:r>
        <w:t xml:space="preserve">These groups were chosen to narrow down the number within the target population requiring an additional dose of MMR vaccine, since the majority in this group (particularly those born before 1998) were too old to have reliably received a second dose of MMR vaccine during the 1998 Australian Measles Control Campaign and too young to have had a mumps infection. </w:t>
      </w:r>
      <w:r>
        <w:rPr>
          <w:vertAlign w:val="superscript"/>
        </w:rPr>
        <w:t>16</w:t>
      </w:r>
      <w:r>
        <w:t xml:space="preserve"> </w:t>
      </w:r>
    </w:p>
    <w:p w14:paraId="0487776B" w14:textId="77777777" w:rsidR="00A3455B" w:rsidRDefault="00A3455B" w:rsidP="00087562">
      <w:r>
        <w:t xml:space="preserve">The discrete Indigenous community outbreak lasted eight months, during which a targeted seven-day mass vaccination program delivered 323 doses which commenced four weeks after the onset of the outbreak. The </w:t>
      </w:r>
      <w:proofErr w:type="gramStart"/>
      <w:r>
        <w:t>correctional facility</w:t>
      </w:r>
      <w:proofErr w:type="gramEnd"/>
      <w:r>
        <w:t xml:space="preserve"> outbreak lasted three months, during which a two-week mass vaccination campaign delivered 472 doses commencing 3.5 weeks after the onset of the outbreak. The final outbreak at the boarding school lasted three months, during which a targeted mass vaccination delivered 220 doses commencing 2.5 weeks after the onset of the outbreak.</w:t>
      </w:r>
    </w:p>
    <w:p w14:paraId="5BFCFACB" w14:textId="314B0F25" w:rsidR="00A3455B" w:rsidRDefault="00A3455B" w:rsidP="00087562">
      <w:r>
        <w:t>Table 4 demonstrates mumps attack rates in each of these outbreaks both before and after the mass immunisation</w:t>
      </w:r>
      <w:r w:rsidR="003573D5">
        <w:t> </w:t>
      </w:r>
      <w:r>
        <w:t xml:space="preserve">campaign. </w:t>
      </w:r>
    </w:p>
    <w:p w14:paraId="132E1D0F" w14:textId="77777777" w:rsidR="00A3455B" w:rsidRPr="00087562" w:rsidRDefault="00A3455B" w:rsidP="00087562">
      <w:pPr>
        <w:pStyle w:val="Heading1"/>
      </w:pPr>
      <w:r w:rsidRPr="00087562">
        <w:t>Discussion</w:t>
      </w:r>
    </w:p>
    <w:p w14:paraId="6B1D7DB9" w14:textId="77777777" w:rsidR="00A3455B" w:rsidRDefault="00A3455B" w:rsidP="00087562">
      <w:r>
        <w:t>To the best of our knowledge this is the first reported mumps outbreak investigation, among high-risk communities within Australia, demonstrating the impact of an additional dose of MMR vaccine as part of a public health response to mumps outbreaks in various settings.</w:t>
      </w:r>
    </w:p>
    <w:p w14:paraId="656D01AA" w14:textId="1995036D" w:rsidR="00A3455B" w:rsidRDefault="00A3455B" w:rsidP="00087562">
      <w:r>
        <w:t xml:space="preserve">Prior to these outbreaks in Central Queensland, there had been ongoing outbreaks of mumps in Northern and North-Western Queensland since early 2017. These may be linked to outbreaks in Western Australia </w:t>
      </w:r>
      <w:r>
        <w:rPr>
          <w:vertAlign w:val="superscript"/>
        </w:rPr>
        <w:t>4,17</w:t>
      </w:r>
      <w:r>
        <w:t xml:space="preserve"> and the Northern Territory, as there is movement between Indigenous communities. </w:t>
      </w:r>
      <w:r>
        <w:rPr>
          <w:vertAlign w:val="superscript"/>
        </w:rPr>
        <w:t>10</w:t>
      </w:r>
      <w:r>
        <w:t xml:space="preserve"> In addition, several countries such as France, </w:t>
      </w:r>
      <w:r>
        <w:rPr>
          <w:vertAlign w:val="superscript"/>
        </w:rPr>
        <w:t>8</w:t>
      </w:r>
      <w:r>
        <w:t xml:space="preserve"> the United States of America, </w:t>
      </w:r>
      <w:r>
        <w:rPr>
          <w:vertAlign w:val="superscript"/>
        </w:rPr>
        <w:t>7,8</w:t>
      </w:r>
      <w:r>
        <w:t xml:space="preserve"> Canada </w:t>
      </w:r>
      <w:r>
        <w:rPr>
          <w:vertAlign w:val="superscript"/>
        </w:rPr>
        <w:t>18</w:t>
      </w:r>
      <w:r>
        <w:t xml:space="preserve"> and various countries within Europe </w:t>
      </w:r>
      <w:r>
        <w:rPr>
          <w:vertAlign w:val="superscript"/>
        </w:rPr>
        <w:t>19</w:t>
      </w:r>
      <w:r>
        <w:t xml:space="preserve"> have reported mumps outbreaks in </w:t>
      </w:r>
      <w:proofErr w:type="gramStart"/>
      <w:r>
        <w:t>highly-vaccinated</w:t>
      </w:r>
      <w:proofErr w:type="gramEnd"/>
      <w:r>
        <w:t xml:space="preserve"> populations with increasing frequency. Possible factors such as waning vaccine-induced immunity, </w:t>
      </w:r>
      <w:r>
        <w:rPr>
          <w:vertAlign w:val="superscript"/>
        </w:rPr>
        <w:t>6,8</w:t>
      </w:r>
      <w:r>
        <w:t xml:space="preserve"> </w:t>
      </w:r>
      <w:proofErr w:type="gramStart"/>
      <w:r>
        <w:t>mismatch</w:t>
      </w:r>
      <w:proofErr w:type="gramEnd"/>
      <w:r>
        <w:t xml:space="preserve"> between the wild type and the vaccine virus genotypes leading to immune escape, </w:t>
      </w:r>
      <w:r>
        <w:rPr>
          <w:vertAlign w:val="superscript"/>
        </w:rPr>
        <w:t>20,21</w:t>
      </w:r>
      <w:r>
        <w:t xml:space="preserve"> and social conditions such as high-density living settings may contribute to more intense exposure and a high force of</w:t>
      </w:r>
      <w:r w:rsidR="00F12D2A">
        <w:t> </w:t>
      </w:r>
      <w:r>
        <w:t>infection.</w:t>
      </w:r>
      <w:r w:rsidR="00F12D2A">
        <w:t> </w:t>
      </w:r>
      <w:r>
        <w:rPr>
          <w:vertAlign w:val="superscript"/>
        </w:rPr>
        <w:t>7</w:t>
      </w:r>
      <w:r>
        <w:t xml:space="preserve"> </w:t>
      </w:r>
    </w:p>
    <w:p w14:paraId="21E5C07C" w14:textId="77777777" w:rsidR="00A3455B" w:rsidRDefault="00A3455B" w:rsidP="00087562">
      <w:r>
        <w:t xml:space="preserve">The coverage and timeliness of vaccination among Indigenous children is reported to be suboptimal. </w:t>
      </w:r>
      <w:r>
        <w:rPr>
          <w:vertAlign w:val="superscript"/>
        </w:rPr>
        <w:t>22,23</w:t>
      </w:r>
      <w:r>
        <w:t xml:space="preserve"> Indigenous children experience higher notification rates for vaccine-preventable diseases than do non-Indigenous children, highlighting the importance of timely vaccination and early individual protection as contributors to herd immunity. </w:t>
      </w:r>
      <w:r>
        <w:rPr>
          <w:vertAlign w:val="superscript"/>
        </w:rPr>
        <w:t>22,24</w:t>
      </w:r>
      <w:r>
        <w:t xml:space="preserve"> In the </w:t>
      </w:r>
      <w:proofErr w:type="gramStart"/>
      <w:r>
        <w:t>correctional facility</w:t>
      </w:r>
      <w:proofErr w:type="gramEnd"/>
      <w:r>
        <w:t xml:space="preserve"> and boarding school outbreaks, the increased duration between MMR dose one and two, or the shorter interval between the last MMR dose and the outbreak, in the controls would suggest increased protection (see table 3). However, we are guarded in making a strong conclusion from these findings due to the potential for healthy user bias in the controls, as we selected our controls from the discrete Indigenous community based on recent influenza vaccination. Other controls were selected from the unaffected student population in the boarding school and from the prisoners in the </w:t>
      </w:r>
      <w:proofErr w:type="gramStart"/>
      <w:r>
        <w:t>correctional facility</w:t>
      </w:r>
      <w:proofErr w:type="gramEnd"/>
      <w:r>
        <w:t>.</w:t>
      </w:r>
    </w:p>
    <w:p w14:paraId="061613D7" w14:textId="77777777" w:rsidR="00A3455B" w:rsidRDefault="00A3455B" w:rsidP="00087562">
      <w:r>
        <w:t xml:space="preserve">In Australia, since 2013, two mumps-containing vaccinations have been recommended at 12 and 18 months of age (i.e. dose 1 MMR and dose 2 MMRV). </w:t>
      </w:r>
      <w:r>
        <w:rPr>
          <w:vertAlign w:val="superscript"/>
        </w:rPr>
        <w:t>14</w:t>
      </w:r>
      <w:r>
        <w:t xml:space="preserve"> However, among cases the mean </w:t>
      </w:r>
      <w:proofErr w:type="gramStart"/>
      <w:r>
        <w:t>time period</w:t>
      </w:r>
      <w:proofErr w:type="gramEnd"/>
      <w:r>
        <w:t xml:space="preserve"> between dose 1 and dose 2 of MMR vaccine for the cases was 3.0 years. Among controls, the time interval between MMR dose 1 and dose 2 was significantly longer </w:t>
      </w:r>
      <w:proofErr w:type="gramStart"/>
      <w:r>
        <w:t xml:space="preserve">( </w:t>
      </w:r>
      <w:r w:rsidRPr="001B2AFE">
        <w:rPr>
          <w:rStyle w:val="Emphasis"/>
          <w:b w:val="0"/>
          <w:bCs w:val="0"/>
        </w:rPr>
        <w:t>p</w:t>
      </w:r>
      <w:proofErr w:type="gramEnd"/>
      <w:r>
        <w:t xml:space="preserve"> = 0.01), at 4.1 years. Since, for those born after 1 March 2000, the interval between dose 1 and dose 2 should be six months, this suggests vaccine timeliness is an area of concern.</w:t>
      </w:r>
    </w:p>
    <w:p w14:paraId="1803DAD3" w14:textId="77777777" w:rsidR="00A3455B" w:rsidRDefault="00A3455B" w:rsidP="00087562">
      <w:r>
        <w:t>Whilst there is no significant difference between cases and controls for the cohort born after 1 March 2000, further investigation is required to determine the impact of MMR vaccination timeliness on antibody response, which would provide long-term protection. Although we have demonstrated a high proportion of immunised cases and controls, the timeliness of vaccinations is an important issue which needs further exploration to ensure there is an optimum gap between dose 1 and dose 2.</w:t>
      </w:r>
    </w:p>
    <w:p w14:paraId="66EEA193" w14:textId="77777777" w:rsidR="00A3455B" w:rsidRDefault="00A3455B" w:rsidP="00087562">
      <w:r>
        <w:t xml:space="preserve">There is emerging international evidence, supporting the Centres for Disease Control and Prevention Advisory Committee on Immunization Practices, on the use of an additional dose of MMR during outbreaks. </w:t>
      </w:r>
      <w:r>
        <w:rPr>
          <w:vertAlign w:val="superscript"/>
        </w:rPr>
        <w:t>12,25–27</w:t>
      </w:r>
      <w:r>
        <w:t xml:space="preserve"> We found that, in large high-density living situations such as </w:t>
      </w:r>
      <w:proofErr w:type="gramStart"/>
      <w:r>
        <w:t>a correctional facility</w:t>
      </w:r>
      <w:proofErr w:type="gramEnd"/>
      <w:r>
        <w:t xml:space="preserve"> or boarding school, vaccinating a minimum of 1/3 of the target population during an outbreak significantly reduces the attack rate, assisting in containment.</w:t>
      </w:r>
    </w:p>
    <w:p w14:paraId="6BB964D5" w14:textId="77777777" w:rsidR="00A3455B" w:rsidRDefault="00A3455B" w:rsidP="00087562">
      <w:r>
        <w:t xml:space="preserve">Rubin and colleagues </w:t>
      </w:r>
      <w:r>
        <w:rPr>
          <w:vertAlign w:val="superscript"/>
        </w:rPr>
        <w:t>28</w:t>
      </w:r>
      <w:r>
        <w:t xml:space="preserve"> have reported that the duration since last vaccination impacts on the ability of </w:t>
      </w:r>
      <w:proofErr w:type="gramStart"/>
      <w:r>
        <w:t>a</w:t>
      </w:r>
      <w:proofErr w:type="gramEnd"/>
      <w:r>
        <w:t xml:space="preserve"> MMR immunisation to effectively neutralise an outbreak of mumps genotype G compared to the vaccine strain. In the present study, the reduction in attack rate was found significant only in the discrete Indigenous community where the rate was substantially higher than other groups. Our study findings (consistent with a previous outbreak in western Australia) </w:t>
      </w:r>
      <w:r>
        <w:rPr>
          <w:vertAlign w:val="superscript"/>
        </w:rPr>
        <w:t>17</w:t>
      </w:r>
      <w:r>
        <w:t xml:space="preserve"> provide an indication of future exploration whether a second dose of MMR vaccine really provides long-term protection to the Indigenous people or whether they need a further vaccination with a third dose of MMR vaccine for prevention and control of mumps outbreaks. Earlier studies </w:t>
      </w:r>
      <w:r>
        <w:rPr>
          <w:vertAlign w:val="superscript"/>
        </w:rPr>
        <w:t>29,30</w:t>
      </w:r>
      <w:r>
        <w:t xml:space="preserve"> did not report any serious adverse events following a third dose of MMR vaccine, findings consistent with our mass immunisation response. The combined strategies of infection prevention and control, case isolation, and vaccination formed an effective public health response.</w:t>
      </w:r>
    </w:p>
    <w:p w14:paraId="425E36D1" w14:textId="77777777" w:rsidR="00A3455B" w:rsidRPr="00087562" w:rsidRDefault="00A3455B" w:rsidP="00087562">
      <w:pPr>
        <w:pStyle w:val="Heading2"/>
      </w:pPr>
      <w:r w:rsidRPr="00087562">
        <w:t>Limitations</w:t>
      </w:r>
    </w:p>
    <w:p w14:paraId="3369B815" w14:textId="77777777" w:rsidR="00A3455B" w:rsidRDefault="00A3455B" w:rsidP="00087562">
      <w:r>
        <w:t xml:space="preserve">There are several limitations in this study. As an observational study, often the selection of controls can be biased, since we cannot verify that the controls had the same exposure risk as our cases. The retrospective case control nature of the study was inherent with limitations in determining the impact of vaccinations. We did not include confirmed cases with positive mumps IgM and clinical features consistent with mumps, which might have introduced underestimation of cases in this study. Although 78.7% of our cases had two documented doses of MMR vaccine prior to infection, the remainder of the population may have had either one dose or none, and thus we were potentially delivering the first or second dose of MMR to some individuals. Additionally, we were able to perform genotyping on only one specimen among the laboratory-confirmed cases. It is acknowledged there might be some missing documentation on previous immunisation histories both in VIVAS and AIR, as neither of these vaccination registers is complete (e.g. VIVAS is a Queensland only childhood vaccination database). Whilst Indigenous status is confirmed as part of routine data collection by a public health nurse during case investigation, however, there may still be a possibility of under-reporting. Males may also be over-represented as the </w:t>
      </w:r>
      <w:proofErr w:type="gramStart"/>
      <w:r>
        <w:t>correctional facility</w:t>
      </w:r>
      <w:proofErr w:type="gramEnd"/>
      <w:r>
        <w:t xml:space="preserve"> and boarding school are males only. Lastly, our findings are generalisable only to those living in high-density living conditions and among the Indigenous population.</w:t>
      </w:r>
    </w:p>
    <w:p w14:paraId="79C7D465" w14:textId="77777777" w:rsidR="00A3455B" w:rsidRPr="00087562" w:rsidRDefault="00A3455B" w:rsidP="00087562">
      <w:pPr>
        <w:pStyle w:val="Heading1"/>
      </w:pPr>
      <w:r w:rsidRPr="00087562">
        <w:t>Conclusion</w:t>
      </w:r>
    </w:p>
    <w:p w14:paraId="022C0D92" w14:textId="77777777" w:rsidR="00A3455B" w:rsidRDefault="00A3455B" w:rsidP="00087562">
      <w:r>
        <w:t>Mumps outbreaks in highly vaccinated populations can be safely and effectively controlled by an additional dose of the MMR vaccine. Emphasis should be given to identifying under-vaccinated high-risk populations so that timeliness for vaccination can be ensured. Further studies should include the effect of vaccination timeliness on vaccine effectiveness and waning immunity. Additionally, public health units should focus on combined strategies of infection prevention and control, case isolation and mass immunisation campaigns among target populations as early as possible for an effective public health response.</w:t>
      </w:r>
    </w:p>
    <w:p w14:paraId="6FB441EF" w14:textId="77777777" w:rsidR="00372671" w:rsidRDefault="00372671">
      <w:pPr>
        <w:rPr>
          <w:rFonts w:asciiTheme="majorHAnsi" w:eastAsiaTheme="majorEastAsia" w:hAnsiTheme="majorHAnsi" w:cstheme="majorBidi"/>
          <w:b/>
          <w:bCs/>
          <w:sz w:val="32"/>
          <w:szCs w:val="28"/>
        </w:rPr>
      </w:pPr>
      <w:r>
        <w:br w:type="page"/>
      </w:r>
    </w:p>
    <w:p w14:paraId="6F115CA6" w14:textId="6565066C" w:rsidR="00A3455B" w:rsidRPr="00087562" w:rsidRDefault="00A3455B" w:rsidP="00087562">
      <w:pPr>
        <w:pStyle w:val="Heading1"/>
      </w:pPr>
      <w:r w:rsidRPr="00087562">
        <w:t>Declaration of competing interest</w:t>
      </w:r>
    </w:p>
    <w:p w14:paraId="081C3882" w14:textId="77777777" w:rsidR="00A3455B" w:rsidRDefault="00A3455B" w:rsidP="00087562">
      <w:r>
        <w:t>The authors declare they have no known competing financial interests or personal relationships that could have appeared to influence this reported work.</w:t>
      </w:r>
    </w:p>
    <w:p w14:paraId="3DB08282" w14:textId="77777777" w:rsidR="00A3455B" w:rsidRPr="00087562" w:rsidRDefault="00A3455B" w:rsidP="00087562">
      <w:pPr>
        <w:pStyle w:val="Heading1"/>
      </w:pPr>
      <w:r w:rsidRPr="00087562">
        <w:t>Funding</w:t>
      </w:r>
    </w:p>
    <w:p w14:paraId="378B804E" w14:textId="77777777" w:rsidR="00A3455B" w:rsidRDefault="00A3455B" w:rsidP="00087562">
      <w:r>
        <w:t>Queensland Advancing Clinical Research Fellowship awarded to Prof. Gulam Khandaker by Queensland Health’s Health Innovation, Investment and Research Office (HIRO), Office of the Director-General.</w:t>
      </w:r>
    </w:p>
    <w:p w14:paraId="7DC60A52" w14:textId="77777777" w:rsidR="00A3455B" w:rsidRPr="00087562" w:rsidRDefault="00A3455B" w:rsidP="00087562">
      <w:pPr>
        <w:pStyle w:val="Heading1"/>
      </w:pPr>
      <w:r w:rsidRPr="00087562">
        <w:t>Acknowledgements</w:t>
      </w:r>
    </w:p>
    <w:p w14:paraId="3186F1C3" w14:textId="77777777" w:rsidR="00A3455B" w:rsidRDefault="00A3455B" w:rsidP="00087562">
      <w:r>
        <w:t xml:space="preserve">We gratefully acknowledge and thank the Infection Prevention and Control team and the Offender Health Services from Central Queensland Hospital and Health Service and Queensland Correctional Services for their support and assistance in controlling the outbreak. </w:t>
      </w:r>
    </w:p>
    <w:p w14:paraId="20F596FD" w14:textId="77777777" w:rsidR="00A3455B" w:rsidRPr="00087562" w:rsidRDefault="00A3455B" w:rsidP="00087562">
      <w:pPr>
        <w:pStyle w:val="Heading1"/>
      </w:pPr>
      <w:r w:rsidRPr="00087562">
        <w:t>Author details</w:t>
      </w:r>
    </w:p>
    <w:p w14:paraId="08AE36E3" w14:textId="77777777" w:rsidR="00A3455B" w:rsidRDefault="00A3455B" w:rsidP="00087562">
      <w:r>
        <w:t xml:space="preserve">Jacina Walker </w:t>
      </w:r>
      <w:r>
        <w:rPr>
          <w:vertAlign w:val="superscript"/>
        </w:rPr>
        <w:t>1,2</w:t>
      </w:r>
      <w:r>
        <w:t xml:space="preserve"> </w:t>
      </w:r>
      <w:proofErr w:type="spellStart"/>
      <w:r>
        <w:t>Odewumi</w:t>
      </w:r>
      <w:proofErr w:type="spellEnd"/>
      <w:r>
        <w:t xml:space="preserve"> </w:t>
      </w:r>
      <w:proofErr w:type="spellStart"/>
      <w:r>
        <w:t>Adegbija</w:t>
      </w:r>
      <w:proofErr w:type="spellEnd"/>
      <w:r>
        <w:t xml:space="preserve"> </w:t>
      </w:r>
      <w:r>
        <w:rPr>
          <w:vertAlign w:val="superscript"/>
        </w:rPr>
        <w:t>1</w:t>
      </w:r>
      <w:r>
        <w:t xml:space="preserve"> Nicolas Smoll </w:t>
      </w:r>
      <w:r>
        <w:rPr>
          <w:vertAlign w:val="superscript"/>
        </w:rPr>
        <w:t>1</w:t>
      </w:r>
      <w:r>
        <w:t xml:space="preserve"> Arifuzzaman Khan </w:t>
      </w:r>
      <w:r>
        <w:rPr>
          <w:vertAlign w:val="superscript"/>
        </w:rPr>
        <w:t>1</w:t>
      </w:r>
      <w:r>
        <w:t xml:space="preserve"> Jordan </w:t>
      </w:r>
      <w:proofErr w:type="spellStart"/>
      <w:r>
        <w:t>Whicker</w:t>
      </w:r>
      <w:proofErr w:type="spellEnd"/>
      <w:r>
        <w:t xml:space="preserve"> </w:t>
      </w:r>
      <w:r>
        <w:rPr>
          <w:vertAlign w:val="superscript"/>
        </w:rPr>
        <w:t>3</w:t>
      </w:r>
      <w:r>
        <w:t xml:space="preserve"> Heidi Carroll </w:t>
      </w:r>
      <w:r>
        <w:rPr>
          <w:vertAlign w:val="superscript"/>
        </w:rPr>
        <w:t>4</w:t>
      </w:r>
      <w:r>
        <w:t xml:space="preserve"> Rachael Rodney Harris </w:t>
      </w:r>
      <w:r>
        <w:rPr>
          <w:vertAlign w:val="superscript"/>
        </w:rPr>
        <w:t>2</w:t>
      </w:r>
      <w:r>
        <w:t xml:space="preserve"> Gulam Khandaker </w:t>
      </w:r>
      <w:r>
        <w:rPr>
          <w:vertAlign w:val="superscript"/>
        </w:rPr>
        <w:t>1,5,6</w:t>
      </w:r>
      <w:r>
        <w:t xml:space="preserve"> </w:t>
      </w:r>
    </w:p>
    <w:p w14:paraId="1E7C672D" w14:textId="77777777" w:rsidR="00A3455B" w:rsidRPr="00087562" w:rsidRDefault="00A3455B" w:rsidP="00087562">
      <w:pPr>
        <w:pStyle w:val="ListParagraph"/>
        <w:numPr>
          <w:ilvl w:val="0"/>
          <w:numId w:val="14"/>
        </w:numPr>
        <w:rPr>
          <w:rFonts w:eastAsia="Times New Roman"/>
        </w:rPr>
      </w:pPr>
      <w:r w:rsidRPr="00087562">
        <w:rPr>
          <w:rFonts w:eastAsia="Times New Roman"/>
        </w:rPr>
        <w:t>Central Queensland Public Health Unit, Central Queensland Hospital and Health Service, Rockhampton, Australia.</w:t>
      </w:r>
    </w:p>
    <w:p w14:paraId="258EF27B" w14:textId="77777777" w:rsidR="00A3455B" w:rsidRPr="00087562" w:rsidRDefault="00A3455B" w:rsidP="00087562">
      <w:pPr>
        <w:pStyle w:val="ListParagraph"/>
        <w:numPr>
          <w:ilvl w:val="0"/>
          <w:numId w:val="14"/>
        </w:numPr>
        <w:rPr>
          <w:rFonts w:eastAsia="Times New Roman"/>
        </w:rPr>
      </w:pPr>
      <w:r w:rsidRPr="00087562">
        <w:rPr>
          <w:rFonts w:eastAsia="Times New Roman"/>
        </w:rPr>
        <w:t>National Centre for Epidemiology and Population Health, Research School of Population Health, Australian National University, Canberra, ACT, Australia</w:t>
      </w:r>
    </w:p>
    <w:p w14:paraId="77F916F2" w14:textId="77777777" w:rsidR="00A3455B" w:rsidRPr="00087562" w:rsidRDefault="00A3455B" w:rsidP="00087562">
      <w:pPr>
        <w:pStyle w:val="ListParagraph"/>
        <w:numPr>
          <w:ilvl w:val="0"/>
          <w:numId w:val="14"/>
        </w:numPr>
        <w:rPr>
          <w:rFonts w:eastAsia="Times New Roman"/>
        </w:rPr>
      </w:pPr>
      <w:r w:rsidRPr="00087562">
        <w:rPr>
          <w:rFonts w:eastAsia="Times New Roman"/>
        </w:rPr>
        <w:t>Woorabinda Multi-Purpose Health Service, Central Queensland Hospital and Health Service, Woorabinda, Australia</w:t>
      </w:r>
    </w:p>
    <w:p w14:paraId="29F23FF2" w14:textId="77777777" w:rsidR="00A3455B" w:rsidRPr="00087562" w:rsidRDefault="00A3455B" w:rsidP="00087562">
      <w:pPr>
        <w:pStyle w:val="ListParagraph"/>
        <w:numPr>
          <w:ilvl w:val="0"/>
          <w:numId w:val="14"/>
        </w:numPr>
        <w:rPr>
          <w:rFonts w:eastAsia="Times New Roman"/>
        </w:rPr>
      </w:pPr>
      <w:r w:rsidRPr="00087562">
        <w:rPr>
          <w:rFonts w:eastAsia="Times New Roman"/>
        </w:rPr>
        <w:t>Communicable Disease Branch, Queensland Health, Brisbane, Queensland, Australia</w:t>
      </w:r>
    </w:p>
    <w:p w14:paraId="4D8BEE78" w14:textId="77777777" w:rsidR="00A3455B" w:rsidRPr="00087562" w:rsidRDefault="00A3455B" w:rsidP="00087562">
      <w:pPr>
        <w:pStyle w:val="ListParagraph"/>
        <w:numPr>
          <w:ilvl w:val="0"/>
          <w:numId w:val="14"/>
        </w:numPr>
        <w:rPr>
          <w:rFonts w:eastAsia="Times New Roman"/>
        </w:rPr>
      </w:pPr>
      <w:r w:rsidRPr="00087562">
        <w:rPr>
          <w:rFonts w:eastAsia="Times New Roman"/>
        </w:rPr>
        <w:t>Central Queensland University, Rockhampton, Australia.</w:t>
      </w:r>
    </w:p>
    <w:p w14:paraId="0C485D58" w14:textId="77777777" w:rsidR="00A3455B" w:rsidRPr="00087562" w:rsidRDefault="00A3455B" w:rsidP="00087562">
      <w:pPr>
        <w:pStyle w:val="ListParagraph"/>
        <w:numPr>
          <w:ilvl w:val="0"/>
          <w:numId w:val="14"/>
        </w:numPr>
        <w:rPr>
          <w:rFonts w:eastAsia="Times New Roman"/>
        </w:rPr>
      </w:pPr>
      <w:r w:rsidRPr="00087562">
        <w:rPr>
          <w:rFonts w:eastAsia="Times New Roman"/>
        </w:rPr>
        <w:t>The Children’s Hospital at Westmead Clinical School, The faculty of Medicine and Health, The University of Sydney, Sydney, Australia.</w:t>
      </w:r>
    </w:p>
    <w:p w14:paraId="4F31B416" w14:textId="77777777" w:rsidR="00A3455B" w:rsidRPr="00087562" w:rsidRDefault="00A3455B" w:rsidP="00087562">
      <w:pPr>
        <w:pStyle w:val="Heading2"/>
      </w:pPr>
      <w:r w:rsidRPr="00087562">
        <w:t>Corresponding author</w:t>
      </w:r>
    </w:p>
    <w:p w14:paraId="40D695E5" w14:textId="77777777" w:rsidR="00A3455B" w:rsidRDefault="00A3455B" w:rsidP="00087562">
      <w:r>
        <w:t>Professor Gulam Khandaker</w:t>
      </w:r>
    </w:p>
    <w:p w14:paraId="03414D3C" w14:textId="77777777" w:rsidR="00A3455B" w:rsidRDefault="00A3455B" w:rsidP="00087562">
      <w:r>
        <w:t>Central Queensland Public Health Unit, Central Queensland Hospital and Health Service, Community Health Building, 82-86 Bolsover Street, Rockhampton, Queensland, 4700, Australia</w:t>
      </w:r>
    </w:p>
    <w:p w14:paraId="7B3C9E81" w14:textId="37E1307A" w:rsidR="00A3455B" w:rsidRDefault="00A3455B" w:rsidP="00087562">
      <w:r>
        <w:t>Phone: +617-4920 6989</w:t>
      </w:r>
      <w:r w:rsidR="00372671">
        <w:br/>
      </w:r>
      <w:r>
        <w:t>Fax: +617-4920 6865</w:t>
      </w:r>
      <w:r w:rsidR="00372671">
        <w:br/>
      </w:r>
      <w:r>
        <w:t>Email: gulam.khandaker@health.qld.gov.au</w:t>
      </w:r>
    </w:p>
    <w:p w14:paraId="062E2F3E" w14:textId="77777777" w:rsidR="00372671" w:rsidRDefault="00372671">
      <w:pPr>
        <w:rPr>
          <w:rFonts w:asciiTheme="majorHAnsi" w:eastAsiaTheme="majorEastAsia" w:hAnsiTheme="majorHAnsi" w:cstheme="majorBidi"/>
          <w:b/>
          <w:bCs/>
          <w:sz w:val="32"/>
          <w:szCs w:val="28"/>
        </w:rPr>
      </w:pPr>
      <w:r>
        <w:br w:type="page"/>
      </w:r>
    </w:p>
    <w:p w14:paraId="5F99C568" w14:textId="550D9C33" w:rsidR="00A3455B" w:rsidRPr="00087562" w:rsidRDefault="00A3455B" w:rsidP="00087562">
      <w:pPr>
        <w:pStyle w:val="Heading1"/>
      </w:pPr>
      <w:r w:rsidRPr="00087562">
        <w:t>References</w:t>
      </w:r>
    </w:p>
    <w:p w14:paraId="29371201"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Ahmed S, Aziz I. Mumps 2017: the role of educational institutes in preventing the spread of the disease. </w:t>
      </w:r>
      <w:r w:rsidRPr="00087562">
        <w:rPr>
          <w:rStyle w:val="Emphasis"/>
          <w:rFonts w:eastAsia="Times New Roman"/>
          <w:b w:val="0"/>
          <w:bCs w:val="0"/>
        </w:rPr>
        <w:t xml:space="preserve">Am J Infect </w:t>
      </w:r>
      <w:proofErr w:type="gramStart"/>
      <w:r w:rsidRPr="00087562">
        <w:rPr>
          <w:rStyle w:val="Emphasis"/>
          <w:rFonts w:eastAsia="Times New Roman"/>
          <w:b w:val="0"/>
          <w:bCs w:val="0"/>
        </w:rPr>
        <w:t>Control</w:t>
      </w:r>
      <w:r w:rsidRPr="00087562">
        <w:rPr>
          <w:rFonts w:eastAsia="Times New Roman"/>
        </w:rPr>
        <w:t xml:space="preserve"> .</w:t>
      </w:r>
      <w:proofErr w:type="gramEnd"/>
      <w:r w:rsidRPr="00087562">
        <w:rPr>
          <w:rFonts w:eastAsia="Times New Roman"/>
        </w:rPr>
        <w:t xml:space="preserve"> 2017;45(7):817–8.</w:t>
      </w:r>
    </w:p>
    <w:p w14:paraId="40BA876E"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Australian Government, Australian Institute of Health and Welfare (AIHW). </w:t>
      </w:r>
      <w:r w:rsidRPr="00087562">
        <w:rPr>
          <w:rStyle w:val="Emphasis"/>
          <w:rFonts w:eastAsia="Times New Roman"/>
          <w:b w:val="0"/>
          <w:bCs w:val="0"/>
        </w:rPr>
        <w:t xml:space="preserve">Mumps in </w:t>
      </w:r>
      <w:proofErr w:type="gramStart"/>
      <w:r w:rsidRPr="00087562">
        <w:rPr>
          <w:rStyle w:val="Emphasis"/>
          <w:rFonts w:eastAsia="Times New Roman"/>
          <w:b w:val="0"/>
          <w:bCs w:val="0"/>
        </w:rPr>
        <w:t>Australia</w:t>
      </w:r>
      <w:r w:rsidRPr="00087562">
        <w:rPr>
          <w:rFonts w:eastAsia="Times New Roman"/>
        </w:rPr>
        <w:t xml:space="preserve"> .</w:t>
      </w:r>
      <w:proofErr w:type="gramEnd"/>
      <w:r w:rsidRPr="00087562">
        <w:rPr>
          <w:rFonts w:eastAsia="Times New Roman"/>
        </w:rPr>
        <w:t xml:space="preserve"> Canberra: Australian Government, AIHW; 2018. Available from: https://www.aihw.gov.au/getmedia/c275433d-4ac8-4968-8207-ee48f07118da/aihw-phe-236_Mumps.pdf.aspx.</w:t>
      </w:r>
    </w:p>
    <w:p w14:paraId="4EEA6359" w14:textId="77777777" w:rsidR="00A3455B" w:rsidRPr="00087562" w:rsidRDefault="00A3455B" w:rsidP="00087562">
      <w:pPr>
        <w:pStyle w:val="ListParagraph"/>
        <w:numPr>
          <w:ilvl w:val="0"/>
          <w:numId w:val="15"/>
        </w:numPr>
        <w:rPr>
          <w:rFonts w:eastAsia="Times New Roman"/>
        </w:rPr>
      </w:pPr>
      <w:r w:rsidRPr="00087562">
        <w:rPr>
          <w:rFonts w:eastAsia="Times New Roman"/>
        </w:rPr>
        <w:t>Queensland Health. Communicable disease control guidance: Mumps. [Internet.] Brisbane: Queensland Government, Queensland Health; 11 July 2019. Available from: http://disease-control.health.qld.gov.au/Condition/761/mumps.</w:t>
      </w:r>
    </w:p>
    <w:p w14:paraId="10F225C0"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Westphal DW, Eastwood A, Levy A, Davies J, </w:t>
      </w:r>
      <w:proofErr w:type="spellStart"/>
      <w:r w:rsidRPr="00087562">
        <w:rPr>
          <w:rFonts w:eastAsia="Times New Roman"/>
        </w:rPr>
        <w:t>Huppatz</w:t>
      </w:r>
      <w:proofErr w:type="spellEnd"/>
      <w:r w:rsidRPr="00087562">
        <w:rPr>
          <w:rFonts w:eastAsia="Times New Roman"/>
        </w:rPr>
        <w:t xml:space="preserve"> C, Gilles M et al. A protracted mumps outbreak in Western Australia despite high vaccine coverage: a population-based surveillance study. </w:t>
      </w:r>
      <w:r w:rsidRPr="00087562">
        <w:rPr>
          <w:rStyle w:val="Emphasis"/>
          <w:rFonts w:eastAsia="Times New Roman"/>
          <w:b w:val="0"/>
          <w:bCs w:val="0"/>
        </w:rPr>
        <w:t xml:space="preserve">Lancet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2019;19(2):177–84.</w:t>
      </w:r>
    </w:p>
    <w:p w14:paraId="349EF71D"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National Centre for Immunisation Research and Surveillance (NCIRS). </w:t>
      </w:r>
      <w:r w:rsidRPr="00087562">
        <w:rPr>
          <w:rStyle w:val="Emphasis"/>
          <w:rFonts w:eastAsia="Times New Roman"/>
          <w:b w:val="0"/>
          <w:bCs w:val="0"/>
        </w:rPr>
        <w:t xml:space="preserve">Significant events in measles, mumps and rubella </w:t>
      </w:r>
      <w:proofErr w:type="spellStart"/>
      <w:r w:rsidRPr="00087562">
        <w:rPr>
          <w:rStyle w:val="Emphasis"/>
          <w:rFonts w:eastAsia="Times New Roman"/>
          <w:b w:val="0"/>
          <w:bCs w:val="0"/>
        </w:rPr>
        <w:t>vacciantion</w:t>
      </w:r>
      <w:proofErr w:type="spellEnd"/>
      <w:r w:rsidRPr="00087562">
        <w:rPr>
          <w:rStyle w:val="Emphasis"/>
          <w:rFonts w:eastAsia="Times New Roman"/>
          <w:b w:val="0"/>
          <w:bCs w:val="0"/>
        </w:rPr>
        <w:t xml:space="preserve"> practice in </w:t>
      </w:r>
      <w:proofErr w:type="gramStart"/>
      <w:r w:rsidRPr="00087562">
        <w:rPr>
          <w:rStyle w:val="Emphasis"/>
          <w:rFonts w:eastAsia="Times New Roman"/>
          <w:b w:val="0"/>
          <w:bCs w:val="0"/>
        </w:rPr>
        <w:t>Australia</w:t>
      </w:r>
      <w:r w:rsidRPr="00087562">
        <w:rPr>
          <w:rFonts w:eastAsia="Times New Roman"/>
        </w:rPr>
        <w:t xml:space="preserve"> .</w:t>
      </w:r>
      <w:proofErr w:type="gramEnd"/>
      <w:r w:rsidRPr="00087562">
        <w:rPr>
          <w:rFonts w:eastAsia="Times New Roman"/>
        </w:rPr>
        <w:t xml:space="preserve"> Sydney: NCIRS; December 2019. Available from: https://www.ncirs.org.au/sites/default/files/2019-12/Measles-mumps-rubella-history-Dec%202019.pdf.</w:t>
      </w:r>
    </w:p>
    <w:p w14:paraId="517AEE7F"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Lewnard</w:t>
      </w:r>
      <w:proofErr w:type="spellEnd"/>
      <w:r w:rsidRPr="00087562">
        <w:rPr>
          <w:rFonts w:eastAsia="Times New Roman"/>
        </w:rPr>
        <w:t xml:space="preserve"> JA, Grad YH. Vaccine waning and mumps re-emergence in the United States. </w:t>
      </w:r>
      <w:r w:rsidRPr="00087562">
        <w:rPr>
          <w:rStyle w:val="Emphasis"/>
          <w:rFonts w:eastAsia="Times New Roman"/>
          <w:b w:val="0"/>
          <w:bCs w:val="0"/>
        </w:rPr>
        <w:t xml:space="preserve">Sci </w:t>
      </w:r>
      <w:proofErr w:type="spellStart"/>
      <w:r w:rsidRPr="00087562">
        <w:rPr>
          <w:rStyle w:val="Emphasis"/>
          <w:rFonts w:eastAsia="Times New Roman"/>
          <w:b w:val="0"/>
          <w:bCs w:val="0"/>
        </w:rPr>
        <w:t>Transl</w:t>
      </w:r>
      <w:proofErr w:type="spellEnd"/>
      <w:r w:rsidRPr="00087562">
        <w:rPr>
          <w:rStyle w:val="Emphasis"/>
          <w:rFonts w:eastAsia="Times New Roman"/>
          <w:b w:val="0"/>
          <w:bCs w:val="0"/>
        </w:rPr>
        <w:t xml:space="preserve"> </w:t>
      </w:r>
      <w:proofErr w:type="gramStart"/>
      <w:r w:rsidRPr="00087562">
        <w:rPr>
          <w:rStyle w:val="Emphasis"/>
          <w:rFonts w:eastAsia="Times New Roman"/>
          <w:b w:val="0"/>
          <w:bCs w:val="0"/>
        </w:rPr>
        <w:t>Med</w:t>
      </w:r>
      <w:r w:rsidRPr="00087562">
        <w:rPr>
          <w:rFonts w:eastAsia="Times New Roman"/>
        </w:rPr>
        <w:t xml:space="preserve"> .</w:t>
      </w:r>
      <w:proofErr w:type="gramEnd"/>
      <w:r w:rsidRPr="00087562">
        <w:rPr>
          <w:rFonts w:eastAsia="Times New Roman"/>
        </w:rPr>
        <w:t xml:space="preserve"> 2018;10(433</w:t>
      </w:r>
      <w:proofErr w:type="gramStart"/>
      <w:r w:rsidRPr="00087562">
        <w:rPr>
          <w:rFonts w:eastAsia="Times New Roman"/>
        </w:rPr>
        <w:t>):eaao</w:t>
      </w:r>
      <w:proofErr w:type="gramEnd"/>
      <w:r w:rsidRPr="00087562">
        <w:rPr>
          <w:rFonts w:eastAsia="Times New Roman"/>
        </w:rPr>
        <w:t xml:space="preserve">5945. </w:t>
      </w:r>
      <w:proofErr w:type="spellStart"/>
      <w:r w:rsidRPr="00087562">
        <w:rPr>
          <w:rFonts w:eastAsia="Times New Roman"/>
        </w:rPr>
        <w:t>doi</w:t>
      </w:r>
      <w:proofErr w:type="spellEnd"/>
      <w:r w:rsidRPr="00087562">
        <w:rPr>
          <w:rFonts w:eastAsia="Times New Roman"/>
        </w:rPr>
        <w:t>: https://doi.org/10.1126/scitranslmed.aao5945.</w:t>
      </w:r>
    </w:p>
    <w:p w14:paraId="741C6B9B"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Livingston KA, Rosen JB, Zucker JR, Zimmerman CM. Mumps vaccine effectiveness and risk factors for disease in households during an outbreak in New York City. </w:t>
      </w:r>
      <w:proofErr w:type="gramStart"/>
      <w:r w:rsidRPr="00087562">
        <w:rPr>
          <w:rStyle w:val="Emphasis"/>
          <w:rFonts w:eastAsia="Times New Roman"/>
          <w:b w:val="0"/>
          <w:bCs w:val="0"/>
        </w:rPr>
        <w:t>Vaccine</w:t>
      </w:r>
      <w:r w:rsidRPr="00087562">
        <w:rPr>
          <w:rFonts w:eastAsia="Times New Roman"/>
        </w:rPr>
        <w:t xml:space="preserve"> .</w:t>
      </w:r>
      <w:proofErr w:type="gramEnd"/>
      <w:r w:rsidRPr="00087562">
        <w:rPr>
          <w:rFonts w:eastAsia="Times New Roman"/>
        </w:rPr>
        <w:t xml:space="preserve"> 2014;32(3):369–74.</w:t>
      </w:r>
    </w:p>
    <w:p w14:paraId="0159019D"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Vygen</w:t>
      </w:r>
      <w:proofErr w:type="spellEnd"/>
      <w:r w:rsidRPr="00087562">
        <w:rPr>
          <w:rFonts w:eastAsia="Times New Roman"/>
        </w:rPr>
        <w:t xml:space="preserve"> S, Fischer A, </w:t>
      </w:r>
      <w:proofErr w:type="spellStart"/>
      <w:r w:rsidRPr="00087562">
        <w:rPr>
          <w:rFonts w:eastAsia="Times New Roman"/>
        </w:rPr>
        <w:t>Meurice</w:t>
      </w:r>
      <w:proofErr w:type="spellEnd"/>
      <w:r w:rsidRPr="00087562">
        <w:rPr>
          <w:rFonts w:eastAsia="Times New Roman"/>
        </w:rPr>
        <w:t xml:space="preserve"> L, </w:t>
      </w:r>
      <w:proofErr w:type="spellStart"/>
      <w:r w:rsidRPr="00087562">
        <w:rPr>
          <w:rFonts w:eastAsia="Times New Roman"/>
        </w:rPr>
        <w:t>Mounchetrou</w:t>
      </w:r>
      <w:proofErr w:type="spellEnd"/>
      <w:r w:rsidRPr="00087562">
        <w:rPr>
          <w:rFonts w:eastAsia="Times New Roman"/>
        </w:rPr>
        <w:t xml:space="preserve"> </w:t>
      </w:r>
      <w:proofErr w:type="spellStart"/>
      <w:r w:rsidRPr="00087562">
        <w:rPr>
          <w:rFonts w:eastAsia="Times New Roman"/>
        </w:rPr>
        <w:t>Njoya</w:t>
      </w:r>
      <w:proofErr w:type="spellEnd"/>
      <w:r w:rsidRPr="00087562">
        <w:rPr>
          <w:rFonts w:eastAsia="Times New Roman"/>
        </w:rPr>
        <w:t xml:space="preserve"> I, </w:t>
      </w:r>
      <w:proofErr w:type="spellStart"/>
      <w:r w:rsidRPr="00087562">
        <w:rPr>
          <w:rFonts w:eastAsia="Times New Roman"/>
        </w:rPr>
        <w:t>Gregoris</w:t>
      </w:r>
      <w:proofErr w:type="spellEnd"/>
      <w:r w:rsidRPr="00087562">
        <w:rPr>
          <w:rFonts w:eastAsia="Times New Roman"/>
        </w:rPr>
        <w:t xml:space="preserve"> M, Ndiaye B et al. Waning immunity against mumps in vaccinated young adults, France 2013. </w:t>
      </w:r>
      <w:r w:rsidRPr="00087562">
        <w:rPr>
          <w:rStyle w:val="Emphasis"/>
          <w:rFonts w:eastAsia="Times New Roman"/>
          <w:b w:val="0"/>
          <w:bCs w:val="0"/>
        </w:rPr>
        <w:t xml:space="preserve">Euro </w:t>
      </w:r>
      <w:proofErr w:type="spellStart"/>
      <w:proofErr w:type="gramStart"/>
      <w:r w:rsidRPr="00087562">
        <w:rPr>
          <w:rStyle w:val="Emphasis"/>
          <w:rFonts w:eastAsia="Times New Roman"/>
          <w:b w:val="0"/>
          <w:bCs w:val="0"/>
        </w:rPr>
        <w:t>Surveill</w:t>
      </w:r>
      <w:proofErr w:type="spellEnd"/>
      <w:r w:rsidRPr="00087562">
        <w:rPr>
          <w:rFonts w:eastAsia="Times New Roman"/>
        </w:rPr>
        <w:t xml:space="preserve"> .</w:t>
      </w:r>
      <w:proofErr w:type="gramEnd"/>
      <w:r w:rsidRPr="00087562">
        <w:rPr>
          <w:rFonts w:eastAsia="Times New Roman"/>
        </w:rPr>
        <w:t xml:space="preserve"> 2016;21(10):30156. </w:t>
      </w:r>
      <w:proofErr w:type="spellStart"/>
      <w:r w:rsidRPr="00087562">
        <w:rPr>
          <w:rFonts w:eastAsia="Times New Roman"/>
        </w:rPr>
        <w:t>doi</w:t>
      </w:r>
      <w:proofErr w:type="spellEnd"/>
      <w:r w:rsidRPr="00087562">
        <w:rPr>
          <w:rFonts w:eastAsia="Times New Roman"/>
        </w:rPr>
        <w:t>: https://doi.org/10.2807/1560-7917.ES.2016.21.10.30156.</w:t>
      </w:r>
    </w:p>
    <w:p w14:paraId="4E9F9184"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Australian Government Department of Health. National Notifiable Diseases </w:t>
      </w:r>
      <w:proofErr w:type="spellStart"/>
      <w:r w:rsidRPr="00087562">
        <w:rPr>
          <w:rFonts w:eastAsia="Times New Roman"/>
        </w:rPr>
        <w:t>Surviellance</w:t>
      </w:r>
      <w:proofErr w:type="spellEnd"/>
      <w:r w:rsidRPr="00087562">
        <w:rPr>
          <w:rFonts w:eastAsia="Times New Roman"/>
        </w:rPr>
        <w:t xml:space="preserve"> System. [Website.] Canberra: Australian Government Department of Health; 2020. Available from: http://www9.health.gov.au/cda/source/rpt_2_sel.cfm.</w:t>
      </w:r>
    </w:p>
    <w:p w14:paraId="5A9E589C"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Bailie RS, </w:t>
      </w:r>
      <w:proofErr w:type="spellStart"/>
      <w:r w:rsidRPr="00087562">
        <w:rPr>
          <w:rFonts w:eastAsia="Times New Roman"/>
        </w:rPr>
        <w:t>Wayte</w:t>
      </w:r>
      <w:proofErr w:type="spellEnd"/>
      <w:r w:rsidRPr="00087562">
        <w:rPr>
          <w:rFonts w:eastAsia="Times New Roman"/>
        </w:rPr>
        <w:t xml:space="preserve"> KJ. Housing and health in Indigenous communities: key issues for housing and health improvement in remote Aboriginal and Torres Strait Islander communities. </w:t>
      </w:r>
      <w:r w:rsidRPr="00087562">
        <w:rPr>
          <w:rStyle w:val="Emphasis"/>
          <w:rFonts w:eastAsia="Times New Roman"/>
          <w:b w:val="0"/>
          <w:bCs w:val="0"/>
        </w:rPr>
        <w:t xml:space="preserve">Aust J Rural </w:t>
      </w:r>
      <w:proofErr w:type="gramStart"/>
      <w:r w:rsidRPr="00087562">
        <w:rPr>
          <w:rStyle w:val="Emphasis"/>
          <w:rFonts w:eastAsia="Times New Roman"/>
          <w:b w:val="0"/>
          <w:bCs w:val="0"/>
        </w:rPr>
        <w:t>Health</w:t>
      </w:r>
      <w:r w:rsidRPr="00087562">
        <w:rPr>
          <w:rFonts w:eastAsia="Times New Roman"/>
        </w:rPr>
        <w:t xml:space="preserve"> .</w:t>
      </w:r>
      <w:proofErr w:type="gramEnd"/>
      <w:r w:rsidRPr="00087562">
        <w:rPr>
          <w:rFonts w:eastAsia="Times New Roman"/>
        </w:rPr>
        <w:t xml:space="preserve"> 2006;14(5):178–83.</w:t>
      </w:r>
    </w:p>
    <w:p w14:paraId="07BA2DF2"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Huang AS, Cortese MM, </w:t>
      </w:r>
      <w:proofErr w:type="spellStart"/>
      <w:r w:rsidRPr="00087562">
        <w:rPr>
          <w:rFonts w:eastAsia="Times New Roman"/>
        </w:rPr>
        <w:t>Curns</w:t>
      </w:r>
      <w:proofErr w:type="spellEnd"/>
      <w:r w:rsidRPr="00087562">
        <w:rPr>
          <w:rFonts w:eastAsia="Times New Roman"/>
        </w:rPr>
        <w:t xml:space="preserve"> AT, </w:t>
      </w:r>
      <w:proofErr w:type="spellStart"/>
      <w:r w:rsidRPr="00087562">
        <w:rPr>
          <w:rFonts w:eastAsia="Times New Roman"/>
        </w:rPr>
        <w:t>Bitsko</w:t>
      </w:r>
      <w:proofErr w:type="spellEnd"/>
      <w:r w:rsidRPr="00087562">
        <w:rPr>
          <w:rFonts w:eastAsia="Times New Roman"/>
        </w:rPr>
        <w:t xml:space="preserve"> RH, Jordan HT, </w:t>
      </w:r>
      <w:proofErr w:type="spellStart"/>
      <w:r w:rsidRPr="00087562">
        <w:rPr>
          <w:rFonts w:eastAsia="Times New Roman"/>
        </w:rPr>
        <w:t>Soud</w:t>
      </w:r>
      <w:proofErr w:type="spellEnd"/>
      <w:r w:rsidRPr="00087562">
        <w:rPr>
          <w:rFonts w:eastAsia="Times New Roman"/>
        </w:rPr>
        <w:t xml:space="preserve"> F et al. Risk factors for mumps at a university with a large mumps outbreak. </w:t>
      </w:r>
      <w:r w:rsidRPr="00087562">
        <w:rPr>
          <w:rStyle w:val="Emphasis"/>
          <w:rFonts w:eastAsia="Times New Roman"/>
          <w:b w:val="0"/>
          <w:bCs w:val="0"/>
        </w:rPr>
        <w:t xml:space="preserve">Public Health </w:t>
      </w:r>
      <w:proofErr w:type="gramStart"/>
      <w:r w:rsidRPr="00087562">
        <w:rPr>
          <w:rStyle w:val="Emphasis"/>
          <w:rFonts w:eastAsia="Times New Roman"/>
          <w:b w:val="0"/>
          <w:bCs w:val="0"/>
        </w:rPr>
        <w:t>Rep</w:t>
      </w:r>
      <w:r w:rsidRPr="00087562">
        <w:rPr>
          <w:rFonts w:eastAsia="Times New Roman"/>
        </w:rPr>
        <w:t xml:space="preserve"> .</w:t>
      </w:r>
      <w:proofErr w:type="gramEnd"/>
      <w:r w:rsidRPr="00087562">
        <w:rPr>
          <w:rFonts w:eastAsia="Times New Roman"/>
        </w:rPr>
        <w:t xml:space="preserve"> 2009;124(3):419–26.</w:t>
      </w:r>
    </w:p>
    <w:p w14:paraId="0C814527"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Cardemil</w:t>
      </w:r>
      <w:proofErr w:type="spellEnd"/>
      <w:r w:rsidRPr="00087562">
        <w:rPr>
          <w:rFonts w:eastAsia="Times New Roman"/>
        </w:rPr>
        <w:t xml:space="preserve"> CV, Dahl RM, James L, </w:t>
      </w:r>
      <w:proofErr w:type="spellStart"/>
      <w:r w:rsidRPr="00087562">
        <w:rPr>
          <w:rFonts w:eastAsia="Times New Roman"/>
        </w:rPr>
        <w:t>Wannemuehler</w:t>
      </w:r>
      <w:proofErr w:type="spellEnd"/>
      <w:r w:rsidRPr="00087562">
        <w:rPr>
          <w:rFonts w:eastAsia="Times New Roman"/>
        </w:rPr>
        <w:t xml:space="preserve"> K, Gary HE, Shah M et al. Effectiveness of a Third Dose of MMR Vaccine for Mumps Outbreak Control. </w:t>
      </w:r>
      <w:r w:rsidRPr="00087562">
        <w:rPr>
          <w:rStyle w:val="Emphasis"/>
          <w:rFonts w:eastAsia="Times New Roman"/>
          <w:b w:val="0"/>
          <w:bCs w:val="0"/>
        </w:rPr>
        <w:t xml:space="preserve">N </w:t>
      </w:r>
      <w:proofErr w:type="spellStart"/>
      <w:r w:rsidRPr="00087562">
        <w:rPr>
          <w:rStyle w:val="Emphasis"/>
          <w:rFonts w:eastAsia="Times New Roman"/>
          <w:b w:val="0"/>
          <w:bCs w:val="0"/>
        </w:rPr>
        <w:t>Engl</w:t>
      </w:r>
      <w:proofErr w:type="spellEnd"/>
      <w:r w:rsidRPr="00087562">
        <w:rPr>
          <w:rStyle w:val="Emphasis"/>
          <w:rFonts w:eastAsia="Times New Roman"/>
          <w:b w:val="0"/>
          <w:bCs w:val="0"/>
        </w:rPr>
        <w:t xml:space="preserve"> J </w:t>
      </w:r>
      <w:proofErr w:type="gramStart"/>
      <w:r w:rsidRPr="00087562">
        <w:rPr>
          <w:rStyle w:val="Emphasis"/>
          <w:rFonts w:eastAsia="Times New Roman"/>
          <w:b w:val="0"/>
          <w:bCs w:val="0"/>
        </w:rPr>
        <w:t>Med</w:t>
      </w:r>
      <w:r w:rsidRPr="00087562">
        <w:rPr>
          <w:rFonts w:eastAsia="Times New Roman"/>
        </w:rPr>
        <w:t xml:space="preserve"> .</w:t>
      </w:r>
      <w:proofErr w:type="gramEnd"/>
      <w:r w:rsidRPr="00087562">
        <w:rPr>
          <w:rFonts w:eastAsia="Times New Roman"/>
        </w:rPr>
        <w:t xml:space="preserve"> 2017;377(10):947–56.</w:t>
      </w:r>
    </w:p>
    <w:p w14:paraId="5646B166" w14:textId="77777777" w:rsidR="00A3455B" w:rsidRPr="00087562" w:rsidRDefault="00A3455B" w:rsidP="00087562">
      <w:pPr>
        <w:pStyle w:val="ListParagraph"/>
        <w:numPr>
          <w:ilvl w:val="0"/>
          <w:numId w:val="15"/>
        </w:numPr>
        <w:rPr>
          <w:rFonts w:eastAsia="Times New Roman"/>
        </w:rPr>
      </w:pPr>
      <w:r w:rsidRPr="00087562">
        <w:rPr>
          <w:rFonts w:eastAsia="Times New Roman"/>
        </w:rPr>
        <w:t>Australian Institute of Health and Welfare (AIHW). Meteor (Metadata online registry). Discrete Indigenous community - Indigenous community identifier. [Webpage.] Canberra: Australian Government, AIHW; 11 August 2014. Available from: https://meteor.aihw.gov.au/content/index.phtml/itemId/269732.</w:t>
      </w:r>
    </w:p>
    <w:p w14:paraId="711073CA" w14:textId="77777777" w:rsidR="00A3455B" w:rsidRPr="00087562" w:rsidRDefault="00A3455B" w:rsidP="00087562">
      <w:pPr>
        <w:pStyle w:val="ListParagraph"/>
        <w:numPr>
          <w:ilvl w:val="0"/>
          <w:numId w:val="15"/>
        </w:numPr>
        <w:rPr>
          <w:rFonts w:eastAsia="Times New Roman"/>
        </w:rPr>
      </w:pPr>
      <w:r w:rsidRPr="00087562">
        <w:rPr>
          <w:rFonts w:eastAsia="Times New Roman"/>
        </w:rPr>
        <w:t>Australian Government Department of Health. Australian Immunisation Handbook. [Internet.] Canberra: Australian Government Department of Health; 2018. Available from: https://immunisationhandbook.health.gov.au/.</w:t>
      </w:r>
    </w:p>
    <w:p w14:paraId="1F36EF24"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R Core Team. </w:t>
      </w:r>
      <w:r w:rsidRPr="00087562">
        <w:rPr>
          <w:rStyle w:val="Emphasis"/>
          <w:rFonts w:eastAsia="Times New Roman"/>
          <w:b w:val="0"/>
          <w:bCs w:val="0"/>
        </w:rPr>
        <w:t xml:space="preserve">R: a language and environment for statistical </w:t>
      </w:r>
      <w:proofErr w:type="gramStart"/>
      <w:r w:rsidRPr="00087562">
        <w:rPr>
          <w:rStyle w:val="Emphasis"/>
          <w:rFonts w:eastAsia="Times New Roman"/>
          <w:b w:val="0"/>
          <w:bCs w:val="0"/>
        </w:rPr>
        <w:t>computing</w:t>
      </w:r>
      <w:r w:rsidRPr="00087562">
        <w:rPr>
          <w:rFonts w:eastAsia="Times New Roman"/>
        </w:rPr>
        <w:t xml:space="preserve"> .</w:t>
      </w:r>
      <w:proofErr w:type="gramEnd"/>
      <w:r w:rsidRPr="00087562">
        <w:rPr>
          <w:rFonts w:eastAsia="Times New Roman"/>
        </w:rPr>
        <w:t xml:space="preserve"> Vienna: R Foundation for Statistical Computing; 2020. Available from: https://www.R-project.org/.</w:t>
      </w:r>
    </w:p>
    <w:p w14:paraId="1980FB24"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Aratchige</w:t>
      </w:r>
      <w:proofErr w:type="spellEnd"/>
      <w:r w:rsidRPr="00087562">
        <w:rPr>
          <w:rFonts w:eastAsia="Times New Roman"/>
        </w:rPr>
        <w:t xml:space="preserve"> PE, McIntyre PB, Quinn HE, Gilbert GL. Recent increases in mumps incidence in Australia: the “forgotten” age group in the 1998 Australian Measles Control Campaign. </w:t>
      </w:r>
      <w:r w:rsidRPr="00087562">
        <w:rPr>
          <w:rStyle w:val="Emphasis"/>
          <w:rFonts w:eastAsia="Times New Roman"/>
          <w:b w:val="0"/>
          <w:bCs w:val="0"/>
        </w:rPr>
        <w:t xml:space="preserve">Med J </w:t>
      </w:r>
      <w:proofErr w:type="gramStart"/>
      <w:r w:rsidRPr="00087562">
        <w:rPr>
          <w:rStyle w:val="Emphasis"/>
          <w:rFonts w:eastAsia="Times New Roman"/>
          <w:b w:val="0"/>
          <w:bCs w:val="0"/>
        </w:rPr>
        <w:t>Aust</w:t>
      </w:r>
      <w:r w:rsidRPr="00087562">
        <w:rPr>
          <w:rFonts w:eastAsia="Times New Roman"/>
        </w:rPr>
        <w:t xml:space="preserve"> .</w:t>
      </w:r>
      <w:proofErr w:type="gramEnd"/>
      <w:r w:rsidRPr="00087562">
        <w:rPr>
          <w:rFonts w:eastAsia="Times New Roman"/>
        </w:rPr>
        <w:t xml:space="preserve"> 2008;189(8):434–7.</w:t>
      </w:r>
    </w:p>
    <w:p w14:paraId="042F5D5D"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Bangor-Jones RD, Dowse GK, </w:t>
      </w:r>
      <w:proofErr w:type="spellStart"/>
      <w:r w:rsidRPr="00087562">
        <w:rPr>
          <w:rFonts w:eastAsia="Times New Roman"/>
        </w:rPr>
        <w:t>Giele</w:t>
      </w:r>
      <w:proofErr w:type="spellEnd"/>
      <w:r w:rsidRPr="00087562">
        <w:rPr>
          <w:rFonts w:eastAsia="Times New Roman"/>
        </w:rPr>
        <w:t xml:space="preserve"> CM, van </w:t>
      </w:r>
      <w:proofErr w:type="spellStart"/>
      <w:r w:rsidRPr="00087562">
        <w:rPr>
          <w:rFonts w:eastAsia="Times New Roman"/>
        </w:rPr>
        <w:t>Buynder</w:t>
      </w:r>
      <w:proofErr w:type="spellEnd"/>
      <w:r w:rsidRPr="00087562">
        <w:rPr>
          <w:rFonts w:eastAsia="Times New Roman"/>
        </w:rPr>
        <w:t xml:space="preserve"> PG, Hodge MM, Whitty MM. A prolonged mumps outbreak among highly vaccinated Aboriginal people in the Kimberley region of Western Australia. </w:t>
      </w:r>
      <w:r w:rsidRPr="00087562">
        <w:rPr>
          <w:rStyle w:val="Emphasis"/>
          <w:rFonts w:eastAsia="Times New Roman"/>
          <w:b w:val="0"/>
          <w:bCs w:val="0"/>
        </w:rPr>
        <w:t xml:space="preserve">Med J </w:t>
      </w:r>
      <w:proofErr w:type="gramStart"/>
      <w:r w:rsidRPr="00087562">
        <w:rPr>
          <w:rStyle w:val="Emphasis"/>
          <w:rFonts w:eastAsia="Times New Roman"/>
          <w:b w:val="0"/>
          <w:bCs w:val="0"/>
        </w:rPr>
        <w:t>Aust</w:t>
      </w:r>
      <w:r w:rsidRPr="00087562">
        <w:rPr>
          <w:rFonts w:eastAsia="Times New Roman"/>
        </w:rPr>
        <w:t xml:space="preserve"> .</w:t>
      </w:r>
      <w:proofErr w:type="gramEnd"/>
      <w:r w:rsidRPr="00087562">
        <w:rPr>
          <w:rFonts w:eastAsia="Times New Roman"/>
        </w:rPr>
        <w:t xml:space="preserve"> 2009;191(7):398–401.</w:t>
      </w:r>
    </w:p>
    <w:p w14:paraId="281D5EA0"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Deeks</w:t>
      </w:r>
      <w:proofErr w:type="spellEnd"/>
      <w:r w:rsidRPr="00087562">
        <w:rPr>
          <w:rFonts w:eastAsia="Times New Roman"/>
        </w:rPr>
        <w:t xml:space="preserve"> SL, Lim GH, Simpson MA, </w:t>
      </w:r>
      <w:proofErr w:type="spellStart"/>
      <w:r w:rsidRPr="00087562">
        <w:rPr>
          <w:rFonts w:eastAsia="Times New Roman"/>
        </w:rPr>
        <w:t>Gagné</w:t>
      </w:r>
      <w:proofErr w:type="spellEnd"/>
      <w:r w:rsidRPr="00087562">
        <w:rPr>
          <w:rFonts w:eastAsia="Times New Roman"/>
        </w:rPr>
        <w:t xml:space="preserve"> L, Gubbay J, </w:t>
      </w:r>
      <w:proofErr w:type="spellStart"/>
      <w:r w:rsidRPr="00087562">
        <w:rPr>
          <w:rFonts w:eastAsia="Times New Roman"/>
        </w:rPr>
        <w:t>Kristjanson</w:t>
      </w:r>
      <w:proofErr w:type="spellEnd"/>
      <w:r w:rsidRPr="00087562">
        <w:rPr>
          <w:rFonts w:eastAsia="Times New Roman"/>
        </w:rPr>
        <w:t xml:space="preserve"> E et al. An assessment of mumps vaccine effectiveness by dose during an outbreak in Canada. </w:t>
      </w:r>
      <w:proofErr w:type="gramStart"/>
      <w:r w:rsidRPr="00087562">
        <w:rPr>
          <w:rStyle w:val="Emphasis"/>
          <w:rFonts w:eastAsia="Times New Roman"/>
          <w:b w:val="0"/>
          <w:bCs w:val="0"/>
        </w:rPr>
        <w:t>CMAJ</w:t>
      </w:r>
      <w:r w:rsidRPr="00087562">
        <w:rPr>
          <w:rFonts w:eastAsia="Times New Roman"/>
        </w:rPr>
        <w:t xml:space="preserve"> .</w:t>
      </w:r>
      <w:proofErr w:type="gramEnd"/>
      <w:r w:rsidRPr="00087562">
        <w:rPr>
          <w:rFonts w:eastAsia="Times New Roman"/>
        </w:rPr>
        <w:t xml:space="preserve"> 2011;183(9):1014–20.</w:t>
      </w:r>
    </w:p>
    <w:p w14:paraId="09C3EF8D"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Eriksen J, </w:t>
      </w:r>
      <w:proofErr w:type="spellStart"/>
      <w:r w:rsidRPr="00087562">
        <w:rPr>
          <w:rFonts w:eastAsia="Times New Roman"/>
        </w:rPr>
        <w:t>Davidkin</w:t>
      </w:r>
      <w:proofErr w:type="spellEnd"/>
      <w:r w:rsidRPr="00087562">
        <w:rPr>
          <w:rFonts w:eastAsia="Times New Roman"/>
        </w:rPr>
        <w:t xml:space="preserve"> I, </w:t>
      </w:r>
      <w:proofErr w:type="spellStart"/>
      <w:r w:rsidRPr="00087562">
        <w:rPr>
          <w:rFonts w:eastAsia="Times New Roman"/>
        </w:rPr>
        <w:t>Kafatos</w:t>
      </w:r>
      <w:proofErr w:type="spellEnd"/>
      <w:r w:rsidRPr="00087562">
        <w:rPr>
          <w:rFonts w:eastAsia="Times New Roman"/>
        </w:rPr>
        <w:t xml:space="preserve"> G, Andrews N, Barbara C, Cohen D et al. </w:t>
      </w:r>
      <w:proofErr w:type="spellStart"/>
      <w:r w:rsidRPr="00087562">
        <w:rPr>
          <w:rFonts w:eastAsia="Times New Roman"/>
        </w:rPr>
        <w:t>Seroepidemiology</w:t>
      </w:r>
      <w:proofErr w:type="spellEnd"/>
      <w:r w:rsidRPr="00087562">
        <w:rPr>
          <w:rFonts w:eastAsia="Times New Roman"/>
        </w:rPr>
        <w:t xml:space="preserve"> of mumps in Europe (1996–2008): why do outbreaks occur in highly vaccinated populations? </w:t>
      </w:r>
      <w:r w:rsidRPr="00087562">
        <w:rPr>
          <w:rStyle w:val="Emphasis"/>
          <w:rFonts w:eastAsia="Times New Roman"/>
          <w:b w:val="0"/>
          <w:bCs w:val="0"/>
        </w:rPr>
        <w:t xml:space="preserve">Epidemiol </w:t>
      </w:r>
      <w:proofErr w:type="gramStart"/>
      <w:r w:rsidRPr="00087562">
        <w:rPr>
          <w:rStyle w:val="Emphasis"/>
          <w:rFonts w:eastAsia="Times New Roman"/>
          <w:b w:val="0"/>
          <w:bCs w:val="0"/>
        </w:rPr>
        <w:t>Infect</w:t>
      </w:r>
      <w:r w:rsidRPr="00087562">
        <w:rPr>
          <w:rFonts w:eastAsia="Times New Roman"/>
        </w:rPr>
        <w:t xml:space="preserve"> .</w:t>
      </w:r>
      <w:proofErr w:type="gramEnd"/>
      <w:r w:rsidRPr="00087562">
        <w:rPr>
          <w:rFonts w:eastAsia="Times New Roman"/>
        </w:rPr>
        <w:t xml:space="preserve"> 2013;141(3):651–66.</w:t>
      </w:r>
    </w:p>
    <w:p w14:paraId="3CC9BC61"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Barrabeig</w:t>
      </w:r>
      <w:proofErr w:type="spellEnd"/>
      <w:r w:rsidRPr="00087562">
        <w:rPr>
          <w:rFonts w:eastAsia="Times New Roman"/>
        </w:rPr>
        <w:t xml:space="preserve"> I, Antón A, </w:t>
      </w:r>
      <w:proofErr w:type="spellStart"/>
      <w:r w:rsidRPr="00087562">
        <w:rPr>
          <w:rFonts w:eastAsia="Times New Roman"/>
        </w:rPr>
        <w:t>Torner</w:t>
      </w:r>
      <w:proofErr w:type="spellEnd"/>
      <w:r w:rsidRPr="00087562">
        <w:rPr>
          <w:rFonts w:eastAsia="Times New Roman"/>
        </w:rPr>
        <w:t xml:space="preserve"> N, </w:t>
      </w:r>
      <w:proofErr w:type="spellStart"/>
      <w:r w:rsidRPr="00087562">
        <w:rPr>
          <w:rFonts w:eastAsia="Times New Roman"/>
        </w:rPr>
        <w:t>Pumarola</w:t>
      </w:r>
      <w:proofErr w:type="spellEnd"/>
      <w:r w:rsidRPr="00087562">
        <w:rPr>
          <w:rFonts w:eastAsia="Times New Roman"/>
        </w:rPr>
        <w:t xml:space="preserve"> T, Costa J, Domínguez À et al. Mumps: MMR vaccination and genetic diversity of mumps virus, 2007–2011 in Catalonia, Spain. </w:t>
      </w:r>
      <w:r w:rsidRPr="00087562">
        <w:rPr>
          <w:rStyle w:val="Emphasis"/>
          <w:rFonts w:eastAsia="Times New Roman"/>
          <w:b w:val="0"/>
          <w:bCs w:val="0"/>
        </w:rPr>
        <w:t xml:space="preserve">BMC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2019;19(1):954.</w:t>
      </w:r>
    </w:p>
    <w:p w14:paraId="224CAC02" w14:textId="77777777" w:rsidR="00A3455B" w:rsidRPr="00087562" w:rsidRDefault="00A3455B" w:rsidP="00087562">
      <w:pPr>
        <w:pStyle w:val="ListParagraph"/>
        <w:numPr>
          <w:ilvl w:val="0"/>
          <w:numId w:val="15"/>
        </w:numPr>
        <w:rPr>
          <w:rFonts w:eastAsia="Times New Roman"/>
        </w:rPr>
      </w:pPr>
      <w:proofErr w:type="spellStart"/>
      <w:r w:rsidRPr="00087562">
        <w:rPr>
          <w:rFonts w:eastAsia="Times New Roman"/>
        </w:rPr>
        <w:t>Zengel</w:t>
      </w:r>
      <w:proofErr w:type="spellEnd"/>
      <w:r w:rsidRPr="00087562">
        <w:rPr>
          <w:rFonts w:eastAsia="Times New Roman"/>
        </w:rPr>
        <w:t xml:space="preserve"> J, Phan SI, </w:t>
      </w:r>
      <w:proofErr w:type="spellStart"/>
      <w:r w:rsidRPr="00087562">
        <w:rPr>
          <w:rFonts w:eastAsia="Times New Roman"/>
        </w:rPr>
        <w:t>Pickar</w:t>
      </w:r>
      <w:proofErr w:type="spellEnd"/>
      <w:r w:rsidRPr="00087562">
        <w:rPr>
          <w:rFonts w:eastAsia="Times New Roman"/>
        </w:rPr>
        <w:t xml:space="preserve"> A, Xu P, He B. Immunogenicity of mumps virus vaccine candidates matching circulating genotypes in the United States and China. </w:t>
      </w:r>
      <w:proofErr w:type="gramStart"/>
      <w:r w:rsidRPr="00087562">
        <w:rPr>
          <w:rStyle w:val="Emphasis"/>
          <w:rFonts w:eastAsia="Times New Roman"/>
          <w:b w:val="0"/>
          <w:bCs w:val="0"/>
        </w:rPr>
        <w:t>Vaccine</w:t>
      </w:r>
      <w:r w:rsidRPr="00087562">
        <w:rPr>
          <w:rFonts w:eastAsia="Times New Roman"/>
        </w:rPr>
        <w:t xml:space="preserve"> .</w:t>
      </w:r>
      <w:proofErr w:type="gramEnd"/>
      <w:r w:rsidRPr="00087562">
        <w:rPr>
          <w:rFonts w:eastAsia="Times New Roman"/>
        </w:rPr>
        <w:t xml:space="preserve"> 2017;35(32):3988–94.</w:t>
      </w:r>
    </w:p>
    <w:p w14:paraId="726F893D"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Hull BP, McIntyre PB. Timeliness of childhood immunisation in Australia. </w:t>
      </w:r>
      <w:proofErr w:type="gramStart"/>
      <w:r w:rsidRPr="00087562">
        <w:rPr>
          <w:rStyle w:val="Emphasis"/>
          <w:rFonts w:eastAsia="Times New Roman"/>
          <w:b w:val="0"/>
          <w:bCs w:val="0"/>
        </w:rPr>
        <w:t>Vaccine</w:t>
      </w:r>
      <w:r w:rsidRPr="00087562">
        <w:rPr>
          <w:rFonts w:eastAsia="Times New Roman"/>
        </w:rPr>
        <w:t xml:space="preserve"> .</w:t>
      </w:r>
      <w:proofErr w:type="gramEnd"/>
      <w:r w:rsidRPr="00087562">
        <w:rPr>
          <w:rFonts w:eastAsia="Times New Roman"/>
        </w:rPr>
        <w:t xml:space="preserve"> 2006;24(20):4403–8.</w:t>
      </w:r>
    </w:p>
    <w:p w14:paraId="3BF0D20F"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Lovie-Toon YG, Hall KK, Chang AB, Anderson J, O’Grady KAF. Immunisation timeliness in a cohort of urban Aboriginal and Torres Strait Islander children. </w:t>
      </w:r>
      <w:r w:rsidRPr="00087562">
        <w:rPr>
          <w:rStyle w:val="Emphasis"/>
          <w:rFonts w:eastAsia="Times New Roman"/>
          <w:b w:val="0"/>
          <w:bCs w:val="0"/>
        </w:rPr>
        <w:t xml:space="preserve">BMC Public </w:t>
      </w:r>
      <w:proofErr w:type="gramStart"/>
      <w:r w:rsidRPr="00087562">
        <w:rPr>
          <w:rStyle w:val="Emphasis"/>
          <w:rFonts w:eastAsia="Times New Roman"/>
          <w:b w:val="0"/>
          <w:bCs w:val="0"/>
        </w:rPr>
        <w:t>Health</w:t>
      </w:r>
      <w:r w:rsidRPr="00087562">
        <w:rPr>
          <w:rFonts w:eastAsia="Times New Roman"/>
        </w:rPr>
        <w:t xml:space="preserve"> .</w:t>
      </w:r>
      <w:proofErr w:type="gramEnd"/>
      <w:r w:rsidRPr="00087562">
        <w:rPr>
          <w:rFonts w:eastAsia="Times New Roman"/>
        </w:rPr>
        <w:t xml:space="preserve"> 2016;16(1):1159.</w:t>
      </w:r>
    </w:p>
    <w:p w14:paraId="20B76EAE"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Naidu L, Chiu C, </w:t>
      </w:r>
      <w:proofErr w:type="spellStart"/>
      <w:r w:rsidRPr="00087562">
        <w:rPr>
          <w:rFonts w:eastAsia="Times New Roman"/>
        </w:rPr>
        <w:t>Habig</w:t>
      </w:r>
      <w:proofErr w:type="spellEnd"/>
      <w:r w:rsidRPr="00087562">
        <w:rPr>
          <w:rFonts w:eastAsia="Times New Roman"/>
        </w:rPr>
        <w:t xml:space="preserve"> A, </w:t>
      </w:r>
      <w:proofErr w:type="spellStart"/>
      <w:r w:rsidRPr="00087562">
        <w:rPr>
          <w:rFonts w:eastAsia="Times New Roman"/>
        </w:rPr>
        <w:t>Lowbridge</w:t>
      </w:r>
      <w:proofErr w:type="spellEnd"/>
      <w:r w:rsidRPr="00087562">
        <w:rPr>
          <w:rFonts w:eastAsia="Times New Roman"/>
        </w:rPr>
        <w:t xml:space="preserve"> C, Jayasinghe S, Wang H, et al. Vaccine preventable diseases and vaccination coverage in Aboriginal and Torres Strait Islander people, Australia 2006–2010. </w:t>
      </w:r>
      <w:proofErr w:type="spellStart"/>
      <w:r w:rsidRPr="00087562">
        <w:rPr>
          <w:rStyle w:val="Emphasis"/>
          <w:rFonts w:eastAsia="Times New Roman"/>
          <w:b w:val="0"/>
          <w:bCs w:val="0"/>
        </w:rPr>
        <w:t>Commun</w:t>
      </w:r>
      <w:proofErr w:type="spellEnd"/>
      <w:r w:rsidRPr="00087562">
        <w:rPr>
          <w:rStyle w:val="Emphasis"/>
          <w:rFonts w:eastAsia="Times New Roman"/>
          <w:b w:val="0"/>
          <w:bCs w:val="0"/>
        </w:rPr>
        <w:t xml:space="preserve"> Dis </w:t>
      </w:r>
      <w:proofErr w:type="spellStart"/>
      <w:r w:rsidRPr="00087562">
        <w:rPr>
          <w:rStyle w:val="Emphasis"/>
          <w:rFonts w:eastAsia="Times New Roman"/>
          <w:b w:val="0"/>
          <w:bCs w:val="0"/>
        </w:rPr>
        <w:t>Intell</w:t>
      </w:r>
      <w:proofErr w:type="spellEnd"/>
      <w:r w:rsidRPr="00087562">
        <w:rPr>
          <w:rStyle w:val="Emphasis"/>
          <w:rFonts w:eastAsia="Times New Roman"/>
          <w:b w:val="0"/>
          <w:bCs w:val="0"/>
        </w:rPr>
        <w:t xml:space="preserve"> Q </w:t>
      </w:r>
      <w:proofErr w:type="gramStart"/>
      <w:r w:rsidRPr="00087562">
        <w:rPr>
          <w:rStyle w:val="Emphasis"/>
          <w:rFonts w:eastAsia="Times New Roman"/>
          <w:b w:val="0"/>
          <w:bCs w:val="0"/>
        </w:rPr>
        <w:t>Rep</w:t>
      </w:r>
      <w:r w:rsidRPr="00087562">
        <w:rPr>
          <w:rFonts w:eastAsia="Times New Roman"/>
        </w:rPr>
        <w:t xml:space="preserve"> .</w:t>
      </w:r>
      <w:proofErr w:type="gramEnd"/>
      <w:r w:rsidRPr="00087562">
        <w:rPr>
          <w:rFonts w:eastAsia="Times New Roman"/>
        </w:rPr>
        <w:t xml:space="preserve"> 2013;37(Suppl</w:t>
      </w:r>
      <w:proofErr w:type="gramStart"/>
      <w:r w:rsidRPr="00087562">
        <w:rPr>
          <w:rFonts w:eastAsia="Times New Roman"/>
        </w:rPr>
        <w:t>):S</w:t>
      </w:r>
      <w:proofErr w:type="gramEnd"/>
      <w:r w:rsidRPr="00087562">
        <w:rPr>
          <w:rFonts w:eastAsia="Times New Roman"/>
        </w:rPr>
        <w:t>1–95.</w:t>
      </w:r>
    </w:p>
    <w:p w14:paraId="381DCBE6"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Shah M, </w:t>
      </w:r>
      <w:proofErr w:type="spellStart"/>
      <w:r w:rsidRPr="00087562">
        <w:rPr>
          <w:rFonts w:eastAsia="Times New Roman"/>
        </w:rPr>
        <w:t>Quinlisk</w:t>
      </w:r>
      <w:proofErr w:type="spellEnd"/>
      <w:r w:rsidRPr="00087562">
        <w:rPr>
          <w:rFonts w:eastAsia="Times New Roman"/>
        </w:rPr>
        <w:t xml:space="preserve"> P, Weigel A, Riley J, James L, Patterson J et al. Mumps outbreak in a highly vaccinated university-affiliated setting before and after a measles-mumps-rubella vaccination campaign—Iowa, July 2015 – May 2016. </w:t>
      </w:r>
      <w:r w:rsidRPr="00087562">
        <w:rPr>
          <w:rStyle w:val="Emphasis"/>
          <w:rFonts w:eastAsia="Times New Roman"/>
          <w:b w:val="0"/>
          <w:bCs w:val="0"/>
        </w:rPr>
        <w:t xml:space="preserve">Clin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2018;66(1):81–8.</w:t>
      </w:r>
    </w:p>
    <w:p w14:paraId="6A24035B"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Guo A, Ayers T, Leung J, Fields V, </w:t>
      </w:r>
      <w:proofErr w:type="spellStart"/>
      <w:r w:rsidRPr="00087562">
        <w:rPr>
          <w:rFonts w:eastAsia="Times New Roman"/>
        </w:rPr>
        <w:t>Va</w:t>
      </w:r>
      <w:proofErr w:type="spellEnd"/>
      <w:r w:rsidRPr="00087562">
        <w:rPr>
          <w:rFonts w:eastAsia="Times New Roman"/>
        </w:rPr>
        <w:t xml:space="preserve"> P, Safi H et al. 1723. Mumps Attack Rates Following Administration of a Third Dose of MMR Vaccine to School-Aged Children, Arkansas, 2016–2017. </w:t>
      </w:r>
      <w:r w:rsidRPr="00087562">
        <w:rPr>
          <w:rStyle w:val="Emphasis"/>
          <w:rFonts w:eastAsia="Times New Roman"/>
          <w:b w:val="0"/>
          <w:bCs w:val="0"/>
        </w:rPr>
        <w:t xml:space="preserve">Open Forum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2018;5(Suppl 1</w:t>
      </w:r>
      <w:proofErr w:type="gramStart"/>
      <w:r w:rsidRPr="00087562">
        <w:rPr>
          <w:rFonts w:eastAsia="Times New Roman"/>
        </w:rPr>
        <w:t>):S</w:t>
      </w:r>
      <w:proofErr w:type="gramEnd"/>
      <w:r w:rsidRPr="00087562">
        <w:rPr>
          <w:rFonts w:eastAsia="Times New Roman"/>
        </w:rPr>
        <w:t>54.</w:t>
      </w:r>
    </w:p>
    <w:p w14:paraId="02A19ADF"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Marin M, Marlow M, Moore KL, Patel M. Recommendation of the Advisory Committee on Immunization Practices for use of a third dose of mumps virus–containing vaccine in persons at increased risk for mumps during an outbreak. </w:t>
      </w:r>
      <w:r w:rsidRPr="00087562">
        <w:rPr>
          <w:rStyle w:val="Emphasis"/>
          <w:rFonts w:eastAsia="Times New Roman"/>
          <w:b w:val="0"/>
          <w:bCs w:val="0"/>
        </w:rPr>
        <w:t xml:space="preserve">MMWR </w:t>
      </w:r>
      <w:proofErr w:type="spellStart"/>
      <w:r w:rsidRPr="00087562">
        <w:rPr>
          <w:rStyle w:val="Emphasis"/>
          <w:rFonts w:eastAsia="Times New Roman"/>
          <w:b w:val="0"/>
          <w:bCs w:val="0"/>
        </w:rPr>
        <w:t>Morb</w:t>
      </w:r>
      <w:proofErr w:type="spellEnd"/>
      <w:r w:rsidRPr="00087562">
        <w:rPr>
          <w:rStyle w:val="Emphasis"/>
          <w:rFonts w:eastAsia="Times New Roman"/>
          <w:b w:val="0"/>
          <w:bCs w:val="0"/>
        </w:rPr>
        <w:t xml:space="preserve"> Mortal </w:t>
      </w:r>
      <w:proofErr w:type="spellStart"/>
      <w:r w:rsidRPr="00087562">
        <w:rPr>
          <w:rStyle w:val="Emphasis"/>
          <w:rFonts w:eastAsia="Times New Roman"/>
          <w:b w:val="0"/>
          <w:bCs w:val="0"/>
        </w:rPr>
        <w:t>Wkly</w:t>
      </w:r>
      <w:proofErr w:type="spellEnd"/>
      <w:r w:rsidRPr="00087562">
        <w:rPr>
          <w:rStyle w:val="Emphasis"/>
          <w:rFonts w:eastAsia="Times New Roman"/>
          <w:b w:val="0"/>
          <w:bCs w:val="0"/>
        </w:rPr>
        <w:t xml:space="preserve"> </w:t>
      </w:r>
      <w:proofErr w:type="gramStart"/>
      <w:r w:rsidRPr="00087562">
        <w:rPr>
          <w:rStyle w:val="Emphasis"/>
          <w:rFonts w:eastAsia="Times New Roman"/>
          <w:b w:val="0"/>
          <w:bCs w:val="0"/>
        </w:rPr>
        <w:t>Rep</w:t>
      </w:r>
      <w:r w:rsidRPr="00087562">
        <w:rPr>
          <w:rFonts w:eastAsia="Times New Roman"/>
        </w:rPr>
        <w:t xml:space="preserve"> .</w:t>
      </w:r>
      <w:proofErr w:type="gramEnd"/>
      <w:r w:rsidRPr="00087562">
        <w:rPr>
          <w:rFonts w:eastAsia="Times New Roman"/>
        </w:rPr>
        <w:t xml:space="preserve"> 2018;67(1):33–38.</w:t>
      </w:r>
    </w:p>
    <w:p w14:paraId="0CBF0434"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Rubin SA, Qi L, </w:t>
      </w:r>
      <w:proofErr w:type="spellStart"/>
      <w:r w:rsidRPr="00087562">
        <w:rPr>
          <w:rFonts w:eastAsia="Times New Roman"/>
        </w:rPr>
        <w:t>Audet</w:t>
      </w:r>
      <w:proofErr w:type="spellEnd"/>
      <w:r w:rsidRPr="00087562">
        <w:rPr>
          <w:rFonts w:eastAsia="Times New Roman"/>
        </w:rPr>
        <w:t xml:space="preserve"> SA, Sullivan B, Carbone KM, Bellini WJ et al. Antibody induced by immunization with the Jeryl Lynn mumps vaccine strain effectively neutralizes a heterologous wild-type mumps virus associated with a large outbreak. </w:t>
      </w:r>
      <w:r w:rsidRPr="00087562">
        <w:rPr>
          <w:rStyle w:val="Emphasis"/>
          <w:rFonts w:eastAsia="Times New Roman"/>
          <w:b w:val="0"/>
          <w:bCs w:val="0"/>
        </w:rPr>
        <w:t xml:space="preserve">J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2008;198(4): 508–15.</w:t>
      </w:r>
    </w:p>
    <w:p w14:paraId="1710F24C" w14:textId="77777777" w:rsidR="00A3455B" w:rsidRPr="00087562" w:rsidRDefault="00A3455B" w:rsidP="00087562">
      <w:pPr>
        <w:pStyle w:val="ListParagraph"/>
        <w:numPr>
          <w:ilvl w:val="0"/>
          <w:numId w:val="15"/>
        </w:numPr>
        <w:rPr>
          <w:rFonts w:eastAsia="Times New Roman"/>
        </w:rPr>
      </w:pPr>
      <w:r w:rsidRPr="00087562">
        <w:rPr>
          <w:rFonts w:eastAsia="Times New Roman"/>
        </w:rPr>
        <w:t xml:space="preserve">Marin M, </w:t>
      </w:r>
      <w:proofErr w:type="spellStart"/>
      <w:r w:rsidRPr="00087562">
        <w:rPr>
          <w:rFonts w:eastAsia="Times New Roman"/>
        </w:rPr>
        <w:t>Fiebelkorn</w:t>
      </w:r>
      <w:proofErr w:type="spellEnd"/>
      <w:r w:rsidRPr="00087562">
        <w:rPr>
          <w:rFonts w:eastAsia="Times New Roman"/>
        </w:rPr>
        <w:t xml:space="preserve"> AP, Bi D, Coleman LA, Routh J, </w:t>
      </w:r>
      <w:proofErr w:type="spellStart"/>
      <w:r w:rsidRPr="00087562">
        <w:rPr>
          <w:rFonts w:eastAsia="Times New Roman"/>
        </w:rPr>
        <w:t>Curns</w:t>
      </w:r>
      <w:proofErr w:type="spellEnd"/>
      <w:r w:rsidRPr="00087562">
        <w:rPr>
          <w:rFonts w:eastAsia="Times New Roman"/>
        </w:rPr>
        <w:t xml:space="preserve"> AT et al. Adverse events among young adults following a third dose of measles-mumps-rubella vaccine. </w:t>
      </w:r>
      <w:r w:rsidRPr="00087562">
        <w:rPr>
          <w:rStyle w:val="Emphasis"/>
          <w:rFonts w:eastAsia="Times New Roman"/>
          <w:b w:val="0"/>
          <w:bCs w:val="0"/>
        </w:rPr>
        <w:t xml:space="preserve">Clin Infect </w:t>
      </w:r>
      <w:proofErr w:type="gramStart"/>
      <w:r w:rsidRPr="00087562">
        <w:rPr>
          <w:rStyle w:val="Emphasis"/>
          <w:rFonts w:eastAsia="Times New Roman"/>
          <w:b w:val="0"/>
          <w:bCs w:val="0"/>
        </w:rPr>
        <w:t>Dis</w:t>
      </w:r>
      <w:r w:rsidRPr="00087562">
        <w:rPr>
          <w:rFonts w:eastAsia="Times New Roman"/>
        </w:rPr>
        <w:t xml:space="preserve"> .</w:t>
      </w:r>
      <w:proofErr w:type="gramEnd"/>
      <w:r w:rsidRPr="00087562">
        <w:rPr>
          <w:rFonts w:eastAsia="Times New Roman"/>
        </w:rPr>
        <w:t xml:space="preserve"> 2020. </w:t>
      </w:r>
      <w:proofErr w:type="spellStart"/>
      <w:r w:rsidRPr="00087562">
        <w:rPr>
          <w:rFonts w:eastAsia="Times New Roman"/>
        </w:rPr>
        <w:t>doi</w:t>
      </w:r>
      <w:proofErr w:type="spellEnd"/>
      <w:r w:rsidRPr="00087562">
        <w:rPr>
          <w:rFonts w:eastAsia="Times New Roman"/>
        </w:rPr>
        <w:t>: https://doi.org/10.1093/cid/ciaa1090.</w:t>
      </w:r>
    </w:p>
    <w:p w14:paraId="6C8E59EE" w14:textId="515D4D7B" w:rsidR="008B5348" w:rsidRDefault="00A3455B" w:rsidP="0067449F">
      <w:pPr>
        <w:pStyle w:val="ListParagraph"/>
        <w:numPr>
          <w:ilvl w:val="0"/>
          <w:numId w:val="15"/>
        </w:numPr>
        <w:rPr>
          <w:rStyle w:val="A10"/>
        </w:rPr>
        <w:sectPr w:rsidR="008B5348" w:rsidSect="00A30C37">
          <w:pgSz w:w="11906" w:h="16838"/>
          <w:pgMar w:top="720" w:right="720" w:bottom="1134" w:left="720" w:header="709" w:footer="284" w:gutter="0"/>
          <w:cols w:space="708"/>
          <w:titlePg/>
          <w:docGrid w:linePitch="360"/>
        </w:sectPr>
      </w:pPr>
      <w:r w:rsidRPr="00372671">
        <w:rPr>
          <w:rFonts w:eastAsia="Times New Roman"/>
        </w:rPr>
        <w:t xml:space="preserve">Abedi GR, </w:t>
      </w:r>
      <w:proofErr w:type="spellStart"/>
      <w:r w:rsidRPr="00372671">
        <w:rPr>
          <w:rFonts w:eastAsia="Times New Roman"/>
        </w:rPr>
        <w:t>Mutuc</w:t>
      </w:r>
      <w:proofErr w:type="spellEnd"/>
      <w:r w:rsidRPr="00372671">
        <w:rPr>
          <w:rFonts w:eastAsia="Times New Roman"/>
        </w:rPr>
        <w:t xml:space="preserve"> JD, Lawler J, Leroy ZC, Hudson JM, Blog DS et al. Adverse events following a third dose of measles, mumps, and rubella vaccine in a mumps outbreak. </w:t>
      </w:r>
      <w:proofErr w:type="gramStart"/>
      <w:r w:rsidRPr="00372671">
        <w:rPr>
          <w:rStyle w:val="Emphasis"/>
          <w:rFonts w:eastAsia="Times New Roman"/>
          <w:b w:val="0"/>
          <w:bCs w:val="0"/>
        </w:rPr>
        <w:t>Vaccine</w:t>
      </w:r>
      <w:r w:rsidRPr="00372671">
        <w:rPr>
          <w:rFonts w:eastAsia="Times New Roman"/>
        </w:rPr>
        <w:t xml:space="preserve"> .</w:t>
      </w:r>
      <w:proofErr w:type="gramEnd"/>
      <w:r w:rsidRPr="00372671">
        <w:rPr>
          <w:rFonts w:eastAsia="Times New Roman"/>
        </w:rPr>
        <w:t xml:space="preserve"> 2012;30(49):7052–8.</w:t>
      </w:r>
    </w:p>
    <w:p w14:paraId="2C1CE331"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6B449FA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2AD7CC5" w14:textId="77777777" w:rsidR="000A5F42" w:rsidRPr="000606CC" w:rsidRDefault="000A5F42" w:rsidP="000A5F42">
      <w:pPr>
        <w:pStyle w:val="NoSpacing"/>
        <w:rPr>
          <w:rStyle w:val="URI"/>
          <w:rFonts w:cstheme="minorHAnsi"/>
          <w:sz w:val="20"/>
          <w:szCs w:val="18"/>
        </w:rPr>
      </w:pPr>
    </w:p>
    <w:p w14:paraId="149866E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5B0CE37" w14:textId="77777777" w:rsidR="000A5F42" w:rsidRPr="000606CC" w:rsidRDefault="000A5F42" w:rsidP="000A5F42">
      <w:pPr>
        <w:pStyle w:val="NoSpacing"/>
        <w:rPr>
          <w:rStyle w:val="Strong"/>
          <w:rFonts w:cstheme="minorHAnsi"/>
          <w:sz w:val="20"/>
          <w:szCs w:val="18"/>
        </w:rPr>
      </w:pPr>
    </w:p>
    <w:p w14:paraId="5AE3D81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71E5C87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7485C7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E1015F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5A27DC01" w14:textId="77777777" w:rsidR="000A5F42" w:rsidRPr="000606CC" w:rsidRDefault="000A5F42" w:rsidP="000A5F42">
      <w:pPr>
        <w:pStyle w:val="NoSpacing"/>
        <w:rPr>
          <w:rStyle w:val="Strong"/>
          <w:rFonts w:cstheme="minorHAnsi"/>
          <w:sz w:val="20"/>
          <w:szCs w:val="18"/>
        </w:rPr>
      </w:pPr>
    </w:p>
    <w:p w14:paraId="462FF771" w14:textId="5FF538A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934852A" w14:textId="77777777" w:rsidR="000A5F42" w:rsidRPr="000606CC" w:rsidRDefault="000A5F42" w:rsidP="000A5F42">
      <w:pPr>
        <w:pStyle w:val="NoSpacing"/>
        <w:rPr>
          <w:rStyle w:val="Strong"/>
          <w:rFonts w:cstheme="minorHAnsi"/>
          <w:sz w:val="20"/>
          <w:szCs w:val="18"/>
        </w:rPr>
      </w:pPr>
    </w:p>
    <w:p w14:paraId="2EE5714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3387708" w14:textId="77777777" w:rsidR="000A5F42" w:rsidRPr="000606CC" w:rsidRDefault="000A5F42" w:rsidP="000A5F42">
      <w:pPr>
        <w:pStyle w:val="NoSpacing"/>
        <w:rPr>
          <w:rStyle w:val="Strong"/>
          <w:rFonts w:cstheme="minorHAnsi"/>
          <w:sz w:val="20"/>
          <w:szCs w:val="18"/>
        </w:rPr>
      </w:pPr>
    </w:p>
    <w:p w14:paraId="183B4281" w14:textId="365FDD5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473051D" w14:textId="77777777" w:rsidR="000A5F42" w:rsidRPr="000606CC" w:rsidRDefault="000A5F42" w:rsidP="000A5F42">
      <w:pPr>
        <w:pStyle w:val="NoSpacing"/>
        <w:rPr>
          <w:rStyle w:val="Strong"/>
          <w:rFonts w:cstheme="minorHAnsi"/>
          <w:sz w:val="20"/>
          <w:szCs w:val="18"/>
        </w:rPr>
      </w:pPr>
    </w:p>
    <w:p w14:paraId="3B97F07E" w14:textId="66658F3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EF1EC23" w14:textId="0882085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31FCD6CE" w14:textId="77777777" w:rsidR="000A5F42" w:rsidRPr="000606CC" w:rsidRDefault="000A5F42" w:rsidP="000A5F42">
      <w:pPr>
        <w:pStyle w:val="NoSpacing"/>
        <w:pBdr>
          <w:bottom w:val="single" w:sz="6" w:space="1" w:color="auto"/>
        </w:pBdr>
        <w:rPr>
          <w:rStyle w:val="Strong"/>
          <w:rFonts w:cstheme="minorHAnsi"/>
          <w:sz w:val="12"/>
          <w:szCs w:val="18"/>
        </w:rPr>
      </w:pPr>
    </w:p>
    <w:p w14:paraId="4BC95961" w14:textId="77777777" w:rsidR="000A5F42" w:rsidRPr="000606CC" w:rsidRDefault="000A5F42" w:rsidP="000A5F42">
      <w:pPr>
        <w:pStyle w:val="NoSpacing"/>
        <w:rPr>
          <w:rFonts w:cstheme="minorHAnsi"/>
          <w:sz w:val="20"/>
          <w:szCs w:val="18"/>
        </w:rPr>
      </w:pPr>
    </w:p>
    <w:p w14:paraId="0676AF1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227B876" w14:textId="77777777" w:rsidR="000A5F42" w:rsidRPr="000606CC" w:rsidRDefault="000A5F42" w:rsidP="000A5F42">
      <w:pPr>
        <w:pStyle w:val="NoSpacing"/>
        <w:rPr>
          <w:rFonts w:cstheme="minorHAnsi"/>
          <w:sz w:val="20"/>
          <w:szCs w:val="18"/>
        </w:rPr>
      </w:pPr>
    </w:p>
    <w:p w14:paraId="18DC35B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304DBA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C6BAEBE" w14:textId="19E8B32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A1BB2BF" w14:textId="77777777" w:rsidR="000A5F42" w:rsidRPr="000606CC" w:rsidRDefault="000A5F42" w:rsidP="000A5F42">
      <w:pPr>
        <w:pStyle w:val="NoSpacing"/>
        <w:rPr>
          <w:rFonts w:cstheme="minorHAnsi"/>
          <w:sz w:val="20"/>
          <w:szCs w:val="18"/>
        </w:rPr>
      </w:pPr>
    </w:p>
    <w:p w14:paraId="23A52FD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3282405" w14:textId="5767E5D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5FA85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6CEDDC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91FBD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1A4120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E5592CE" w14:textId="77777777" w:rsidR="000A5F42" w:rsidRPr="000606CC" w:rsidRDefault="000A5F42" w:rsidP="000A5F42">
      <w:pPr>
        <w:pStyle w:val="NoSpacing"/>
        <w:rPr>
          <w:rStyle w:val="Strong"/>
          <w:rFonts w:cstheme="minorHAnsi"/>
          <w:sz w:val="20"/>
          <w:szCs w:val="18"/>
        </w:rPr>
      </w:pPr>
    </w:p>
    <w:p w14:paraId="53EDBC0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2526407" w14:textId="77777777" w:rsidR="000A5F42" w:rsidRPr="000606CC" w:rsidRDefault="000A5F42" w:rsidP="000A5F42">
      <w:pPr>
        <w:pStyle w:val="NoSpacing"/>
        <w:rPr>
          <w:rStyle w:val="Strong"/>
          <w:rFonts w:cstheme="minorHAnsi"/>
          <w:sz w:val="20"/>
          <w:szCs w:val="18"/>
        </w:rPr>
      </w:pPr>
    </w:p>
    <w:p w14:paraId="0DD44F71" w14:textId="4450698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4F84EEF" w14:textId="77777777" w:rsidR="000A5F42" w:rsidRPr="000606CC" w:rsidRDefault="000A5F42" w:rsidP="000A5F42">
      <w:pPr>
        <w:pStyle w:val="NoSpacing"/>
        <w:rPr>
          <w:rStyle w:val="URI"/>
          <w:rFonts w:cstheme="minorHAnsi"/>
          <w:sz w:val="20"/>
          <w:szCs w:val="18"/>
        </w:rPr>
      </w:pPr>
    </w:p>
    <w:p w14:paraId="64F8F918" w14:textId="61DCAA3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3E78F87E"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D5FA6" w14:textId="77777777" w:rsidR="009B6A1D" w:rsidRDefault="009B6A1D" w:rsidP="00E54DBA">
      <w:r>
        <w:separator/>
      </w:r>
    </w:p>
    <w:p w14:paraId="127B3BF3" w14:textId="77777777" w:rsidR="009B6A1D" w:rsidRDefault="009B6A1D"/>
    <w:p w14:paraId="1CB7882F" w14:textId="77777777" w:rsidR="009B6A1D" w:rsidRDefault="009B6A1D" w:rsidP="008714B0"/>
  </w:endnote>
  <w:endnote w:type="continuationSeparator" w:id="0">
    <w:p w14:paraId="67145214" w14:textId="77777777" w:rsidR="009B6A1D" w:rsidRDefault="009B6A1D" w:rsidP="00E54DBA">
      <w:r>
        <w:continuationSeparator/>
      </w:r>
    </w:p>
    <w:p w14:paraId="119DA701" w14:textId="77777777" w:rsidR="009B6A1D" w:rsidRDefault="009B6A1D"/>
    <w:p w14:paraId="681C8DC1" w14:textId="77777777" w:rsidR="009B6A1D" w:rsidRDefault="009B6A1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6022" w14:textId="66175C97" w:rsidR="009B6A1D" w:rsidRPr="0042435E" w:rsidRDefault="009B6A1D"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1B2AFE">
      <w:rPr>
        <w:i/>
        <w:sz w:val="18"/>
      </w:rPr>
      <w:t>Commun</w:t>
    </w:r>
    <w:proofErr w:type="spellEnd"/>
    <w:r w:rsidRPr="001B2AFE">
      <w:rPr>
        <w:i/>
        <w:sz w:val="18"/>
      </w:rPr>
      <w:t xml:space="preserve"> Dis </w:t>
    </w:r>
    <w:proofErr w:type="spellStart"/>
    <w:r w:rsidRPr="001B2AFE">
      <w:rPr>
        <w:i/>
        <w:sz w:val="18"/>
      </w:rPr>
      <w:t>Intell</w:t>
    </w:r>
    <w:proofErr w:type="spellEnd"/>
    <w:r w:rsidRPr="001B2AFE">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813A9">
      <w:rPr>
        <w:sz w:val="18"/>
      </w:rPr>
      <w:t>https://doi.org/10.33321/cdi.2021.45.67</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4813A9">
      <w:rPr>
        <w:sz w:val="18"/>
      </w:rPr>
      <w:t>21/12/2021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303A0" w14:textId="5B703AD4" w:rsidR="009B6A1D" w:rsidRPr="00BB5378" w:rsidRDefault="009B6A1D"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1B2AFE">
      <w:rPr>
        <w:i/>
        <w:sz w:val="18"/>
      </w:rPr>
      <w:t>Commun</w:t>
    </w:r>
    <w:proofErr w:type="spellEnd"/>
    <w:r w:rsidRPr="001B2AFE">
      <w:rPr>
        <w:i/>
        <w:sz w:val="18"/>
      </w:rPr>
      <w:t xml:space="preserve"> Dis </w:t>
    </w:r>
    <w:proofErr w:type="spellStart"/>
    <w:r w:rsidRPr="001B2AFE">
      <w:rPr>
        <w:i/>
        <w:sz w:val="18"/>
      </w:rPr>
      <w:t>Intell</w:t>
    </w:r>
    <w:proofErr w:type="spellEnd"/>
    <w:r w:rsidRPr="001B2AFE">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813A9">
      <w:rPr>
        <w:sz w:val="18"/>
      </w:rPr>
      <w:t>https://doi.org/10.33321/cdi.2021.45.67</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4813A9">
      <w:rPr>
        <w:sz w:val="18"/>
      </w:rPr>
      <w:t>21/12/2021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1CD65" w14:textId="77777777" w:rsidR="009B6A1D" w:rsidRPr="00B91FB5" w:rsidRDefault="009B6A1D" w:rsidP="00B91FB5">
      <w:pPr>
        <w:spacing w:after="0" w:line="240" w:lineRule="auto"/>
        <w:rPr>
          <w:sz w:val="18"/>
          <w:szCs w:val="18"/>
        </w:rPr>
      </w:pPr>
      <w:r w:rsidRPr="00B91FB5">
        <w:rPr>
          <w:sz w:val="18"/>
          <w:szCs w:val="18"/>
        </w:rPr>
        <w:separator/>
      </w:r>
    </w:p>
  </w:footnote>
  <w:footnote w:type="continuationSeparator" w:id="0">
    <w:p w14:paraId="7BAD4737" w14:textId="77777777" w:rsidR="009B6A1D" w:rsidRDefault="009B6A1D" w:rsidP="00E54DBA">
      <w:r>
        <w:continuationSeparator/>
      </w:r>
    </w:p>
  </w:footnote>
  <w:footnote w:type="continuationNotice" w:id="1">
    <w:p w14:paraId="19D06953" w14:textId="77777777" w:rsidR="009B6A1D" w:rsidRPr="00224EFF" w:rsidRDefault="009B6A1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CDAC" w14:textId="67C756B7" w:rsidR="009B6A1D" w:rsidRPr="00A153B6" w:rsidRDefault="004813A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E79B6">
          <w:t>Original article</w:t>
        </w:r>
      </w:sdtContent>
    </w:sdt>
    <w:r w:rsidR="009B6A1D">
      <w:ptab w:relativeTo="margin" w:alignment="right" w:leader="none"/>
    </w:r>
    <w:r w:rsidR="009B6A1D"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8996" w14:textId="77777777" w:rsidR="009B6A1D" w:rsidRPr="000A5F42" w:rsidRDefault="009B6A1D" w:rsidP="000A5F42">
    <w:pPr>
      <w:pStyle w:val="Header"/>
      <w:jc w:val="center"/>
      <w:rPr>
        <w:b/>
      </w:rPr>
    </w:pPr>
    <w:r w:rsidRPr="00E810C5">
      <w:rPr>
        <w:rFonts w:cs="Myriad Pro"/>
        <w:noProof/>
        <w:color w:val="211D1E"/>
        <w:sz w:val="16"/>
      </w:rPr>
      <w:drawing>
        <wp:inline distT="0" distB="0" distL="0" distR="0" wp14:anchorId="703202F6" wp14:editId="49A890AD">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3633F"/>
    <w:multiLevelType w:val="hybridMultilevel"/>
    <w:tmpl w:val="4FEC92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8011F5"/>
    <w:multiLevelType w:val="hybridMultilevel"/>
    <w:tmpl w:val="F7D68314"/>
    <w:lvl w:ilvl="0" w:tplc="E62A6CF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316B4"/>
    <w:multiLevelType w:val="hybridMultilevel"/>
    <w:tmpl w:val="66288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E0152"/>
    <w:multiLevelType w:val="hybridMultilevel"/>
    <w:tmpl w:val="9D1A5D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7320C"/>
    <w:multiLevelType w:val="hybridMultilevel"/>
    <w:tmpl w:val="6AA01C5A"/>
    <w:lvl w:ilvl="0" w:tplc="3D0A20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A426F"/>
    <w:multiLevelType w:val="hybridMultilevel"/>
    <w:tmpl w:val="9E06E47A"/>
    <w:lvl w:ilvl="0" w:tplc="3D0A202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136D02"/>
    <w:multiLevelType w:val="hybridMultilevel"/>
    <w:tmpl w:val="E370E53C"/>
    <w:lvl w:ilvl="0" w:tplc="28A2129A">
      <w:start w:val="1"/>
      <w:numFmt w:val="lowerRoman"/>
      <w:lvlText w:val="%1)"/>
      <w:lvlJc w:val="left"/>
      <w:pPr>
        <w:ind w:left="108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DB0772"/>
    <w:multiLevelType w:val="multilevel"/>
    <w:tmpl w:val="A5BA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62500"/>
    <w:multiLevelType w:val="multilevel"/>
    <w:tmpl w:val="722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0D53B6"/>
    <w:multiLevelType w:val="hybridMultilevel"/>
    <w:tmpl w:val="6F6CF8A4"/>
    <w:lvl w:ilvl="0" w:tplc="E62A6CF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DC7615"/>
    <w:multiLevelType w:val="multilevel"/>
    <w:tmpl w:val="9656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9"/>
  </w:num>
  <w:num w:numId="4">
    <w:abstractNumId w:val="4"/>
  </w:num>
  <w:num w:numId="5">
    <w:abstractNumId w:val="13"/>
  </w:num>
  <w:num w:numId="6">
    <w:abstractNumId w:val="15"/>
  </w:num>
  <w:num w:numId="7">
    <w:abstractNumId w:val="12"/>
  </w:num>
  <w:num w:numId="8">
    <w:abstractNumId w:val="16"/>
  </w:num>
  <w:num w:numId="9">
    <w:abstractNumId w:val="11"/>
  </w:num>
  <w:num w:numId="10">
    <w:abstractNumId w:val="1"/>
  </w:num>
  <w:num w:numId="11">
    <w:abstractNumId w:val="10"/>
  </w:num>
  <w:num w:numId="12">
    <w:abstractNumId w:val="2"/>
  </w:num>
  <w:num w:numId="13">
    <w:abstractNumId w:val="14"/>
  </w:num>
  <w:num w:numId="14">
    <w:abstractNumId w:val="0"/>
  </w:num>
  <w:num w:numId="15">
    <w:abstractNumId w:val="3"/>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noPunctuationKerning/>
  <w:characterSpacingControl w:val="doNotCompress"/>
  <w:savePreviewPicture/>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C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87562"/>
    <w:rsid w:val="000969B3"/>
    <w:rsid w:val="000A5F42"/>
    <w:rsid w:val="000D4B4D"/>
    <w:rsid w:val="00113D58"/>
    <w:rsid w:val="001200CB"/>
    <w:rsid w:val="001378A3"/>
    <w:rsid w:val="00155582"/>
    <w:rsid w:val="00161590"/>
    <w:rsid w:val="00171CC0"/>
    <w:rsid w:val="00175494"/>
    <w:rsid w:val="00175629"/>
    <w:rsid w:val="001770CF"/>
    <w:rsid w:val="001830EC"/>
    <w:rsid w:val="00183534"/>
    <w:rsid w:val="001A4A96"/>
    <w:rsid w:val="001A5D05"/>
    <w:rsid w:val="001A796C"/>
    <w:rsid w:val="001B2614"/>
    <w:rsid w:val="001B2AFE"/>
    <w:rsid w:val="001B37B8"/>
    <w:rsid w:val="001B552F"/>
    <w:rsid w:val="001C0893"/>
    <w:rsid w:val="001C1303"/>
    <w:rsid w:val="001C70B2"/>
    <w:rsid w:val="001D37C7"/>
    <w:rsid w:val="001D6888"/>
    <w:rsid w:val="002171D9"/>
    <w:rsid w:val="00224EFF"/>
    <w:rsid w:val="002276DC"/>
    <w:rsid w:val="00227E00"/>
    <w:rsid w:val="002307CB"/>
    <w:rsid w:val="00231046"/>
    <w:rsid w:val="00232CC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375"/>
    <w:rsid w:val="002A4516"/>
    <w:rsid w:val="002A569F"/>
    <w:rsid w:val="002A7066"/>
    <w:rsid w:val="002B001E"/>
    <w:rsid w:val="002B09B7"/>
    <w:rsid w:val="002B75A9"/>
    <w:rsid w:val="002C21B0"/>
    <w:rsid w:val="002E2FB3"/>
    <w:rsid w:val="002E4CD9"/>
    <w:rsid w:val="002F327B"/>
    <w:rsid w:val="002F40DA"/>
    <w:rsid w:val="00301626"/>
    <w:rsid w:val="003059EC"/>
    <w:rsid w:val="00316CCD"/>
    <w:rsid w:val="00324F7E"/>
    <w:rsid w:val="003323BC"/>
    <w:rsid w:val="00346D42"/>
    <w:rsid w:val="00346E11"/>
    <w:rsid w:val="00352969"/>
    <w:rsid w:val="003573D5"/>
    <w:rsid w:val="003601C0"/>
    <w:rsid w:val="003635F5"/>
    <w:rsid w:val="00372671"/>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8CF"/>
    <w:rsid w:val="00435D67"/>
    <w:rsid w:val="00464A58"/>
    <w:rsid w:val="00473D2D"/>
    <w:rsid w:val="004813A9"/>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364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70F1"/>
    <w:rsid w:val="006971F3"/>
    <w:rsid w:val="006C74A3"/>
    <w:rsid w:val="006D1381"/>
    <w:rsid w:val="006D31BC"/>
    <w:rsid w:val="006E7943"/>
    <w:rsid w:val="006F24EA"/>
    <w:rsid w:val="00704CA9"/>
    <w:rsid w:val="0071048D"/>
    <w:rsid w:val="00710F86"/>
    <w:rsid w:val="007111A8"/>
    <w:rsid w:val="00731BC3"/>
    <w:rsid w:val="00741192"/>
    <w:rsid w:val="007425FF"/>
    <w:rsid w:val="00743A33"/>
    <w:rsid w:val="00746080"/>
    <w:rsid w:val="0075029F"/>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3C9A"/>
    <w:rsid w:val="00824FD3"/>
    <w:rsid w:val="00826589"/>
    <w:rsid w:val="00834BCC"/>
    <w:rsid w:val="00850D54"/>
    <w:rsid w:val="008714B0"/>
    <w:rsid w:val="00876331"/>
    <w:rsid w:val="00880726"/>
    <w:rsid w:val="00885CDD"/>
    <w:rsid w:val="008A3544"/>
    <w:rsid w:val="008B48B8"/>
    <w:rsid w:val="008B5348"/>
    <w:rsid w:val="008B58F8"/>
    <w:rsid w:val="008C0712"/>
    <w:rsid w:val="008C4520"/>
    <w:rsid w:val="008C5F09"/>
    <w:rsid w:val="008D470F"/>
    <w:rsid w:val="008E1F8F"/>
    <w:rsid w:val="008E4768"/>
    <w:rsid w:val="008E761E"/>
    <w:rsid w:val="008E79B6"/>
    <w:rsid w:val="008F77B3"/>
    <w:rsid w:val="009008F5"/>
    <w:rsid w:val="00904CC1"/>
    <w:rsid w:val="009066AF"/>
    <w:rsid w:val="00912050"/>
    <w:rsid w:val="00912E48"/>
    <w:rsid w:val="0092746F"/>
    <w:rsid w:val="00935DC9"/>
    <w:rsid w:val="009446C0"/>
    <w:rsid w:val="00954CAF"/>
    <w:rsid w:val="00955921"/>
    <w:rsid w:val="0096082E"/>
    <w:rsid w:val="00961347"/>
    <w:rsid w:val="00962FBF"/>
    <w:rsid w:val="00967410"/>
    <w:rsid w:val="00967D73"/>
    <w:rsid w:val="0098119A"/>
    <w:rsid w:val="00982E54"/>
    <w:rsid w:val="00984AAF"/>
    <w:rsid w:val="00991B09"/>
    <w:rsid w:val="00993CB2"/>
    <w:rsid w:val="009A5166"/>
    <w:rsid w:val="009A76F8"/>
    <w:rsid w:val="009B2B83"/>
    <w:rsid w:val="009B6A1D"/>
    <w:rsid w:val="009C49F8"/>
    <w:rsid w:val="009D4C95"/>
    <w:rsid w:val="009D77CC"/>
    <w:rsid w:val="009E2423"/>
    <w:rsid w:val="009E55D7"/>
    <w:rsid w:val="009E56AD"/>
    <w:rsid w:val="009F4150"/>
    <w:rsid w:val="009F5665"/>
    <w:rsid w:val="009F5DAD"/>
    <w:rsid w:val="00A01BCA"/>
    <w:rsid w:val="00A10458"/>
    <w:rsid w:val="00A153B6"/>
    <w:rsid w:val="00A164D5"/>
    <w:rsid w:val="00A257DF"/>
    <w:rsid w:val="00A273C3"/>
    <w:rsid w:val="00A30C37"/>
    <w:rsid w:val="00A3455B"/>
    <w:rsid w:val="00A36C65"/>
    <w:rsid w:val="00A41BBE"/>
    <w:rsid w:val="00A443E3"/>
    <w:rsid w:val="00A45BDD"/>
    <w:rsid w:val="00A46A0A"/>
    <w:rsid w:val="00A553F8"/>
    <w:rsid w:val="00A6708F"/>
    <w:rsid w:val="00A71211"/>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33DBF"/>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56E49"/>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10D7"/>
    <w:rsid w:val="00DE35CD"/>
    <w:rsid w:val="00DE38B4"/>
    <w:rsid w:val="00DE5D02"/>
    <w:rsid w:val="00E005A9"/>
    <w:rsid w:val="00E00600"/>
    <w:rsid w:val="00E03842"/>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2D2A"/>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BD2A6F"/>
  <w15:docId w15:val="{2BB72F96-7D58-4B37-9186-8AA868C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61</TotalTime>
  <Pages>18</Pages>
  <Words>6365</Words>
  <Characters>36368</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Communicable Diseases Intelligence 2021 - Epidemiology of mumps outbreaks and the impact of an additional dose of MMR vaccine for outbreak control in regional Queensland, Australia 2017–2018</vt:lpstr>
      <vt:lpstr>Abstract</vt:lpstr>
      <vt:lpstr>    Background</vt:lpstr>
      <vt:lpstr>    Methods</vt:lpstr>
      <vt:lpstr>    Results</vt:lpstr>
      <vt:lpstr>    Conclusion</vt:lpstr>
      <vt:lpstr>Background</vt:lpstr>
      <vt:lpstr>Methods</vt:lpstr>
      <vt:lpstr>    Case definitions and laboratory investigations</vt:lpstr>
      <vt:lpstr>    Outbreak cases</vt:lpstr>
      <vt:lpstr>    Data management and analysis</vt:lpstr>
      <vt:lpstr>    Ethical considerations</vt:lpstr>
      <vt:lpstr>Results</vt:lpstr>
      <vt:lpstr>    Timeline of outbreaks</vt:lpstr>
      <vt:lpstr>    Attack rates of mumps outbreaks</vt:lpstr>
      <vt:lpstr>    MMR immunisation status among outbreak cases and controls </vt:lpstr>
      <vt:lpstr>    Public health measures and infection prevention and control measures</vt:lpstr>
      <vt:lpstr>    Mass immunisation campaign with an additional dose MMR vaccine</vt:lpstr>
      <vt:lpstr>Discussion</vt:lpstr>
      <vt:lpstr>    Limitations</vt:lpstr>
      <vt:lpstr>Conclusion</vt:lpstr>
      <vt:lpstr>Declaration of competing interest</vt:lpstr>
      <vt:lpstr>Funding</vt:lpstr>
      <vt:lpstr>Acknowledgements</vt:lpstr>
      <vt:lpstr>Author details</vt:lpstr>
      <vt:lpstr>    Corresponding author</vt:lpstr>
      <vt:lpstr>References</vt:lpstr>
    </vt:vector>
  </TitlesOfParts>
  <Company>Australian Government, Department of Health</Company>
  <LinksUpToDate>false</LinksUpToDate>
  <CharactersWithSpaces>42648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Epidemiology of mumps outbreaks and the impact of an additional dose of MMR vaccine for outbreak control in regional Queensland, Australia 2017–2018</dc:title>
  <dc:subject>Over the past few years, different regions of Australia (Northern and North-Western Queensland, Western Australia and the Northern Territory) have experienced the outbreaks of mumps reported in, Australia. This article described the epidemiology of one of the such mumps outbreaks occurred in Central Queensland between October 2017 and October 2018. Also, paper described the findings of a matched case-control that explored whether MMR vaccination status including having 3rd dose and dosing intervals were associated with mumps infection.</dc:subject>
  <dc:creator>Jacina Walker; Odewumi Adegbija; Nicolas Smoll; Arifuzzaman Khan; Jordan Whicker; Heidi Carroll; Rachael Rodney Harris; Gulam Khandaker</dc:creator>
  <cp:keywords>Mumps; Boarding school; Indigenous; Prison; Outbreak; Queensland; Vaccination; MMR; Additional dose; Infection control</cp:keywords>
  <dc:description>© Commonwealth of Australia CC BY-NC-ND ISSN: 2209-6051 (Online)</dc:description>
  <cp:lastModifiedBy>YOUSEFI, Kasra</cp:lastModifiedBy>
  <cp:revision>40</cp:revision>
  <cp:lastPrinted>2018-05-10T02:19:00Z</cp:lastPrinted>
  <dcterms:created xsi:type="dcterms:W3CDTF">2021-12-09T06:28:00Z</dcterms:created>
  <dcterms:modified xsi:type="dcterms:W3CDTF">2021-12-16T02:03:00Z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21/12/2021</vt:lpwstr>
  </property>
  <property fmtid="{D5CDD505-2E9C-101B-9397-08002B2CF9AE}" pid="5" name="DOI">
    <vt:lpwstr>https://doi.org/10.33321/cdi.2021.45.67</vt:lpwstr>
  </property>
</Properties>
</file>