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4A8E5" w14:textId="77777777" w:rsidR="00D6062B" w:rsidRDefault="00D6062B" w:rsidP="00D6062B">
      <w:pPr>
        <w:pStyle w:val="Title"/>
        <w:rPr>
          <w:sz w:val="24"/>
          <w:szCs w:val="24"/>
        </w:rPr>
      </w:pPr>
      <w:r>
        <w:t xml:space="preserve">The ATHENA COVID-19 Study: Cohort profile and first findings for people diagnosed with COVID-19 in Queensland, 1 January to 31 December 2020 </w:t>
      </w:r>
    </w:p>
    <w:p w14:paraId="20105EB8" w14:textId="4D9F4BAD" w:rsidR="00D6062B" w:rsidRDefault="00D6062B" w:rsidP="00EF4C8D">
      <w:r>
        <w:t xml:space="preserve">Jennifer Welsh, Rosemary J </w:t>
      </w:r>
      <w:proofErr w:type="spellStart"/>
      <w:r>
        <w:t>Korda</w:t>
      </w:r>
      <w:proofErr w:type="spellEnd"/>
      <w:r>
        <w:t xml:space="preserve">, Ellie Paige, Mark A Morgan, </w:t>
      </w:r>
      <w:proofErr w:type="spellStart"/>
      <w:r>
        <w:t>Hsei</w:t>
      </w:r>
      <w:proofErr w:type="spellEnd"/>
      <w:r>
        <w:t xml:space="preserve">-Di Law, Tony Stanton, Zoltan MJ </w:t>
      </w:r>
      <w:proofErr w:type="spellStart"/>
      <w:r>
        <w:t>Bourne</w:t>
      </w:r>
      <w:proofErr w:type="spellEnd"/>
      <w:r>
        <w:t>, M</w:t>
      </w:r>
      <w:r w:rsidR="009A757C">
        <w:t> </w:t>
      </w:r>
      <w:r>
        <w:t xml:space="preserve">Ximena </w:t>
      </w:r>
      <w:proofErr w:type="spellStart"/>
      <w:r>
        <w:t>Tolosa</w:t>
      </w:r>
      <w:proofErr w:type="spellEnd"/>
      <w:r>
        <w:t xml:space="preserve">, Kim Greaves, for the ATHENA (Australians Together Health Initiative) COVID-19 Project Team </w:t>
      </w:r>
    </w:p>
    <w:p w14:paraId="2F0E7743" w14:textId="77777777" w:rsidR="00D6062B" w:rsidRPr="00D6062B" w:rsidRDefault="00D6062B" w:rsidP="00D6062B">
      <w:pPr>
        <w:pStyle w:val="Heading1"/>
      </w:pPr>
      <w:r w:rsidRPr="00D6062B">
        <w:t xml:space="preserve">Abstract </w:t>
      </w:r>
    </w:p>
    <w:p w14:paraId="59020494" w14:textId="77777777" w:rsidR="00D6062B" w:rsidRPr="00D6062B" w:rsidRDefault="00D6062B" w:rsidP="00D6062B">
      <w:pPr>
        <w:pStyle w:val="Heading2"/>
      </w:pPr>
      <w:r w:rsidRPr="00D6062B">
        <w:t xml:space="preserve">Background </w:t>
      </w:r>
    </w:p>
    <w:p w14:paraId="3D76874B" w14:textId="77777777" w:rsidR="00D6062B" w:rsidRDefault="00D6062B" w:rsidP="00D6062B">
      <w:r>
        <w:t xml:space="preserve">To date, there are limited Australian data on characteristics of people diagnosed with COVID-19 and on how these characteristics relate to outcomes. The ATHENA COVID-19 Study was established to describe health outcomes and investigate predictors of outcomes for all people diagnosed with COVID-19 in Queensland by linking COVID-19 notification, hospital, general </w:t>
      </w:r>
      <w:proofErr w:type="gramStart"/>
      <w:r>
        <w:t>practice</w:t>
      </w:r>
      <w:proofErr w:type="gramEnd"/>
      <w:r>
        <w:t xml:space="preserve"> and death registry data. This paper reports on the establishment and first findings for the ATHENA COVID-19 Study. </w:t>
      </w:r>
    </w:p>
    <w:p w14:paraId="073126CF" w14:textId="77777777" w:rsidR="00D6062B" w:rsidRPr="00D6062B" w:rsidRDefault="00D6062B" w:rsidP="00D6062B">
      <w:pPr>
        <w:pStyle w:val="Heading2"/>
      </w:pPr>
      <w:r w:rsidRPr="00D6062B">
        <w:t xml:space="preserve">Methods </w:t>
      </w:r>
    </w:p>
    <w:p w14:paraId="03AA8F85" w14:textId="677B5070" w:rsidR="00D6062B" w:rsidRDefault="00D6062B" w:rsidP="00D6062B">
      <w:r>
        <w:t xml:space="preserve">Part 1 of the ATHENA COVID-19 Study used Notifiable Conditions System data from 1 January 2020 to 31 December 2020, linked to: Emergency Department Collection data for the same period; Queensland Health Admitted Patient Data Collections (from 1 January 2010 to 30 January 2021); and Deaths Registrations data (from 1 January 2020 to 17 January 2021). </w:t>
      </w:r>
    </w:p>
    <w:p w14:paraId="41509D42" w14:textId="77777777" w:rsidR="00D6062B" w:rsidRPr="00D6062B" w:rsidRDefault="00D6062B" w:rsidP="00D6062B">
      <w:pPr>
        <w:pStyle w:val="Heading2"/>
      </w:pPr>
      <w:r w:rsidRPr="00D6062B">
        <w:t xml:space="preserve">Results </w:t>
      </w:r>
    </w:p>
    <w:p w14:paraId="4CADD2CE" w14:textId="6C9C1E3C" w:rsidR="00D6062B" w:rsidRDefault="00D6062B" w:rsidP="00D6062B">
      <w:r>
        <w:t xml:space="preserve">To 31 December 2020, a total of 1,254 people had been diagnosed with SARS-CoV-2 infection in Queensland: half were female (49.8%); two-thirds (67.7%) were aged 20–59 years; and there was an over-representation of people living in </w:t>
      </w:r>
      <w:r w:rsidR="00E2143B">
        <w:t>less-disadvantaged</w:t>
      </w:r>
      <w:r>
        <w:t xml:space="preserve"> areas. More than half of people diagnosed (57.6%) presented to an ED; 21.2% were admitted to hospital as an inpatient (median length of stay 11 days); 1.4% were admitted to an intensive care unit (82.4% of these required ventilation); and there were six deaths. Analysis of factors associated with these outcomes was limited due to small case numbers: people living in </w:t>
      </w:r>
      <w:r w:rsidR="00E2143B">
        <w:t>less-disadvantaged</w:t>
      </w:r>
      <w:r>
        <w:t xml:space="preserve"> areas had a lower risk of being admitted to hospital (test for trend, </w:t>
      </w:r>
      <w:r w:rsidRPr="00222AE1">
        <w:rPr>
          <w:rStyle w:val="Emphasis"/>
          <w:b w:val="0"/>
          <w:bCs w:val="0"/>
        </w:rPr>
        <w:t>p</w:t>
      </w:r>
      <w:r>
        <w:t xml:space="preserve"> &lt; 0.001), while those living in more remote areas were less likely than people living in major cities to present to an ED (test for trend: p=0.007), which may reflect differential health care access rather than health outcomes </w:t>
      </w:r>
      <w:r w:rsidRPr="00222AE1">
        <w:rPr>
          <w:rStyle w:val="Emphasis"/>
          <w:b w:val="0"/>
          <w:bCs w:val="0"/>
        </w:rPr>
        <w:t>per se</w:t>
      </w:r>
      <w:r>
        <w:t xml:space="preserve">. Increasing age (test for trend, </w:t>
      </w:r>
      <w:r w:rsidRPr="00222AE1">
        <w:rPr>
          <w:rStyle w:val="Emphasis"/>
          <w:b w:val="0"/>
          <w:bCs w:val="0"/>
        </w:rPr>
        <w:t>p</w:t>
      </w:r>
      <w:r>
        <w:t xml:space="preserve"> &lt; 0.001) and being a current/recent smoker (age-sex-adjusted </w:t>
      </w:r>
      <w:r w:rsidR="00AF632F">
        <w:t xml:space="preserve">relative </w:t>
      </w:r>
      <w:r>
        <w:t xml:space="preserve">risk: 1.61; 95% confidence interval: 1.00, 2.61) were associated with a higher risk of being admitted to hospital. </w:t>
      </w:r>
    </w:p>
    <w:p w14:paraId="437CFCE8" w14:textId="77777777" w:rsidR="00D6062B" w:rsidRPr="00D6062B" w:rsidRDefault="00D6062B" w:rsidP="00D6062B">
      <w:pPr>
        <w:pStyle w:val="Heading1"/>
      </w:pPr>
      <w:r w:rsidRPr="00D6062B">
        <w:t xml:space="preserve">Conclusion </w:t>
      </w:r>
    </w:p>
    <w:p w14:paraId="2CFF227B" w14:textId="77777777" w:rsidR="00D6062B" w:rsidRDefault="00D6062B" w:rsidP="00D6062B">
      <w:r>
        <w:t xml:space="preserve">Despite uncertainty in our estimates due to small numbers, our findings are consistent with what is known about COVID-19. Our findings reinforce the value of linking multiple data sources to enhance reporting of outcomes for people diagnosed with COVID-19 and provide a platform for longer term follow-up. </w:t>
      </w:r>
    </w:p>
    <w:p w14:paraId="52DA8620" w14:textId="77777777" w:rsidR="00D6062B" w:rsidRDefault="00D6062B" w:rsidP="00D6062B">
      <w:r>
        <w:t xml:space="preserve">Keywords: COVID-19, epidemiology, outcomes, predictors, record linkage, surveillance, morbidity </w:t>
      </w:r>
    </w:p>
    <w:p w14:paraId="2458515E" w14:textId="58F0393E" w:rsidR="00D6062B" w:rsidRPr="00D6062B" w:rsidRDefault="00D6062B" w:rsidP="00D6062B">
      <w:pPr>
        <w:pStyle w:val="Heading1"/>
      </w:pPr>
      <w:r w:rsidRPr="00D6062B">
        <w:t xml:space="preserve">Background </w:t>
      </w:r>
    </w:p>
    <w:p w14:paraId="6B365185" w14:textId="77777777" w:rsidR="00D6062B" w:rsidRDefault="00D6062B" w:rsidP="00D6062B">
      <w:r>
        <w:lastRenderedPageBreak/>
        <w:t>The novel coronavirus disease, named COVID-19 on 11 February 2020, is caused by the SARS-CoV-2 virus. It was first reported to the WHO Country Office in China on 31 December 2019. The outbreak was declared a Public Health Emergency of International Concern on 30 January 2020. As of 29 June 2021, there were over 181 million confirmed cases worldwide, with 2.9 million deaths.</w:t>
      </w:r>
      <w:r>
        <w:rPr>
          <w:vertAlign w:val="superscript"/>
        </w:rPr>
        <w:t>1</w:t>
      </w:r>
      <w:r>
        <w:t xml:space="preserve"> Australia, partly due to successful contact tracing and isolation protocols, at the same time point had only 30,528 confirmed cases and 910 deaths, and in Queensland 1,686 confirmed cases and seven deaths.</w:t>
      </w:r>
      <w:r>
        <w:rPr>
          <w:vertAlign w:val="superscript"/>
        </w:rPr>
        <w:t>2</w:t>
      </w:r>
      <w:r>
        <w:t xml:space="preserve"> </w:t>
      </w:r>
    </w:p>
    <w:p w14:paraId="1DE25B5F" w14:textId="77777777" w:rsidR="00D6062B" w:rsidRDefault="00D6062B" w:rsidP="00D6062B">
      <w:r>
        <w:t>International data on outcomes among people who test positive for SARS-CoV-2, and on predictors of outcomes, have been reported throughout the pandemic.</w:t>
      </w:r>
      <w:r>
        <w:rPr>
          <w:vertAlign w:val="superscript"/>
        </w:rPr>
        <w:t>3</w:t>
      </w:r>
      <w:r>
        <w:t xml:space="preserve"> However, outcomes are likely to vary with context, including population profile, extensiveness of surveillance and testing and health system characteristics. Furthermore, there has been much less data available on characteristics and outcomes for people diagnosed with COVID-19 in Australia. One study of 204 patients admitted to intensive care units in Australia between 27 February and 30 June 2020 found that 69% were men and 64% had comorbidities (mostly obesity, diabetes and chronic cardiac disease).</w:t>
      </w:r>
      <w:r>
        <w:rPr>
          <w:vertAlign w:val="superscript"/>
        </w:rPr>
        <w:t>4</w:t>
      </w:r>
      <w:r>
        <w:t xml:space="preserve"> People with chronic cardiac disease, compared to those without, were 3.4 times more likely to die in an intensive care unit (ICU). Another more recent study focussed on hospitalisation rates in cases of COVID-19 diagnosed in New South Wales between 1 January and 31 May 2020. However, </w:t>
      </w:r>
      <w:proofErr w:type="gramStart"/>
      <w:r>
        <w:t>with the exception of</w:t>
      </w:r>
      <w:proofErr w:type="gramEnd"/>
      <w:r>
        <w:t xml:space="preserve"> age and gender, no other health characteristics were reported or linked to outcomes.</w:t>
      </w:r>
      <w:r>
        <w:rPr>
          <w:vertAlign w:val="superscript"/>
        </w:rPr>
        <w:t xml:space="preserve">5 </w:t>
      </w:r>
    </w:p>
    <w:p w14:paraId="0FD80F53" w14:textId="77777777" w:rsidR="00D6062B" w:rsidRDefault="00D6062B" w:rsidP="00D6062B">
      <w:r>
        <w:t xml:space="preserve">It is essential that Australian- and state-specific surveillance systems monitor health outcomes and health service use as the pandemic progresses. This paper describes the establishment and first findings from the Australians Together Health Initiative (ATHENA) COVID-19 Study, which was set up to enable ongoing investigation of health outcomes including service use, and predictors of outcomes, for all people diagnosed with COVID-19 in Queensland. It does so by linking COVID-19 notification, hospital, general </w:t>
      </w:r>
      <w:proofErr w:type="gramStart"/>
      <w:r>
        <w:t>practice</w:t>
      </w:r>
      <w:proofErr w:type="gramEnd"/>
      <w:r>
        <w:t xml:space="preserve"> and death registry data. </w:t>
      </w:r>
    </w:p>
    <w:p w14:paraId="6ED0A563" w14:textId="77777777" w:rsidR="00D6062B" w:rsidRDefault="00D6062B" w:rsidP="00D6062B">
      <w:r>
        <w:t xml:space="preserve">The ATHENA COVID-19 Study has two parts (see Methods section for detail). Part 1 links Queensland COVID-19 notification, hospital and death registry data and does not require informed consent (access was granted under Section 282 of the </w:t>
      </w:r>
      <w:r w:rsidRPr="00222AE1">
        <w:rPr>
          <w:rStyle w:val="Emphasis"/>
          <w:b w:val="0"/>
          <w:bCs w:val="0"/>
        </w:rPr>
        <w:t>Public Health Act 2005</w:t>
      </w:r>
      <w:r>
        <w:t xml:space="preserve">). Part 2 links Queensland COVID-19 notification, </w:t>
      </w:r>
      <w:proofErr w:type="gramStart"/>
      <w:r>
        <w:t>hospital</w:t>
      </w:r>
      <w:proofErr w:type="gramEnd"/>
      <w:r>
        <w:t xml:space="preserve"> and death registry data, as well as patients’ healthcare information held within general practices, and requires patient consent</w:t>
      </w:r>
      <w:r w:rsidRPr="00222AE1">
        <w:rPr>
          <w:rStyle w:val="Emphasis"/>
          <w:b w:val="0"/>
          <w:bCs w:val="0"/>
        </w:rPr>
        <w:t>.</w:t>
      </w:r>
      <w:r>
        <w:t xml:space="preserve"> </w:t>
      </w:r>
    </w:p>
    <w:p w14:paraId="5565B6AF" w14:textId="77777777" w:rsidR="00D6062B" w:rsidRDefault="00D6062B" w:rsidP="00D6062B">
      <w:r>
        <w:t xml:space="preserve">The aim of this paper was to report on the establishment and results for Part 1 of the ATHENA COVID-19 Study. We describe hospital-based outcomes and deaths among all people diagnosed with COVID-19 in </w:t>
      </w:r>
      <w:proofErr w:type="gramStart"/>
      <w:r>
        <w:t>Queensland, and</w:t>
      </w:r>
      <w:proofErr w:type="gramEnd"/>
      <w:r>
        <w:t xml:space="preserve"> estimate the strength of association between these outcomes and sociodemographic and pre-existing health characteristics based on routinely-collected data. </w:t>
      </w:r>
    </w:p>
    <w:p w14:paraId="3A1E2AD2" w14:textId="77777777" w:rsidR="00D6062B" w:rsidRPr="00D6062B" w:rsidRDefault="00D6062B" w:rsidP="00D6062B">
      <w:pPr>
        <w:pStyle w:val="Heading1"/>
      </w:pPr>
      <w:r w:rsidRPr="00D6062B">
        <w:t xml:space="preserve">Methods </w:t>
      </w:r>
    </w:p>
    <w:p w14:paraId="325D8C90" w14:textId="77777777" w:rsidR="00D6062B" w:rsidRDefault="00D6062B" w:rsidP="00D6062B">
      <w:r>
        <w:t xml:space="preserve">ATHENA is a Queensland-Health-funded program involving the integration of primary, </w:t>
      </w:r>
      <w:proofErr w:type="gramStart"/>
      <w:r>
        <w:t>secondary</w:t>
      </w:r>
      <w:proofErr w:type="gramEnd"/>
      <w:r>
        <w:t xml:space="preserve"> and other healthcare data sets, using informed consent across Queensland. A proof-of-concept study was completed in June 2019 involving over 500 patients routinely attending two general practices. The principal purpose of this proof-of-concept study was twofold. Firstly, to assess the proportion of patients consenting to have their primary healthcare data extracted from their general practice into Queensland Health and linked to other data sets for </w:t>
      </w:r>
      <w:proofErr w:type="gramStart"/>
      <w:r>
        <w:t>ethically-approved</w:t>
      </w:r>
      <w:proofErr w:type="gramEnd"/>
      <w:r>
        <w:t xml:space="preserve"> research. Secondly, to gain permission to recontact them in future to discuss clinical trial participation. Consent was given by 80% of patients to both have their data exported and linked, and to be recontacted for trial participation. The </w:t>
      </w:r>
      <w:proofErr w:type="gramStart"/>
      <w:r>
        <w:t>successfully-linked</w:t>
      </w:r>
      <w:proofErr w:type="gramEnd"/>
      <w:r>
        <w:t xml:space="preserve"> healthcare data were tested and found to be highly informative for clinical trial design and feasibility testing, while also providing rapid access to large numbers of appropriate patients for real-world clinical trials. The ATHENA COVID-19 Study was opportunistically set up at the start of the pandemic, using the same methods to create a cohort of all people diagnosed with COVID-19 in Queensland with linked primary, </w:t>
      </w:r>
      <w:r>
        <w:lastRenderedPageBreak/>
        <w:t xml:space="preserve">secondary and registry data. These patients would be followed from recorded symptom onset date, to measure health service use and outcomes and to investigate predictors of these outcomes, as well as to provide an ongoing resource for future clinical trial recruitment. </w:t>
      </w:r>
    </w:p>
    <w:p w14:paraId="49E634B9" w14:textId="77777777" w:rsidR="00D6062B" w:rsidRPr="00D6062B" w:rsidRDefault="00D6062B" w:rsidP="00D6062B">
      <w:pPr>
        <w:pStyle w:val="Heading2"/>
      </w:pPr>
      <w:r w:rsidRPr="00D6062B">
        <w:t xml:space="preserve">Data </w:t>
      </w:r>
    </w:p>
    <w:p w14:paraId="1F8170D4" w14:textId="6E3CCC33" w:rsidR="00D6062B" w:rsidRDefault="00D6062B" w:rsidP="00D6062B">
      <w:r>
        <w:t>Part 1 of the ATHENA COVID-19 Study used routinely-collected data from the Notifiable Conditions System (</w:t>
      </w:r>
      <w:proofErr w:type="spellStart"/>
      <w:r>
        <w:t>NoCS</w:t>
      </w:r>
      <w:proofErr w:type="spellEnd"/>
      <w:r>
        <w:t xml:space="preserve">) for all people who tested positive for the SARS-CoV-2 virus in Queensland, linked to data from the Emergency Department Collection (EDC), the Queensland Health Admitted Patient Data Collection (QHAPDC) and Deaths Registrations. The </w:t>
      </w:r>
      <w:proofErr w:type="spellStart"/>
      <w:r>
        <w:t>NoCS</w:t>
      </w:r>
      <w:proofErr w:type="spellEnd"/>
      <w:r>
        <w:t xml:space="preserve"> data (1 January – 31 December 2020) contained symptom onset date, sociodemographic </w:t>
      </w:r>
      <w:proofErr w:type="gramStart"/>
      <w:r>
        <w:t>characteristics</w:t>
      </w:r>
      <w:proofErr w:type="gramEnd"/>
      <w:r>
        <w:t xml:space="preserve"> and health outcomes. The EDC data (1 January – 31 December 2020) included emergency department (ED) arrival and departure dates and principal diagnosis. The QHAPDC data (1 January 2010 – 30 January 2021) contained admissions data from all public hospitals in Queensland, including admission and separation dates, and diagnosis codes. In Queensland, people diagnosed with COVID-19 have only been admitted to public hospitals. Death Registrations data were available from 1 January 2020 to 17 January 2021. Data were linked probabilistically, using name, date of birth and address by the Statistical Services Branch within Queensland Health, </w:t>
      </w:r>
      <w:r w:rsidR="00457832">
        <w:t>applying</w:t>
      </w:r>
      <w:r>
        <w:t xml:space="preserve"> established</w:t>
      </w:r>
      <w:r w:rsidR="00457832">
        <w:t> </w:t>
      </w:r>
      <w:r>
        <w:t>protocols.</w:t>
      </w:r>
      <w:r>
        <w:rPr>
          <w:vertAlign w:val="superscript"/>
        </w:rPr>
        <w:t>6</w:t>
      </w:r>
      <w:r>
        <w:t xml:space="preserve"> </w:t>
      </w:r>
    </w:p>
    <w:p w14:paraId="43D243C4" w14:textId="77777777" w:rsidR="00D6062B" w:rsidRPr="00D6062B" w:rsidRDefault="00D6062B" w:rsidP="00D6062B">
      <w:pPr>
        <w:pStyle w:val="Heading2"/>
      </w:pPr>
      <w:r w:rsidRPr="00D6062B">
        <w:t xml:space="preserve">Sample </w:t>
      </w:r>
    </w:p>
    <w:p w14:paraId="747E8C5E" w14:textId="77777777" w:rsidR="00D6062B" w:rsidRDefault="00D6062B" w:rsidP="00D6062B">
      <w:r>
        <w:t xml:space="preserve">The sample for this study included all people in Queensland who tested positive to the SARS-CoV-2 virus resulting in COVID-19 (n = 1,254), identified using </w:t>
      </w:r>
      <w:proofErr w:type="spellStart"/>
      <w:r>
        <w:t>NoCS</w:t>
      </w:r>
      <w:proofErr w:type="spellEnd"/>
      <w:r>
        <w:t xml:space="preserve"> data, from 1 January 2020 to 31 December 2020 (referred to as the Queensland COVID-19 cohort). </w:t>
      </w:r>
    </w:p>
    <w:p w14:paraId="35DBEE01" w14:textId="77777777" w:rsidR="00D6062B" w:rsidRPr="00D6062B" w:rsidRDefault="00D6062B" w:rsidP="00D6062B">
      <w:pPr>
        <w:pStyle w:val="Heading2"/>
      </w:pPr>
      <w:r w:rsidRPr="00D6062B">
        <w:t xml:space="preserve">Hospital-based outcomes and death </w:t>
      </w:r>
    </w:p>
    <w:p w14:paraId="51467FF1" w14:textId="77777777" w:rsidR="00D6062B" w:rsidRDefault="00D6062B" w:rsidP="00D6062B">
      <w:r>
        <w:t xml:space="preserve">The primary outcomes of interest </w:t>
      </w:r>
      <w:proofErr w:type="gramStart"/>
      <w:r>
        <w:t>were:</w:t>
      </w:r>
      <w:proofErr w:type="gramEnd"/>
      <w:r>
        <w:t xml:space="preserve"> presentation to an ED; inpatient admission to a public hospital (which excluded virtual ward at home); admission to ICU; use of continuous ventilator support; and death. Secondary outcomes were time </w:t>
      </w:r>
      <w:proofErr w:type="gramStart"/>
      <w:r>
        <w:t>spent:</w:t>
      </w:r>
      <w:proofErr w:type="gramEnd"/>
      <w:r>
        <w:t xml:space="preserve"> in hospital; in ICU and on ventilation; as well as time between onset date and first hospital admission, and between ICU admission and death. </w:t>
      </w:r>
    </w:p>
    <w:p w14:paraId="18A729C1" w14:textId="77777777" w:rsidR="00D6062B" w:rsidRDefault="00D6062B" w:rsidP="00D6062B">
      <w:r>
        <w:t xml:space="preserve">Presentation to an ED was ascertained from the EDC data. Admission to ICU (standard ward codes ‘ICU4’, ‘ICU5’ or ‘ICU6’) and continuous ventilator support were ascertained from the linked QHAPDC data. We included ED presentations and hospital admissions that occurred on or up to 6 weeks after symptom onset date, or where admission included date of onset. </w:t>
      </w:r>
    </w:p>
    <w:p w14:paraId="5FF9857D" w14:textId="77777777" w:rsidR="00D6062B" w:rsidRPr="00D6062B" w:rsidRDefault="00D6062B" w:rsidP="00D6062B">
      <w:pPr>
        <w:pStyle w:val="Heading2"/>
      </w:pPr>
      <w:r w:rsidRPr="00D6062B">
        <w:t xml:space="preserve">Sociodemographic and health characteristics </w:t>
      </w:r>
    </w:p>
    <w:p w14:paraId="0282E4FB" w14:textId="25A28D0A" w:rsidR="00D6062B" w:rsidRDefault="00D6062B" w:rsidP="00D6062B">
      <w:r>
        <w:t>Sociodemographic characteristics included age (in broad age groups); sex; remoteness (measured with Accessibility and Remoteness Index of Australia [ARIA+]);</w:t>
      </w:r>
      <w:r w:rsidR="00AF632F">
        <w:rPr>
          <w:rStyle w:val="FootnoteReference"/>
        </w:rPr>
        <w:footnoteReference w:id="2"/>
      </w:r>
      <w:r>
        <w:t xml:space="preserve"> socioeconomic status (measured using Socio-Economic Indexes for Areas, Index of Relative Socio-Economic Disadvantage, [SEIFA IRSD]);</w:t>
      </w:r>
      <w:r w:rsidR="00AF632F">
        <w:rPr>
          <w:rStyle w:val="FootnoteReference"/>
        </w:rPr>
        <w:footnoteReference w:id="3"/>
      </w:r>
      <w:r>
        <w:t xml:space="preserve"> smoking status; and health conditions, categorised as shown in Table 1. </w:t>
      </w:r>
    </w:p>
    <w:p w14:paraId="631881FA" w14:textId="77777777" w:rsidR="008D6FA3" w:rsidRDefault="008D6FA3">
      <w:pPr>
        <w:rPr>
          <w:rStyle w:val="Strong"/>
          <w:bCs w:val="0"/>
        </w:rPr>
      </w:pPr>
      <w:r>
        <w:rPr>
          <w:rStyle w:val="Strong"/>
          <w:b w:val="0"/>
          <w:bCs w:val="0"/>
        </w:rPr>
        <w:br w:type="page"/>
      </w:r>
    </w:p>
    <w:p w14:paraId="76AE7FA0" w14:textId="4A05FF1B" w:rsidR="008D6FA3" w:rsidRPr="00E472A6" w:rsidRDefault="008D6FA3" w:rsidP="008D6FA3">
      <w:pPr>
        <w:pStyle w:val="CDIFigures"/>
      </w:pPr>
      <w:r w:rsidRPr="00E472A6">
        <w:rPr>
          <w:rStyle w:val="Strong"/>
          <w:b/>
          <w:bCs w:val="0"/>
        </w:rPr>
        <w:lastRenderedPageBreak/>
        <w:t xml:space="preserve">Table 1: Characteristics of the Queensland COVID-19 </w:t>
      </w:r>
      <w:proofErr w:type="spellStart"/>
      <w:proofErr w:type="gramStart"/>
      <w:r w:rsidRPr="00E472A6">
        <w:rPr>
          <w:rStyle w:val="Strong"/>
          <w:b/>
          <w:bCs w:val="0"/>
        </w:rPr>
        <w:t>cohort,</w:t>
      </w:r>
      <w:r w:rsidRPr="00E472A6">
        <w:rPr>
          <w:rStyle w:val="Strong"/>
          <w:b/>
          <w:bCs w:val="0"/>
          <w:vertAlign w:val="superscript"/>
        </w:rPr>
        <w:t>a</w:t>
      </w:r>
      <w:proofErr w:type="spellEnd"/>
      <w:proofErr w:type="gramEnd"/>
      <w:r w:rsidRPr="00E472A6">
        <w:rPr>
          <w:rStyle w:val="Strong"/>
          <w:b/>
          <w:bCs w:val="0"/>
        </w:rPr>
        <w:t xml:space="preserve"> 1 January – 31 December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describes the sociodemographic and health characteristics of the Queensland COVID-19 cohort. The study includes 1254 cases, with a male:female ratio very close to 1:1. Most cases (849/ 1254, 68%) were aged between 20 and 59 years. Over three-quarters of cases were in residents of major cities in Queensland; a third of cases were in the least disadvantaged quintile. Comorbidities, measured with linked hospital data, were not common: less than 2% of the cohort had a hospital record with a diagnosis of asthma, chronic lower respiratory disease or renal failure. Diabetes, cancer and cardiovascular disease were the most common comorbidities but were still reported by less than 10% of the cohort."/>
      </w:tblPr>
      <w:tblGrid>
        <w:gridCol w:w="2226"/>
        <w:gridCol w:w="2916"/>
        <w:gridCol w:w="1766"/>
        <w:gridCol w:w="1766"/>
        <w:gridCol w:w="1766"/>
      </w:tblGrid>
      <w:tr w:rsidR="008D6FA3" w:rsidRPr="008D6FA3" w14:paraId="21E1EF71" w14:textId="77777777" w:rsidTr="00B24445">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14:paraId="1F630ECB" w14:textId="77777777" w:rsidR="008D6FA3" w:rsidRPr="008D6FA3" w:rsidRDefault="008D6FA3" w:rsidP="00AF632F">
            <w:pPr>
              <w:rPr>
                <w:color w:val="FFFFFF" w:themeColor="background1"/>
                <w:sz w:val="18"/>
                <w:szCs w:val="18"/>
                <w:lang w:val="en-GB"/>
              </w:rPr>
            </w:pP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14:paraId="363B4A5A" w14:textId="77777777" w:rsidR="008D6FA3" w:rsidRPr="008D6FA3" w:rsidRDefault="008D6FA3" w:rsidP="00AF632F">
            <w:pPr>
              <w:rPr>
                <w:rFonts w:eastAsia="Times New Roman"/>
                <w:color w:val="FFFFFF" w:themeColor="background1"/>
                <w:sz w:val="18"/>
                <w:szCs w:val="18"/>
              </w:rPr>
            </w:pPr>
          </w:p>
        </w:tc>
        <w:tc>
          <w:tcPr>
            <w:tcW w:w="1766" w:type="dxa"/>
            <w:tcBorders>
              <w:left w:val="single" w:sz="2" w:space="0" w:color="FFFFFF" w:themeColor="background1"/>
              <w:bottom w:val="single" w:sz="2" w:space="0" w:color="FFFFFF" w:themeColor="background1"/>
              <w:right w:val="single" w:sz="2" w:space="0" w:color="FFFFFF" w:themeColor="background1"/>
            </w:tcBorders>
            <w:hideMark/>
          </w:tcPr>
          <w:p w14:paraId="1BA038E9" w14:textId="77777777" w:rsidR="008D6FA3" w:rsidRPr="008D6FA3" w:rsidRDefault="008D6FA3" w:rsidP="00AF632F">
            <w:pPr>
              <w:pStyle w:val="NormalWeb"/>
              <w:jc w:val="center"/>
              <w:rPr>
                <w:color w:val="FFFFFF" w:themeColor="background1"/>
                <w:sz w:val="18"/>
                <w:szCs w:val="18"/>
              </w:rPr>
            </w:pPr>
            <w:r w:rsidRPr="008D6FA3">
              <w:rPr>
                <w:color w:val="FFFFFF" w:themeColor="background1"/>
                <w:sz w:val="18"/>
                <w:szCs w:val="18"/>
              </w:rPr>
              <w:t>Male</w:t>
            </w:r>
            <w:r w:rsidRPr="008D6FA3">
              <w:rPr>
                <w:color w:val="FFFFFF" w:themeColor="background1"/>
                <w:sz w:val="18"/>
                <w:szCs w:val="18"/>
              </w:rPr>
              <w:br/>
              <w:t>n (%)</w:t>
            </w:r>
          </w:p>
        </w:tc>
        <w:tc>
          <w:tcPr>
            <w:tcW w:w="1766" w:type="dxa"/>
            <w:tcBorders>
              <w:left w:val="single" w:sz="2" w:space="0" w:color="FFFFFF" w:themeColor="background1"/>
              <w:bottom w:val="single" w:sz="2" w:space="0" w:color="FFFFFF" w:themeColor="background1"/>
              <w:right w:val="single" w:sz="2" w:space="0" w:color="FFFFFF" w:themeColor="background1"/>
            </w:tcBorders>
            <w:hideMark/>
          </w:tcPr>
          <w:p w14:paraId="6CB410CB" w14:textId="77777777" w:rsidR="008D6FA3" w:rsidRPr="008D6FA3" w:rsidRDefault="008D6FA3" w:rsidP="00AF632F">
            <w:pPr>
              <w:pStyle w:val="NormalWeb"/>
              <w:jc w:val="center"/>
              <w:rPr>
                <w:color w:val="FFFFFF" w:themeColor="background1"/>
                <w:sz w:val="18"/>
                <w:szCs w:val="18"/>
              </w:rPr>
            </w:pPr>
            <w:r w:rsidRPr="008D6FA3">
              <w:rPr>
                <w:color w:val="FFFFFF" w:themeColor="background1"/>
                <w:sz w:val="18"/>
                <w:szCs w:val="18"/>
              </w:rPr>
              <w:t>Female</w:t>
            </w:r>
            <w:r w:rsidRPr="008D6FA3">
              <w:rPr>
                <w:color w:val="FFFFFF" w:themeColor="background1"/>
                <w:sz w:val="18"/>
                <w:szCs w:val="18"/>
              </w:rPr>
              <w:br/>
              <w:t>n (%)</w:t>
            </w:r>
          </w:p>
        </w:tc>
        <w:tc>
          <w:tcPr>
            <w:tcW w:w="1766" w:type="dxa"/>
            <w:tcBorders>
              <w:left w:val="single" w:sz="2" w:space="0" w:color="FFFFFF" w:themeColor="background1"/>
              <w:bottom w:val="single" w:sz="2" w:space="0" w:color="FFFFFF" w:themeColor="background1"/>
            </w:tcBorders>
            <w:hideMark/>
          </w:tcPr>
          <w:p w14:paraId="52F526E5" w14:textId="77777777" w:rsidR="008D6FA3" w:rsidRPr="008D6FA3" w:rsidRDefault="008D6FA3" w:rsidP="00AF632F">
            <w:pPr>
              <w:pStyle w:val="NormalWeb"/>
              <w:jc w:val="center"/>
              <w:rPr>
                <w:color w:val="FFFFFF" w:themeColor="background1"/>
                <w:sz w:val="18"/>
                <w:szCs w:val="18"/>
              </w:rPr>
            </w:pPr>
            <w:r w:rsidRPr="008D6FA3">
              <w:rPr>
                <w:color w:val="FFFFFF" w:themeColor="background1"/>
                <w:sz w:val="18"/>
                <w:szCs w:val="18"/>
              </w:rPr>
              <w:t>Total</w:t>
            </w:r>
            <w:r w:rsidRPr="008D6FA3">
              <w:rPr>
                <w:color w:val="FFFFFF" w:themeColor="background1"/>
                <w:sz w:val="18"/>
                <w:szCs w:val="18"/>
              </w:rPr>
              <w:br/>
              <w:t>n (%)</w:t>
            </w:r>
          </w:p>
        </w:tc>
      </w:tr>
      <w:tr w:rsidR="008D6FA3" w:rsidRPr="008D6FA3" w14:paraId="4F4F1675" w14:textId="77777777" w:rsidTr="00B24445">
        <w:tc>
          <w:tcPr>
            <w:tcW w:w="0" w:type="auto"/>
            <w:tcBorders>
              <w:top w:val="single" w:sz="2" w:space="0" w:color="FFFFFF" w:themeColor="background1"/>
              <w:right w:val="single" w:sz="2" w:space="0" w:color="FFFFFF" w:themeColor="background1"/>
            </w:tcBorders>
            <w:shd w:val="clear" w:color="auto" w:fill="FDE9D9" w:themeFill="accent6" w:themeFillTint="33"/>
            <w:hideMark/>
          </w:tcPr>
          <w:p w14:paraId="73AB8A21" w14:textId="77777777" w:rsidR="008D6FA3" w:rsidRPr="008D6FA3" w:rsidRDefault="008D6FA3" w:rsidP="00AF632F">
            <w:pPr>
              <w:pStyle w:val="NormalWeb"/>
              <w:rPr>
                <w:b/>
                <w:bCs/>
                <w:sz w:val="18"/>
                <w:szCs w:val="18"/>
              </w:rPr>
            </w:pPr>
            <w:r w:rsidRPr="008D6FA3">
              <w:rPr>
                <w:b/>
                <w:bCs/>
                <w:sz w:val="18"/>
                <w:szCs w:val="18"/>
              </w:rPr>
              <w:t>Total</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FDE9D9" w:themeFill="accent6" w:themeFillTint="33"/>
            <w:hideMark/>
          </w:tcPr>
          <w:p w14:paraId="16DF0A27" w14:textId="77777777" w:rsidR="008D6FA3" w:rsidRPr="008D6FA3" w:rsidRDefault="008D6FA3" w:rsidP="00AF632F">
            <w:pPr>
              <w:rPr>
                <w:b/>
                <w:bCs/>
                <w:sz w:val="18"/>
                <w:szCs w:val="18"/>
              </w:rPr>
            </w:pPr>
          </w:p>
        </w:tc>
        <w:tc>
          <w:tcPr>
            <w:tcW w:w="1766" w:type="dxa"/>
            <w:tcBorders>
              <w:top w:val="single" w:sz="2" w:space="0" w:color="FFFFFF" w:themeColor="background1"/>
              <w:left w:val="single" w:sz="2" w:space="0" w:color="FFFFFF" w:themeColor="background1"/>
              <w:right w:val="single" w:sz="2" w:space="0" w:color="FFFFFF" w:themeColor="background1"/>
            </w:tcBorders>
            <w:shd w:val="clear" w:color="auto" w:fill="FDE9D9" w:themeFill="accent6" w:themeFillTint="33"/>
            <w:hideMark/>
          </w:tcPr>
          <w:p w14:paraId="05953EE2" w14:textId="77777777" w:rsidR="008D6FA3" w:rsidRPr="008D6FA3" w:rsidRDefault="008D6FA3" w:rsidP="00AF632F">
            <w:pPr>
              <w:pStyle w:val="NormalWeb"/>
              <w:jc w:val="center"/>
              <w:rPr>
                <w:b/>
                <w:bCs/>
                <w:sz w:val="18"/>
                <w:szCs w:val="18"/>
              </w:rPr>
            </w:pPr>
            <w:r w:rsidRPr="008D6FA3">
              <w:rPr>
                <w:b/>
                <w:bCs/>
                <w:sz w:val="18"/>
                <w:szCs w:val="18"/>
              </w:rPr>
              <w:t>630 (50.2)</w:t>
            </w:r>
          </w:p>
        </w:tc>
        <w:tc>
          <w:tcPr>
            <w:tcW w:w="1766" w:type="dxa"/>
            <w:tcBorders>
              <w:top w:val="single" w:sz="2" w:space="0" w:color="FFFFFF" w:themeColor="background1"/>
              <w:left w:val="single" w:sz="2" w:space="0" w:color="FFFFFF" w:themeColor="background1"/>
              <w:right w:val="single" w:sz="2" w:space="0" w:color="FFFFFF" w:themeColor="background1"/>
            </w:tcBorders>
            <w:shd w:val="clear" w:color="auto" w:fill="FDE9D9" w:themeFill="accent6" w:themeFillTint="33"/>
            <w:hideMark/>
          </w:tcPr>
          <w:p w14:paraId="499A06DE" w14:textId="77777777" w:rsidR="008D6FA3" w:rsidRPr="008D6FA3" w:rsidRDefault="008D6FA3" w:rsidP="00AF632F">
            <w:pPr>
              <w:pStyle w:val="NormalWeb"/>
              <w:jc w:val="center"/>
              <w:rPr>
                <w:b/>
                <w:bCs/>
                <w:sz w:val="18"/>
                <w:szCs w:val="18"/>
              </w:rPr>
            </w:pPr>
            <w:r w:rsidRPr="008D6FA3">
              <w:rPr>
                <w:b/>
                <w:bCs/>
                <w:sz w:val="18"/>
                <w:szCs w:val="18"/>
              </w:rPr>
              <w:t>624 (49.8)</w:t>
            </w:r>
          </w:p>
        </w:tc>
        <w:tc>
          <w:tcPr>
            <w:tcW w:w="1766" w:type="dxa"/>
            <w:tcBorders>
              <w:top w:val="single" w:sz="2" w:space="0" w:color="FFFFFF" w:themeColor="background1"/>
              <w:left w:val="single" w:sz="2" w:space="0" w:color="FFFFFF" w:themeColor="background1"/>
            </w:tcBorders>
            <w:shd w:val="clear" w:color="auto" w:fill="FDE9D9" w:themeFill="accent6" w:themeFillTint="33"/>
            <w:hideMark/>
          </w:tcPr>
          <w:p w14:paraId="35065747" w14:textId="77777777" w:rsidR="008D6FA3" w:rsidRPr="008D6FA3" w:rsidRDefault="008D6FA3" w:rsidP="00AF632F">
            <w:pPr>
              <w:pStyle w:val="NormalWeb"/>
              <w:jc w:val="center"/>
              <w:rPr>
                <w:b/>
                <w:bCs/>
                <w:sz w:val="18"/>
                <w:szCs w:val="18"/>
              </w:rPr>
            </w:pPr>
            <w:r w:rsidRPr="008D6FA3">
              <w:rPr>
                <w:b/>
                <w:bCs/>
                <w:sz w:val="18"/>
                <w:szCs w:val="18"/>
              </w:rPr>
              <w:t>1,254</w:t>
            </w:r>
          </w:p>
        </w:tc>
      </w:tr>
      <w:tr w:rsidR="008D6FA3" w:rsidRPr="008D6FA3" w14:paraId="21604B97"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auto"/>
            <w:hideMark/>
          </w:tcPr>
          <w:p w14:paraId="281D7447" w14:textId="77777777" w:rsidR="008D6FA3" w:rsidRPr="008D6FA3" w:rsidRDefault="008D6FA3" w:rsidP="00AF632F">
            <w:pPr>
              <w:pStyle w:val="NormalWeb"/>
              <w:rPr>
                <w:sz w:val="18"/>
                <w:szCs w:val="18"/>
              </w:rPr>
            </w:pPr>
            <w:r w:rsidRPr="008D6FA3">
              <w:rPr>
                <w:sz w:val="18"/>
                <w:szCs w:val="18"/>
              </w:rPr>
              <w:t>Age group (years)</w:t>
            </w:r>
          </w:p>
        </w:tc>
        <w:tc>
          <w:tcPr>
            <w:tcW w:w="0" w:type="auto"/>
            <w:shd w:val="clear" w:color="auto" w:fill="auto"/>
            <w:hideMark/>
          </w:tcPr>
          <w:p w14:paraId="0D027F3E" w14:textId="77777777" w:rsidR="008D6FA3" w:rsidRPr="008D6FA3" w:rsidRDefault="008D6FA3" w:rsidP="00AF632F">
            <w:pPr>
              <w:pStyle w:val="NormalWeb"/>
              <w:rPr>
                <w:sz w:val="18"/>
                <w:szCs w:val="18"/>
              </w:rPr>
            </w:pPr>
            <w:r w:rsidRPr="008D6FA3">
              <w:rPr>
                <w:sz w:val="18"/>
                <w:szCs w:val="18"/>
              </w:rPr>
              <w:t>0–19</w:t>
            </w:r>
          </w:p>
        </w:tc>
        <w:tc>
          <w:tcPr>
            <w:tcW w:w="1766" w:type="dxa"/>
            <w:shd w:val="clear" w:color="auto" w:fill="auto"/>
            <w:hideMark/>
          </w:tcPr>
          <w:p w14:paraId="33D830E3" w14:textId="77777777" w:rsidR="008D6FA3" w:rsidRPr="008D6FA3" w:rsidRDefault="008D6FA3" w:rsidP="00AF632F">
            <w:pPr>
              <w:pStyle w:val="NormalWeb"/>
              <w:jc w:val="center"/>
              <w:rPr>
                <w:sz w:val="18"/>
                <w:szCs w:val="18"/>
              </w:rPr>
            </w:pPr>
            <w:r w:rsidRPr="008D6FA3">
              <w:rPr>
                <w:sz w:val="18"/>
                <w:szCs w:val="18"/>
              </w:rPr>
              <w:t>38 (6.0)</w:t>
            </w:r>
          </w:p>
        </w:tc>
        <w:tc>
          <w:tcPr>
            <w:tcW w:w="1766" w:type="dxa"/>
            <w:shd w:val="clear" w:color="auto" w:fill="auto"/>
            <w:hideMark/>
          </w:tcPr>
          <w:p w14:paraId="07D83342" w14:textId="77777777" w:rsidR="008D6FA3" w:rsidRPr="008D6FA3" w:rsidRDefault="008D6FA3" w:rsidP="00AF632F">
            <w:pPr>
              <w:pStyle w:val="NormalWeb"/>
              <w:jc w:val="center"/>
              <w:rPr>
                <w:sz w:val="18"/>
                <w:szCs w:val="18"/>
              </w:rPr>
            </w:pPr>
            <w:r w:rsidRPr="008D6FA3">
              <w:rPr>
                <w:sz w:val="18"/>
                <w:szCs w:val="18"/>
              </w:rPr>
              <w:t>34 (5.4)</w:t>
            </w:r>
          </w:p>
        </w:tc>
        <w:tc>
          <w:tcPr>
            <w:tcW w:w="1766" w:type="dxa"/>
            <w:shd w:val="clear" w:color="auto" w:fill="auto"/>
            <w:hideMark/>
          </w:tcPr>
          <w:p w14:paraId="0C3326B3" w14:textId="77777777" w:rsidR="008D6FA3" w:rsidRPr="008D6FA3" w:rsidRDefault="008D6FA3" w:rsidP="00AF632F">
            <w:pPr>
              <w:pStyle w:val="NormalWeb"/>
              <w:jc w:val="center"/>
              <w:rPr>
                <w:sz w:val="18"/>
                <w:szCs w:val="18"/>
              </w:rPr>
            </w:pPr>
            <w:r w:rsidRPr="008D6FA3">
              <w:rPr>
                <w:sz w:val="18"/>
                <w:szCs w:val="18"/>
              </w:rPr>
              <w:t>72 (5.7)</w:t>
            </w:r>
          </w:p>
        </w:tc>
      </w:tr>
      <w:tr w:rsidR="008D6FA3" w:rsidRPr="008D6FA3" w14:paraId="1D8A305B" w14:textId="77777777" w:rsidTr="00B24445">
        <w:tc>
          <w:tcPr>
            <w:tcW w:w="0" w:type="auto"/>
            <w:vMerge/>
            <w:shd w:val="clear" w:color="auto" w:fill="auto"/>
            <w:hideMark/>
          </w:tcPr>
          <w:p w14:paraId="064099EE" w14:textId="77777777" w:rsidR="008D6FA3" w:rsidRPr="008D6FA3" w:rsidRDefault="008D6FA3" w:rsidP="00AF632F">
            <w:pPr>
              <w:rPr>
                <w:sz w:val="18"/>
                <w:szCs w:val="18"/>
              </w:rPr>
            </w:pPr>
          </w:p>
        </w:tc>
        <w:tc>
          <w:tcPr>
            <w:tcW w:w="0" w:type="auto"/>
            <w:shd w:val="clear" w:color="auto" w:fill="auto"/>
            <w:hideMark/>
          </w:tcPr>
          <w:p w14:paraId="775DEA2B" w14:textId="77777777" w:rsidR="008D6FA3" w:rsidRPr="008D6FA3" w:rsidRDefault="008D6FA3" w:rsidP="00AF632F">
            <w:pPr>
              <w:pStyle w:val="NormalWeb"/>
              <w:rPr>
                <w:sz w:val="18"/>
                <w:szCs w:val="18"/>
              </w:rPr>
            </w:pPr>
            <w:r w:rsidRPr="008D6FA3">
              <w:rPr>
                <w:sz w:val="18"/>
                <w:szCs w:val="18"/>
              </w:rPr>
              <w:t>20–39</w:t>
            </w:r>
          </w:p>
        </w:tc>
        <w:tc>
          <w:tcPr>
            <w:tcW w:w="1766" w:type="dxa"/>
            <w:shd w:val="clear" w:color="auto" w:fill="auto"/>
            <w:hideMark/>
          </w:tcPr>
          <w:p w14:paraId="68ED61FD" w14:textId="77777777" w:rsidR="008D6FA3" w:rsidRPr="008D6FA3" w:rsidRDefault="008D6FA3" w:rsidP="00AF632F">
            <w:pPr>
              <w:pStyle w:val="NormalWeb"/>
              <w:jc w:val="center"/>
              <w:rPr>
                <w:sz w:val="18"/>
                <w:szCs w:val="18"/>
              </w:rPr>
            </w:pPr>
            <w:r w:rsidRPr="008D6FA3">
              <w:rPr>
                <w:sz w:val="18"/>
                <w:szCs w:val="18"/>
              </w:rPr>
              <w:t>214 (34.0)</w:t>
            </w:r>
          </w:p>
        </w:tc>
        <w:tc>
          <w:tcPr>
            <w:tcW w:w="1766" w:type="dxa"/>
            <w:shd w:val="clear" w:color="auto" w:fill="auto"/>
            <w:hideMark/>
          </w:tcPr>
          <w:p w14:paraId="75D5162D" w14:textId="77777777" w:rsidR="008D6FA3" w:rsidRPr="008D6FA3" w:rsidRDefault="008D6FA3" w:rsidP="00AF632F">
            <w:pPr>
              <w:pStyle w:val="NormalWeb"/>
              <w:jc w:val="center"/>
              <w:rPr>
                <w:sz w:val="18"/>
                <w:szCs w:val="18"/>
              </w:rPr>
            </w:pPr>
            <w:r w:rsidRPr="008D6FA3">
              <w:rPr>
                <w:sz w:val="18"/>
                <w:szCs w:val="18"/>
              </w:rPr>
              <w:t>271 (43.4)</w:t>
            </w:r>
          </w:p>
        </w:tc>
        <w:tc>
          <w:tcPr>
            <w:tcW w:w="1766" w:type="dxa"/>
            <w:shd w:val="clear" w:color="auto" w:fill="auto"/>
            <w:hideMark/>
          </w:tcPr>
          <w:p w14:paraId="0AC0B270" w14:textId="77777777" w:rsidR="008D6FA3" w:rsidRPr="008D6FA3" w:rsidRDefault="008D6FA3" w:rsidP="00AF632F">
            <w:pPr>
              <w:pStyle w:val="NormalWeb"/>
              <w:jc w:val="center"/>
              <w:rPr>
                <w:sz w:val="18"/>
                <w:szCs w:val="18"/>
              </w:rPr>
            </w:pPr>
            <w:r w:rsidRPr="008D6FA3">
              <w:rPr>
                <w:sz w:val="18"/>
                <w:szCs w:val="18"/>
              </w:rPr>
              <w:t>485 (38.7)</w:t>
            </w:r>
          </w:p>
        </w:tc>
      </w:tr>
      <w:tr w:rsidR="008D6FA3" w:rsidRPr="008D6FA3" w14:paraId="7C2AF75A"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596DD957" w14:textId="77777777" w:rsidR="008D6FA3" w:rsidRPr="008D6FA3" w:rsidRDefault="008D6FA3" w:rsidP="00AF632F">
            <w:pPr>
              <w:rPr>
                <w:sz w:val="18"/>
                <w:szCs w:val="18"/>
              </w:rPr>
            </w:pPr>
          </w:p>
        </w:tc>
        <w:tc>
          <w:tcPr>
            <w:tcW w:w="0" w:type="auto"/>
            <w:shd w:val="clear" w:color="auto" w:fill="auto"/>
            <w:hideMark/>
          </w:tcPr>
          <w:p w14:paraId="6637C6FB" w14:textId="77777777" w:rsidR="008D6FA3" w:rsidRPr="008D6FA3" w:rsidRDefault="008D6FA3" w:rsidP="00AF632F">
            <w:pPr>
              <w:pStyle w:val="NormalWeb"/>
              <w:rPr>
                <w:sz w:val="18"/>
                <w:szCs w:val="18"/>
              </w:rPr>
            </w:pPr>
            <w:r w:rsidRPr="008D6FA3">
              <w:rPr>
                <w:sz w:val="18"/>
                <w:szCs w:val="18"/>
              </w:rPr>
              <w:t>40–59</w:t>
            </w:r>
          </w:p>
        </w:tc>
        <w:tc>
          <w:tcPr>
            <w:tcW w:w="1766" w:type="dxa"/>
            <w:shd w:val="clear" w:color="auto" w:fill="auto"/>
            <w:hideMark/>
          </w:tcPr>
          <w:p w14:paraId="04D96600" w14:textId="77777777" w:rsidR="008D6FA3" w:rsidRPr="008D6FA3" w:rsidRDefault="008D6FA3" w:rsidP="00AF632F">
            <w:pPr>
              <w:pStyle w:val="NormalWeb"/>
              <w:jc w:val="center"/>
              <w:rPr>
                <w:sz w:val="18"/>
                <w:szCs w:val="18"/>
              </w:rPr>
            </w:pPr>
            <w:r w:rsidRPr="008D6FA3">
              <w:rPr>
                <w:sz w:val="18"/>
                <w:szCs w:val="18"/>
              </w:rPr>
              <w:t>200 (31.7)</w:t>
            </w:r>
          </w:p>
        </w:tc>
        <w:tc>
          <w:tcPr>
            <w:tcW w:w="1766" w:type="dxa"/>
            <w:shd w:val="clear" w:color="auto" w:fill="auto"/>
            <w:hideMark/>
          </w:tcPr>
          <w:p w14:paraId="232AC72C" w14:textId="77777777" w:rsidR="008D6FA3" w:rsidRPr="008D6FA3" w:rsidRDefault="008D6FA3" w:rsidP="00AF632F">
            <w:pPr>
              <w:pStyle w:val="NormalWeb"/>
              <w:jc w:val="center"/>
              <w:rPr>
                <w:sz w:val="18"/>
                <w:szCs w:val="18"/>
              </w:rPr>
            </w:pPr>
            <w:r w:rsidRPr="008D6FA3">
              <w:rPr>
                <w:sz w:val="18"/>
                <w:szCs w:val="18"/>
              </w:rPr>
              <w:t>164 (26.3)</w:t>
            </w:r>
          </w:p>
        </w:tc>
        <w:tc>
          <w:tcPr>
            <w:tcW w:w="1766" w:type="dxa"/>
            <w:shd w:val="clear" w:color="auto" w:fill="auto"/>
            <w:hideMark/>
          </w:tcPr>
          <w:p w14:paraId="3B27AD2A" w14:textId="77777777" w:rsidR="008D6FA3" w:rsidRPr="008D6FA3" w:rsidRDefault="008D6FA3" w:rsidP="00AF632F">
            <w:pPr>
              <w:pStyle w:val="NormalWeb"/>
              <w:jc w:val="center"/>
              <w:rPr>
                <w:sz w:val="18"/>
                <w:szCs w:val="18"/>
              </w:rPr>
            </w:pPr>
            <w:r w:rsidRPr="008D6FA3">
              <w:rPr>
                <w:sz w:val="18"/>
                <w:szCs w:val="18"/>
              </w:rPr>
              <w:t>364 (29.0)</w:t>
            </w:r>
          </w:p>
        </w:tc>
      </w:tr>
      <w:tr w:rsidR="008D6FA3" w:rsidRPr="008D6FA3" w14:paraId="642B9AC9" w14:textId="77777777" w:rsidTr="00B24445">
        <w:tc>
          <w:tcPr>
            <w:tcW w:w="0" w:type="auto"/>
            <w:vMerge/>
            <w:shd w:val="clear" w:color="auto" w:fill="auto"/>
            <w:hideMark/>
          </w:tcPr>
          <w:p w14:paraId="17602265" w14:textId="77777777" w:rsidR="008D6FA3" w:rsidRPr="008D6FA3" w:rsidRDefault="008D6FA3" w:rsidP="00AF632F">
            <w:pPr>
              <w:rPr>
                <w:sz w:val="18"/>
                <w:szCs w:val="18"/>
              </w:rPr>
            </w:pPr>
          </w:p>
        </w:tc>
        <w:tc>
          <w:tcPr>
            <w:tcW w:w="0" w:type="auto"/>
            <w:shd w:val="clear" w:color="auto" w:fill="auto"/>
            <w:hideMark/>
          </w:tcPr>
          <w:p w14:paraId="5E144957" w14:textId="77777777" w:rsidR="008D6FA3" w:rsidRPr="008D6FA3" w:rsidRDefault="008D6FA3" w:rsidP="00AF632F">
            <w:pPr>
              <w:pStyle w:val="NormalWeb"/>
              <w:rPr>
                <w:sz w:val="18"/>
                <w:szCs w:val="18"/>
              </w:rPr>
            </w:pPr>
            <w:r w:rsidRPr="008D6FA3">
              <w:rPr>
                <w:sz w:val="18"/>
                <w:szCs w:val="18"/>
              </w:rPr>
              <w:t>60–74</w:t>
            </w:r>
          </w:p>
        </w:tc>
        <w:tc>
          <w:tcPr>
            <w:tcW w:w="1766" w:type="dxa"/>
            <w:shd w:val="clear" w:color="auto" w:fill="auto"/>
            <w:hideMark/>
          </w:tcPr>
          <w:p w14:paraId="4B4E87D7" w14:textId="77777777" w:rsidR="008D6FA3" w:rsidRPr="008D6FA3" w:rsidRDefault="008D6FA3" w:rsidP="00AF632F">
            <w:pPr>
              <w:pStyle w:val="NormalWeb"/>
              <w:jc w:val="center"/>
              <w:rPr>
                <w:sz w:val="18"/>
                <w:szCs w:val="18"/>
              </w:rPr>
            </w:pPr>
            <w:r w:rsidRPr="008D6FA3">
              <w:rPr>
                <w:sz w:val="18"/>
                <w:szCs w:val="18"/>
              </w:rPr>
              <w:t>138 (21.9)</w:t>
            </w:r>
          </w:p>
        </w:tc>
        <w:tc>
          <w:tcPr>
            <w:tcW w:w="1766" w:type="dxa"/>
            <w:shd w:val="clear" w:color="auto" w:fill="auto"/>
            <w:hideMark/>
          </w:tcPr>
          <w:p w14:paraId="1EBE18E7" w14:textId="77777777" w:rsidR="008D6FA3" w:rsidRPr="008D6FA3" w:rsidRDefault="008D6FA3" w:rsidP="00AF632F">
            <w:pPr>
              <w:pStyle w:val="NormalWeb"/>
              <w:jc w:val="center"/>
              <w:rPr>
                <w:sz w:val="18"/>
                <w:szCs w:val="18"/>
              </w:rPr>
            </w:pPr>
            <w:r w:rsidRPr="008D6FA3">
              <w:rPr>
                <w:sz w:val="18"/>
                <w:szCs w:val="18"/>
              </w:rPr>
              <w:t>132 (21.2)</w:t>
            </w:r>
          </w:p>
        </w:tc>
        <w:tc>
          <w:tcPr>
            <w:tcW w:w="1766" w:type="dxa"/>
            <w:shd w:val="clear" w:color="auto" w:fill="auto"/>
            <w:hideMark/>
          </w:tcPr>
          <w:p w14:paraId="7DCE0891" w14:textId="77777777" w:rsidR="008D6FA3" w:rsidRPr="008D6FA3" w:rsidRDefault="008D6FA3" w:rsidP="00AF632F">
            <w:pPr>
              <w:pStyle w:val="NormalWeb"/>
              <w:jc w:val="center"/>
              <w:rPr>
                <w:sz w:val="18"/>
                <w:szCs w:val="18"/>
              </w:rPr>
            </w:pPr>
            <w:r w:rsidRPr="008D6FA3">
              <w:rPr>
                <w:sz w:val="18"/>
                <w:szCs w:val="18"/>
              </w:rPr>
              <w:t>270 (21.5)</w:t>
            </w:r>
          </w:p>
        </w:tc>
      </w:tr>
      <w:tr w:rsidR="008D6FA3" w:rsidRPr="008D6FA3" w14:paraId="358F92DA"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000000" w:themeColor="text1"/>
            </w:tcBorders>
            <w:shd w:val="clear" w:color="auto" w:fill="auto"/>
            <w:hideMark/>
          </w:tcPr>
          <w:p w14:paraId="77DDF173" w14:textId="77777777" w:rsidR="008D6FA3" w:rsidRPr="008D6FA3" w:rsidRDefault="008D6FA3" w:rsidP="00AF632F">
            <w:pPr>
              <w:rPr>
                <w:sz w:val="18"/>
                <w:szCs w:val="18"/>
              </w:rPr>
            </w:pPr>
          </w:p>
        </w:tc>
        <w:tc>
          <w:tcPr>
            <w:tcW w:w="0" w:type="auto"/>
            <w:tcBorders>
              <w:bottom w:val="single" w:sz="2" w:space="0" w:color="000000" w:themeColor="text1"/>
            </w:tcBorders>
            <w:shd w:val="clear" w:color="auto" w:fill="auto"/>
            <w:hideMark/>
          </w:tcPr>
          <w:p w14:paraId="1884C037" w14:textId="77777777" w:rsidR="008D6FA3" w:rsidRPr="008D6FA3" w:rsidRDefault="008D6FA3" w:rsidP="00AF632F">
            <w:pPr>
              <w:pStyle w:val="NormalWeb"/>
              <w:rPr>
                <w:sz w:val="18"/>
                <w:szCs w:val="18"/>
              </w:rPr>
            </w:pPr>
            <w:r w:rsidRPr="008D6FA3">
              <w:rPr>
                <w:sz w:val="18"/>
                <w:szCs w:val="18"/>
              </w:rPr>
              <w:t>75+</w:t>
            </w:r>
          </w:p>
        </w:tc>
        <w:tc>
          <w:tcPr>
            <w:tcW w:w="1766" w:type="dxa"/>
            <w:tcBorders>
              <w:bottom w:val="single" w:sz="2" w:space="0" w:color="000000" w:themeColor="text1"/>
            </w:tcBorders>
            <w:shd w:val="clear" w:color="auto" w:fill="auto"/>
            <w:hideMark/>
          </w:tcPr>
          <w:p w14:paraId="37CEC623" w14:textId="77777777" w:rsidR="008D6FA3" w:rsidRPr="008D6FA3" w:rsidRDefault="008D6FA3" w:rsidP="00AF632F">
            <w:pPr>
              <w:pStyle w:val="NormalWeb"/>
              <w:jc w:val="center"/>
              <w:rPr>
                <w:sz w:val="18"/>
                <w:szCs w:val="18"/>
              </w:rPr>
            </w:pPr>
            <w:r w:rsidRPr="008D6FA3">
              <w:rPr>
                <w:sz w:val="18"/>
                <w:szCs w:val="18"/>
              </w:rPr>
              <w:t>40 (6.3)</w:t>
            </w:r>
          </w:p>
        </w:tc>
        <w:tc>
          <w:tcPr>
            <w:tcW w:w="1766" w:type="dxa"/>
            <w:tcBorders>
              <w:bottom w:val="single" w:sz="2" w:space="0" w:color="000000" w:themeColor="text1"/>
            </w:tcBorders>
            <w:shd w:val="clear" w:color="auto" w:fill="auto"/>
            <w:hideMark/>
          </w:tcPr>
          <w:p w14:paraId="1294037C" w14:textId="77777777" w:rsidR="008D6FA3" w:rsidRPr="008D6FA3" w:rsidRDefault="008D6FA3" w:rsidP="00AF632F">
            <w:pPr>
              <w:pStyle w:val="NormalWeb"/>
              <w:jc w:val="center"/>
              <w:rPr>
                <w:sz w:val="18"/>
                <w:szCs w:val="18"/>
              </w:rPr>
            </w:pPr>
            <w:r w:rsidRPr="008D6FA3">
              <w:rPr>
                <w:sz w:val="18"/>
                <w:szCs w:val="18"/>
              </w:rPr>
              <w:t>23 (3.7)</w:t>
            </w:r>
          </w:p>
        </w:tc>
        <w:tc>
          <w:tcPr>
            <w:tcW w:w="1766" w:type="dxa"/>
            <w:tcBorders>
              <w:bottom w:val="single" w:sz="2" w:space="0" w:color="000000" w:themeColor="text1"/>
            </w:tcBorders>
            <w:shd w:val="clear" w:color="auto" w:fill="auto"/>
            <w:hideMark/>
          </w:tcPr>
          <w:p w14:paraId="53566C8F" w14:textId="77777777" w:rsidR="008D6FA3" w:rsidRPr="008D6FA3" w:rsidRDefault="008D6FA3" w:rsidP="00AF632F">
            <w:pPr>
              <w:pStyle w:val="NormalWeb"/>
              <w:jc w:val="center"/>
              <w:rPr>
                <w:sz w:val="18"/>
                <w:szCs w:val="18"/>
              </w:rPr>
            </w:pPr>
            <w:r w:rsidRPr="008D6FA3">
              <w:rPr>
                <w:sz w:val="18"/>
                <w:szCs w:val="18"/>
              </w:rPr>
              <w:t>63 (5.0)</w:t>
            </w:r>
          </w:p>
        </w:tc>
      </w:tr>
      <w:tr w:rsidR="008D6FA3" w:rsidRPr="008D6FA3" w14:paraId="1527E605" w14:textId="77777777" w:rsidTr="00B24445">
        <w:tc>
          <w:tcPr>
            <w:tcW w:w="0" w:type="auto"/>
            <w:vMerge w:val="restart"/>
            <w:tcBorders>
              <w:top w:val="single" w:sz="2" w:space="0" w:color="000000" w:themeColor="text1"/>
            </w:tcBorders>
            <w:shd w:val="clear" w:color="auto" w:fill="auto"/>
            <w:hideMark/>
          </w:tcPr>
          <w:p w14:paraId="6001740F" w14:textId="77777777" w:rsidR="008D6FA3" w:rsidRPr="008D6FA3" w:rsidRDefault="008D6FA3" w:rsidP="00AF632F">
            <w:pPr>
              <w:pStyle w:val="NormalWeb"/>
              <w:rPr>
                <w:sz w:val="18"/>
                <w:szCs w:val="18"/>
              </w:rPr>
            </w:pPr>
            <w:proofErr w:type="spellStart"/>
            <w:r w:rsidRPr="008D6FA3">
              <w:rPr>
                <w:sz w:val="18"/>
                <w:szCs w:val="18"/>
              </w:rPr>
              <w:t>ARIA+</w:t>
            </w:r>
            <w:r w:rsidRPr="008D6FA3">
              <w:rPr>
                <w:sz w:val="18"/>
                <w:szCs w:val="18"/>
                <w:vertAlign w:val="superscript"/>
              </w:rPr>
              <w:t>b</w:t>
            </w:r>
            <w:proofErr w:type="spellEnd"/>
          </w:p>
        </w:tc>
        <w:tc>
          <w:tcPr>
            <w:tcW w:w="0" w:type="auto"/>
            <w:tcBorders>
              <w:top w:val="single" w:sz="2" w:space="0" w:color="000000" w:themeColor="text1"/>
            </w:tcBorders>
            <w:shd w:val="clear" w:color="auto" w:fill="auto"/>
            <w:hideMark/>
          </w:tcPr>
          <w:p w14:paraId="32CE4C80" w14:textId="77777777" w:rsidR="008D6FA3" w:rsidRPr="008D6FA3" w:rsidRDefault="008D6FA3" w:rsidP="00AF632F">
            <w:pPr>
              <w:pStyle w:val="NormalWeb"/>
              <w:rPr>
                <w:sz w:val="18"/>
                <w:szCs w:val="18"/>
              </w:rPr>
            </w:pPr>
            <w:r w:rsidRPr="008D6FA3">
              <w:rPr>
                <w:sz w:val="18"/>
                <w:szCs w:val="18"/>
              </w:rPr>
              <w:t>Major cities</w:t>
            </w:r>
          </w:p>
        </w:tc>
        <w:tc>
          <w:tcPr>
            <w:tcW w:w="1766" w:type="dxa"/>
            <w:tcBorders>
              <w:top w:val="single" w:sz="2" w:space="0" w:color="000000" w:themeColor="text1"/>
            </w:tcBorders>
            <w:shd w:val="clear" w:color="auto" w:fill="auto"/>
            <w:hideMark/>
          </w:tcPr>
          <w:p w14:paraId="2F59974E" w14:textId="77777777" w:rsidR="008D6FA3" w:rsidRPr="008D6FA3" w:rsidRDefault="008D6FA3" w:rsidP="00AF632F">
            <w:pPr>
              <w:pStyle w:val="NormalWeb"/>
              <w:jc w:val="center"/>
              <w:rPr>
                <w:sz w:val="18"/>
                <w:szCs w:val="18"/>
              </w:rPr>
            </w:pPr>
            <w:r w:rsidRPr="008D6FA3">
              <w:rPr>
                <w:sz w:val="18"/>
                <w:szCs w:val="18"/>
              </w:rPr>
              <w:t>483 (76.7)</w:t>
            </w:r>
          </w:p>
        </w:tc>
        <w:tc>
          <w:tcPr>
            <w:tcW w:w="1766" w:type="dxa"/>
            <w:tcBorders>
              <w:top w:val="single" w:sz="2" w:space="0" w:color="000000" w:themeColor="text1"/>
            </w:tcBorders>
            <w:shd w:val="clear" w:color="auto" w:fill="auto"/>
            <w:hideMark/>
          </w:tcPr>
          <w:p w14:paraId="1B0E45C8" w14:textId="77777777" w:rsidR="008D6FA3" w:rsidRPr="008D6FA3" w:rsidRDefault="008D6FA3" w:rsidP="00AF632F">
            <w:pPr>
              <w:pStyle w:val="NormalWeb"/>
              <w:jc w:val="center"/>
              <w:rPr>
                <w:sz w:val="18"/>
                <w:szCs w:val="18"/>
              </w:rPr>
            </w:pPr>
            <w:r w:rsidRPr="008D6FA3">
              <w:rPr>
                <w:sz w:val="18"/>
                <w:szCs w:val="18"/>
              </w:rPr>
              <w:t>490 (78.5)</w:t>
            </w:r>
          </w:p>
        </w:tc>
        <w:tc>
          <w:tcPr>
            <w:tcW w:w="1766" w:type="dxa"/>
            <w:tcBorders>
              <w:top w:val="single" w:sz="2" w:space="0" w:color="000000" w:themeColor="text1"/>
            </w:tcBorders>
            <w:shd w:val="clear" w:color="auto" w:fill="auto"/>
            <w:hideMark/>
          </w:tcPr>
          <w:p w14:paraId="0D97D736" w14:textId="77777777" w:rsidR="008D6FA3" w:rsidRPr="008D6FA3" w:rsidRDefault="008D6FA3" w:rsidP="00AF632F">
            <w:pPr>
              <w:pStyle w:val="NormalWeb"/>
              <w:jc w:val="center"/>
              <w:rPr>
                <w:sz w:val="18"/>
                <w:szCs w:val="18"/>
              </w:rPr>
            </w:pPr>
            <w:r w:rsidRPr="008D6FA3">
              <w:rPr>
                <w:sz w:val="18"/>
                <w:szCs w:val="18"/>
              </w:rPr>
              <w:t>973 (77.6)</w:t>
            </w:r>
          </w:p>
        </w:tc>
      </w:tr>
      <w:tr w:rsidR="008D6FA3" w:rsidRPr="008D6FA3" w14:paraId="570F4082"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36B01885" w14:textId="77777777" w:rsidR="008D6FA3" w:rsidRPr="008D6FA3" w:rsidRDefault="008D6FA3" w:rsidP="00AF632F">
            <w:pPr>
              <w:rPr>
                <w:sz w:val="18"/>
                <w:szCs w:val="18"/>
              </w:rPr>
            </w:pPr>
          </w:p>
        </w:tc>
        <w:tc>
          <w:tcPr>
            <w:tcW w:w="0" w:type="auto"/>
            <w:shd w:val="clear" w:color="auto" w:fill="auto"/>
            <w:hideMark/>
          </w:tcPr>
          <w:p w14:paraId="1CA983D4" w14:textId="77777777" w:rsidR="008D6FA3" w:rsidRPr="008D6FA3" w:rsidRDefault="008D6FA3" w:rsidP="00AF632F">
            <w:pPr>
              <w:pStyle w:val="NormalWeb"/>
              <w:rPr>
                <w:sz w:val="18"/>
                <w:szCs w:val="18"/>
              </w:rPr>
            </w:pPr>
            <w:r w:rsidRPr="008D6FA3">
              <w:rPr>
                <w:sz w:val="18"/>
                <w:szCs w:val="18"/>
              </w:rPr>
              <w:t>Inner regional</w:t>
            </w:r>
          </w:p>
        </w:tc>
        <w:tc>
          <w:tcPr>
            <w:tcW w:w="1766" w:type="dxa"/>
            <w:shd w:val="clear" w:color="auto" w:fill="auto"/>
            <w:hideMark/>
          </w:tcPr>
          <w:p w14:paraId="2E3329DE" w14:textId="77777777" w:rsidR="008D6FA3" w:rsidRPr="008D6FA3" w:rsidRDefault="008D6FA3" w:rsidP="00AF632F">
            <w:pPr>
              <w:pStyle w:val="NormalWeb"/>
              <w:jc w:val="center"/>
              <w:rPr>
                <w:sz w:val="18"/>
                <w:szCs w:val="18"/>
              </w:rPr>
            </w:pPr>
            <w:r w:rsidRPr="008D6FA3">
              <w:rPr>
                <w:sz w:val="18"/>
                <w:szCs w:val="18"/>
              </w:rPr>
              <w:t>67 (10.6)</w:t>
            </w:r>
          </w:p>
        </w:tc>
        <w:tc>
          <w:tcPr>
            <w:tcW w:w="1766" w:type="dxa"/>
            <w:shd w:val="clear" w:color="auto" w:fill="auto"/>
            <w:hideMark/>
          </w:tcPr>
          <w:p w14:paraId="7BD9F8EB" w14:textId="77777777" w:rsidR="008D6FA3" w:rsidRPr="008D6FA3" w:rsidRDefault="008D6FA3" w:rsidP="00AF632F">
            <w:pPr>
              <w:pStyle w:val="NormalWeb"/>
              <w:jc w:val="center"/>
              <w:rPr>
                <w:sz w:val="18"/>
                <w:szCs w:val="18"/>
              </w:rPr>
            </w:pPr>
            <w:r w:rsidRPr="008D6FA3">
              <w:rPr>
                <w:sz w:val="18"/>
                <w:szCs w:val="18"/>
              </w:rPr>
              <w:t>66 (10.6)</w:t>
            </w:r>
          </w:p>
        </w:tc>
        <w:tc>
          <w:tcPr>
            <w:tcW w:w="1766" w:type="dxa"/>
            <w:shd w:val="clear" w:color="auto" w:fill="auto"/>
            <w:hideMark/>
          </w:tcPr>
          <w:p w14:paraId="742F5650" w14:textId="77777777" w:rsidR="008D6FA3" w:rsidRPr="008D6FA3" w:rsidRDefault="008D6FA3" w:rsidP="00AF632F">
            <w:pPr>
              <w:pStyle w:val="NormalWeb"/>
              <w:jc w:val="center"/>
              <w:rPr>
                <w:sz w:val="18"/>
                <w:szCs w:val="18"/>
              </w:rPr>
            </w:pPr>
            <w:r w:rsidRPr="008D6FA3">
              <w:rPr>
                <w:sz w:val="18"/>
                <w:szCs w:val="18"/>
              </w:rPr>
              <w:t>133 (10.6)</w:t>
            </w:r>
          </w:p>
        </w:tc>
      </w:tr>
      <w:tr w:rsidR="008D6FA3" w:rsidRPr="008D6FA3" w14:paraId="76DDDF9A" w14:textId="77777777" w:rsidTr="00B24445">
        <w:tc>
          <w:tcPr>
            <w:tcW w:w="0" w:type="auto"/>
            <w:vMerge/>
            <w:shd w:val="clear" w:color="auto" w:fill="auto"/>
            <w:hideMark/>
          </w:tcPr>
          <w:p w14:paraId="7F2AA865" w14:textId="77777777" w:rsidR="008D6FA3" w:rsidRPr="008D6FA3" w:rsidRDefault="008D6FA3" w:rsidP="00AF632F">
            <w:pPr>
              <w:rPr>
                <w:sz w:val="18"/>
                <w:szCs w:val="18"/>
              </w:rPr>
            </w:pPr>
          </w:p>
        </w:tc>
        <w:tc>
          <w:tcPr>
            <w:tcW w:w="0" w:type="auto"/>
            <w:shd w:val="clear" w:color="auto" w:fill="auto"/>
            <w:hideMark/>
          </w:tcPr>
          <w:p w14:paraId="228B1D7C" w14:textId="77777777" w:rsidR="008D6FA3" w:rsidRPr="008D6FA3" w:rsidRDefault="008D6FA3" w:rsidP="00AF632F">
            <w:pPr>
              <w:pStyle w:val="NormalWeb"/>
              <w:rPr>
                <w:sz w:val="18"/>
                <w:szCs w:val="18"/>
              </w:rPr>
            </w:pPr>
            <w:r w:rsidRPr="008D6FA3">
              <w:rPr>
                <w:sz w:val="18"/>
                <w:szCs w:val="18"/>
              </w:rPr>
              <w:t>Outer regional / remote / very remote</w:t>
            </w:r>
          </w:p>
        </w:tc>
        <w:tc>
          <w:tcPr>
            <w:tcW w:w="1766" w:type="dxa"/>
            <w:shd w:val="clear" w:color="auto" w:fill="auto"/>
            <w:hideMark/>
          </w:tcPr>
          <w:p w14:paraId="4DF6DC03" w14:textId="77777777" w:rsidR="008D6FA3" w:rsidRPr="008D6FA3" w:rsidRDefault="008D6FA3" w:rsidP="00AF632F">
            <w:pPr>
              <w:pStyle w:val="NormalWeb"/>
              <w:jc w:val="center"/>
              <w:rPr>
                <w:sz w:val="18"/>
                <w:szCs w:val="18"/>
              </w:rPr>
            </w:pPr>
            <w:r w:rsidRPr="008D6FA3">
              <w:rPr>
                <w:sz w:val="18"/>
                <w:szCs w:val="18"/>
              </w:rPr>
              <w:t>46 (7.3)</w:t>
            </w:r>
          </w:p>
        </w:tc>
        <w:tc>
          <w:tcPr>
            <w:tcW w:w="1766" w:type="dxa"/>
            <w:shd w:val="clear" w:color="auto" w:fill="auto"/>
            <w:hideMark/>
          </w:tcPr>
          <w:p w14:paraId="12634140" w14:textId="77777777" w:rsidR="008D6FA3" w:rsidRPr="008D6FA3" w:rsidRDefault="008D6FA3" w:rsidP="00AF632F">
            <w:pPr>
              <w:pStyle w:val="NormalWeb"/>
              <w:jc w:val="center"/>
              <w:rPr>
                <w:sz w:val="18"/>
                <w:szCs w:val="18"/>
              </w:rPr>
            </w:pPr>
            <w:r w:rsidRPr="008D6FA3">
              <w:rPr>
                <w:sz w:val="18"/>
                <w:szCs w:val="18"/>
              </w:rPr>
              <w:t>40 (6.4)</w:t>
            </w:r>
          </w:p>
        </w:tc>
        <w:tc>
          <w:tcPr>
            <w:tcW w:w="1766" w:type="dxa"/>
            <w:shd w:val="clear" w:color="auto" w:fill="auto"/>
            <w:hideMark/>
          </w:tcPr>
          <w:p w14:paraId="04CAE5C8" w14:textId="77777777" w:rsidR="008D6FA3" w:rsidRPr="008D6FA3" w:rsidRDefault="008D6FA3" w:rsidP="00AF632F">
            <w:pPr>
              <w:pStyle w:val="NormalWeb"/>
              <w:jc w:val="center"/>
              <w:rPr>
                <w:sz w:val="18"/>
                <w:szCs w:val="18"/>
              </w:rPr>
            </w:pPr>
            <w:r w:rsidRPr="008D6FA3">
              <w:rPr>
                <w:sz w:val="18"/>
                <w:szCs w:val="18"/>
              </w:rPr>
              <w:t>86 (6.9)</w:t>
            </w:r>
          </w:p>
        </w:tc>
      </w:tr>
      <w:tr w:rsidR="008D6FA3" w:rsidRPr="008D6FA3" w14:paraId="6A20DD08"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auto"/>
            </w:tcBorders>
            <w:shd w:val="clear" w:color="auto" w:fill="auto"/>
            <w:hideMark/>
          </w:tcPr>
          <w:p w14:paraId="38D80EC2" w14:textId="77777777" w:rsidR="008D6FA3" w:rsidRPr="008D6FA3" w:rsidRDefault="008D6FA3" w:rsidP="00AF632F">
            <w:pPr>
              <w:rPr>
                <w:sz w:val="18"/>
                <w:szCs w:val="18"/>
              </w:rPr>
            </w:pPr>
          </w:p>
        </w:tc>
        <w:tc>
          <w:tcPr>
            <w:tcW w:w="0" w:type="auto"/>
            <w:tcBorders>
              <w:bottom w:val="single" w:sz="2" w:space="0" w:color="auto"/>
            </w:tcBorders>
            <w:shd w:val="clear" w:color="auto" w:fill="auto"/>
            <w:hideMark/>
          </w:tcPr>
          <w:p w14:paraId="53BAED09" w14:textId="77777777" w:rsidR="008D6FA3" w:rsidRPr="008D6FA3" w:rsidRDefault="008D6FA3" w:rsidP="00AF632F">
            <w:pPr>
              <w:pStyle w:val="NormalWeb"/>
              <w:rPr>
                <w:sz w:val="18"/>
                <w:szCs w:val="18"/>
              </w:rPr>
            </w:pPr>
            <w:r w:rsidRPr="008D6FA3">
              <w:rPr>
                <w:sz w:val="18"/>
                <w:szCs w:val="18"/>
              </w:rPr>
              <w:t>Non-Queensland resident</w:t>
            </w:r>
          </w:p>
        </w:tc>
        <w:tc>
          <w:tcPr>
            <w:tcW w:w="1766" w:type="dxa"/>
            <w:tcBorders>
              <w:bottom w:val="single" w:sz="2" w:space="0" w:color="auto"/>
            </w:tcBorders>
            <w:shd w:val="clear" w:color="auto" w:fill="auto"/>
            <w:hideMark/>
          </w:tcPr>
          <w:p w14:paraId="452453D4" w14:textId="77777777" w:rsidR="008D6FA3" w:rsidRPr="008D6FA3" w:rsidRDefault="008D6FA3" w:rsidP="00AF632F">
            <w:pPr>
              <w:pStyle w:val="NormalWeb"/>
              <w:jc w:val="center"/>
              <w:rPr>
                <w:sz w:val="18"/>
                <w:szCs w:val="18"/>
              </w:rPr>
            </w:pPr>
            <w:r w:rsidRPr="008D6FA3">
              <w:rPr>
                <w:sz w:val="18"/>
                <w:szCs w:val="18"/>
              </w:rPr>
              <w:t>34 (5.4)</w:t>
            </w:r>
          </w:p>
        </w:tc>
        <w:tc>
          <w:tcPr>
            <w:tcW w:w="1766" w:type="dxa"/>
            <w:tcBorders>
              <w:bottom w:val="single" w:sz="2" w:space="0" w:color="auto"/>
            </w:tcBorders>
            <w:shd w:val="clear" w:color="auto" w:fill="auto"/>
            <w:hideMark/>
          </w:tcPr>
          <w:p w14:paraId="1DB0B287" w14:textId="77777777" w:rsidR="008D6FA3" w:rsidRPr="008D6FA3" w:rsidRDefault="008D6FA3" w:rsidP="00AF632F">
            <w:pPr>
              <w:pStyle w:val="NormalWeb"/>
              <w:jc w:val="center"/>
              <w:rPr>
                <w:sz w:val="18"/>
                <w:szCs w:val="18"/>
              </w:rPr>
            </w:pPr>
            <w:r w:rsidRPr="008D6FA3">
              <w:rPr>
                <w:sz w:val="18"/>
                <w:szCs w:val="18"/>
              </w:rPr>
              <w:t>27 (4.3)</w:t>
            </w:r>
          </w:p>
        </w:tc>
        <w:tc>
          <w:tcPr>
            <w:tcW w:w="1766" w:type="dxa"/>
            <w:tcBorders>
              <w:bottom w:val="single" w:sz="2" w:space="0" w:color="auto"/>
            </w:tcBorders>
            <w:shd w:val="clear" w:color="auto" w:fill="auto"/>
            <w:hideMark/>
          </w:tcPr>
          <w:p w14:paraId="1EBD9599" w14:textId="77777777" w:rsidR="008D6FA3" w:rsidRPr="008D6FA3" w:rsidRDefault="008D6FA3" w:rsidP="00AF632F">
            <w:pPr>
              <w:pStyle w:val="NormalWeb"/>
              <w:jc w:val="center"/>
              <w:rPr>
                <w:sz w:val="18"/>
                <w:szCs w:val="18"/>
              </w:rPr>
            </w:pPr>
            <w:r w:rsidRPr="008D6FA3">
              <w:rPr>
                <w:sz w:val="18"/>
                <w:szCs w:val="18"/>
              </w:rPr>
              <w:t>61 (4.9)</w:t>
            </w:r>
          </w:p>
        </w:tc>
      </w:tr>
      <w:tr w:rsidR="008D6FA3" w:rsidRPr="008D6FA3" w14:paraId="03B68BC8" w14:textId="77777777" w:rsidTr="00B24445">
        <w:tc>
          <w:tcPr>
            <w:tcW w:w="0" w:type="auto"/>
            <w:vMerge w:val="restart"/>
            <w:tcBorders>
              <w:top w:val="single" w:sz="2" w:space="0" w:color="auto"/>
            </w:tcBorders>
            <w:shd w:val="clear" w:color="auto" w:fill="auto"/>
            <w:hideMark/>
          </w:tcPr>
          <w:p w14:paraId="09CC5C91" w14:textId="77777777" w:rsidR="008D6FA3" w:rsidRPr="008D6FA3" w:rsidRDefault="008D6FA3" w:rsidP="00AF632F">
            <w:pPr>
              <w:pStyle w:val="NormalWeb"/>
              <w:rPr>
                <w:sz w:val="18"/>
                <w:szCs w:val="18"/>
              </w:rPr>
            </w:pPr>
            <w:r w:rsidRPr="008D6FA3">
              <w:rPr>
                <w:sz w:val="18"/>
                <w:szCs w:val="18"/>
              </w:rPr>
              <w:t xml:space="preserve">SEIFA </w:t>
            </w:r>
            <w:proofErr w:type="spellStart"/>
            <w:r w:rsidRPr="008D6FA3">
              <w:rPr>
                <w:sz w:val="18"/>
                <w:szCs w:val="18"/>
              </w:rPr>
              <w:t>IRSD</w:t>
            </w:r>
            <w:r w:rsidRPr="008D6FA3">
              <w:rPr>
                <w:sz w:val="18"/>
                <w:szCs w:val="18"/>
                <w:vertAlign w:val="superscript"/>
              </w:rPr>
              <w:t>c</w:t>
            </w:r>
            <w:proofErr w:type="spellEnd"/>
          </w:p>
        </w:tc>
        <w:tc>
          <w:tcPr>
            <w:tcW w:w="0" w:type="auto"/>
            <w:tcBorders>
              <w:top w:val="single" w:sz="2" w:space="0" w:color="auto"/>
            </w:tcBorders>
            <w:shd w:val="clear" w:color="auto" w:fill="auto"/>
            <w:hideMark/>
          </w:tcPr>
          <w:p w14:paraId="0007E64B" w14:textId="77777777" w:rsidR="008D6FA3" w:rsidRPr="008D6FA3" w:rsidRDefault="008D6FA3" w:rsidP="00AF632F">
            <w:pPr>
              <w:pStyle w:val="NormalWeb"/>
              <w:rPr>
                <w:sz w:val="18"/>
                <w:szCs w:val="18"/>
              </w:rPr>
            </w:pPr>
            <w:r w:rsidRPr="008D6FA3">
              <w:rPr>
                <w:sz w:val="18"/>
                <w:szCs w:val="18"/>
              </w:rPr>
              <w:t>Most disadvantaged quintile</w:t>
            </w:r>
          </w:p>
        </w:tc>
        <w:tc>
          <w:tcPr>
            <w:tcW w:w="1766" w:type="dxa"/>
            <w:tcBorders>
              <w:top w:val="single" w:sz="2" w:space="0" w:color="auto"/>
            </w:tcBorders>
            <w:shd w:val="clear" w:color="auto" w:fill="auto"/>
            <w:hideMark/>
          </w:tcPr>
          <w:p w14:paraId="4A1A86E4" w14:textId="77777777" w:rsidR="008D6FA3" w:rsidRPr="008D6FA3" w:rsidRDefault="008D6FA3" w:rsidP="00AF632F">
            <w:pPr>
              <w:pStyle w:val="NormalWeb"/>
              <w:jc w:val="center"/>
              <w:rPr>
                <w:sz w:val="18"/>
                <w:szCs w:val="18"/>
              </w:rPr>
            </w:pPr>
            <w:r w:rsidRPr="008D6FA3">
              <w:rPr>
                <w:sz w:val="18"/>
                <w:szCs w:val="18"/>
              </w:rPr>
              <w:t>66 (10.5)</w:t>
            </w:r>
          </w:p>
        </w:tc>
        <w:tc>
          <w:tcPr>
            <w:tcW w:w="1766" w:type="dxa"/>
            <w:tcBorders>
              <w:top w:val="single" w:sz="2" w:space="0" w:color="auto"/>
            </w:tcBorders>
            <w:shd w:val="clear" w:color="auto" w:fill="auto"/>
            <w:hideMark/>
          </w:tcPr>
          <w:p w14:paraId="76B5A2C8" w14:textId="77777777" w:rsidR="008D6FA3" w:rsidRPr="008D6FA3" w:rsidRDefault="008D6FA3" w:rsidP="00AF632F">
            <w:pPr>
              <w:pStyle w:val="NormalWeb"/>
              <w:jc w:val="center"/>
              <w:rPr>
                <w:sz w:val="18"/>
                <w:szCs w:val="18"/>
              </w:rPr>
            </w:pPr>
            <w:r w:rsidRPr="008D6FA3">
              <w:rPr>
                <w:sz w:val="18"/>
                <w:szCs w:val="18"/>
              </w:rPr>
              <w:t>68 (10.9)</w:t>
            </w:r>
          </w:p>
        </w:tc>
        <w:tc>
          <w:tcPr>
            <w:tcW w:w="1766" w:type="dxa"/>
            <w:tcBorders>
              <w:top w:val="single" w:sz="2" w:space="0" w:color="auto"/>
            </w:tcBorders>
            <w:shd w:val="clear" w:color="auto" w:fill="auto"/>
            <w:hideMark/>
          </w:tcPr>
          <w:p w14:paraId="3132C4D9" w14:textId="77777777" w:rsidR="008D6FA3" w:rsidRPr="008D6FA3" w:rsidRDefault="008D6FA3" w:rsidP="00AF632F">
            <w:pPr>
              <w:pStyle w:val="NormalWeb"/>
              <w:jc w:val="center"/>
              <w:rPr>
                <w:sz w:val="18"/>
                <w:szCs w:val="18"/>
              </w:rPr>
            </w:pPr>
            <w:r w:rsidRPr="008D6FA3">
              <w:rPr>
                <w:sz w:val="18"/>
                <w:szCs w:val="18"/>
              </w:rPr>
              <w:t>134 (10.7)</w:t>
            </w:r>
          </w:p>
        </w:tc>
      </w:tr>
      <w:tr w:rsidR="008D6FA3" w:rsidRPr="008D6FA3" w14:paraId="67BA0CD5"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0D1D2E0F" w14:textId="77777777" w:rsidR="008D6FA3" w:rsidRPr="008D6FA3" w:rsidRDefault="008D6FA3" w:rsidP="00AF632F">
            <w:pPr>
              <w:rPr>
                <w:sz w:val="18"/>
                <w:szCs w:val="18"/>
              </w:rPr>
            </w:pPr>
          </w:p>
        </w:tc>
        <w:tc>
          <w:tcPr>
            <w:tcW w:w="0" w:type="auto"/>
            <w:shd w:val="clear" w:color="auto" w:fill="auto"/>
            <w:hideMark/>
          </w:tcPr>
          <w:p w14:paraId="337CA3FB" w14:textId="77777777" w:rsidR="008D6FA3" w:rsidRPr="008D6FA3" w:rsidRDefault="008D6FA3" w:rsidP="00AF632F">
            <w:pPr>
              <w:pStyle w:val="NormalWeb"/>
              <w:rPr>
                <w:sz w:val="18"/>
                <w:szCs w:val="18"/>
              </w:rPr>
            </w:pPr>
            <w:r w:rsidRPr="008D6FA3">
              <w:rPr>
                <w:sz w:val="18"/>
                <w:szCs w:val="18"/>
              </w:rPr>
              <w:t>2nd quintile</w:t>
            </w:r>
          </w:p>
        </w:tc>
        <w:tc>
          <w:tcPr>
            <w:tcW w:w="1766" w:type="dxa"/>
            <w:shd w:val="clear" w:color="auto" w:fill="auto"/>
            <w:hideMark/>
          </w:tcPr>
          <w:p w14:paraId="4FABA64E" w14:textId="77777777" w:rsidR="008D6FA3" w:rsidRPr="008D6FA3" w:rsidRDefault="008D6FA3" w:rsidP="00AF632F">
            <w:pPr>
              <w:pStyle w:val="NormalWeb"/>
              <w:jc w:val="center"/>
              <w:rPr>
                <w:sz w:val="18"/>
                <w:szCs w:val="18"/>
              </w:rPr>
            </w:pPr>
            <w:r w:rsidRPr="008D6FA3">
              <w:rPr>
                <w:sz w:val="18"/>
                <w:szCs w:val="18"/>
              </w:rPr>
              <w:t>70 (11.1)</w:t>
            </w:r>
          </w:p>
        </w:tc>
        <w:tc>
          <w:tcPr>
            <w:tcW w:w="1766" w:type="dxa"/>
            <w:shd w:val="clear" w:color="auto" w:fill="auto"/>
            <w:hideMark/>
          </w:tcPr>
          <w:p w14:paraId="0717DB2D" w14:textId="77777777" w:rsidR="008D6FA3" w:rsidRPr="008D6FA3" w:rsidRDefault="008D6FA3" w:rsidP="00AF632F">
            <w:pPr>
              <w:pStyle w:val="NormalWeb"/>
              <w:jc w:val="center"/>
              <w:rPr>
                <w:sz w:val="18"/>
                <w:szCs w:val="18"/>
              </w:rPr>
            </w:pPr>
            <w:r w:rsidRPr="008D6FA3">
              <w:rPr>
                <w:sz w:val="18"/>
                <w:szCs w:val="18"/>
              </w:rPr>
              <w:t>72 (11.5)</w:t>
            </w:r>
          </w:p>
        </w:tc>
        <w:tc>
          <w:tcPr>
            <w:tcW w:w="1766" w:type="dxa"/>
            <w:shd w:val="clear" w:color="auto" w:fill="auto"/>
            <w:hideMark/>
          </w:tcPr>
          <w:p w14:paraId="394002D9" w14:textId="77777777" w:rsidR="008D6FA3" w:rsidRPr="008D6FA3" w:rsidRDefault="008D6FA3" w:rsidP="00AF632F">
            <w:pPr>
              <w:pStyle w:val="NormalWeb"/>
              <w:jc w:val="center"/>
              <w:rPr>
                <w:sz w:val="18"/>
                <w:szCs w:val="18"/>
              </w:rPr>
            </w:pPr>
            <w:r w:rsidRPr="008D6FA3">
              <w:rPr>
                <w:sz w:val="18"/>
                <w:szCs w:val="18"/>
              </w:rPr>
              <w:t>142 (11.3)</w:t>
            </w:r>
          </w:p>
        </w:tc>
      </w:tr>
      <w:tr w:rsidR="008D6FA3" w:rsidRPr="008D6FA3" w14:paraId="6B9898A3" w14:textId="77777777" w:rsidTr="00B24445">
        <w:tc>
          <w:tcPr>
            <w:tcW w:w="0" w:type="auto"/>
            <w:vMerge/>
            <w:shd w:val="clear" w:color="auto" w:fill="auto"/>
            <w:hideMark/>
          </w:tcPr>
          <w:p w14:paraId="678B2496" w14:textId="77777777" w:rsidR="008D6FA3" w:rsidRPr="008D6FA3" w:rsidRDefault="008D6FA3" w:rsidP="00AF632F">
            <w:pPr>
              <w:rPr>
                <w:sz w:val="18"/>
                <w:szCs w:val="18"/>
              </w:rPr>
            </w:pPr>
          </w:p>
        </w:tc>
        <w:tc>
          <w:tcPr>
            <w:tcW w:w="0" w:type="auto"/>
            <w:shd w:val="clear" w:color="auto" w:fill="auto"/>
            <w:hideMark/>
          </w:tcPr>
          <w:p w14:paraId="60078D32" w14:textId="77777777" w:rsidR="008D6FA3" w:rsidRPr="008D6FA3" w:rsidRDefault="008D6FA3" w:rsidP="00AF632F">
            <w:pPr>
              <w:pStyle w:val="NormalWeb"/>
              <w:rPr>
                <w:sz w:val="18"/>
                <w:szCs w:val="18"/>
              </w:rPr>
            </w:pPr>
            <w:r w:rsidRPr="008D6FA3">
              <w:rPr>
                <w:sz w:val="18"/>
                <w:szCs w:val="18"/>
              </w:rPr>
              <w:t>3rd quintile</w:t>
            </w:r>
          </w:p>
        </w:tc>
        <w:tc>
          <w:tcPr>
            <w:tcW w:w="1766" w:type="dxa"/>
            <w:shd w:val="clear" w:color="auto" w:fill="auto"/>
            <w:hideMark/>
          </w:tcPr>
          <w:p w14:paraId="1CC096ED" w14:textId="77777777" w:rsidR="008D6FA3" w:rsidRPr="008D6FA3" w:rsidRDefault="008D6FA3" w:rsidP="00AF632F">
            <w:pPr>
              <w:pStyle w:val="NormalWeb"/>
              <w:jc w:val="center"/>
              <w:rPr>
                <w:sz w:val="18"/>
                <w:szCs w:val="18"/>
              </w:rPr>
            </w:pPr>
            <w:r w:rsidRPr="008D6FA3">
              <w:rPr>
                <w:sz w:val="18"/>
                <w:szCs w:val="18"/>
              </w:rPr>
              <w:t>116 (18.4)</w:t>
            </w:r>
          </w:p>
        </w:tc>
        <w:tc>
          <w:tcPr>
            <w:tcW w:w="1766" w:type="dxa"/>
            <w:shd w:val="clear" w:color="auto" w:fill="auto"/>
            <w:hideMark/>
          </w:tcPr>
          <w:p w14:paraId="236ABAD2" w14:textId="77777777" w:rsidR="008D6FA3" w:rsidRPr="008D6FA3" w:rsidRDefault="008D6FA3" w:rsidP="00AF632F">
            <w:pPr>
              <w:pStyle w:val="NormalWeb"/>
              <w:jc w:val="center"/>
              <w:rPr>
                <w:sz w:val="18"/>
                <w:szCs w:val="18"/>
              </w:rPr>
            </w:pPr>
            <w:r w:rsidRPr="008D6FA3">
              <w:rPr>
                <w:sz w:val="18"/>
                <w:szCs w:val="18"/>
              </w:rPr>
              <w:t>100 (16.0)</w:t>
            </w:r>
          </w:p>
        </w:tc>
        <w:tc>
          <w:tcPr>
            <w:tcW w:w="1766" w:type="dxa"/>
            <w:shd w:val="clear" w:color="auto" w:fill="auto"/>
            <w:hideMark/>
          </w:tcPr>
          <w:p w14:paraId="508DD105" w14:textId="77777777" w:rsidR="008D6FA3" w:rsidRPr="008D6FA3" w:rsidRDefault="008D6FA3" w:rsidP="00AF632F">
            <w:pPr>
              <w:pStyle w:val="NormalWeb"/>
              <w:jc w:val="center"/>
              <w:rPr>
                <w:sz w:val="18"/>
                <w:szCs w:val="18"/>
              </w:rPr>
            </w:pPr>
            <w:r w:rsidRPr="008D6FA3">
              <w:rPr>
                <w:sz w:val="18"/>
                <w:szCs w:val="18"/>
              </w:rPr>
              <w:t>216 (17.2)</w:t>
            </w:r>
          </w:p>
        </w:tc>
      </w:tr>
      <w:tr w:rsidR="008D6FA3" w:rsidRPr="008D6FA3" w14:paraId="611E8275"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58248DAA" w14:textId="77777777" w:rsidR="008D6FA3" w:rsidRPr="008D6FA3" w:rsidRDefault="008D6FA3" w:rsidP="00AF632F">
            <w:pPr>
              <w:rPr>
                <w:sz w:val="18"/>
                <w:szCs w:val="18"/>
              </w:rPr>
            </w:pPr>
          </w:p>
        </w:tc>
        <w:tc>
          <w:tcPr>
            <w:tcW w:w="0" w:type="auto"/>
            <w:shd w:val="clear" w:color="auto" w:fill="auto"/>
            <w:hideMark/>
          </w:tcPr>
          <w:p w14:paraId="0D5B94B1" w14:textId="77777777" w:rsidR="008D6FA3" w:rsidRPr="008D6FA3" w:rsidRDefault="008D6FA3" w:rsidP="00AF632F">
            <w:pPr>
              <w:pStyle w:val="NormalWeb"/>
              <w:rPr>
                <w:sz w:val="18"/>
                <w:szCs w:val="18"/>
              </w:rPr>
            </w:pPr>
            <w:r w:rsidRPr="008D6FA3">
              <w:rPr>
                <w:sz w:val="18"/>
                <w:szCs w:val="18"/>
              </w:rPr>
              <w:t>4th quintile</w:t>
            </w:r>
          </w:p>
        </w:tc>
        <w:tc>
          <w:tcPr>
            <w:tcW w:w="1766" w:type="dxa"/>
            <w:shd w:val="clear" w:color="auto" w:fill="auto"/>
            <w:hideMark/>
          </w:tcPr>
          <w:p w14:paraId="0D640D4A" w14:textId="77777777" w:rsidR="008D6FA3" w:rsidRPr="008D6FA3" w:rsidRDefault="008D6FA3" w:rsidP="00AF632F">
            <w:pPr>
              <w:pStyle w:val="NormalWeb"/>
              <w:jc w:val="center"/>
              <w:rPr>
                <w:sz w:val="18"/>
                <w:szCs w:val="18"/>
              </w:rPr>
            </w:pPr>
            <w:r w:rsidRPr="008D6FA3">
              <w:rPr>
                <w:sz w:val="18"/>
                <w:szCs w:val="18"/>
              </w:rPr>
              <w:t>134 (21.3)</w:t>
            </w:r>
          </w:p>
        </w:tc>
        <w:tc>
          <w:tcPr>
            <w:tcW w:w="1766" w:type="dxa"/>
            <w:shd w:val="clear" w:color="auto" w:fill="auto"/>
            <w:hideMark/>
          </w:tcPr>
          <w:p w14:paraId="525E9232" w14:textId="77777777" w:rsidR="008D6FA3" w:rsidRPr="008D6FA3" w:rsidRDefault="008D6FA3" w:rsidP="00AF632F">
            <w:pPr>
              <w:pStyle w:val="NormalWeb"/>
              <w:jc w:val="center"/>
              <w:rPr>
                <w:sz w:val="18"/>
                <w:szCs w:val="18"/>
              </w:rPr>
            </w:pPr>
            <w:r w:rsidRPr="008D6FA3">
              <w:rPr>
                <w:sz w:val="18"/>
                <w:szCs w:val="18"/>
              </w:rPr>
              <w:t>150 (24.0)</w:t>
            </w:r>
          </w:p>
        </w:tc>
        <w:tc>
          <w:tcPr>
            <w:tcW w:w="1766" w:type="dxa"/>
            <w:shd w:val="clear" w:color="auto" w:fill="auto"/>
            <w:hideMark/>
          </w:tcPr>
          <w:p w14:paraId="111B587E" w14:textId="77777777" w:rsidR="008D6FA3" w:rsidRPr="008D6FA3" w:rsidRDefault="008D6FA3" w:rsidP="00AF632F">
            <w:pPr>
              <w:pStyle w:val="NormalWeb"/>
              <w:jc w:val="center"/>
              <w:rPr>
                <w:sz w:val="18"/>
                <w:szCs w:val="18"/>
              </w:rPr>
            </w:pPr>
            <w:r w:rsidRPr="008D6FA3">
              <w:rPr>
                <w:sz w:val="18"/>
                <w:szCs w:val="18"/>
              </w:rPr>
              <w:t>284 (22.6)</w:t>
            </w:r>
          </w:p>
        </w:tc>
      </w:tr>
      <w:tr w:rsidR="008D6FA3" w:rsidRPr="008D6FA3" w14:paraId="2126BD42" w14:textId="77777777" w:rsidTr="00B24445">
        <w:tc>
          <w:tcPr>
            <w:tcW w:w="0" w:type="auto"/>
            <w:vMerge/>
            <w:shd w:val="clear" w:color="auto" w:fill="auto"/>
            <w:hideMark/>
          </w:tcPr>
          <w:p w14:paraId="6A7FB48B" w14:textId="77777777" w:rsidR="008D6FA3" w:rsidRPr="008D6FA3" w:rsidRDefault="008D6FA3" w:rsidP="00AF632F">
            <w:pPr>
              <w:rPr>
                <w:sz w:val="18"/>
                <w:szCs w:val="18"/>
              </w:rPr>
            </w:pPr>
          </w:p>
        </w:tc>
        <w:tc>
          <w:tcPr>
            <w:tcW w:w="0" w:type="auto"/>
            <w:shd w:val="clear" w:color="auto" w:fill="auto"/>
            <w:hideMark/>
          </w:tcPr>
          <w:p w14:paraId="403E23DE" w14:textId="77777777" w:rsidR="008D6FA3" w:rsidRPr="008D6FA3" w:rsidRDefault="008D6FA3" w:rsidP="00AF632F">
            <w:pPr>
              <w:pStyle w:val="NormalWeb"/>
              <w:rPr>
                <w:sz w:val="18"/>
                <w:szCs w:val="18"/>
              </w:rPr>
            </w:pPr>
            <w:r w:rsidRPr="008D6FA3">
              <w:rPr>
                <w:sz w:val="18"/>
                <w:szCs w:val="18"/>
              </w:rPr>
              <w:t>Least disadvantaged quintile</w:t>
            </w:r>
          </w:p>
        </w:tc>
        <w:tc>
          <w:tcPr>
            <w:tcW w:w="1766" w:type="dxa"/>
            <w:shd w:val="clear" w:color="auto" w:fill="auto"/>
            <w:hideMark/>
          </w:tcPr>
          <w:p w14:paraId="2AF2E0A7" w14:textId="77777777" w:rsidR="008D6FA3" w:rsidRPr="008D6FA3" w:rsidRDefault="008D6FA3" w:rsidP="00AF632F">
            <w:pPr>
              <w:pStyle w:val="NormalWeb"/>
              <w:jc w:val="center"/>
              <w:rPr>
                <w:sz w:val="18"/>
                <w:szCs w:val="18"/>
              </w:rPr>
            </w:pPr>
            <w:r w:rsidRPr="008D6FA3">
              <w:rPr>
                <w:sz w:val="18"/>
                <w:szCs w:val="18"/>
              </w:rPr>
              <w:t>210 (33.3)</w:t>
            </w:r>
          </w:p>
        </w:tc>
        <w:tc>
          <w:tcPr>
            <w:tcW w:w="1766" w:type="dxa"/>
            <w:shd w:val="clear" w:color="auto" w:fill="auto"/>
            <w:hideMark/>
          </w:tcPr>
          <w:p w14:paraId="42A13AD0" w14:textId="77777777" w:rsidR="008D6FA3" w:rsidRPr="008D6FA3" w:rsidRDefault="008D6FA3" w:rsidP="00AF632F">
            <w:pPr>
              <w:pStyle w:val="NormalWeb"/>
              <w:jc w:val="center"/>
              <w:rPr>
                <w:sz w:val="18"/>
                <w:szCs w:val="18"/>
              </w:rPr>
            </w:pPr>
            <w:r w:rsidRPr="008D6FA3">
              <w:rPr>
                <w:sz w:val="18"/>
                <w:szCs w:val="18"/>
              </w:rPr>
              <w:t>206 (33.0)</w:t>
            </w:r>
          </w:p>
        </w:tc>
        <w:tc>
          <w:tcPr>
            <w:tcW w:w="1766" w:type="dxa"/>
            <w:shd w:val="clear" w:color="auto" w:fill="auto"/>
            <w:hideMark/>
          </w:tcPr>
          <w:p w14:paraId="3E5A16BA" w14:textId="77777777" w:rsidR="008D6FA3" w:rsidRPr="008D6FA3" w:rsidRDefault="008D6FA3" w:rsidP="00AF632F">
            <w:pPr>
              <w:pStyle w:val="NormalWeb"/>
              <w:jc w:val="center"/>
              <w:rPr>
                <w:sz w:val="18"/>
                <w:szCs w:val="18"/>
              </w:rPr>
            </w:pPr>
            <w:r w:rsidRPr="008D6FA3">
              <w:rPr>
                <w:sz w:val="18"/>
                <w:szCs w:val="18"/>
              </w:rPr>
              <w:t>416 (33.2)</w:t>
            </w:r>
          </w:p>
        </w:tc>
      </w:tr>
      <w:tr w:rsidR="008D6FA3" w:rsidRPr="008D6FA3" w14:paraId="300CA154"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000000" w:themeColor="text1"/>
            </w:tcBorders>
            <w:shd w:val="clear" w:color="auto" w:fill="auto"/>
            <w:hideMark/>
          </w:tcPr>
          <w:p w14:paraId="66373EBA" w14:textId="77777777" w:rsidR="008D6FA3" w:rsidRPr="008D6FA3" w:rsidRDefault="008D6FA3" w:rsidP="00AF632F">
            <w:pPr>
              <w:rPr>
                <w:sz w:val="18"/>
                <w:szCs w:val="18"/>
              </w:rPr>
            </w:pPr>
          </w:p>
        </w:tc>
        <w:tc>
          <w:tcPr>
            <w:tcW w:w="0" w:type="auto"/>
            <w:tcBorders>
              <w:bottom w:val="single" w:sz="2" w:space="0" w:color="000000" w:themeColor="text1"/>
            </w:tcBorders>
            <w:shd w:val="clear" w:color="auto" w:fill="auto"/>
            <w:hideMark/>
          </w:tcPr>
          <w:p w14:paraId="706E56C9" w14:textId="77777777" w:rsidR="008D6FA3" w:rsidRPr="008D6FA3" w:rsidRDefault="008D6FA3" w:rsidP="00AF632F">
            <w:pPr>
              <w:pStyle w:val="NormalWeb"/>
              <w:rPr>
                <w:sz w:val="18"/>
                <w:szCs w:val="18"/>
              </w:rPr>
            </w:pPr>
            <w:r w:rsidRPr="008D6FA3">
              <w:rPr>
                <w:sz w:val="18"/>
                <w:szCs w:val="18"/>
              </w:rPr>
              <w:t>Non-Queensland resident</w:t>
            </w:r>
          </w:p>
        </w:tc>
        <w:tc>
          <w:tcPr>
            <w:tcW w:w="1766" w:type="dxa"/>
            <w:tcBorders>
              <w:bottom w:val="single" w:sz="2" w:space="0" w:color="000000" w:themeColor="text1"/>
            </w:tcBorders>
            <w:shd w:val="clear" w:color="auto" w:fill="auto"/>
            <w:hideMark/>
          </w:tcPr>
          <w:p w14:paraId="54044877" w14:textId="77777777" w:rsidR="008D6FA3" w:rsidRPr="008D6FA3" w:rsidRDefault="008D6FA3" w:rsidP="00AF632F">
            <w:pPr>
              <w:pStyle w:val="NormalWeb"/>
              <w:jc w:val="center"/>
              <w:rPr>
                <w:sz w:val="18"/>
                <w:szCs w:val="18"/>
              </w:rPr>
            </w:pPr>
            <w:r w:rsidRPr="008D6FA3">
              <w:rPr>
                <w:sz w:val="18"/>
                <w:szCs w:val="18"/>
              </w:rPr>
              <w:t>34 (5.4)</w:t>
            </w:r>
          </w:p>
        </w:tc>
        <w:tc>
          <w:tcPr>
            <w:tcW w:w="1766" w:type="dxa"/>
            <w:tcBorders>
              <w:bottom w:val="single" w:sz="2" w:space="0" w:color="000000" w:themeColor="text1"/>
            </w:tcBorders>
            <w:shd w:val="clear" w:color="auto" w:fill="auto"/>
            <w:hideMark/>
          </w:tcPr>
          <w:p w14:paraId="435CE95A" w14:textId="77777777" w:rsidR="008D6FA3" w:rsidRPr="008D6FA3" w:rsidRDefault="008D6FA3" w:rsidP="00AF632F">
            <w:pPr>
              <w:pStyle w:val="NormalWeb"/>
              <w:jc w:val="center"/>
              <w:rPr>
                <w:sz w:val="18"/>
                <w:szCs w:val="18"/>
              </w:rPr>
            </w:pPr>
            <w:r w:rsidRPr="008D6FA3">
              <w:rPr>
                <w:sz w:val="18"/>
                <w:szCs w:val="18"/>
              </w:rPr>
              <w:t>27 (4.3)</w:t>
            </w:r>
          </w:p>
        </w:tc>
        <w:tc>
          <w:tcPr>
            <w:tcW w:w="1766" w:type="dxa"/>
            <w:tcBorders>
              <w:bottom w:val="single" w:sz="2" w:space="0" w:color="000000" w:themeColor="text1"/>
            </w:tcBorders>
            <w:shd w:val="clear" w:color="auto" w:fill="auto"/>
            <w:hideMark/>
          </w:tcPr>
          <w:p w14:paraId="5E70FFA7" w14:textId="77777777" w:rsidR="008D6FA3" w:rsidRPr="008D6FA3" w:rsidRDefault="008D6FA3" w:rsidP="00AF632F">
            <w:pPr>
              <w:pStyle w:val="NormalWeb"/>
              <w:jc w:val="center"/>
              <w:rPr>
                <w:sz w:val="18"/>
                <w:szCs w:val="18"/>
              </w:rPr>
            </w:pPr>
            <w:r w:rsidRPr="008D6FA3">
              <w:rPr>
                <w:sz w:val="18"/>
                <w:szCs w:val="18"/>
              </w:rPr>
              <w:t>61 (4.9)</w:t>
            </w:r>
          </w:p>
        </w:tc>
      </w:tr>
      <w:tr w:rsidR="008D6FA3" w:rsidRPr="008D6FA3" w14:paraId="4FFE8D9E" w14:textId="77777777" w:rsidTr="00B24445">
        <w:tc>
          <w:tcPr>
            <w:tcW w:w="0" w:type="auto"/>
            <w:vMerge w:val="restart"/>
            <w:tcBorders>
              <w:top w:val="single" w:sz="2" w:space="0" w:color="000000" w:themeColor="text1"/>
            </w:tcBorders>
            <w:shd w:val="clear" w:color="auto" w:fill="auto"/>
            <w:hideMark/>
          </w:tcPr>
          <w:p w14:paraId="6F95F06D" w14:textId="77777777" w:rsidR="008D6FA3" w:rsidRPr="008D6FA3" w:rsidRDefault="008D6FA3" w:rsidP="00AF632F">
            <w:pPr>
              <w:pStyle w:val="NormalWeb"/>
              <w:rPr>
                <w:sz w:val="18"/>
                <w:szCs w:val="18"/>
              </w:rPr>
            </w:pPr>
            <w:r w:rsidRPr="008D6FA3">
              <w:rPr>
                <w:sz w:val="18"/>
                <w:szCs w:val="18"/>
              </w:rPr>
              <w:t>Smoking status</w:t>
            </w:r>
          </w:p>
        </w:tc>
        <w:tc>
          <w:tcPr>
            <w:tcW w:w="0" w:type="auto"/>
            <w:tcBorders>
              <w:top w:val="single" w:sz="2" w:space="0" w:color="000000" w:themeColor="text1"/>
            </w:tcBorders>
            <w:shd w:val="clear" w:color="auto" w:fill="auto"/>
            <w:hideMark/>
          </w:tcPr>
          <w:p w14:paraId="6635686D" w14:textId="77777777" w:rsidR="008D6FA3" w:rsidRPr="008D6FA3" w:rsidRDefault="008D6FA3" w:rsidP="00AF632F">
            <w:pPr>
              <w:pStyle w:val="NormalWeb"/>
              <w:rPr>
                <w:sz w:val="18"/>
                <w:szCs w:val="18"/>
              </w:rPr>
            </w:pPr>
            <w:r w:rsidRPr="008D6FA3">
              <w:rPr>
                <w:sz w:val="18"/>
                <w:szCs w:val="18"/>
              </w:rPr>
              <w:t>Non-smoker</w:t>
            </w:r>
          </w:p>
        </w:tc>
        <w:tc>
          <w:tcPr>
            <w:tcW w:w="1766" w:type="dxa"/>
            <w:tcBorders>
              <w:top w:val="single" w:sz="2" w:space="0" w:color="000000" w:themeColor="text1"/>
            </w:tcBorders>
            <w:shd w:val="clear" w:color="auto" w:fill="auto"/>
            <w:hideMark/>
          </w:tcPr>
          <w:p w14:paraId="29F40DEB" w14:textId="77777777" w:rsidR="008D6FA3" w:rsidRPr="008D6FA3" w:rsidRDefault="008D6FA3" w:rsidP="00AF632F">
            <w:pPr>
              <w:pStyle w:val="NormalWeb"/>
              <w:jc w:val="center"/>
              <w:rPr>
                <w:sz w:val="18"/>
                <w:szCs w:val="18"/>
              </w:rPr>
            </w:pPr>
            <w:r w:rsidRPr="008D6FA3">
              <w:rPr>
                <w:sz w:val="18"/>
                <w:szCs w:val="18"/>
              </w:rPr>
              <w:t>316 (50.2)</w:t>
            </w:r>
          </w:p>
        </w:tc>
        <w:tc>
          <w:tcPr>
            <w:tcW w:w="1766" w:type="dxa"/>
            <w:tcBorders>
              <w:top w:val="single" w:sz="2" w:space="0" w:color="000000" w:themeColor="text1"/>
            </w:tcBorders>
            <w:shd w:val="clear" w:color="auto" w:fill="auto"/>
            <w:hideMark/>
          </w:tcPr>
          <w:p w14:paraId="12C6AE91" w14:textId="77777777" w:rsidR="008D6FA3" w:rsidRPr="008D6FA3" w:rsidRDefault="008D6FA3" w:rsidP="00AF632F">
            <w:pPr>
              <w:pStyle w:val="NormalWeb"/>
              <w:jc w:val="center"/>
              <w:rPr>
                <w:sz w:val="18"/>
                <w:szCs w:val="18"/>
              </w:rPr>
            </w:pPr>
            <w:r w:rsidRPr="008D6FA3">
              <w:rPr>
                <w:sz w:val="18"/>
                <w:szCs w:val="18"/>
              </w:rPr>
              <w:t>360 (57.7)</w:t>
            </w:r>
          </w:p>
        </w:tc>
        <w:tc>
          <w:tcPr>
            <w:tcW w:w="1766" w:type="dxa"/>
            <w:tcBorders>
              <w:top w:val="single" w:sz="2" w:space="0" w:color="000000" w:themeColor="text1"/>
            </w:tcBorders>
            <w:shd w:val="clear" w:color="auto" w:fill="auto"/>
            <w:hideMark/>
          </w:tcPr>
          <w:p w14:paraId="6B239B02" w14:textId="77777777" w:rsidR="008D6FA3" w:rsidRPr="008D6FA3" w:rsidRDefault="008D6FA3" w:rsidP="00AF632F">
            <w:pPr>
              <w:pStyle w:val="NormalWeb"/>
              <w:jc w:val="center"/>
              <w:rPr>
                <w:sz w:val="18"/>
                <w:szCs w:val="18"/>
              </w:rPr>
            </w:pPr>
            <w:r w:rsidRPr="008D6FA3">
              <w:rPr>
                <w:sz w:val="18"/>
                <w:szCs w:val="18"/>
              </w:rPr>
              <w:t>676 (53.9)</w:t>
            </w:r>
          </w:p>
        </w:tc>
      </w:tr>
      <w:tr w:rsidR="008D6FA3" w:rsidRPr="008D6FA3" w14:paraId="3724E565"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738BC3D5" w14:textId="77777777" w:rsidR="008D6FA3" w:rsidRPr="008D6FA3" w:rsidRDefault="008D6FA3" w:rsidP="00AF632F">
            <w:pPr>
              <w:rPr>
                <w:sz w:val="18"/>
                <w:szCs w:val="18"/>
              </w:rPr>
            </w:pPr>
          </w:p>
        </w:tc>
        <w:tc>
          <w:tcPr>
            <w:tcW w:w="0" w:type="auto"/>
            <w:shd w:val="clear" w:color="auto" w:fill="auto"/>
            <w:hideMark/>
          </w:tcPr>
          <w:p w14:paraId="53E4AFA0" w14:textId="77777777" w:rsidR="008D6FA3" w:rsidRPr="008D6FA3" w:rsidRDefault="008D6FA3" w:rsidP="00AF632F">
            <w:pPr>
              <w:pStyle w:val="NormalWeb"/>
              <w:rPr>
                <w:sz w:val="18"/>
                <w:szCs w:val="18"/>
              </w:rPr>
            </w:pPr>
            <w:r w:rsidRPr="008D6FA3">
              <w:rPr>
                <w:sz w:val="18"/>
                <w:szCs w:val="18"/>
              </w:rPr>
              <w:t>Current / recent smoker</w:t>
            </w:r>
          </w:p>
        </w:tc>
        <w:tc>
          <w:tcPr>
            <w:tcW w:w="1766" w:type="dxa"/>
            <w:shd w:val="clear" w:color="auto" w:fill="auto"/>
            <w:hideMark/>
          </w:tcPr>
          <w:p w14:paraId="073260AD" w14:textId="77777777" w:rsidR="008D6FA3" w:rsidRPr="008D6FA3" w:rsidRDefault="008D6FA3" w:rsidP="00AF632F">
            <w:pPr>
              <w:pStyle w:val="NormalWeb"/>
              <w:jc w:val="center"/>
              <w:rPr>
                <w:sz w:val="18"/>
                <w:szCs w:val="18"/>
              </w:rPr>
            </w:pPr>
            <w:r w:rsidRPr="008D6FA3">
              <w:rPr>
                <w:sz w:val="18"/>
                <w:szCs w:val="18"/>
              </w:rPr>
              <w:t>34 (5.4)</w:t>
            </w:r>
          </w:p>
        </w:tc>
        <w:tc>
          <w:tcPr>
            <w:tcW w:w="1766" w:type="dxa"/>
            <w:shd w:val="clear" w:color="auto" w:fill="auto"/>
            <w:hideMark/>
          </w:tcPr>
          <w:p w14:paraId="32B36E44" w14:textId="77777777" w:rsidR="008D6FA3" w:rsidRPr="008D6FA3" w:rsidRDefault="008D6FA3" w:rsidP="00AF632F">
            <w:pPr>
              <w:pStyle w:val="NormalWeb"/>
              <w:jc w:val="center"/>
              <w:rPr>
                <w:sz w:val="18"/>
                <w:szCs w:val="18"/>
              </w:rPr>
            </w:pPr>
            <w:r w:rsidRPr="008D6FA3">
              <w:rPr>
                <w:sz w:val="18"/>
                <w:szCs w:val="18"/>
              </w:rPr>
              <w:t>21 (3.4)</w:t>
            </w:r>
          </w:p>
        </w:tc>
        <w:tc>
          <w:tcPr>
            <w:tcW w:w="1766" w:type="dxa"/>
            <w:shd w:val="clear" w:color="auto" w:fill="auto"/>
            <w:hideMark/>
          </w:tcPr>
          <w:p w14:paraId="289A00FE" w14:textId="77777777" w:rsidR="008D6FA3" w:rsidRPr="008D6FA3" w:rsidRDefault="008D6FA3" w:rsidP="00AF632F">
            <w:pPr>
              <w:pStyle w:val="NormalWeb"/>
              <w:jc w:val="center"/>
              <w:rPr>
                <w:sz w:val="18"/>
                <w:szCs w:val="18"/>
              </w:rPr>
            </w:pPr>
            <w:r w:rsidRPr="008D6FA3">
              <w:rPr>
                <w:sz w:val="18"/>
                <w:szCs w:val="18"/>
              </w:rPr>
              <w:t>55 (4.4)</w:t>
            </w:r>
          </w:p>
        </w:tc>
      </w:tr>
      <w:tr w:rsidR="008D6FA3" w:rsidRPr="008D6FA3" w14:paraId="6DE1953C" w14:textId="77777777" w:rsidTr="00B24445">
        <w:tc>
          <w:tcPr>
            <w:tcW w:w="0" w:type="auto"/>
            <w:vMerge/>
            <w:tcBorders>
              <w:bottom w:val="single" w:sz="2" w:space="0" w:color="000000" w:themeColor="text1"/>
            </w:tcBorders>
            <w:shd w:val="clear" w:color="auto" w:fill="auto"/>
            <w:hideMark/>
          </w:tcPr>
          <w:p w14:paraId="1D81145B" w14:textId="77777777" w:rsidR="008D6FA3" w:rsidRPr="008D6FA3" w:rsidRDefault="008D6FA3" w:rsidP="00AF632F">
            <w:pPr>
              <w:rPr>
                <w:sz w:val="18"/>
                <w:szCs w:val="18"/>
              </w:rPr>
            </w:pPr>
          </w:p>
        </w:tc>
        <w:tc>
          <w:tcPr>
            <w:tcW w:w="0" w:type="auto"/>
            <w:tcBorders>
              <w:bottom w:val="single" w:sz="2" w:space="0" w:color="000000" w:themeColor="text1"/>
            </w:tcBorders>
            <w:shd w:val="clear" w:color="auto" w:fill="auto"/>
            <w:hideMark/>
          </w:tcPr>
          <w:p w14:paraId="7BF6B787" w14:textId="77777777" w:rsidR="008D6FA3" w:rsidRPr="008D6FA3" w:rsidRDefault="008D6FA3" w:rsidP="00AF632F">
            <w:pPr>
              <w:pStyle w:val="NormalWeb"/>
              <w:rPr>
                <w:sz w:val="18"/>
                <w:szCs w:val="18"/>
              </w:rPr>
            </w:pPr>
            <w:r w:rsidRPr="008D6FA3">
              <w:rPr>
                <w:sz w:val="18"/>
                <w:szCs w:val="18"/>
              </w:rPr>
              <w:t>Missing</w:t>
            </w:r>
          </w:p>
        </w:tc>
        <w:tc>
          <w:tcPr>
            <w:tcW w:w="1766" w:type="dxa"/>
            <w:tcBorders>
              <w:bottom w:val="single" w:sz="2" w:space="0" w:color="000000" w:themeColor="text1"/>
            </w:tcBorders>
            <w:shd w:val="clear" w:color="auto" w:fill="auto"/>
            <w:hideMark/>
          </w:tcPr>
          <w:p w14:paraId="42EBB964" w14:textId="77777777" w:rsidR="008D6FA3" w:rsidRPr="008D6FA3" w:rsidRDefault="008D6FA3" w:rsidP="00AF632F">
            <w:pPr>
              <w:pStyle w:val="NormalWeb"/>
              <w:jc w:val="center"/>
              <w:rPr>
                <w:sz w:val="18"/>
                <w:szCs w:val="18"/>
              </w:rPr>
            </w:pPr>
            <w:r w:rsidRPr="008D6FA3">
              <w:rPr>
                <w:sz w:val="18"/>
                <w:szCs w:val="18"/>
              </w:rPr>
              <w:t>280 (44.4)</w:t>
            </w:r>
          </w:p>
        </w:tc>
        <w:tc>
          <w:tcPr>
            <w:tcW w:w="1766" w:type="dxa"/>
            <w:tcBorders>
              <w:bottom w:val="single" w:sz="2" w:space="0" w:color="000000" w:themeColor="text1"/>
            </w:tcBorders>
            <w:shd w:val="clear" w:color="auto" w:fill="auto"/>
            <w:hideMark/>
          </w:tcPr>
          <w:p w14:paraId="68341B33" w14:textId="77777777" w:rsidR="008D6FA3" w:rsidRPr="008D6FA3" w:rsidRDefault="008D6FA3" w:rsidP="00AF632F">
            <w:pPr>
              <w:pStyle w:val="NormalWeb"/>
              <w:jc w:val="center"/>
              <w:rPr>
                <w:sz w:val="18"/>
                <w:szCs w:val="18"/>
              </w:rPr>
            </w:pPr>
            <w:r w:rsidRPr="008D6FA3">
              <w:rPr>
                <w:sz w:val="18"/>
                <w:szCs w:val="18"/>
              </w:rPr>
              <w:t>243 (38.9)</w:t>
            </w:r>
          </w:p>
        </w:tc>
        <w:tc>
          <w:tcPr>
            <w:tcW w:w="1766" w:type="dxa"/>
            <w:tcBorders>
              <w:bottom w:val="single" w:sz="2" w:space="0" w:color="000000" w:themeColor="text1"/>
            </w:tcBorders>
            <w:shd w:val="clear" w:color="auto" w:fill="auto"/>
            <w:hideMark/>
          </w:tcPr>
          <w:p w14:paraId="3204669E" w14:textId="77777777" w:rsidR="008D6FA3" w:rsidRPr="008D6FA3" w:rsidRDefault="008D6FA3" w:rsidP="00AF632F">
            <w:pPr>
              <w:pStyle w:val="NormalWeb"/>
              <w:jc w:val="center"/>
              <w:rPr>
                <w:sz w:val="18"/>
                <w:szCs w:val="18"/>
              </w:rPr>
            </w:pPr>
            <w:r w:rsidRPr="008D6FA3">
              <w:rPr>
                <w:sz w:val="18"/>
                <w:szCs w:val="18"/>
              </w:rPr>
              <w:t>523 (41.7)</w:t>
            </w:r>
          </w:p>
        </w:tc>
      </w:tr>
      <w:tr w:rsidR="008D6FA3" w:rsidRPr="008D6FA3" w14:paraId="207FD674"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000000" w:themeColor="text1"/>
            </w:tcBorders>
            <w:shd w:val="clear" w:color="auto" w:fill="auto"/>
            <w:hideMark/>
          </w:tcPr>
          <w:p w14:paraId="022716D6" w14:textId="77777777" w:rsidR="008D6FA3" w:rsidRPr="008D6FA3" w:rsidRDefault="008D6FA3" w:rsidP="00AF632F">
            <w:pPr>
              <w:pStyle w:val="NormalWeb"/>
              <w:rPr>
                <w:sz w:val="18"/>
                <w:szCs w:val="18"/>
              </w:rPr>
            </w:pPr>
            <w:proofErr w:type="spellStart"/>
            <w:r w:rsidRPr="008D6FA3">
              <w:rPr>
                <w:sz w:val="18"/>
                <w:szCs w:val="18"/>
              </w:rPr>
              <w:t>Elixhauser</w:t>
            </w:r>
            <w:proofErr w:type="spellEnd"/>
            <w:r w:rsidRPr="008D6FA3">
              <w:rPr>
                <w:sz w:val="18"/>
                <w:szCs w:val="18"/>
              </w:rPr>
              <w:t xml:space="preserve"> comorbidity index</w:t>
            </w:r>
          </w:p>
        </w:tc>
        <w:tc>
          <w:tcPr>
            <w:tcW w:w="0" w:type="auto"/>
            <w:tcBorders>
              <w:top w:val="single" w:sz="2" w:space="0" w:color="000000" w:themeColor="text1"/>
            </w:tcBorders>
            <w:shd w:val="clear" w:color="auto" w:fill="auto"/>
            <w:hideMark/>
          </w:tcPr>
          <w:p w14:paraId="30A3C2EB" w14:textId="77777777" w:rsidR="008D6FA3" w:rsidRPr="008D6FA3" w:rsidRDefault="008D6FA3" w:rsidP="00AF632F">
            <w:pPr>
              <w:pStyle w:val="NormalWeb"/>
              <w:rPr>
                <w:sz w:val="18"/>
                <w:szCs w:val="18"/>
              </w:rPr>
            </w:pPr>
            <w:r w:rsidRPr="008D6FA3">
              <w:rPr>
                <w:sz w:val="18"/>
                <w:szCs w:val="18"/>
              </w:rPr>
              <w:t>0</w:t>
            </w:r>
          </w:p>
        </w:tc>
        <w:tc>
          <w:tcPr>
            <w:tcW w:w="1766" w:type="dxa"/>
            <w:tcBorders>
              <w:top w:val="single" w:sz="2" w:space="0" w:color="000000" w:themeColor="text1"/>
            </w:tcBorders>
            <w:shd w:val="clear" w:color="auto" w:fill="auto"/>
            <w:hideMark/>
          </w:tcPr>
          <w:p w14:paraId="15798D8A" w14:textId="77777777" w:rsidR="008D6FA3" w:rsidRPr="008D6FA3" w:rsidRDefault="008D6FA3" w:rsidP="00AF632F">
            <w:pPr>
              <w:pStyle w:val="NormalWeb"/>
              <w:jc w:val="center"/>
              <w:rPr>
                <w:sz w:val="18"/>
                <w:szCs w:val="18"/>
              </w:rPr>
            </w:pPr>
            <w:r w:rsidRPr="008D6FA3">
              <w:rPr>
                <w:sz w:val="18"/>
                <w:szCs w:val="18"/>
              </w:rPr>
              <w:t>283 (44.9)</w:t>
            </w:r>
          </w:p>
        </w:tc>
        <w:tc>
          <w:tcPr>
            <w:tcW w:w="1766" w:type="dxa"/>
            <w:tcBorders>
              <w:top w:val="single" w:sz="2" w:space="0" w:color="000000" w:themeColor="text1"/>
            </w:tcBorders>
            <w:shd w:val="clear" w:color="auto" w:fill="auto"/>
            <w:hideMark/>
          </w:tcPr>
          <w:p w14:paraId="73379B48" w14:textId="77777777" w:rsidR="008D6FA3" w:rsidRPr="008D6FA3" w:rsidRDefault="008D6FA3" w:rsidP="00AF632F">
            <w:pPr>
              <w:pStyle w:val="NormalWeb"/>
              <w:jc w:val="center"/>
              <w:rPr>
                <w:sz w:val="18"/>
                <w:szCs w:val="18"/>
              </w:rPr>
            </w:pPr>
            <w:r w:rsidRPr="008D6FA3">
              <w:rPr>
                <w:sz w:val="18"/>
                <w:szCs w:val="18"/>
              </w:rPr>
              <w:t>343 (55)</w:t>
            </w:r>
          </w:p>
        </w:tc>
        <w:tc>
          <w:tcPr>
            <w:tcW w:w="1766" w:type="dxa"/>
            <w:tcBorders>
              <w:top w:val="single" w:sz="2" w:space="0" w:color="000000" w:themeColor="text1"/>
            </w:tcBorders>
            <w:shd w:val="clear" w:color="auto" w:fill="auto"/>
            <w:hideMark/>
          </w:tcPr>
          <w:p w14:paraId="374D032E" w14:textId="77777777" w:rsidR="008D6FA3" w:rsidRPr="008D6FA3" w:rsidRDefault="008D6FA3" w:rsidP="00AF632F">
            <w:pPr>
              <w:pStyle w:val="NormalWeb"/>
              <w:jc w:val="center"/>
              <w:rPr>
                <w:sz w:val="18"/>
                <w:szCs w:val="18"/>
              </w:rPr>
            </w:pPr>
            <w:r w:rsidRPr="008D6FA3">
              <w:rPr>
                <w:sz w:val="18"/>
                <w:szCs w:val="18"/>
              </w:rPr>
              <w:t>626 (49.9)</w:t>
            </w:r>
          </w:p>
        </w:tc>
      </w:tr>
      <w:tr w:rsidR="008D6FA3" w:rsidRPr="008D6FA3" w14:paraId="490B74DE" w14:textId="77777777" w:rsidTr="00B24445">
        <w:tc>
          <w:tcPr>
            <w:tcW w:w="0" w:type="auto"/>
            <w:vMerge/>
            <w:shd w:val="clear" w:color="auto" w:fill="auto"/>
            <w:hideMark/>
          </w:tcPr>
          <w:p w14:paraId="6352D257" w14:textId="77777777" w:rsidR="008D6FA3" w:rsidRPr="008D6FA3" w:rsidRDefault="008D6FA3" w:rsidP="00AF632F">
            <w:pPr>
              <w:rPr>
                <w:sz w:val="18"/>
                <w:szCs w:val="18"/>
              </w:rPr>
            </w:pPr>
          </w:p>
        </w:tc>
        <w:tc>
          <w:tcPr>
            <w:tcW w:w="0" w:type="auto"/>
            <w:shd w:val="clear" w:color="auto" w:fill="auto"/>
            <w:hideMark/>
          </w:tcPr>
          <w:p w14:paraId="7B5C4844" w14:textId="77777777" w:rsidR="008D6FA3" w:rsidRPr="008D6FA3" w:rsidRDefault="008D6FA3" w:rsidP="00AF632F">
            <w:pPr>
              <w:pStyle w:val="NormalWeb"/>
              <w:rPr>
                <w:sz w:val="18"/>
                <w:szCs w:val="18"/>
              </w:rPr>
            </w:pPr>
            <w:r w:rsidRPr="008D6FA3">
              <w:rPr>
                <w:sz w:val="18"/>
                <w:szCs w:val="18"/>
              </w:rPr>
              <w:t>1</w:t>
            </w:r>
          </w:p>
        </w:tc>
        <w:tc>
          <w:tcPr>
            <w:tcW w:w="1766" w:type="dxa"/>
            <w:shd w:val="clear" w:color="auto" w:fill="auto"/>
            <w:hideMark/>
          </w:tcPr>
          <w:p w14:paraId="1E4D51CA" w14:textId="77777777" w:rsidR="008D6FA3" w:rsidRPr="008D6FA3" w:rsidRDefault="008D6FA3" w:rsidP="00AF632F">
            <w:pPr>
              <w:pStyle w:val="NormalWeb"/>
              <w:jc w:val="center"/>
              <w:rPr>
                <w:sz w:val="18"/>
                <w:szCs w:val="18"/>
              </w:rPr>
            </w:pPr>
            <w:r w:rsidRPr="008D6FA3">
              <w:rPr>
                <w:sz w:val="18"/>
                <w:szCs w:val="18"/>
              </w:rPr>
              <w:t>56 (8.9)</w:t>
            </w:r>
          </w:p>
        </w:tc>
        <w:tc>
          <w:tcPr>
            <w:tcW w:w="1766" w:type="dxa"/>
            <w:shd w:val="clear" w:color="auto" w:fill="auto"/>
            <w:hideMark/>
          </w:tcPr>
          <w:p w14:paraId="17477A3E" w14:textId="77777777" w:rsidR="008D6FA3" w:rsidRPr="008D6FA3" w:rsidRDefault="008D6FA3" w:rsidP="00AF632F">
            <w:pPr>
              <w:pStyle w:val="NormalWeb"/>
              <w:jc w:val="center"/>
              <w:rPr>
                <w:sz w:val="18"/>
                <w:szCs w:val="18"/>
              </w:rPr>
            </w:pPr>
            <w:r w:rsidRPr="008D6FA3">
              <w:rPr>
                <w:sz w:val="18"/>
                <w:szCs w:val="18"/>
              </w:rPr>
              <w:t>59 (9.5)</w:t>
            </w:r>
          </w:p>
        </w:tc>
        <w:tc>
          <w:tcPr>
            <w:tcW w:w="1766" w:type="dxa"/>
            <w:shd w:val="clear" w:color="auto" w:fill="auto"/>
            <w:hideMark/>
          </w:tcPr>
          <w:p w14:paraId="2C29576B" w14:textId="77777777" w:rsidR="008D6FA3" w:rsidRPr="008D6FA3" w:rsidRDefault="008D6FA3" w:rsidP="00AF632F">
            <w:pPr>
              <w:pStyle w:val="NormalWeb"/>
              <w:jc w:val="center"/>
              <w:rPr>
                <w:sz w:val="18"/>
                <w:szCs w:val="18"/>
              </w:rPr>
            </w:pPr>
            <w:r w:rsidRPr="008D6FA3">
              <w:rPr>
                <w:sz w:val="18"/>
                <w:szCs w:val="18"/>
              </w:rPr>
              <w:t>115 (9.2)</w:t>
            </w:r>
          </w:p>
        </w:tc>
      </w:tr>
      <w:tr w:rsidR="008D6FA3" w:rsidRPr="008D6FA3" w14:paraId="40139CCB"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578F500C" w14:textId="77777777" w:rsidR="008D6FA3" w:rsidRPr="008D6FA3" w:rsidRDefault="008D6FA3" w:rsidP="00AF632F">
            <w:pPr>
              <w:rPr>
                <w:sz w:val="18"/>
                <w:szCs w:val="18"/>
              </w:rPr>
            </w:pPr>
          </w:p>
        </w:tc>
        <w:tc>
          <w:tcPr>
            <w:tcW w:w="0" w:type="auto"/>
            <w:shd w:val="clear" w:color="auto" w:fill="auto"/>
            <w:hideMark/>
          </w:tcPr>
          <w:p w14:paraId="2FFECFAD" w14:textId="77777777" w:rsidR="008D6FA3" w:rsidRPr="008D6FA3" w:rsidRDefault="008D6FA3" w:rsidP="00AF632F">
            <w:pPr>
              <w:pStyle w:val="NormalWeb"/>
              <w:rPr>
                <w:sz w:val="18"/>
                <w:szCs w:val="18"/>
              </w:rPr>
            </w:pPr>
            <w:r w:rsidRPr="008D6FA3">
              <w:rPr>
                <w:sz w:val="18"/>
                <w:szCs w:val="18"/>
              </w:rPr>
              <w:t>2+</w:t>
            </w:r>
          </w:p>
        </w:tc>
        <w:tc>
          <w:tcPr>
            <w:tcW w:w="1766" w:type="dxa"/>
            <w:shd w:val="clear" w:color="auto" w:fill="auto"/>
            <w:hideMark/>
          </w:tcPr>
          <w:p w14:paraId="5D71E83A" w14:textId="77777777" w:rsidR="008D6FA3" w:rsidRPr="008D6FA3" w:rsidRDefault="008D6FA3" w:rsidP="00AF632F">
            <w:pPr>
              <w:pStyle w:val="NormalWeb"/>
              <w:jc w:val="center"/>
              <w:rPr>
                <w:sz w:val="18"/>
                <w:szCs w:val="18"/>
              </w:rPr>
            </w:pPr>
            <w:r w:rsidRPr="008D6FA3">
              <w:rPr>
                <w:sz w:val="18"/>
                <w:szCs w:val="18"/>
              </w:rPr>
              <w:t>27 (4.3)</w:t>
            </w:r>
          </w:p>
        </w:tc>
        <w:tc>
          <w:tcPr>
            <w:tcW w:w="1766" w:type="dxa"/>
            <w:shd w:val="clear" w:color="auto" w:fill="auto"/>
            <w:hideMark/>
          </w:tcPr>
          <w:p w14:paraId="75E6E4BD" w14:textId="77777777" w:rsidR="008D6FA3" w:rsidRPr="008D6FA3" w:rsidRDefault="008D6FA3" w:rsidP="00AF632F">
            <w:pPr>
              <w:pStyle w:val="NormalWeb"/>
              <w:jc w:val="center"/>
              <w:rPr>
                <w:sz w:val="18"/>
                <w:szCs w:val="18"/>
              </w:rPr>
            </w:pPr>
            <w:r w:rsidRPr="008D6FA3">
              <w:rPr>
                <w:sz w:val="18"/>
                <w:szCs w:val="18"/>
              </w:rPr>
              <w:t>28 (4.5)</w:t>
            </w:r>
          </w:p>
        </w:tc>
        <w:tc>
          <w:tcPr>
            <w:tcW w:w="1766" w:type="dxa"/>
            <w:shd w:val="clear" w:color="auto" w:fill="auto"/>
            <w:hideMark/>
          </w:tcPr>
          <w:p w14:paraId="35E2278A" w14:textId="77777777" w:rsidR="008D6FA3" w:rsidRPr="008D6FA3" w:rsidRDefault="008D6FA3" w:rsidP="00AF632F">
            <w:pPr>
              <w:pStyle w:val="NormalWeb"/>
              <w:jc w:val="center"/>
              <w:rPr>
                <w:sz w:val="18"/>
                <w:szCs w:val="18"/>
              </w:rPr>
            </w:pPr>
            <w:r w:rsidRPr="008D6FA3">
              <w:rPr>
                <w:sz w:val="18"/>
                <w:szCs w:val="18"/>
              </w:rPr>
              <w:t>55 (4.4)</w:t>
            </w:r>
          </w:p>
        </w:tc>
      </w:tr>
      <w:tr w:rsidR="008D6FA3" w:rsidRPr="008D6FA3" w14:paraId="0688A4D9" w14:textId="77777777" w:rsidTr="00B24445">
        <w:tc>
          <w:tcPr>
            <w:tcW w:w="0" w:type="auto"/>
            <w:vMerge/>
            <w:tcBorders>
              <w:bottom w:val="single" w:sz="2" w:space="0" w:color="auto"/>
            </w:tcBorders>
            <w:shd w:val="clear" w:color="auto" w:fill="auto"/>
            <w:hideMark/>
          </w:tcPr>
          <w:p w14:paraId="4B72F269" w14:textId="77777777" w:rsidR="008D6FA3" w:rsidRPr="008D6FA3" w:rsidRDefault="008D6FA3" w:rsidP="00AF632F">
            <w:pPr>
              <w:rPr>
                <w:sz w:val="18"/>
                <w:szCs w:val="18"/>
              </w:rPr>
            </w:pPr>
          </w:p>
        </w:tc>
        <w:tc>
          <w:tcPr>
            <w:tcW w:w="0" w:type="auto"/>
            <w:tcBorders>
              <w:bottom w:val="single" w:sz="2" w:space="0" w:color="auto"/>
            </w:tcBorders>
            <w:shd w:val="clear" w:color="auto" w:fill="auto"/>
            <w:hideMark/>
          </w:tcPr>
          <w:p w14:paraId="13CA77BF" w14:textId="77777777" w:rsidR="008D6FA3" w:rsidRPr="008D6FA3" w:rsidRDefault="008D6FA3" w:rsidP="00AF632F">
            <w:pPr>
              <w:pStyle w:val="NormalWeb"/>
              <w:rPr>
                <w:sz w:val="18"/>
                <w:szCs w:val="18"/>
              </w:rPr>
            </w:pPr>
            <w:r w:rsidRPr="008D6FA3">
              <w:rPr>
                <w:sz w:val="18"/>
                <w:szCs w:val="18"/>
              </w:rPr>
              <w:t>No hospital record prior to infection</w:t>
            </w:r>
          </w:p>
        </w:tc>
        <w:tc>
          <w:tcPr>
            <w:tcW w:w="1766" w:type="dxa"/>
            <w:tcBorders>
              <w:bottom w:val="single" w:sz="2" w:space="0" w:color="auto"/>
            </w:tcBorders>
            <w:shd w:val="clear" w:color="auto" w:fill="auto"/>
            <w:hideMark/>
          </w:tcPr>
          <w:p w14:paraId="59608671" w14:textId="77777777" w:rsidR="008D6FA3" w:rsidRPr="008D6FA3" w:rsidRDefault="008D6FA3" w:rsidP="00AF632F">
            <w:pPr>
              <w:pStyle w:val="NormalWeb"/>
              <w:jc w:val="center"/>
              <w:rPr>
                <w:sz w:val="18"/>
                <w:szCs w:val="18"/>
              </w:rPr>
            </w:pPr>
            <w:r w:rsidRPr="008D6FA3">
              <w:rPr>
                <w:sz w:val="18"/>
                <w:szCs w:val="18"/>
              </w:rPr>
              <w:t>264 (41.9)</w:t>
            </w:r>
          </w:p>
        </w:tc>
        <w:tc>
          <w:tcPr>
            <w:tcW w:w="1766" w:type="dxa"/>
            <w:tcBorders>
              <w:bottom w:val="single" w:sz="2" w:space="0" w:color="auto"/>
            </w:tcBorders>
            <w:shd w:val="clear" w:color="auto" w:fill="auto"/>
            <w:hideMark/>
          </w:tcPr>
          <w:p w14:paraId="671295C2" w14:textId="77777777" w:rsidR="008D6FA3" w:rsidRPr="008D6FA3" w:rsidRDefault="008D6FA3" w:rsidP="00AF632F">
            <w:pPr>
              <w:pStyle w:val="NormalWeb"/>
              <w:jc w:val="center"/>
              <w:rPr>
                <w:sz w:val="18"/>
                <w:szCs w:val="18"/>
              </w:rPr>
            </w:pPr>
            <w:r w:rsidRPr="008D6FA3">
              <w:rPr>
                <w:sz w:val="18"/>
                <w:szCs w:val="18"/>
              </w:rPr>
              <w:t>194 (31.1)</w:t>
            </w:r>
          </w:p>
        </w:tc>
        <w:tc>
          <w:tcPr>
            <w:tcW w:w="1766" w:type="dxa"/>
            <w:tcBorders>
              <w:bottom w:val="single" w:sz="2" w:space="0" w:color="auto"/>
            </w:tcBorders>
            <w:shd w:val="clear" w:color="auto" w:fill="auto"/>
            <w:hideMark/>
          </w:tcPr>
          <w:p w14:paraId="4F082538" w14:textId="77777777" w:rsidR="008D6FA3" w:rsidRPr="008D6FA3" w:rsidRDefault="008D6FA3" w:rsidP="00AF632F">
            <w:pPr>
              <w:pStyle w:val="NormalWeb"/>
              <w:jc w:val="center"/>
              <w:rPr>
                <w:sz w:val="18"/>
                <w:szCs w:val="18"/>
              </w:rPr>
            </w:pPr>
            <w:r w:rsidRPr="008D6FA3">
              <w:rPr>
                <w:sz w:val="18"/>
                <w:szCs w:val="18"/>
              </w:rPr>
              <w:t>458 (36.5)</w:t>
            </w:r>
          </w:p>
        </w:tc>
      </w:tr>
      <w:tr w:rsidR="008D6FA3" w:rsidRPr="008D6FA3" w14:paraId="7BBDBE84"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auto"/>
            </w:tcBorders>
            <w:shd w:val="clear" w:color="auto" w:fill="auto"/>
            <w:hideMark/>
          </w:tcPr>
          <w:p w14:paraId="4328C198" w14:textId="77777777" w:rsidR="008D6FA3" w:rsidRPr="008D6FA3" w:rsidRDefault="008D6FA3" w:rsidP="00AF632F">
            <w:pPr>
              <w:pStyle w:val="NormalWeb"/>
              <w:rPr>
                <w:sz w:val="18"/>
                <w:szCs w:val="18"/>
              </w:rPr>
            </w:pPr>
            <w:r w:rsidRPr="008D6FA3">
              <w:rPr>
                <w:sz w:val="18"/>
                <w:szCs w:val="18"/>
              </w:rPr>
              <w:t xml:space="preserve">Comorbid </w:t>
            </w:r>
            <w:proofErr w:type="spellStart"/>
            <w:r w:rsidRPr="008D6FA3">
              <w:rPr>
                <w:sz w:val="18"/>
                <w:szCs w:val="18"/>
              </w:rPr>
              <w:t>conditions</w:t>
            </w:r>
            <w:r w:rsidRPr="008D6FA3">
              <w:rPr>
                <w:sz w:val="18"/>
                <w:szCs w:val="18"/>
                <w:vertAlign w:val="superscript"/>
              </w:rPr>
              <w:t>d</w:t>
            </w:r>
            <w:proofErr w:type="spellEnd"/>
          </w:p>
        </w:tc>
        <w:tc>
          <w:tcPr>
            <w:tcW w:w="0" w:type="auto"/>
            <w:tcBorders>
              <w:top w:val="single" w:sz="2" w:space="0" w:color="auto"/>
            </w:tcBorders>
            <w:shd w:val="clear" w:color="auto" w:fill="auto"/>
            <w:hideMark/>
          </w:tcPr>
          <w:p w14:paraId="0D97B6DE" w14:textId="77777777" w:rsidR="008D6FA3" w:rsidRPr="008D6FA3" w:rsidRDefault="008D6FA3" w:rsidP="00AF632F">
            <w:pPr>
              <w:pStyle w:val="NormalWeb"/>
              <w:rPr>
                <w:sz w:val="18"/>
                <w:szCs w:val="18"/>
              </w:rPr>
            </w:pPr>
            <w:r w:rsidRPr="008D6FA3">
              <w:rPr>
                <w:sz w:val="18"/>
                <w:szCs w:val="18"/>
              </w:rPr>
              <w:t>Asthma</w:t>
            </w:r>
          </w:p>
        </w:tc>
        <w:tc>
          <w:tcPr>
            <w:tcW w:w="1766" w:type="dxa"/>
            <w:tcBorders>
              <w:top w:val="single" w:sz="2" w:space="0" w:color="auto"/>
            </w:tcBorders>
            <w:shd w:val="clear" w:color="auto" w:fill="auto"/>
            <w:hideMark/>
          </w:tcPr>
          <w:p w14:paraId="104F238A" w14:textId="77777777" w:rsidR="008D6FA3" w:rsidRPr="008D6FA3" w:rsidRDefault="008D6FA3" w:rsidP="00AF632F">
            <w:pPr>
              <w:pStyle w:val="NormalWeb"/>
              <w:jc w:val="center"/>
              <w:rPr>
                <w:sz w:val="18"/>
                <w:szCs w:val="18"/>
              </w:rPr>
            </w:pPr>
            <w:r w:rsidRPr="008D6FA3">
              <w:rPr>
                <w:sz w:val="18"/>
                <w:szCs w:val="18"/>
              </w:rPr>
              <w:t>6 (1.0)</w:t>
            </w:r>
          </w:p>
        </w:tc>
        <w:tc>
          <w:tcPr>
            <w:tcW w:w="1766" w:type="dxa"/>
            <w:tcBorders>
              <w:top w:val="single" w:sz="2" w:space="0" w:color="auto"/>
            </w:tcBorders>
            <w:shd w:val="clear" w:color="auto" w:fill="auto"/>
            <w:hideMark/>
          </w:tcPr>
          <w:p w14:paraId="47132426" w14:textId="77777777" w:rsidR="008D6FA3" w:rsidRPr="008D6FA3" w:rsidRDefault="008D6FA3" w:rsidP="00AF632F">
            <w:pPr>
              <w:pStyle w:val="NormalWeb"/>
              <w:jc w:val="center"/>
              <w:rPr>
                <w:sz w:val="18"/>
                <w:szCs w:val="18"/>
              </w:rPr>
            </w:pPr>
            <w:r w:rsidRPr="008D6FA3">
              <w:rPr>
                <w:sz w:val="18"/>
                <w:szCs w:val="18"/>
              </w:rPr>
              <w:t>7 (1.1)</w:t>
            </w:r>
          </w:p>
        </w:tc>
        <w:tc>
          <w:tcPr>
            <w:tcW w:w="1766" w:type="dxa"/>
            <w:tcBorders>
              <w:top w:val="single" w:sz="2" w:space="0" w:color="auto"/>
            </w:tcBorders>
            <w:shd w:val="clear" w:color="auto" w:fill="auto"/>
            <w:hideMark/>
          </w:tcPr>
          <w:p w14:paraId="445E966D" w14:textId="77777777" w:rsidR="008D6FA3" w:rsidRPr="008D6FA3" w:rsidRDefault="008D6FA3" w:rsidP="00AF632F">
            <w:pPr>
              <w:pStyle w:val="NormalWeb"/>
              <w:jc w:val="center"/>
              <w:rPr>
                <w:sz w:val="18"/>
                <w:szCs w:val="18"/>
              </w:rPr>
            </w:pPr>
            <w:r w:rsidRPr="008D6FA3">
              <w:rPr>
                <w:sz w:val="18"/>
                <w:szCs w:val="18"/>
              </w:rPr>
              <w:t>13 (1.0)</w:t>
            </w:r>
          </w:p>
        </w:tc>
      </w:tr>
      <w:tr w:rsidR="008D6FA3" w:rsidRPr="008D6FA3" w14:paraId="6530CA23" w14:textId="77777777" w:rsidTr="00B24445">
        <w:tc>
          <w:tcPr>
            <w:tcW w:w="0" w:type="auto"/>
            <w:vMerge/>
            <w:shd w:val="clear" w:color="auto" w:fill="auto"/>
            <w:hideMark/>
          </w:tcPr>
          <w:p w14:paraId="3942D5E0" w14:textId="77777777" w:rsidR="008D6FA3" w:rsidRPr="008D6FA3" w:rsidRDefault="008D6FA3" w:rsidP="00AF632F">
            <w:pPr>
              <w:rPr>
                <w:sz w:val="18"/>
                <w:szCs w:val="18"/>
              </w:rPr>
            </w:pPr>
          </w:p>
        </w:tc>
        <w:tc>
          <w:tcPr>
            <w:tcW w:w="0" w:type="auto"/>
            <w:shd w:val="clear" w:color="auto" w:fill="auto"/>
            <w:hideMark/>
          </w:tcPr>
          <w:p w14:paraId="5413B908" w14:textId="77777777" w:rsidR="008D6FA3" w:rsidRPr="008D6FA3" w:rsidRDefault="008D6FA3" w:rsidP="00AF632F">
            <w:pPr>
              <w:pStyle w:val="NormalWeb"/>
              <w:rPr>
                <w:sz w:val="18"/>
                <w:szCs w:val="18"/>
              </w:rPr>
            </w:pPr>
            <w:r w:rsidRPr="008D6FA3">
              <w:rPr>
                <w:sz w:val="18"/>
                <w:szCs w:val="18"/>
              </w:rPr>
              <w:t>Chronic lower respiratory disease</w:t>
            </w:r>
          </w:p>
        </w:tc>
        <w:tc>
          <w:tcPr>
            <w:tcW w:w="1766" w:type="dxa"/>
            <w:shd w:val="clear" w:color="auto" w:fill="auto"/>
            <w:hideMark/>
          </w:tcPr>
          <w:p w14:paraId="13AE4CC3" w14:textId="77777777" w:rsidR="008D6FA3" w:rsidRPr="008D6FA3" w:rsidRDefault="008D6FA3" w:rsidP="00AF632F">
            <w:pPr>
              <w:pStyle w:val="NormalWeb"/>
              <w:jc w:val="center"/>
              <w:rPr>
                <w:sz w:val="18"/>
                <w:szCs w:val="18"/>
              </w:rPr>
            </w:pPr>
            <w:r w:rsidRPr="008D6FA3">
              <w:rPr>
                <w:sz w:val="18"/>
                <w:szCs w:val="18"/>
              </w:rPr>
              <w:t>5 (0.8)</w:t>
            </w:r>
          </w:p>
        </w:tc>
        <w:tc>
          <w:tcPr>
            <w:tcW w:w="1766" w:type="dxa"/>
            <w:shd w:val="clear" w:color="auto" w:fill="auto"/>
            <w:hideMark/>
          </w:tcPr>
          <w:p w14:paraId="20C39B0D" w14:textId="77777777" w:rsidR="008D6FA3" w:rsidRPr="008D6FA3" w:rsidRDefault="008D6FA3" w:rsidP="00AF632F">
            <w:pPr>
              <w:pStyle w:val="NormalWeb"/>
              <w:jc w:val="center"/>
              <w:rPr>
                <w:sz w:val="18"/>
                <w:szCs w:val="18"/>
              </w:rPr>
            </w:pPr>
            <w:r w:rsidRPr="008D6FA3">
              <w:rPr>
                <w:sz w:val="18"/>
                <w:szCs w:val="18"/>
              </w:rPr>
              <w:t>8 (1.3)</w:t>
            </w:r>
          </w:p>
        </w:tc>
        <w:tc>
          <w:tcPr>
            <w:tcW w:w="1766" w:type="dxa"/>
            <w:shd w:val="clear" w:color="auto" w:fill="auto"/>
            <w:hideMark/>
          </w:tcPr>
          <w:p w14:paraId="0B1FFCC5" w14:textId="77777777" w:rsidR="008D6FA3" w:rsidRPr="008D6FA3" w:rsidRDefault="008D6FA3" w:rsidP="00AF632F">
            <w:pPr>
              <w:pStyle w:val="NormalWeb"/>
              <w:jc w:val="center"/>
              <w:rPr>
                <w:sz w:val="18"/>
                <w:szCs w:val="18"/>
              </w:rPr>
            </w:pPr>
            <w:r w:rsidRPr="008D6FA3">
              <w:rPr>
                <w:sz w:val="18"/>
                <w:szCs w:val="18"/>
              </w:rPr>
              <w:t>13 (1.0)</w:t>
            </w:r>
          </w:p>
        </w:tc>
      </w:tr>
      <w:tr w:rsidR="008D6FA3" w:rsidRPr="008D6FA3" w14:paraId="01E940D4"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1BC77FE0" w14:textId="77777777" w:rsidR="008D6FA3" w:rsidRPr="008D6FA3" w:rsidRDefault="008D6FA3" w:rsidP="00AF632F">
            <w:pPr>
              <w:rPr>
                <w:sz w:val="18"/>
                <w:szCs w:val="18"/>
              </w:rPr>
            </w:pPr>
          </w:p>
        </w:tc>
        <w:tc>
          <w:tcPr>
            <w:tcW w:w="0" w:type="auto"/>
            <w:shd w:val="clear" w:color="auto" w:fill="auto"/>
            <w:hideMark/>
          </w:tcPr>
          <w:p w14:paraId="4F818213" w14:textId="77777777" w:rsidR="008D6FA3" w:rsidRPr="008D6FA3" w:rsidRDefault="008D6FA3" w:rsidP="00AF632F">
            <w:pPr>
              <w:pStyle w:val="NormalWeb"/>
              <w:rPr>
                <w:sz w:val="18"/>
                <w:szCs w:val="18"/>
              </w:rPr>
            </w:pPr>
            <w:r w:rsidRPr="008D6FA3">
              <w:rPr>
                <w:sz w:val="18"/>
                <w:szCs w:val="18"/>
              </w:rPr>
              <w:t>Diabetes</w:t>
            </w:r>
          </w:p>
        </w:tc>
        <w:tc>
          <w:tcPr>
            <w:tcW w:w="1766" w:type="dxa"/>
            <w:shd w:val="clear" w:color="auto" w:fill="auto"/>
            <w:hideMark/>
          </w:tcPr>
          <w:p w14:paraId="3667FA9B" w14:textId="77777777" w:rsidR="008D6FA3" w:rsidRPr="008D6FA3" w:rsidRDefault="008D6FA3" w:rsidP="00AF632F">
            <w:pPr>
              <w:pStyle w:val="NormalWeb"/>
              <w:jc w:val="center"/>
              <w:rPr>
                <w:sz w:val="18"/>
                <w:szCs w:val="18"/>
              </w:rPr>
            </w:pPr>
            <w:r w:rsidRPr="008D6FA3">
              <w:rPr>
                <w:sz w:val="18"/>
                <w:szCs w:val="18"/>
              </w:rPr>
              <w:t>30 (4.8)</w:t>
            </w:r>
          </w:p>
        </w:tc>
        <w:tc>
          <w:tcPr>
            <w:tcW w:w="1766" w:type="dxa"/>
            <w:shd w:val="clear" w:color="auto" w:fill="auto"/>
            <w:hideMark/>
          </w:tcPr>
          <w:p w14:paraId="4E05CEC5" w14:textId="77777777" w:rsidR="008D6FA3" w:rsidRPr="008D6FA3" w:rsidRDefault="008D6FA3" w:rsidP="00AF632F">
            <w:pPr>
              <w:pStyle w:val="NormalWeb"/>
              <w:jc w:val="center"/>
              <w:rPr>
                <w:sz w:val="18"/>
                <w:szCs w:val="18"/>
              </w:rPr>
            </w:pPr>
            <w:r w:rsidRPr="008D6FA3">
              <w:rPr>
                <w:sz w:val="18"/>
                <w:szCs w:val="18"/>
              </w:rPr>
              <w:t>23 (3.7)</w:t>
            </w:r>
          </w:p>
        </w:tc>
        <w:tc>
          <w:tcPr>
            <w:tcW w:w="1766" w:type="dxa"/>
            <w:shd w:val="clear" w:color="auto" w:fill="auto"/>
            <w:hideMark/>
          </w:tcPr>
          <w:p w14:paraId="4FDA39D3" w14:textId="77777777" w:rsidR="008D6FA3" w:rsidRPr="008D6FA3" w:rsidRDefault="008D6FA3" w:rsidP="00AF632F">
            <w:pPr>
              <w:pStyle w:val="NormalWeb"/>
              <w:jc w:val="center"/>
              <w:rPr>
                <w:sz w:val="18"/>
                <w:szCs w:val="18"/>
              </w:rPr>
            </w:pPr>
            <w:r w:rsidRPr="008D6FA3">
              <w:rPr>
                <w:sz w:val="18"/>
                <w:szCs w:val="18"/>
              </w:rPr>
              <w:t>53 (4.2)</w:t>
            </w:r>
          </w:p>
        </w:tc>
      </w:tr>
      <w:tr w:rsidR="008D6FA3" w:rsidRPr="008D6FA3" w14:paraId="5A72AFB9" w14:textId="77777777" w:rsidTr="00B24445">
        <w:tc>
          <w:tcPr>
            <w:tcW w:w="0" w:type="auto"/>
            <w:vMerge/>
            <w:shd w:val="clear" w:color="auto" w:fill="auto"/>
            <w:hideMark/>
          </w:tcPr>
          <w:p w14:paraId="6C68AB14" w14:textId="77777777" w:rsidR="008D6FA3" w:rsidRPr="008D6FA3" w:rsidRDefault="008D6FA3" w:rsidP="00AF632F">
            <w:pPr>
              <w:rPr>
                <w:sz w:val="18"/>
                <w:szCs w:val="18"/>
              </w:rPr>
            </w:pPr>
          </w:p>
        </w:tc>
        <w:tc>
          <w:tcPr>
            <w:tcW w:w="0" w:type="auto"/>
            <w:shd w:val="clear" w:color="auto" w:fill="auto"/>
            <w:hideMark/>
          </w:tcPr>
          <w:p w14:paraId="0678029A" w14:textId="77777777" w:rsidR="008D6FA3" w:rsidRPr="008D6FA3" w:rsidRDefault="008D6FA3" w:rsidP="00AF632F">
            <w:pPr>
              <w:pStyle w:val="NormalWeb"/>
              <w:rPr>
                <w:sz w:val="18"/>
                <w:szCs w:val="18"/>
              </w:rPr>
            </w:pPr>
            <w:r w:rsidRPr="008D6FA3">
              <w:rPr>
                <w:sz w:val="18"/>
                <w:szCs w:val="18"/>
              </w:rPr>
              <w:t>Renal failure</w:t>
            </w:r>
          </w:p>
        </w:tc>
        <w:tc>
          <w:tcPr>
            <w:tcW w:w="1766" w:type="dxa"/>
            <w:shd w:val="clear" w:color="auto" w:fill="auto"/>
            <w:hideMark/>
          </w:tcPr>
          <w:p w14:paraId="45087A61" w14:textId="77777777" w:rsidR="008D6FA3" w:rsidRPr="008D6FA3" w:rsidRDefault="008D6FA3" w:rsidP="00AF632F">
            <w:pPr>
              <w:pStyle w:val="NormalWeb"/>
              <w:jc w:val="center"/>
              <w:rPr>
                <w:sz w:val="18"/>
                <w:szCs w:val="18"/>
              </w:rPr>
            </w:pPr>
            <w:r w:rsidRPr="008D6FA3">
              <w:rPr>
                <w:sz w:val="18"/>
                <w:szCs w:val="18"/>
              </w:rPr>
              <w:t>11 (1.7)</w:t>
            </w:r>
          </w:p>
        </w:tc>
        <w:tc>
          <w:tcPr>
            <w:tcW w:w="1766" w:type="dxa"/>
            <w:shd w:val="clear" w:color="auto" w:fill="auto"/>
            <w:hideMark/>
          </w:tcPr>
          <w:p w14:paraId="714BAA0F" w14:textId="77777777" w:rsidR="008D6FA3" w:rsidRPr="008D6FA3" w:rsidRDefault="008D6FA3" w:rsidP="00AF632F">
            <w:pPr>
              <w:pStyle w:val="NormalWeb"/>
              <w:jc w:val="center"/>
              <w:rPr>
                <w:sz w:val="18"/>
                <w:szCs w:val="18"/>
              </w:rPr>
            </w:pPr>
            <w:r w:rsidRPr="008D6FA3">
              <w:rPr>
                <w:sz w:val="18"/>
                <w:szCs w:val="18"/>
              </w:rPr>
              <w:t>8 (1.3)</w:t>
            </w:r>
          </w:p>
        </w:tc>
        <w:tc>
          <w:tcPr>
            <w:tcW w:w="1766" w:type="dxa"/>
            <w:shd w:val="clear" w:color="auto" w:fill="auto"/>
            <w:hideMark/>
          </w:tcPr>
          <w:p w14:paraId="7EC804F2" w14:textId="77777777" w:rsidR="008D6FA3" w:rsidRPr="008D6FA3" w:rsidRDefault="008D6FA3" w:rsidP="00AF632F">
            <w:pPr>
              <w:pStyle w:val="NormalWeb"/>
              <w:jc w:val="center"/>
              <w:rPr>
                <w:sz w:val="18"/>
                <w:szCs w:val="18"/>
              </w:rPr>
            </w:pPr>
            <w:r w:rsidRPr="008D6FA3">
              <w:rPr>
                <w:sz w:val="18"/>
                <w:szCs w:val="18"/>
              </w:rPr>
              <w:t>19 (1.5)</w:t>
            </w:r>
          </w:p>
        </w:tc>
      </w:tr>
      <w:tr w:rsidR="008D6FA3" w:rsidRPr="008D6FA3" w14:paraId="3C203530" w14:textId="77777777" w:rsidTr="00B2444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7CCC3720" w14:textId="77777777" w:rsidR="008D6FA3" w:rsidRPr="008D6FA3" w:rsidRDefault="008D6FA3" w:rsidP="00AF632F">
            <w:pPr>
              <w:rPr>
                <w:sz w:val="18"/>
                <w:szCs w:val="18"/>
              </w:rPr>
            </w:pPr>
          </w:p>
        </w:tc>
        <w:tc>
          <w:tcPr>
            <w:tcW w:w="0" w:type="auto"/>
            <w:shd w:val="clear" w:color="auto" w:fill="auto"/>
            <w:hideMark/>
          </w:tcPr>
          <w:p w14:paraId="416BCE8C" w14:textId="77777777" w:rsidR="008D6FA3" w:rsidRPr="008D6FA3" w:rsidRDefault="008D6FA3" w:rsidP="00AF632F">
            <w:pPr>
              <w:pStyle w:val="NormalWeb"/>
              <w:rPr>
                <w:sz w:val="18"/>
                <w:szCs w:val="18"/>
              </w:rPr>
            </w:pPr>
            <w:r w:rsidRPr="008D6FA3">
              <w:rPr>
                <w:sz w:val="18"/>
                <w:szCs w:val="18"/>
              </w:rPr>
              <w:t>Cancer</w:t>
            </w:r>
          </w:p>
        </w:tc>
        <w:tc>
          <w:tcPr>
            <w:tcW w:w="1766" w:type="dxa"/>
            <w:shd w:val="clear" w:color="auto" w:fill="auto"/>
            <w:hideMark/>
          </w:tcPr>
          <w:p w14:paraId="5FDF9784" w14:textId="77777777" w:rsidR="008D6FA3" w:rsidRPr="008D6FA3" w:rsidRDefault="008D6FA3" w:rsidP="00AF632F">
            <w:pPr>
              <w:pStyle w:val="NormalWeb"/>
              <w:jc w:val="center"/>
              <w:rPr>
                <w:sz w:val="18"/>
                <w:szCs w:val="18"/>
              </w:rPr>
            </w:pPr>
            <w:r w:rsidRPr="008D6FA3">
              <w:rPr>
                <w:sz w:val="18"/>
                <w:szCs w:val="18"/>
              </w:rPr>
              <w:t>40 (6.3)</w:t>
            </w:r>
          </w:p>
        </w:tc>
        <w:tc>
          <w:tcPr>
            <w:tcW w:w="1766" w:type="dxa"/>
            <w:shd w:val="clear" w:color="auto" w:fill="auto"/>
            <w:hideMark/>
          </w:tcPr>
          <w:p w14:paraId="1FC487CF" w14:textId="77777777" w:rsidR="008D6FA3" w:rsidRPr="008D6FA3" w:rsidRDefault="008D6FA3" w:rsidP="00AF632F">
            <w:pPr>
              <w:pStyle w:val="NormalWeb"/>
              <w:jc w:val="center"/>
              <w:rPr>
                <w:sz w:val="18"/>
                <w:szCs w:val="18"/>
              </w:rPr>
            </w:pPr>
            <w:r w:rsidRPr="008D6FA3">
              <w:rPr>
                <w:sz w:val="18"/>
                <w:szCs w:val="18"/>
              </w:rPr>
              <w:t>35 (5.6)</w:t>
            </w:r>
          </w:p>
        </w:tc>
        <w:tc>
          <w:tcPr>
            <w:tcW w:w="1766" w:type="dxa"/>
            <w:shd w:val="clear" w:color="auto" w:fill="auto"/>
            <w:hideMark/>
          </w:tcPr>
          <w:p w14:paraId="519AD668" w14:textId="77777777" w:rsidR="008D6FA3" w:rsidRPr="008D6FA3" w:rsidRDefault="008D6FA3" w:rsidP="00AF632F">
            <w:pPr>
              <w:pStyle w:val="NormalWeb"/>
              <w:jc w:val="center"/>
              <w:rPr>
                <w:sz w:val="18"/>
                <w:szCs w:val="18"/>
              </w:rPr>
            </w:pPr>
            <w:r w:rsidRPr="008D6FA3">
              <w:rPr>
                <w:sz w:val="18"/>
                <w:szCs w:val="18"/>
              </w:rPr>
              <w:t>75 (6.0)</w:t>
            </w:r>
          </w:p>
        </w:tc>
      </w:tr>
      <w:tr w:rsidR="008D6FA3" w:rsidRPr="008D6FA3" w14:paraId="1519F1C5" w14:textId="77777777" w:rsidTr="00B24445">
        <w:tc>
          <w:tcPr>
            <w:tcW w:w="0" w:type="auto"/>
            <w:vMerge/>
            <w:tcBorders>
              <w:bottom w:val="single" w:sz="2" w:space="0" w:color="000000" w:themeColor="text1"/>
            </w:tcBorders>
            <w:shd w:val="clear" w:color="auto" w:fill="auto"/>
            <w:hideMark/>
          </w:tcPr>
          <w:p w14:paraId="3AA5515F" w14:textId="77777777" w:rsidR="008D6FA3" w:rsidRPr="008D6FA3" w:rsidRDefault="008D6FA3" w:rsidP="00AF632F">
            <w:pPr>
              <w:rPr>
                <w:sz w:val="18"/>
                <w:szCs w:val="18"/>
              </w:rPr>
            </w:pPr>
          </w:p>
        </w:tc>
        <w:tc>
          <w:tcPr>
            <w:tcW w:w="0" w:type="auto"/>
            <w:tcBorders>
              <w:bottom w:val="single" w:sz="2" w:space="0" w:color="000000" w:themeColor="text1"/>
            </w:tcBorders>
            <w:shd w:val="clear" w:color="auto" w:fill="auto"/>
            <w:hideMark/>
          </w:tcPr>
          <w:p w14:paraId="732F88AB" w14:textId="77777777" w:rsidR="008D6FA3" w:rsidRPr="008D6FA3" w:rsidRDefault="008D6FA3" w:rsidP="00AF632F">
            <w:pPr>
              <w:pStyle w:val="NormalWeb"/>
              <w:rPr>
                <w:sz w:val="18"/>
                <w:szCs w:val="18"/>
              </w:rPr>
            </w:pPr>
            <w:r w:rsidRPr="008D6FA3">
              <w:rPr>
                <w:sz w:val="18"/>
                <w:szCs w:val="18"/>
              </w:rPr>
              <w:t>Cardiovascular disease</w:t>
            </w:r>
          </w:p>
        </w:tc>
        <w:tc>
          <w:tcPr>
            <w:tcW w:w="1766" w:type="dxa"/>
            <w:tcBorders>
              <w:bottom w:val="single" w:sz="2" w:space="0" w:color="000000" w:themeColor="text1"/>
            </w:tcBorders>
            <w:shd w:val="clear" w:color="auto" w:fill="auto"/>
            <w:hideMark/>
          </w:tcPr>
          <w:p w14:paraId="019AFC30" w14:textId="77777777" w:rsidR="008D6FA3" w:rsidRPr="008D6FA3" w:rsidRDefault="008D6FA3" w:rsidP="00AF632F">
            <w:pPr>
              <w:pStyle w:val="NormalWeb"/>
              <w:jc w:val="center"/>
              <w:rPr>
                <w:sz w:val="18"/>
                <w:szCs w:val="18"/>
              </w:rPr>
            </w:pPr>
            <w:r w:rsidRPr="008D6FA3">
              <w:rPr>
                <w:sz w:val="18"/>
                <w:szCs w:val="18"/>
              </w:rPr>
              <w:t>60 (9.5)</w:t>
            </w:r>
          </w:p>
        </w:tc>
        <w:tc>
          <w:tcPr>
            <w:tcW w:w="1766" w:type="dxa"/>
            <w:tcBorders>
              <w:bottom w:val="single" w:sz="2" w:space="0" w:color="000000" w:themeColor="text1"/>
            </w:tcBorders>
            <w:shd w:val="clear" w:color="auto" w:fill="auto"/>
            <w:hideMark/>
          </w:tcPr>
          <w:p w14:paraId="31C97EDA" w14:textId="77777777" w:rsidR="008D6FA3" w:rsidRPr="008D6FA3" w:rsidRDefault="008D6FA3" w:rsidP="00AF632F">
            <w:pPr>
              <w:pStyle w:val="NormalWeb"/>
              <w:jc w:val="center"/>
              <w:rPr>
                <w:sz w:val="18"/>
                <w:szCs w:val="18"/>
              </w:rPr>
            </w:pPr>
            <w:r w:rsidRPr="008D6FA3">
              <w:rPr>
                <w:sz w:val="18"/>
                <w:szCs w:val="18"/>
              </w:rPr>
              <w:t>37 (5.9)</w:t>
            </w:r>
          </w:p>
        </w:tc>
        <w:tc>
          <w:tcPr>
            <w:tcW w:w="1766" w:type="dxa"/>
            <w:tcBorders>
              <w:bottom w:val="single" w:sz="2" w:space="0" w:color="000000" w:themeColor="text1"/>
            </w:tcBorders>
            <w:shd w:val="clear" w:color="auto" w:fill="auto"/>
            <w:hideMark/>
          </w:tcPr>
          <w:p w14:paraId="1A143AA1" w14:textId="77777777" w:rsidR="008D6FA3" w:rsidRPr="008D6FA3" w:rsidRDefault="008D6FA3" w:rsidP="00AF632F">
            <w:pPr>
              <w:pStyle w:val="NormalWeb"/>
              <w:jc w:val="center"/>
              <w:rPr>
                <w:sz w:val="18"/>
                <w:szCs w:val="18"/>
              </w:rPr>
            </w:pPr>
            <w:r w:rsidRPr="008D6FA3">
              <w:rPr>
                <w:sz w:val="18"/>
                <w:szCs w:val="18"/>
              </w:rPr>
              <w:t>97 (7.7)</w:t>
            </w:r>
          </w:p>
        </w:tc>
      </w:tr>
    </w:tbl>
    <w:p w14:paraId="1F5CC209" w14:textId="77777777" w:rsidR="008D6FA3" w:rsidRPr="00311A0F" w:rsidRDefault="008D6FA3" w:rsidP="00311A0F">
      <w:pPr>
        <w:pStyle w:val="CDIfootnotes"/>
      </w:pPr>
      <w:r w:rsidRPr="00311A0F">
        <w:t>a</w:t>
      </w:r>
      <w:r w:rsidRPr="00311A0F">
        <w:tab/>
        <w:t xml:space="preserve">Sex, age, </w:t>
      </w:r>
      <w:proofErr w:type="gramStart"/>
      <w:r w:rsidRPr="00311A0F">
        <w:t>remoteness</w:t>
      </w:r>
      <w:proofErr w:type="gramEnd"/>
      <w:r w:rsidRPr="00311A0F">
        <w:t xml:space="preserve"> and SEIFA IRSD were sourced or derived from the </w:t>
      </w:r>
      <w:proofErr w:type="spellStart"/>
      <w:r w:rsidRPr="00311A0F">
        <w:t>NoCS</w:t>
      </w:r>
      <w:proofErr w:type="spellEnd"/>
      <w:r w:rsidRPr="00311A0F">
        <w:t xml:space="preserve"> data. Smoking status and comorbidities were obtained from QHAPDC data prior to onset date. SEIFA IRSD was measured in population-based quintiles. Smoking status was only recorded from 1 July 2015 and was not recorded for virtual ward home admissions.</w:t>
      </w:r>
    </w:p>
    <w:p w14:paraId="448C9C96" w14:textId="77777777" w:rsidR="008D6FA3" w:rsidRPr="00311A0F" w:rsidRDefault="008D6FA3" w:rsidP="00311A0F">
      <w:pPr>
        <w:pStyle w:val="CDIfootnotes"/>
      </w:pPr>
      <w:r w:rsidRPr="00311A0F">
        <w:t>b</w:t>
      </w:r>
      <w:r w:rsidRPr="00311A0F">
        <w:tab/>
        <w:t>Accessibility and Remoteness Index of Australia.</w:t>
      </w:r>
    </w:p>
    <w:p w14:paraId="6160095C" w14:textId="77777777" w:rsidR="008D6FA3" w:rsidRPr="00311A0F" w:rsidRDefault="008D6FA3" w:rsidP="00311A0F">
      <w:pPr>
        <w:pStyle w:val="CDIfootnotes"/>
      </w:pPr>
      <w:r w:rsidRPr="00311A0F">
        <w:t>c</w:t>
      </w:r>
      <w:r w:rsidRPr="00311A0F">
        <w:tab/>
        <w:t>Socio-Economic Indexes for Areas, Index of Relative Socio-Economic Disadvantage.</w:t>
      </w:r>
    </w:p>
    <w:p w14:paraId="3C53EEEE" w14:textId="77777777" w:rsidR="008D6FA3" w:rsidRPr="00311A0F" w:rsidRDefault="008D6FA3" w:rsidP="00311A0F">
      <w:pPr>
        <w:pStyle w:val="CDIfootnotes"/>
      </w:pPr>
      <w:r w:rsidRPr="00311A0F">
        <w:t>d</w:t>
      </w:r>
      <w:r w:rsidRPr="00311A0F">
        <w:tab/>
        <w:t>Asthma (ICD-10-AM: J45); chronic lower respiratory conditions excluding asthma (ICD-10-AM: J40-J47, excluding J45); diabetes (ICD-10-AM: E10-E14); renal failure (ICD-10-AM: N17-N19); cancer (ICD-10-AM: C00-C97); and major atherosclerotic/ thromboembolic cardiovascular disease (using established methods:10 selected hypertensive diseases I11-I13; ischaemic heart disease I20-I25; pulmonary heart disease and diseases of pulmonary circulation I26-I28; other forms of heart disease I34-36, I42, I44, I46-I51; cerebrovascular disease I61-I67, I69; selected diseases of the arteries, arterioles and capillaries I70-I77; phlebitis and thrombophlebitis I80; and selected episodic and paroxysmal disorders G45, G46).</w:t>
      </w:r>
    </w:p>
    <w:p w14:paraId="45700CF9" w14:textId="77777777" w:rsidR="008D6FA3" w:rsidRDefault="008D6FA3" w:rsidP="00D6062B"/>
    <w:p w14:paraId="7297191E" w14:textId="77777777" w:rsidR="00D6062B" w:rsidRDefault="00D6062B" w:rsidP="00D6062B">
      <w:r>
        <w:lastRenderedPageBreak/>
        <w:t xml:space="preserve">Smoking status was obtained using information from all available QHAPDC records (i.e. prior to and after onset date, noting that collection of smoking status began on 1 July 2015 and was not recorded for virtual ward home admissions). People were categorised as a non-smoker if all QHAPDC records indicated that they were not a current smoker, or as a current smoker or recent smoker if at least one of their QHAPDC records indicated that they were a current smoker, or otherwise as missing (i.e. virtual QHAPDC records). </w:t>
      </w:r>
    </w:p>
    <w:p w14:paraId="29AB8CFD" w14:textId="77777777" w:rsidR="00D6062B" w:rsidRDefault="00D6062B" w:rsidP="00D6062B">
      <w:r>
        <w:t xml:space="preserve">Comorbid conditions were identified using QHAPDC records in the ten years prior to onset </w:t>
      </w:r>
      <w:proofErr w:type="gramStart"/>
      <w:r>
        <w:t>date, and</w:t>
      </w:r>
      <w:proofErr w:type="gramEnd"/>
      <w:r>
        <w:t xml:space="preserve"> measured with International Statistical Classification of Disease and Related Health Problems Version 10 (ICD-10-AM) codes. We also used QHAPDC data to measure the </w:t>
      </w:r>
      <w:proofErr w:type="spellStart"/>
      <w:r>
        <w:t>Elixhauser</w:t>
      </w:r>
      <w:proofErr w:type="spellEnd"/>
      <w:r>
        <w:t xml:space="preserve"> comorbidity index,</w:t>
      </w:r>
      <w:r>
        <w:rPr>
          <w:vertAlign w:val="superscript"/>
        </w:rPr>
        <w:t>9</w:t>
      </w:r>
      <w:r>
        <w:t xml:space="preserve"> a weighted algorithm based on 30 chronic health conditions identified using diagnosis codes, to categorise members of the cohort as having 0, 1, or 2+ conditions, or ‘no hospital record prior to infection’. Separate categories were chosen to represent ‘no hospital record prior to infection’ and ‘0 comorbidities’ because an absence of hospital record does not necessarily equate to an absence of patient comorbidity. Patients may have a history of medical disease yet may never have had contact with Queensland Health, the state’s public health system, either because: the disease was never severe enough to require hospital admission; the patient may have been admitted to a public hospital outside Queensland; the patient may have been managed in the private system; or because the patient may have been managed in primary care. </w:t>
      </w:r>
    </w:p>
    <w:p w14:paraId="354C7E7B" w14:textId="77777777" w:rsidR="00D6062B" w:rsidRPr="00D6062B" w:rsidRDefault="00D6062B" w:rsidP="00D6062B">
      <w:pPr>
        <w:pStyle w:val="Heading2"/>
      </w:pPr>
      <w:r w:rsidRPr="00D6062B">
        <w:t xml:space="preserve">Analysis </w:t>
      </w:r>
    </w:p>
    <w:p w14:paraId="529D13D7" w14:textId="77777777" w:rsidR="00D6062B" w:rsidRDefault="00D6062B" w:rsidP="00D6062B">
      <w:proofErr w:type="gramStart"/>
      <w:r>
        <w:t>First</w:t>
      </w:r>
      <w:proofErr w:type="gramEnd"/>
      <w:r>
        <w:t xml:space="preserve"> we described the number and proportions of the cohort with each of the primary outcomes, as well as the median number of days (with interquartile range, IQR) in hospital and on continuous ventilator support. At the time of analysis, days spent in ICU were not available. We also cross-checked outcomes reported on the </w:t>
      </w:r>
      <w:proofErr w:type="spellStart"/>
      <w:r>
        <w:t>NoCS</w:t>
      </w:r>
      <w:proofErr w:type="spellEnd"/>
      <w:r>
        <w:t xml:space="preserve"> with outcomes derived from the linked data, by comparing primary outcomes recorded in the hospital and death data with those reported using </w:t>
      </w:r>
      <w:proofErr w:type="spellStart"/>
      <w:r>
        <w:t>NoCS</w:t>
      </w:r>
      <w:proofErr w:type="spellEnd"/>
      <w:r>
        <w:t xml:space="preserve"> data. Third, we quantified the association between sociodemographic and health characteristics and two outcomes: presentation to an ED and inpatient admission to hospital. In this part of the analysis, although a person may have more than one presentation to an ED or admission to hospital (event), the outcome was defined as ever compared to never had the outcome. We excluded ED presentations and hospital admissions where the first day of admission was more than 14 days after symptom onset to increase specificity of the estimates. We also excluded non-Queensland residents (n = 61, defined as having a principal address outside Queensland) to maximise the proportion captured with hospital admissions prior to infection. To assess associations between comorbid health conditions and ED and inpatient hospital admissions, we compared those with a given health condition to those without the condition with linked hospital records; those without linked hospital records prior to their onset date were included as a separate category. Associations were quantified with relative risks (RR) and 95% confidence intervals (95% CI), estimated using Poisson regression, with adjustment for age, </w:t>
      </w:r>
      <w:proofErr w:type="gramStart"/>
      <w:r>
        <w:t>sex</w:t>
      </w:r>
      <w:proofErr w:type="gramEnd"/>
      <w:r>
        <w:t xml:space="preserve"> and region of residence. Where appropriate, we also performed tests for linear trend by including ordered categories as continuous terms in models. </w:t>
      </w:r>
    </w:p>
    <w:p w14:paraId="6F0F132B" w14:textId="77777777" w:rsidR="00D6062B" w:rsidRDefault="00D6062B" w:rsidP="00D6062B">
      <w:r>
        <w:t xml:space="preserve">Two sets of sensitivity analyses were conducted. In the first, we re-estimated associations between comorbidities and hospital-based outcomes measuring comorbidities using all available QHAPDC data, i.e. additionally including admissions occurring after symptom onset date, to examine whether associations were similar when including diagnoses at the time of COVID-19-related admissions. In the second, we assumed that those without a hospital admission prior to their onset date did not have any of the measured comorbidities (previously included as a separate category), including any of the comorbidities measured with the </w:t>
      </w:r>
      <w:proofErr w:type="spellStart"/>
      <w:r>
        <w:t>Elixhauser</w:t>
      </w:r>
      <w:proofErr w:type="spellEnd"/>
      <w:r>
        <w:t xml:space="preserve"> index. </w:t>
      </w:r>
    </w:p>
    <w:p w14:paraId="305F4053" w14:textId="77777777" w:rsidR="00D6062B" w:rsidRDefault="00D6062B" w:rsidP="00D6062B">
      <w:r>
        <w:t xml:space="preserve">Where possible, we report results stratified by sex and broad age group. Missing data were included as a separate category. All analyses were conducted using Stata version 16.0. </w:t>
      </w:r>
    </w:p>
    <w:p w14:paraId="70CDB721" w14:textId="77777777" w:rsidR="004D4676" w:rsidRDefault="004D4676">
      <w:pPr>
        <w:rPr>
          <w:rFonts w:asciiTheme="majorHAnsi" w:eastAsiaTheme="majorEastAsia" w:hAnsiTheme="majorHAnsi" w:cstheme="majorBidi"/>
          <w:b/>
          <w:bCs/>
          <w:sz w:val="26"/>
          <w:szCs w:val="26"/>
        </w:rPr>
      </w:pPr>
      <w:r>
        <w:br w:type="page"/>
      </w:r>
    </w:p>
    <w:p w14:paraId="5133729D" w14:textId="72B3A4FF" w:rsidR="00D6062B" w:rsidRPr="00D6062B" w:rsidRDefault="00D6062B" w:rsidP="00D6062B">
      <w:pPr>
        <w:pStyle w:val="Heading2"/>
      </w:pPr>
      <w:r w:rsidRPr="00D6062B">
        <w:lastRenderedPageBreak/>
        <w:t xml:space="preserve">Ethics approval </w:t>
      </w:r>
    </w:p>
    <w:p w14:paraId="3DC0CF4C" w14:textId="77777777" w:rsidR="00D6062B" w:rsidRDefault="00D6062B" w:rsidP="00D6062B">
      <w:r>
        <w:t xml:space="preserve">Ethics approval was granted by the Gold Coast Hospital and Health Service Human Research Ethics Committee (HREC/2020/QGC/63555) and by the Australian National University Human Research Ethics Committee (2020/312). Informed consent was not required for this study and access to de-identified data was granted under Section 282 of the </w:t>
      </w:r>
      <w:r w:rsidRPr="00222AE1">
        <w:rPr>
          <w:rStyle w:val="Emphasis"/>
          <w:b w:val="0"/>
          <w:bCs w:val="0"/>
        </w:rPr>
        <w:t>Public Health Act 2005</w:t>
      </w:r>
      <w:r>
        <w:t xml:space="preserve"> by the Director-General’s delegate. </w:t>
      </w:r>
    </w:p>
    <w:p w14:paraId="28DD5D6B" w14:textId="77777777" w:rsidR="00D6062B" w:rsidRPr="00D6062B" w:rsidRDefault="00D6062B" w:rsidP="00D6062B">
      <w:pPr>
        <w:pStyle w:val="Heading1"/>
      </w:pPr>
      <w:r w:rsidRPr="00D6062B">
        <w:t xml:space="preserve">Results </w:t>
      </w:r>
    </w:p>
    <w:p w14:paraId="4F559E4C" w14:textId="77777777" w:rsidR="00D6062B" w:rsidRDefault="00D6062B" w:rsidP="00D6062B">
      <w:r>
        <w:t xml:space="preserve">There were 1,254 people with a diagnosis of COVID-19 to 31 December 2020. Of these, 753 (60.0%) were linked to EDC data and most (n = 1,178; 93.4%) had a link to a QHAPDC record (since January 2010; 30,017 records). Of the cohort, there were 288 inpatient hospital admissions among 267 (21.3%) patients, while 796 (63.5%) people had a QHAPDC record in the ten years prior to onset date (3,981 records). There were six deaths in the linked Death Registrations dataset, consistent with the number of deaths reported by Queensland Health. </w:t>
      </w:r>
    </w:p>
    <w:p w14:paraId="22A6ADF1" w14:textId="77777777" w:rsidR="00D6062B" w:rsidRPr="00D6062B" w:rsidRDefault="00D6062B" w:rsidP="00D6062B">
      <w:pPr>
        <w:pStyle w:val="Heading2"/>
      </w:pPr>
      <w:r w:rsidRPr="00D6062B">
        <w:t xml:space="preserve">Characteristics of all people diagnosed with COVID-19 in Queensland </w:t>
      </w:r>
    </w:p>
    <w:p w14:paraId="6F6BB257" w14:textId="77777777" w:rsidR="00D6062B" w:rsidRDefault="00D6062B" w:rsidP="00D6062B">
      <w:r>
        <w:t>Two thirds of people in the Queensland COVID-19 cohort were in the 20–39 and 40–</w:t>
      </w:r>
      <w:proofErr w:type="gramStart"/>
      <w:r>
        <w:t>59 year</w:t>
      </w:r>
      <w:proofErr w:type="gramEnd"/>
      <w:r>
        <w:t xml:space="preserve"> age groups (38.7% and 29.0% respectively). Half of those in the cohort (49.8%) were women (Table 1). </w:t>
      </w:r>
      <w:proofErr w:type="gramStart"/>
      <w:r>
        <w:t>The majority of</w:t>
      </w:r>
      <w:proofErr w:type="gramEnd"/>
      <w:r>
        <w:t xml:space="preserve"> people (77.6%) were from major cities and a disproportionate number of cases were from the least disadvantaged areas (10.7% of cases were from the most disadvantaged quintile, compared to 33.2% from the least disadvantaged). Smoking status was missing for a large proportion of the cohort (523/1,254; 41.7%). Of those for whom smoking status could be established, the majority were non-smokers (n = 676/731; 92.5%) and a small proportion were recorded as current/recent smokers (n = 55/731; 7.5%). </w:t>
      </w:r>
    </w:p>
    <w:p w14:paraId="11A5B1DD" w14:textId="77777777" w:rsidR="00D6062B" w:rsidRDefault="00D6062B" w:rsidP="00D6062B">
      <w:r>
        <w:t xml:space="preserve">For chronic health conditions captured in prior public hospital admissions, &lt; 2% of the cohort had a previous hospital admission with a diagnosis of asthma (1.0%), chronic lower respiratory disease (1.0%) or renal failure (1.5%). Among the cohort, 4.2% had recorded diabetes; 6.0% cancer; and 7.7% major cardiovascular disease (CVD). The largest fraction of the cohort (n= 626/1,254; 49.9%) had none of the 30 comorbidities measured with the </w:t>
      </w:r>
      <w:proofErr w:type="spellStart"/>
      <w:r>
        <w:t>Elixhauser</w:t>
      </w:r>
      <w:proofErr w:type="spellEnd"/>
      <w:r>
        <w:t xml:space="preserve"> comorbidity index; 115 (9.2%) reported one comorbid condition; 55 (4.4%) reported two or more conditions; and 458 (36.5%) did not have a hospital record in the ten years prior to infection. </w:t>
      </w:r>
    </w:p>
    <w:p w14:paraId="1CA52150" w14:textId="77777777" w:rsidR="00D6062B" w:rsidRPr="00D6062B" w:rsidRDefault="00D6062B" w:rsidP="00D6062B">
      <w:pPr>
        <w:pStyle w:val="Heading2"/>
      </w:pPr>
      <w:r w:rsidRPr="00D6062B">
        <w:t xml:space="preserve">Outcomes for people diagnosed with COVID-19 in Queensland </w:t>
      </w:r>
    </w:p>
    <w:p w14:paraId="05FBAC1E" w14:textId="110CFFD7" w:rsidR="00D6062B" w:rsidRDefault="00D6062B" w:rsidP="00D6062B">
      <w:r>
        <w:t xml:space="preserve">There were 1,182 people in the cohort that had an onset date before 1 November 2020 (Table 2). The median number of days between symptom onset date and first hospitalisation was 4 (IQR: 2–7 days) and once admitted, median length of stay was 11 days (IQR: 8–16). A greater proportion of the cohort aged ≥ 60 years had an inpatient hospital admission compared to those &lt; 60 years of age (29.9% compared to 18.1%). Seventeen members of the cohort (1.4%) with onset before 1 November 2020 were admitted to ICU, 14 (1.2%) required ventilation and 6 (0.5%) died. Small numbers experiencing these outcomes precluded any further analyses. </w:t>
      </w:r>
    </w:p>
    <w:p w14:paraId="7D289586" w14:textId="77777777" w:rsidR="00792693" w:rsidRDefault="00792693">
      <w:pPr>
        <w:rPr>
          <w:rStyle w:val="Strong"/>
          <w:bCs w:val="0"/>
        </w:rPr>
      </w:pPr>
      <w:r>
        <w:rPr>
          <w:rStyle w:val="Strong"/>
          <w:b w:val="0"/>
          <w:bCs w:val="0"/>
        </w:rPr>
        <w:br w:type="page"/>
      </w:r>
    </w:p>
    <w:p w14:paraId="61D93B48" w14:textId="27719CEF" w:rsidR="00792693" w:rsidRPr="00A968DB" w:rsidRDefault="00792693" w:rsidP="00792693">
      <w:pPr>
        <w:pStyle w:val="CDIFigures"/>
      </w:pPr>
      <w:r w:rsidRPr="00A968DB">
        <w:rPr>
          <w:rStyle w:val="Strong"/>
          <w:b/>
          <w:bCs w:val="0"/>
        </w:rPr>
        <w:lastRenderedPageBreak/>
        <w:t xml:space="preserve">Table 2: Health outcomes for confirmed COVID-19 cases in Queensland (with onset before </w:t>
      </w:r>
      <w:r w:rsidR="0064194D">
        <w:rPr>
          <w:rStyle w:val="Strong"/>
          <w:b/>
          <w:bCs w:val="0"/>
        </w:rPr>
        <w:t xml:space="preserve">1 </w:t>
      </w:r>
      <w:r w:rsidRPr="00A968DB">
        <w:rPr>
          <w:rStyle w:val="Strong"/>
          <w:b/>
          <w:bCs w:val="0"/>
        </w:rPr>
        <w:t>November 2020</w:t>
      </w:r>
      <w:proofErr w:type="gramStart"/>
      <w:r w:rsidRPr="00A968DB">
        <w:rPr>
          <w:rStyle w:val="Strong"/>
          <w:b/>
          <w:bCs w:val="0"/>
        </w:rPr>
        <w:t>),</w:t>
      </w:r>
      <w:r w:rsidRPr="00A968DB">
        <w:rPr>
          <w:rStyle w:val="Strong"/>
          <w:b/>
          <w:bCs w:val="0"/>
          <w:vertAlign w:val="superscript"/>
        </w:rPr>
        <w:t>a</w:t>
      </w:r>
      <w:proofErr w:type="gramEnd"/>
      <w:r w:rsidRPr="00A968DB">
        <w:rPr>
          <w:rStyle w:val="Strong"/>
          <w:b/>
          <w:bCs w:val="0"/>
        </w:rPr>
        <w:t xml:space="preserve"> through the Notifiable Conditions Systems (</w:t>
      </w:r>
      <w:proofErr w:type="spellStart"/>
      <w:r w:rsidRPr="00A968DB">
        <w:rPr>
          <w:rStyle w:val="Strong"/>
          <w:b/>
          <w:bCs w:val="0"/>
        </w:rPr>
        <w:t>NoCS</w:t>
      </w:r>
      <w:proofErr w:type="spellEnd"/>
      <w:r w:rsidRPr="00A968DB">
        <w:rPr>
          <w:rStyle w:val="Strong"/>
          <w:b/>
          <w:bCs w:val="0"/>
        </w:rPr>
        <w:t>) data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describes the health outcomes for the 1182 confirmed COVID-19 cases in Queensland with onset before November 2020. 681 people (58%) presented to an emergency department and 250 people (21%) had an inpatient hospital admission. Median days between symptom onset and hospitalization was 4 days and once in hospital, median length of stay in hospital was 11 days. 17 people (1.4%) were admitted to ICU and 14 people (1.2%) required ventilation. 6 people died. "/>
      </w:tblPr>
      <w:tblGrid>
        <w:gridCol w:w="1341"/>
        <w:gridCol w:w="5160"/>
        <w:gridCol w:w="1319"/>
        <w:gridCol w:w="1319"/>
        <w:gridCol w:w="1319"/>
      </w:tblGrid>
      <w:tr w:rsidR="00792693" w:rsidRPr="007777E6" w14:paraId="1C658E53"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65C4286C" w14:textId="77777777" w:rsidR="00792693" w:rsidRPr="004D4676" w:rsidRDefault="00792693" w:rsidP="00AF632F">
            <w:pPr>
              <w:rPr>
                <w:color w:val="FFFFFF" w:themeColor="background1"/>
                <w:sz w:val="18"/>
                <w:szCs w:val="18"/>
                <w:lang w:val="en-GB"/>
              </w:rPr>
            </w:pPr>
          </w:p>
        </w:tc>
        <w:tc>
          <w:tcPr>
            <w:tcW w:w="0" w:type="auto"/>
            <w:tcBorders>
              <w:left w:val="single" w:sz="2" w:space="0" w:color="FFFFFF" w:themeColor="background1"/>
              <w:right w:val="single" w:sz="2" w:space="0" w:color="FFFFFF" w:themeColor="background1"/>
            </w:tcBorders>
            <w:hideMark/>
          </w:tcPr>
          <w:p w14:paraId="314FAD53" w14:textId="77777777" w:rsidR="00792693" w:rsidRPr="007777E6" w:rsidRDefault="00792693" w:rsidP="00AF632F">
            <w:pPr>
              <w:rPr>
                <w:rFonts w:eastAsia="Times New Roman"/>
                <w:color w:val="FFFFFF" w:themeColor="background1"/>
                <w:sz w:val="18"/>
                <w:szCs w:val="18"/>
              </w:rPr>
            </w:pPr>
          </w:p>
        </w:tc>
        <w:tc>
          <w:tcPr>
            <w:tcW w:w="1319" w:type="dxa"/>
            <w:tcBorders>
              <w:left w:val="single" w:sz="2" w:space="0" w:color="FFFFFF" w:themeColor="background1"/>
              <w:right w:val="single" w:sz="2" w:space="0" w:color="FFFFFF" w:themeColor="background1"/>
            </w:tcBorders>
            <w:hideMark/>
          </w:tcPr>
          <w:p w14:paraId="58B906D1" w14:textId="77777777" w:rsidR="00792693" w:rsidRPr="007777E6" w:rsidRDefault="00792693" w:rsidP="00AF632F">
            <w:pPr>
              <w:pStyle w:val="NormalWeb"/>
              <w:jc w:val="center"/>
              <w:rPr>
                <w:color w:val="FFFFFF" w:themeColor="background1"/>
                <w:sz w:val="18"/>
                <w:szCs w:val="18"/>
              </w:rPr>
            </w:pPr>
            <w:proofErr w:type="spellStart"/>
            <w:r w:rsidRPr="007777E6">
              <w:rPr>
                <w:color w:val="FFFFFF" w:themeColor="background1"/>
                <w:sz w:val="18"/>
                <w:szCs w:val="18"/>
              </w:rPr>
              <w:t>Male</w:t>
            </w:r>
            <w:r w:rsidRPr="007777E6">
              <w:rPr>
                <w:color w:val="FFFFFF" w:themeColor="background1"/>
                <w:sz w:val="18"/>
                <w:szCs w:val="18"/>
                <w:vertAlign w:val="superscript"/>
              </w:rPr>
              <w:t>b</w:t>
            </w:r>
            <w:proofErr w:type="spellEnd"/>
          </w:p>
        </w:tc>
        <w:tc>
          <w:tcPr>
            <w:tcW w:w="1319" w:type="dxa"/>
            <w:tcBorders>
              <w:left w:val="single" w:sz="2" w:space="0" w:color="FFFFFF" w:themeColor="background1"/>
              <w:right w:val="single" w:sz="2" w:space="0" w:color="FFFFFF" w:themeColor="background1"/>
            </w:tcBorders>
            <w:hideMark/>
          </w:tcPr>
          <w:p w14:paraId="4D476C92" w14:textId="77777777" w:rsidR="00792693" w:rsidRPr="007777E6" w:rsidRDefault="00792693" w:rsidP="00AF632F">
            <w:pPr>
              <w:pStyle w:val="NormalWeb"/>
              <w:jc w:val="center"/>
              <w:rPr>
                <w:color w:val="FFFFFF" w:themeColor="background1"/>
                <w:sz w:val="18"/>
                <w:szCs w:val="18"/>
              </w:rPr>
            </w:pPr>
            <w:proofErr w:type="spellStart"/>
            <w:r w:rsidRPr="007777E6">
              <w:rPr>
                <w:color w:val="FFFFFF" w:themeColor="background1"/>
                <w:sz w:val="18"/>
                <w:szCs w:val="18"/>
              </w:rPr>
              <w:t>Female</w:t>
            </w:r>
            <w:r w:rsidRPr="007777E6">
              <w:rPr>
                <w:color w:val="FFFFFF" w:themeColor="background1"/>
                <w:sz w:val="18"/>
                <w:szCs w:val="18"/>
                <w:vertAlign w:val="superscript"/>
              </w:rPr>
              <w:t>b</w:t>
            </w:r>
            <w:proofErr w:type="spellEnd"/>
          </w:p>
        </w:tc>
        <w:tc>
          <w:tcPr>
            <w:tcW w:w="1319" w:type="dxa"/>
            <w:tcBorders>
              <w:left w:val="single" w:sz="2" w:space="0" w:color="FFFFFF" w:themeColor="background1"/>
            </w:tcBorders>
            <w:hideMark/>
          </w:tcPr>
          <w:p w14:paraId="481D056A" w14:textId="77777777" w:rsidR="00792693" w:rsidRPr="007777E6" w:rsidRDefault="00792693" w:rsidP="00AF632F">
            <w:pPr>
              <w:pStyle w:val="NormalWeb"/>
              <w:jc w:val="center"/>
              <w:rPr>
                <w:color w:val="FFFFFF" w:themeColor="background1"/>
                <w:sz w:val="18"/>
                <w:szCs w:val="18"/>
              </w:rPr>
            </w:pPr>
            <w:r w:rsidRPr="007777E6">
              <w:rPr>
                <w:color w:val="FFFFFF" w:themeColor="background1"/>
                <w:sz w:val="18"/>
                <w:szCs w:val="18"/>
              </w:rPr>
              <w:t>Total</w:t>
            </w:r>
          </w:p>
        </w:tc>
      </w:tr>
      <w:tr w:rsidR="00792693" w:rsidRPr="007777E6" w14:paraId="1679885A" w14:textId="77777777" w:rsidTr="00AF632F">
        <w:tc>
          <w:tcPr>
            <w:tcW w:w="0" w:type="auto"/>
            <w:vMerge w:val="restart"/>
            <w:shd w:val="clear" w:color="auto" w:fill="auto"/>
            <w:vAlign w:val="center"/>
            <w:hideMark/>
          </w:tcPr>
          <w:p w14:paraId="7F11BF52" w14:textId="77777777" w:rsidR="00792693" w:rsidRPr="004D4676" w:rsidRDefault="00792693" w:rsidP="00AF632F">
            <w:pPr>
              <w:pStyle w:val="NormalWeb"/>
              <w:rPr>
                <w:b/>
                <w:sz w:val="18"/>
                <w:szCs w:val="18"/>
              </w:rPr>
            </w:pPr>
            <w:r w:rsidRPr="004D4676">
              <w:rPr>
                <w:b/>
                <w:sz w:val="18"/>
                <w:szCs w:val="18"/>
              </w:rPr>
              <w:t>Total</w:t>
            </w:r>
          </w:p>
        </w:tc>
        <w:tc>
          <w:tcPr>
            <w:tcW w:w="0" w:type="auto"/>
            <w:tcBorders>
              <w:bottom w:val="single" w:sz="2" w:space="0" w:color="000000" w:themeColor="text1"/>
            </w:tcBorders>
            <w:shd w:val="clear" w:color="auto" w:fill="auto"/>
            <w:hideMark/>
          </w:tcPr>
          <w:p w14:paraId="66E59D54" w14:textId="77777777" w:rsidR="00792693" w:rsidRPr="007777E6" w:rsidRDefault="00792693" w:rsidP="00AF632F">
            <w:pPr>
              <w:pStyle w:val="NormalWeb"/>
              <w:rPr>
                <w:sz w:val="18"/>
                <w:szCs w:val="18"/>
              </w:rPr>
            </w:pPr>
            <w:r w:rsidRPr="007777E6">
              <w:rPr>
                <w:sz w:val="18"/>
                <w:szCs w:val="18"/>
              </w:rPr>
              <w:t>Presented to emergency department, n (%)</w:t>
            </w:r>
          </w:p>
        </w:tc>
        <w:tc>
          <w:tcPr>
            <w:tcW w:w="1319" w:type="dxa"/>
            <w:tcBorders>
              <w:bottom w:val="single" w:sz="2" w:space="0" w:color="000000" w:themeColor="text1"/>
            </w:tcBorders>
            <w:shd w:val="clear" w:color="auto" w:fill="auto"/>
            <w:hideMark/>
          </w:tcPr>
          <w:p w14:paraId="11D19921" w14:textId="23D5AABA" w:rsidR="00792693" w:rsidRPr="007777E6" w:rsidRDefault="00792693" w:rsidP="00AF632F">
            <w:pPr>
              <w:pStyle w:val="NormalWeb"/>
              <w:jc w:val="center"/>
              <w:rPr>
                <w:sz w:val="18"/>
                <w:szCs w:val="18"/>
              </w:rPr>
            </w:pPr>
            <w:r w:rsidRPr="007777E6">
              <w:rPr>
                <w:sz w:val="18"/>
                <w:szCs w:val="18"/>
              </w:rPr>
              <w:t>329 (56</w:t>
            </w:r>
            <w:r w:rsidR="00B81C35">
              <w:rPr>
                <w:sz w:val="18"/>
                <w:szCs w:val="18"/>
              </w:rPr>
              <w:t>.0</w:t>
            </w:r>
            <w:r w:rsidRPr="007777E6">
              <w:rPr>
                <w:sz w:val="18"/>
                <w:szCs w:val="18"/>
              </w:rPr>
              <w:t>)</w:t>
            </w:r>
          </w:p>
        </w:tc>
        <w:tc>
          <w:tcPr>
            <w:tcW w:w="1319" w:type="dxa"/>
            <w:tcBorders>
              <w:bottom w:val="single" w:sz="2" w:space="0" w:color="000000" w:themeColor="text1"/>
            </w:tcBorders>
            <w:shd w:val="clear" w:color="auto" w:fill="auto"/>
            <w:hideMark/>
          </w:tcPr>
          <w:p w14:paraId="30EC32E6" w14:textId="77777777" w:rsidR="00792693" w:rsidRPr="007777E6" w:rsidRDefault="00792693" w:rsidP="00AF632F">
            <w:pPr>
              <w:pStyle w:val="NormalWeb"/>
              <w:jc w:val="center"/>
              <w:rPr>
                <w:sz w:val="18"/>
                <w:szCs w:val="18"/>
              </w:rPr>
            </w:pPr>
            <w:r w:rsidRPr="007777E6">
              <w:rPr>
                <w:sz w:val="18"/>
                <w:szCs w:val="18"/>
              </w:rPr>
              <w:t>352 (59.2)</w:t>
            </w:r>
          </w:p>
        </w:tc>
        <w:tc>
          <w:tcPr>
            <w:tcW w:w="1319" w:type="dxa"/>
            <w:tcBorders>
              <w:bottom w:val="single" w:sz="2" w:space="0" w:color="000000" w:themeColor="text1"/>
            </w:tcBorders>
            <w:shd w:val="clear" w:color="auto" w:fill="auto"/>
            <w:hideMark/>
          </w:tcPr>
          <w:p w14:paraId="706965F6" w14:textId="77777777" w:rsidR="00792693" w:rsidRPr="007777E6" w:rsidRDefault="00792693" w:rsidP="00AF632F">
            <w:pPr>
              <w:pStyle w:val="NormalWeb"/>
              <w:jc w:val="center"/>
              <w:rPr>
                <w:sz w:val="18"/>
                <w:szCs w:val="18"/>
              </w:rPr>
            </w:pPr>
            <w:r w:rsidRPr="007777E6">
              <w:rPr>
                <w:sz w:val="18"/>
                <w:szCs w:val="18"/>
              </w:rPr>
              <w:t>681 (57.6)</w:t>
            </w:r>
          </w:p>
        </w:tc>
      </w:tr>
      <w:tr w:rsidR="00792693" w:rsidRPr="007777E6" w14:paraId="23A847AF"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4F70B372" w14:textId="77777777" w:rsidR="00792693" w:rsidRPr="004D4676" w:rsidRDefault="00792693" w:rsidP="00AF632F">
            <w:pPr>
              <w:rPr>
                <w:b/>
                <w:sz w:val="18"/>
                <w:szCs w:val="18"/>
              </w:rPr>
            </w:pPr>
          </w:p>
        </w:tc>
        <w:tc>
          <w:tcPr>
            <w:tcW w:w="0" w:type="auto"/>
            <w:tcBorders>
              <w:top w:val="single" w:sz="2" w:space="0" w:color="000000" w:themeColor="text1"/>
            </w:tcBorders>
            <w:shd w:val="clear" w:color="auto" w:fill="auto"/>
            <w:hideMark/>
          </w:tcPr>
          <w:p w14:paraId="31A0F295" w14:textId="77777777" w:rsidR="00792693" w:rsidRPr="007777E6" w:rsidRDefault="00792693" w:rsidP="004D4676">
            <w:pPr>
              <w:numPr>
                <w:ilvl w:val="0"/>
                <w:numId w:val="11"/>
              </w:numPr>
              <w:rPr>
                <w:rFonts w:eastAsia="Times New Roman"/>
                <w:sz w:val="18"/>
                <w:szCs w:val="18"/>
              </w:rPr>
            </w:pPr>
            <w:r w:rsidRPr="007777E6">
              <w:rPr>
                <w:rFonts w:eastAsia="Times New Roman"/>
                <w:sz w:val="18"/>
                <w:szCs w:val="18"/>
              </w:rPr>
              <w:t>Inpatient hospital admission, n (%)</w:t>
            </w:r>
          </w:p>
        </w:tc>
        <w:tc>
          <w:tcPr>
            <w:tcW w:w="1319" w:type="dxa"/>
            <w:tcBorders>
              <w:top w:val="single" w:sz="2" w:space="0" w:color="000000" w:themeColor="text1"/>
            </w:tcBorders>
            <w:shd w:val="clear" w:color="auto" w:fill="auto"/>
            <w:hideMark/>
          </w:tcPr>
          <w:p w14:paraId="068713A0" w14:textId="3AF8A472" w:rsidR="00792693" w:rsidRPr="007777E6" w:rsidRDefault="00792693" w:rsidP="004D4676">
            <w:pPr>
              <w:pStyle w:val="NormalWeb"/>
              <w:spacing w:before="0" w:beforeAutospacing="0" w:after="0" w:afterAutospacing="0"/>
              <w:jc w:val="center"/>
              <w:rPr>
                <w:sz w:val="18"/>
                <w:szCs w:val="18"/>
              </w:rPr>
            </w:pPr>
            <w:r w:rsidRPr="007777E6">
              <w:rPr>
                <w:sz w:val="18"/>
                <w:szCs w:val="18"/>
              </w:rPr>
              <w:t>135 (23</w:t>
            </w:r>
            <w:r w:rsidR="00B81C35">
              <w:rPr>
                <w:sz w:val="18"/>
                <w:szCs w:val="18"/>
              </w:rPr>
              <w:t>.0</w:t>
            </w:r>
            <w:r w:rsidRPr="007777E6">
              <w:rPr>
                <w:sz w:val="18"/>
                <w:szCs w:val="18"/>
              </w:rPr>
              <w:t>)</w:t>
            </w:r>
          </w:p>
        </w:tc>
        <w:tc>
          <w:tcPr>
            <w:tcW w:w="1319" w:type="dxa"/>
            <w:tcBorders>
              <w:top w:val="single" w:sz="2" w:space="0" w:color="000000" w:themeColor="text1"/>
            </w:tcBorders>
            <w:shd w:val="clear" w:color="auto" w:fill="auto"/>
            <w:hideMark/>
          </w:tcPr>
          <w:p w14:paraId="07089E45"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115 (19.3)</w:t>
            </w:r>
          </w:p>
        </w:tc>
        <w:tc>
          <w:tcPr>
            <w:tcW w:w="1319" w:type="dxa"/>
            <w:tcBorders>
              <w:top w:val="single" w:sz="2" w:space="0" w:color="000000" w:themeColor="text1"/>
            </w:tcBorders>
            <w:shd w:val="clear" w:color="auto" w:fill="auto"/>
            <w:hideMark/>
          </w:tcPr>
          <w:p w14:paraId="70AC78EE"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250 (21.2)</w:t>
            </w:r>
          </w:p>
        </w:tc>
      </w:tr>
      <w:tr w:rsidR="00792693" w:rsidRPr="007777E6" w14:paraId="2D3EE4E7" w14:textId="77777777" w:rsidTr="00AF632F">
        <w:tc>
          <w:tcPr>
            <w:tcW w:w="0" w:type="auto"/>
            <w:vMerge/>
            <w:shd w:val="clear" w:color="auto" w:fill="auto"/>
            <w:hideMark/>
          </w:tcPr>
          <w:p w14:paraId="09D2DCEB" w14:textId="77777777" w:rsidR="00792693" w:rsidRPr="004D4676" w:rsidRDefault="00792693" w:rsidP="00AF632F">
            <w:pPr>
              <w:rPr>
                <w:b/>
                <w:sz w:val="18"/>
                <w:szCs w:val="18"/>
              </w:rPr>
            </w:pPr>
          </w:p>
        </w:tc>
        <w:tc>
          <w:tcPr>
            <w:tcW w:w="0" w:type="auto"/>
            <w:shd w:val="clear" w:color="auto" w:fill="auto"/>
            <w:hideMark/>
          </w:tcPr>
          <w:p w14:paraId="7971DCC3" w14:textId="77777777" w:rsidR="00792693" w:rsidRPr="007777E6" w:rsidRDefault="00792693" w:rsidP="004D4676">
            <w:pPr>
              <w:numPr>
                <w:ilvl w:val="0"/>
                <w:numId w:val="12"/>
              </w:numPr>
              <w:rPr>
                <w:rFonts w:eastAsia="Times New Roman"/>
                <w:sz w:val="18"/>
                <w:szCs w:val="18"/>
              </w:rPr>
            </w:pPr>
            <w:r w:rsidRPr="007777E6">
              <w:rPr>
                <w:rFonts w:eastAsia="Times New Roman"/>
                <w:sz w:val="18"/>
                <w:szCs w:val="18"/>
              </w:rPr>
              <w:t>Length of stay (days), median (IQR)</w:t>
            </w:r>
          </w:p>
        </w:tc>
        <w:tc>
          <w:tcPr>
            <w:tcW w:w="1319" w:type="dxa"/>
            <w:shd w:val="clear" w:color="auto" w:fill="auto"/>
            <w:hideMark/>
          </w:tcPr>
          <w:p w14:paraId="202F2A4A"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12 (8–17)</w:t>
            </w:r>
          </w:p>
        </w:tc>
        <w:tc>
          <w:tcPr>
            <w:tcW w:w="1319" w:type="dxa"/>
            <w:shd w:val="clear" w:color="auto" w:fill="auto"/>
            <w:hideMark/>
          </w:tcPr>
          <w:p w14:paraId="4C761FB1"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11 (7–15)</w:t>
            </w:r>
          </w:p>
        </w:tc>
        <w:tc>
          <w:tcPr>
            <w:tcW w:w="1319" w:type="dxa"/>
            <w:shd w:val="clear" w:color="auto" w:fill="auto"/>
            <w:hideMark/>
          </w:tcPr>
          <w:p w14:paraId="6AAA95BA"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11 (8–16)</w:t>
            </w:r>
          </w:p>
        </w:tc>
      </w:tr>
      <w:tr w:rsidR="00792693" w:rsidRPr="007777E6" w14:paraId="1C51C220"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60E02DB6" w14:textId="77777777" w:rsidR="00792693" w:rsidRPr="004D4676" w:rsidRDefault="00792693" w:rsidP="00AF632F">
            <w:pPr>
              <w:rPr>
                <w:b/>
                <w:sz w:val="18"/>
                <w:szCs w:val="18"/>
              </w:rPr>
            </w:pPr>
          </w:p>
        </w:tc>
        <w:tc>
          <w:tcPr>
            <w:tcW w:w="0" w:type="auto"/>
            <w:shd w:val="clear" w:color="auto" w:fill="auto"/>
            <w:hideMark/>
          </w:tcPr>
          <w:p w14:paraId="13467703" w14:textId="77777777" w:rsidR="00792693" w:rsidRPr="007777E6" w:rsidRDefault="00792693" w:rsidP="004D4676">
            <w:pPr>
              <w:numPr>
                <w:ilvl w:val="0"/>
                <w:numId w:val="13"/>
              </w:numPr>
              <w:rPr>
                <w:rFonts w:eastAsia="Times New Roman"/>
                <w:sz w:val="18"/>
                <w:szCs w:val="18"/>
              </w:rPr>
            </w:pPr>
            <w:r w:rsidRPr="007777E6">
              <w:rPr>
                <w:rFonts w:eastAsia="Times New Roman"/>
                <w:sz w:val="18"/>
                <w:szCs w:val="18"/>
              </w:rPr>
              <w:t>Days between onset and hospitalisation, median (IQR)</w:t>
            </w:r>
          </w:p>
        </w:tc>
        <w:tc>
          <w:tcPr>
            <w:tcW w:w="1319" w:type="dxa"/>
            <w:shd w:val="clear" w:color="auto" w:fill="auto"/>
            <w:hideMark/>
          </w:tcPr>
          <w:p w14:paraId="1150640B"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4 (2–7)</w:t>
            </w:r>
          </w:p>
        </w:tc>
        <w:tc>
          <w:tcPr>
            <w:tcW w:w="1319" w:type="dxa"/>
            <w:shd w:val="clear" w:color="auto" w:fill="auto"/>
            <w:hideMark/>
          </w:tcPr>
          <w:p w14:paraId="541AA514"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5 (3–8)</w:t>
            </w:r>
          </w:p>
        </w:tc>
        <w:tc>
          <w:tcPr>
            <w:tcW w:w="1319" w:type="dxa"/>
            <w:shd w:val="clear" w:color="auto" w:fill="auto"/>
            <w:hideMark/>
          </w:tcPr>
          <w:p w14:paraId="1D3BDB1E"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4 (2–7)</w:t>
            </w:r>
          </w:p>
        </w:tc>
      </w:tr>
      <w:tr w:rsidR="00792693" w:rsidRPr="007777E6" w14:paraId="229C6C2B" w14:textId="77777777" w:rsidTr="00AF632F">
        <w:tc>
          <w:tcPr>
            <w:tcW w:w="0" w:type="auto"/>
            <w:vMerge/>
            <w:shd w:val="clear" w:color="auto" w:fill="auto"/>
            <w:hideMark/>
          </w:tcPr>
          <w:p w14:paraId="07911042" w14:textId="77777777" w:rsidR="00792693" w:rsidRPr="004D4676" w:rsidRDefault="00792693" w:rsidP="00AF632F">
            <w:pPr>
              <w:rPr>
                <w:b/>
                <w:sz w:val="18"/>
                <w:szCs w:val="18"/>
              </w:rPr>
            </w:pPr>
          </w:p>
        </w:tc>
        <w:tc>
          <w:tcPr>
            <w:tcW w:w="0" w:type="auto"/>
            <w:shd w:val="clear" w:color="auto" w:fill="auto"/>
            <w:hideMark/>
          </w:tcPr>
          <w:p w14:paraId="63296427" w14:textId="77777777" w:rsidR="00792693" w:rsidRPr="007777E6" w:rsidRDefault="00792693" w:rsidP="004D4676">
            <w:pPr>
              <w:numPr>
                <w:ilvl w:val="0"/>
                <w:numId w:val="14"/>
              </w:numPr>
              <w:rPr>
                <w:rFonts w:eastAsia="Times New Roman"/>
                <w:sz w:val="18"/>
                <w:szCs w:val="18"/>
              </w:rPr>
            </w:pPr>
            <w:r w:rsidRPr="007777E6">
              <w:rPr>
                <w:rFonts w:eastAsia="Times New Roman"/>
                <w:sz w:val="18"/>
                <w:szCs w:val="18"/>
              </w:rPr>
              <w:t>Admitted to ICU, n (%)</w:t>
            </w:r>
          </w:p>
        </w:tc>
        <w:tc>
          <w:tcPr>
            <w:tcW w:w="1319" w:type="dxa"/>
            <w:shd w:val="clear" w:color="auto" w:fill="auto"/>
            <w:hideMark/>
          </w:tcPr>
          <w:p w14:paraId="45F42481"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422937C3"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424D17F2"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17 (1.4)</w:t>
            </w:r>
          </w:p>
        </w:tc>
      </w:tr>
      <w:tr w:rsidR="00792693" w:rsidRPr="007777E6" w14:paraId="71DE8924"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65EE6B83" w14:textId="77777777" w:rsidR="00792693" w:rsidRPr="004D4676" w:rsidRDefault="00792693" w:rsidP="00AF632F">
            <w:pPr>
              <w:rPr>
                <w:b/>
                <w:sz w:val="18"/>
                <w:szCs w:val="18"/>
              </w:rPr>
            </w:pPr>
          </w:p>
        </w:tc>
        <w:tc>
          <w:tcPr>
            <w:tcW w:w="0" w:type="auto"/>
            <w:shd w:val="clear" w:color="auto" w:fill="auto"/>
            <w:hideMark/>
          </w:tcPr>
          <w:p w14:paraId="069F5BC8" w14:textId="77777777" w:rsidR="00792693" w:rsidRPr="007777E6" w:rsidRDefault="00792693" w:rsidP="004D4676">
            <w:pPr>
              <w:numPr>
                <w:ilvl w:val="0"/>
                <w:numId w:val="15"/>
              </w:numPr>
              <w:rPr>
                <w:rFonts w:eastAsia="Times New Roman"/>
                <w:sz w:val="18"/>
                <w:szCs w:val="18"/>
              </w:rPr>
            </w:pPr>
            <w:r w:rsidRPr="007777E6">
              <w:rPr>
                <w:rFonts w:eastAsia="Times New Roman"/>
                <w:sz w:val="18"/>
                <w:szCs w:val="18"/>
              </w:rPr>
              <w:t>Days between onset and ICU, median (IQR)</w:t>
            </w:r>
          </w:p>
        </w:tc>
        <w:tc>
          <w:tcPr>
            <w:tcW w:w="1319" w:type="dxa"/>
            <w:shd w:val="clear" w:color="auto" w:fill="auto"/>
            <w:hideMark/>
          </w:tcPr>
          <w:p w14:paraId="2A90BD4E"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0DBB3547"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61F79366"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8 (6–10)</w:t>
            </w:r>
          </w:p>
        </w:tc>
      </w:tr>
      <w:tr w:rsidR="00792693" w:rsidRPr="007777E6" w14:paraId="0AFA8C49" w14:textId="77777777" w:rsidTr="00AF632F">
        <w:tc>
          <w:tcPr>
            <w:tcW w:w="0" w:type="auto"/>
            <w:vMerge/>
            <w:shd w:val="clear" w:color="auto" w:fill="auto"/>
            <w:hideMark/>
          </w:tcPr>
          <w:p w14:paraId="01402929" w14:textId="77777777" w:rsidR="00792693" w:rsidRPr="004D4676" w:rsidRDefault="00792693" w:rsidP="00AF632F">
            <w:pPr>
              <w:rPr>
                <w:b/>
                <w:sz w:val="18"/>
                <w:szCs w:val="18"/>
              </w:rPr>
            </w:pPr>
          </w:p>
        </w:tc>
        <w:tc>
          <w:tcPr>
            <w:tcW w:w="0" w:type="auto"/>
            <w:shd w:val="clear" w:color="auto" w:fill="auto"/>
            <w:hideMark/>
          </w:tcPr>
          <w:p w14:paraId="1577BFC5" w14:textId="77777777" w:rsidR="00792693" w:rsidRPr="007777E6" w:rsidRDefault="00792693" w:rsidP="004D4676">
            <w:pPr>
              <w:numPr>
                <w:ilvl w:val="0"/>
                <w:numId w:val="16"/>
              </w:numPr>
              <w:rPr>
                <w:rFonts w:eastAsia="Times New Roman"/>
                <w:sz w:val="18"/>
                <w:szCs w:val="18"/>
              </w:rPr>
            </w:pPr>
            <w:r w:rsidRPr="007777E6">
              <w:rPr>
                <w:rFonts w:eastAsia="Times New Roman"/>
                <w:sz w:val="18"/>
                <w:szCs w:val="18"/>
              </w:rPr>
              <w:t>Required ventilation, n (%)</w:t>
            </w:r>
          </w:p>
        </w:tc>
        <w:tc>
          <w:tcPr>
            <w:tcW w:w="1319" w:type="dxa"/>
            <w:shd w:val="clear" w:color="auto" w:fill="auto"/>
            <w:hideMark/>
          </w:tcPr>
          <w:p w14:paraId="2E04B30C"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0555A778"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42066918"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14 (1.2)</w:t>
            </w:r>
          </w:p>
        </w:tc>
      </w:tr>
      <w:tr w:rsidR="00792693" w:rsidRPr="007777E6" w14:paraId="54F8BB5F"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48E47E1F" w14:textId="77777777" w:rsidR="00792693" w:rsidRPr="004D4676" w:rsidRDefault="00792693" w:rsidP="00AF632F">
            <w:pPr>
              <w:rPr>
                <w:b/>
                <w:sz w:val="18"/>
                <w:szCs w:val="18"/>
              </w:rPr>
            </w:pPr>
          </w:p>
        </w:tc>
        <w:tc>
          <w:tcPr>
            <w:tcW w:w="0" w:type="auto"/>
            <w:shd w:val="clear" w:color="auto" w:fill="auto"/>
            <w:hideMark/>
          </w:tcPr>
          <w:p w14:paraId="00C74E8C" w14:textId="77777777" w:rsidR="00792693" w:rsidRPr="007777E6" w:rsidRDefault="00792693" w:rsidP="004D4676">
            <w:pPr>
              <w:numPr>
                <w:ilvl w:val="0"/>
                <w:numId w:val="17"/>
              </w:numPr>
              <w:rPr>
                <w:rFonts w:eastAsia="Times New Roman"/>
                <w:sz w:val="18"/>
                <w:szCs w:val="18"/>
              </w:rPr>
            </w:pPr>
            <w:r w:rsidRPr="007777E6">
              <w:rPr>
                <w:rFonts w:eastAsia="Times New Roman"/>
                <w:sz w:val="18"/>
                <w:szCs w:val="18"/>
              </w:rPr>
              <w:t>Days ventilated, median (IQR)</w:t>
            </w:r>
          </w:p>
        </w:tc>
        <w:tc>
          <w:tcPr>
            <w:tcW w:w="1319" w:type="dxa"/>
            <w:shd w:val="clear" w:color="auto" w:fill="auto"/>
            <w:hideMark/>
          </w:tcPr>
          <w:p w14:paraId="791CF7D2"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675C1E83"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540B6A45"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21 (11–35)</w:t>
            </w:r>
          </w:p>
        </w:tc>
      </w:tr>
      <w:tr w:rsidR="00792693" w:rsidRPr="007777E6" w14:paraId="3029D25B" w14:textId="77777777" w:rsidTr="00AF632F">
        <w:tc>
          <w:tcPr>
            <w:tcW w:w="0" w:type="auto"/>
            <w:vMerge/>
            <w:shd w:val="clear" w:color="auto" w:fill="auto"/>
            <w:hideMark/>
          </w:tcPr>
          <w:p w14:paraId="65391156" w14:textId="77777777" w:rsidR="00792693" w:rsidRPr="004D4676" w:rsidRDefault="00792693" w:rsidP="00AF632F">
            <w:pPr>
              <w:rPr>
                <w:b/>
                <w:sz w:val="18"/>
                <w:szCs w:val="18"/>
              </w:rPr>
            </w:pPr>
          </w:p>
        </w:tc>
        <w:tc>
          <w:tcPr>
            <w:tcW w:w="0" w:type="auto"/>
            <w:shd w:val="clear" w:color="auto" w:fill="auto"/>
            <w:hideMark/>
          </w:tcPr>
          <w:p w14:paraId="595B0AAC" w14:textId="77777777" w:rsidR="00792693" w:rsidRPr="007777E6" w:rsidRDefault="00792693" w:rsidP="004D4676">
            <w:pPr>
              <w:numPr>
                <w:ilvl w:val="0"/>
                <w:numId w:val="18"/>
              </w:numPr>
              <w:rPr>
                <w:rFonts w:eastAsia="Times New Roman"/>
                <w:sz w:val="18"/>
                <w:szCs w:val="18"/>
              </w:rPr>
            </w:pPr>
            <w:r w:rsidRPr="007777E6">
              <w:rPr>
                <w:rFonts w:eastAsia="Times New Roman"/>
                <w:sz w:val="18"/>
                <w:szCs w:val="18"/>
              </w:rPr>
              <w:t>Died, n (%)</w:t>
            </w:r>
          </w:p>
        </w:tc>
        <w:tc>
          <w:tcPr>
            <w:tcW w:w="1319" w:type="dxa"/>
            <w:shd w:val="clear" w:color="auto" w:fill="auto"/>
            <w:hideMark/>
          </w:tcPr>
          <w:p w14:paraId="14B5610C"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0D58C6CE"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shd w:val="clear" w:color="auto" w:fill="auto"/>
            <w:hideMark/>
          </w:tcPr>
          <w:p w14:paraId="21CF7E37"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6 (0.5)</w:t>
            </w:r>
          </w:p>
        </w:tc>
      </w:tr>
      <w:tr w:rsidR="00792693" w:rsidRPr="007777E6" w14:paraId="6AD77A1F"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000000" w:themeColor="text1"/>
            </w:tcBorders>
            <w:shd w:val="clear" w:color="auto" w:fill="auto"/>
            <w:hideMark/>
          </w:tcPr>
          <w:p w14:paraId="4F77C6BF" w14:textId="77777777" w:rsidR="00792693" w:rsidRPr="004D4676" w:rsidRDefault="00792693" w:rsidP="00AF632F">
            <w:pPr>
              <w:rPr>
                <w:b/>
                <w:sz w:val="18"/>
                <w:szCs w:val="18"/>
              </w:rPr>
            </w:pPr>
          </w:p>
        </w:tc>
        <w:tc>
          <w:tcPr>
            <w:tcW w:w="0" w:type="auto"/>
            <w:tcBorders>
              <w:bottom w:val="single" w:sz="2" w:space="0" w:color="000000" w:themeColor="text1"/>
            </w:tcBorders>
            <w:shd w:val="clear" w:color="auto" w:fill="auto"/>
            <w:hideMark/>
          </w:tcPr>
          <w:p w14:paraId="4110777C" w14:textId="77777777" w:rsidR="00792693" w:rsidRPr="007777E6" w:rsidRDefault="00792693" w:rsidP="004D4676">
            <w:pPr>
              <w:numPr>
                <w:ilvl w:val="0"/>
                <w:numId w:val="19"/>
              </w:numPr>
              <w:rPr>
                <w:rFonts w:eastAsia="Times New Roman"/>
                <w:sz w:val="18"/>
                <w:szCs w:val="18"/>
              </w:rPr>
            </w:pPr>
            <w:r w:rsidRPr="007777E6">
              <w:rPr>
                <w:rFonts w:eastAsia="Times New Roman"/>
                <w:sz w:val="18"/>
                <w:szCs w:val="18"/>
              </w:rPr>
              <w:t>Days between onset and death, median (IQR)</w:t>
            </w:r>
          </w:p>
        </w:tc>
        <w:tc>
          <w:tcPr>
            <w:tcW w:w="1319" w:type="dxa"/>
            <w:tcBorders>
              <w:bottom w:val="single" w:sz="2" w:space="0" w:color="000000" w:themeColor="text1"/>
            </w:tcBorders>
            <w:shd w:val="clear" w:color="auto" w:fill="auto"/>
            <w:hideMark/>
          </w:tcPr>
          <w:p w14:paraId="2FC4B1AE"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tcBorders>
              <w:bottom w:val="single" w:sz="2" w:space="0" w:color="000000" w:themeColor="text1"/>
            </w:tcBorders>
            <w:shd w:val="clear" w:color="auto" w:fill="auto"/>
            <w:hideMark/>
          </w:tcPr>
          <w:p w14:paraId="27E12DB0"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n/a</w:t>
            </w:r>
          </w:p>
        </w:tc>
        <w:tc>
          <w:tcPr>
            <w:tcW w:w="1319" w:type="dxa"/>
            <w:tcBorders>
              <w:bottom w:val="single" w:sz="2" w:space="0" w:color="000000" w:themeColor="text1"/>
            </w:tcBorders>
            <w:shd w:val="clear" w:color="auto" w:fill="auto"/>
            <w:hideMark/>
          </w:tcPr>
          <w:p w14:paraId="04A28BBD" w14:textId="77777777" w:rsidR="00792693" w:rsidRPr="007777E6" w:rsidRDefault="00792693" w:rsidP="004D4676">
            <w:pPr>
              <w:pStyle w:val="NormalWeb"/>
              <w:spacing w:before="0" w:beforeAutospacing="0" w:after="0" w:afterAutospacing="0"/>
              <w:jc w:val="center"/>
              <w:rPr>
                <w:sz w:val="18"/>
                <w:szCs w:val="18"/>
              </w:rPr>
            </w:pPr>
            <w:r w:rsidRPr="007777E6">
              <w:rPr>
                <w:sz w:val="18"/>
                <w:szCs w:val="18"/>
              </w:rPr>
              <w:t>11 (10–24)</w:t>
            </w:r>
          </w:p>
        </w:tc>
      </w:tr>
      <w:tr w:rsidR="00792693" w:rsidRPr="007777E6" w14:paraId="1FF0F954" w14:textId="77777777" w:rsidTr="00AF632F">
        <w:tc>
          <w:tcPr>
            <w:tcW w:w="0" w:type="auto"/>
            <w:vMerge w:val="restart"/>
            <w:tcBorders>
              <w:top w:val="single" w:sz="2" w:space="0" w:color="000000" w:themeColor="text1"/>
              <w:bottom w:val="single" w:sz="2" w:space="0" w:color="000000" w:themeColor="text1"/>
            </w:tcBorders>
            <w:shd w:val="clear" w:color="auto" w:fill="auto"/>
            <w:hideMark/>
          </w:tcPr>
          <w:p w14:paraId="6774D465" w14:textId="77777777" w:rsidR="00792693" w:rsidRPr="004D4676" w:rsidRDefault="00792693" w:rsidP="00AF632F">
            <w:pPr>
              <w:pStyle w:val="NormalWeb"/>
              <w:rPr>
                <w:b/>
                <w:sz w:val="18"/>
                <w:szCs w:val="18"/>
              </w:rPr>
            </w:pPr>
            <w:r w:rsidRPr="004D4676">
              <w:rPr>
                <w:b/>
                <w:sz w:val="18"/>
                <w:szCs w:val="18"/>
              </w:rPr>
              <w:t>Aged 0–59 years</w:t>
            </w:r>
          </w:p>
        </w:tc>
        <w:tc>
          <w:tcPr>
            <w:tcW w:w="0" w:type="auto"/>
            <w:tcBorders>
              <w:top w:val="single" w:sz="2" w:space="0" w:color="000000" w:themeColor="text1"/>
              <w:bottom w:val="single" w:sz="2" w:space="0" w:color="000000" w:themeColor="text1"/>
            </w:tcBorders>
            <w:shd w:val="clear" w:color="auto" w:fill="auto"/>
            <w:hideMark/>
          </w:tcPr>
          <w:p w14:paraId="08051E81" w14:textId="77777777" w:rsidR="00792693" w:rsidRPr="007777E6" w:rsidRDefault="00792693" w:rsidP="00AF632F">
            <w:pPr>
              <w:pStyle w:val="NormalWeb"/>
              <w:rPr>
                <w:sz w:val="18"/>
                <w:szCs w:val="18"/>
              </w:rPr>
            </w:pPr>
            <w:r w:rsidRPr="007777E6">
              <w:rPr>
                <w:sz w:val="18"/>
                <w:szCs w:val="18"/>
              </w:rPr>
              <w:t>Presented to emergency department, n (%)</w:t>
            </w:r>
          </w:p>
        </w:tc>
        <w:tc>
          <w:tcPr>
            <w:tcW w:w="1319" w:type="dxa"/>
            <w:tcBorders>
              <w:top w:val="single" w:sz="2" w:space="0" w:color="000000" w:themeColor="text1"/>
              <w:bottom w:val="single" w:sz="2" w:space="0" w:color="000000" w:themeColor="text1"/>
            </w:tcBorders>
            <w:shd w:val="clear" w:color="auto" w:fill="auto"/>
            <w:hideMark/>
          </w:tcPr>
          <w:p w14:paraId="476FFF59" w14:textId="77777777" w:rsidR="00792693" w:rsidRPr="007777E6" w:rsidRDefault="00792693" w:rsidP="00AF632F">
            <w:pPr>
              <w:pStyle w:val="NormalWeb"/>
              <w:jc w:val="center"/>
              <w:rPr>
                <w:sz w:val="18"/>
                <w:szCs w:val="18"/>
              </w:rPr>
            </w:pPr>
            <w:r w:rsidRPr="007777E6">
              <w:rPr>
                <w:sz w:val="18"/>
                <w:szCs w:val="18"/>
              </w:rPr>
              <w:t>220 (53.4)</w:t>
            </w:r>
          </w:p>
        </w:tc>
        <w:tc>
          <w:tcPr>
            <w:tcW w:w="1319" w:type="dxa"/>
            <w:tcBorders>
              <w:top w:val="single" w:sz="2" w:space="0" w:color="000000" w:themeColor="text1"/>
              <w:bottom w:val="single" w:sz="2" w:space="0" w:color="000000" w:themeColor="text1"/>
            </w:tcBorders>
            <w:shd w:val="clear" w:color="auto" w:fill="auto"/>
            <w:hideMark/>
          </w:tcPr>
          <w:p w14:paraId="2EA3D3EC" w14:textId="77777777" w:rsidR="00792693" w:rsidRPr="007777E6" w:rsidRDefault="00792693" w:rsidP="00AF632F">
            <w:pPr>
              <w:pStyle w:val="NormalWeb"/>
              <w:jc w:val="center"/>
              <w:rPr>
                <w:sz w:val="18"/>
                <w:szCs w:val="18"/>
              </w:rPr>
            </w:pPr>
            <w:r w:rsidRPr="007777E6">
              <w:rPr>
                <w:sz w:val="18"/>
                <w:szCs w:val="18"/>
              </w:rPr>
              <w:t>258 (58.2)</w:t>
            </w:r>
          </w:p>
        </w:tc>
        <w:tc>
          <w:tcPr>
            <w:tcW w:w="1319" w:type="dxa"/>
            <w:tcBorders>
              <w:top w:val="single" w:sz="2" w:space="0" w:color="000000" w:themeColor="text1"/>
              <w:bottom w:val="single" w:sz="2" w:space="0" w:color="000000" w:themeColor="text1"/>
            </w:tcBorders>
            <w:shd w:val="clear" w:color="auto" w:fill="auto"/>
            <w:hideMark/>
          </w:tcPr>
          <w:p w14:paraId="5E05CF5D" w14:textId="77777777" w:rsidR="00792693" w:rsidRPr="007777E6" w:rsidRDefault="00792693" w:rsidP="00AF632F">
            <w:pPr>
              <w:pStyle w:val="NormalWeb"/>
              <w:jc w:val="center"/>
              <w:rPr>
                <w:sz w:val="18"/>
                <w:szCs w:val="18"/>
              </w:rPr>
            </w:pPr>
            <w:r w:rsidRPr="007777E6">
              <w:rPr>
                <w:sz w:val="18"/>
                <w:szCs w:val="18"/>
              </w:rPr>
              <w:t>478 (55.9)</w:t>
            </w:r>
          </w:p>
        </w:tc>
      </w:tr>
      <w:tr w:rsidR="00792693" w:rsidRPr="007777E6" w14:paraId="20BF672C"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000000" w:themeColor="text1"/>
              <w:bottom w:val="single" w:sz="2" w:space="0" w:color="000000" w:themeColor="text1"/>
            </w:tcBorders>
            <w:shd w:val="clear" w:color="auto" w:fill="auto"/>
            <w:hideMark/>
          </w:tcPr>
          <w:p w14:paraId="7A99DD7C" w14:textId="77777777" w:rsidR="00792693" w:rsidRPr="004D4676" w:rsidRDefault="00792693" w:rsidP="00AF632F">
            <w:pPr>
              <w:rPr>
                <w:b/>
                <w:sz w:val="18"/>
                <w:szCs w:val="18"/>
              </w:rPr>
            </w:pPr>
          </w:p>
        </w:tc>
        <w:tc>
          <w:tcPr>
            <w:tcW w:w="0" w:type="auto"/>
            <w:tcBorders>
              <w:top w:val="single" w:sz="2" w:space="0" w:color="000000" w:themeColor="text1"/>
              <w:bottom w:val="single" w:sz="2" w:space="0" w:color="000000" w:themeColor="text1"/>
            </w:tcBorders>
            <w:shd w:val="clear" w:color="auto" w:fill="auto"/>
            <w:hideMark/>
          </w:tcPr>
          <w:p w14:paraId="7BD2D34E" w14:textId="77777777" w:rsidR="00792693" w:rsidRPr="007777E6" w:rsidRDefault="00792693" w:rsidP="00AF632F">
            <w:pPr>
              <w:pStyle w:val="NormalWeb"/>
              <w:rPr>
                <w:sz w:val="18"/>
                <w:szCs w:val="18"/>
              </w:rPr>
            </w:pPr>
            <w:r w:rsidRPr="007777E6">
              <w:rPr>
                <w:sz w:val="18"/>
                <w:szCs w:val="18"/>
              </w:rPr>
              <w:t>Inpatient hospital admission, n (%)</w:t>
            </w:r>
          </w:p>
        </w:tc>
        <w:tc>
          <w:tcPr>
            <w:tcW w:w="1319" w:type="dxa"/>
            <w:tcBorders>
              <w:top w:val="single" w:sz="2" w:space="0" w:color="000000" w:themeColor="text1"/>
              <w:bottom w:val="single" w:sz="2" w:space="0" w:color="000000" w:themeColor="text1"/>
            </w:tcBorders>
            <w:shd w:val="clear" w:color="auto" w:fill="auto"/>
            <w:hideMark/>
          </w:tcPr>
          <w:p w14:paraId="620161E0" w14:textId="77777777" w:rsidR="00792693" w:rsidRPr="007777E6" w:rsidRDefault="00792693" w:rsidP="00AF632F">
            <w:pPr>
              <w:pStyle w:val="NormalWeb"/>
              <w:jc w:val="center"/>
              <w:rPr>
                <w:sz w:val="18"/>
                <w:szCs w:val="18"/>
              </w:rPr>
            </w:pPr>
            <w:r w:rsidRPr="007777E6">
              <w:rPr>
                <w:sz w:val="18"/>
                <w:szCs w:val="18"/>
              </w:rPr>
              <w:t>79 (19.2)</w:t>
            </w:r>
          </w:p>
        </w:tc>
        <w:tc>
          <w:tcPr>
            <w:tcW w:w="1319" w:type="dxa"/>
            <w:tcBorders>
              <w:top w:val="single" w:sz="2" w:space="0" w:color="000000" w:themeColor="text1"/>
              <w:bottom w:val="single" w:sz="2" w:space="0" w:color="000000" w:themeColor="text1"/>
            </w:tcBorders>
            <w:shd w:val="clear" w:color="auto" w:fill="auto"/>
            <w:hideMark/>
          </w:tcPr>
          <w:p w14:paraId="6A14C908" w14:textId="77777777" w:rsidR="00792693" w:rsidRPr="007777E6" w:rsidRDefault="00792693" w:rsidP="00AF632F">
            <w:pPr>
              <w:pStyle w:val="NormalWeb"/>
              <w:jc w:val="center"/>
              <w:rPr>
                <w:sz w:val="18"/>
                <w:szCs w:val="18"/>
              </w:rPr>
            </w:pPr>
            <w:r w:rsidRPr="007777E6">
              <w:rPr>
                <w:sz w:val="18"/>
                <w:szCs w:val="18"/>
              </w:rPr>
              <w:t>76 (17.2)</w:t>
            </w:r>
          </w:p>
        </w:tc>
        <w:tc>
          <w:tcPr>
            <w:tcW w:w="1319" w:type="dxa"/>
            <w:tcBorders>
              <w:top w:val="single" w:sz="2" w:space="0" w:color="000000" w:themeColor="text1"/>
              <w:bottom w:val="single" w:sz="2" w:space="0" w:color="000000" w:themeColor="text1"/>
            </w:tcBorders>
            <w:shd w:val="clear" w:color="auto" w:fill="auto"/>
            <w:hideMark/>
          </w:tcPr>
          <w:p w14:paraId="3A711F02" w14:textId="77777777" w:rsidR="00792693" w:rsidRPr="007777E6" w:rsidRDefault="00792693" w:rsidP="00AF632F">
            <w:pPr>
              <w:pStyle w:val="NormalWeb"/>
              <w:jc w:val="center"/>
              <w:rPr>
                <w:sz w:val="18"/>
                <w:szCs w:val="18"/>
              </w:rPr>
            </w:pPr>
            <w:r w:rsidRPr="007777E6">
              <w:rPr>
                <w:sz w:val="18"/>
                <w:szCs w:val="18"/>
              </w:rPr>
              <w:t>155 (18.1)</w:t>
            </w:r>
          </w:p>
        </w:tc>
      </w:tr>
      <w:tr w:rsidR="00792693" w:rsidRPr="007777E6" w14:paraId="66072276" w14:textId="77777777" w:rsidTr="00AF632F">
        <w:tc>
          <w:tcPr>
            <w:tcW w:w="0" w:type="auto"/>
            <w:vMerge w:val="restart"/>
            <w:tcBorders>
              <w:top w:val="single" w:sz="2" w:space="0" w:color="000000" w:themeColor="text1"/>
              <w:bottom w:val="single" w:sz="2" w:space="0" w:color="000000" w:themeColor="text1"/>
            </w:tcBorders>
            <w:shd w:val="clear" w:color="auto" w:fill="auto"/>
            <w:hideMark/>
          </w:tcPr>
          <w:p w14:paraId="69E5B57C" w14:textId="77777777" w:rsidR="00792693" w:rsidRPr="004D4676" w:rsidRDefault="00792693" w:rsidP="00AF632F">
            <w:pPr>
              <w:pStyle w:val="NormalWeb"/>
              <w:rPr>
                <w:b/>
                <w:sz w:val="18"/>
                <w:szCs w:val="18"/>
              </w:rPr>
            </w:pPr>
            <w:r w:rsidRPr="004D4676">
              <w:rPr>
                <w:b/>
                <w:sz w:val="18"/>
                <w:szCs w:val="18"/>
              </w:rPr>
              <w:t>Aged 60+ years</w:t>
            </w:r>
          </w:p>
        </w:tc>
        <w:tc>
          <w:tcPr>
            <w:tcW w:w="0" w:type="auto"/>
            <w:tcBorders>
              <w:top w:val="single" w:sz="2" w:space="0" w:color="000000" w:themeColor="text1"/>
              <w:bottom w:val="single" w:sz="2" w:space="0" w:color="000000" w:themeColor="text1"/>
            </w:tcBorders>
            <w:shd w:val="clear" w:color="auto" w:fill="auto"/>
            <w:hideMark/>
          </w:tcPr>
          <w:p w14:paraId="2C704039" w14:textId="77777777" w:rsidR="00792693" w:rsidRPr="007777E6" w:rsidRDefault="00792693" w:rsidP="00AF632F">
            <w:pPr>
              <w:pStyle w:val="NormalWeb"/>
              <w:rPr>
                <w:sz w:val="18"/>
                <w:szCs w:val="18"/>
              </w:rPr>
            </w:pPr>
            <w:r w:rsidRPr="007777E6">
              <w:rPr>
                <w:sz w:val="18"/>
                <w:szCs w:val="18"/>
              </w:rPr>
              <w:t>Presented to emergency department, n (%)</w:t>
            </w:r>
          </w:p>
        </w:tc>
        <w:tc>
          <w:tcPr>
            <w:tcW w:w="1319" w:type="dxa"/>
            <w:tcBorders>
              <w:top w:val="single" w:sz="2" w:space="0" w:color="000000" w:themeColor="text1"/>
              <w:bottom w:val="single" w:sz="2" w:space="0" w:color="000000" w:themeColor="text1"/>
            </w:tcBorders>
            <w:shd w:val="clear" w:color="auto" w:fill="auto"/>
            <w:hideMark/>
          </w:tcPr>
          <w:p w14:paraId="695C8CF1" w14:textId="77777777" w:rsidR="00792693" w:rsidRPr="007777E6" w:rsidRDefault="00792693" w:rsidP="00AF632F">
            <w:pPr>
              <w:pStyle w:val="NormalWeb"/>
              <w:jc w:val="center"/>
              <w:rPr>
                <w:sz w:val="18"/>
                <w:szCs w:val="18"/>
              </w:rPr>
            </w:pPr>
            <w:r w:rsidRPr="007777E6">
              <w:rPr>
                <w:sz w:val="18"/>
                <w:szCs w:val="18"/>
              </w:rPr>
              <w:t>109 (62.3)</w:t>
            </w:r>
          </w:p>
        </w:tc>
        <w:tc>
          <w:tcPr>
            <w:tcW w:w="1319" w:type="dxa"/>
            <w:tcBorders>
              <w:top w:val="single" w:sz="2" w:space="0" w:color="000000" w:themeColor="text1"/>
              <w:bottom w:val="single" w:sz="2" w:space="0" w:color="000000" w:themeColor="text1"/>
            </w:tcBorders>
            <w:shd w:val="clear" w:color="auto" w:fill="auto"/>
            <w:hideMark/>
          </w:tcPr>
          <w:p w14:paraId="1E97E945" w14:textId="77777777" w:rsidR="00792693" w:rsidRPr="007777E6" w:rsidRDefault="00792693" w:rsidP="00AF632F">
            <w:pPr>
              <w:pStyle w:val="NormalWeb"/>
              <w:jc w:val="center"/>
              <w:rPr>
                <w:sz w:val="18"/>
                <w:szCs w:val="18"/>
              </w:rPr>
            </w:pPr>
            <w:r w:rsidRPr="007777E6">
              <w:rPr>
                <w:sz w:val="18"/>
                <w:szCs w:val="18"/>
              </w:rPr>
              <w:t>94 (61.8)</w:t>
            </w:r>
          </w:p>
        </w:tc>
        <w:tc>
          <w:tcPr>
            <w:tcW w:w="1319" w:type="dxa"/>
            <w:tcBorders>
              <w:top w:val="single" w:sz="2" w:space="0" w:color="000000" w:themeColor="text1"/>
              <w:bottom w:val="single" w:sz="2" w:space="0" w:color="000000" w:themeColor="text1"/>
            </w:tcBorders>
            <w:shd w:val="clear" w:color="auto" w:fill="auto"/>
            <w:hideMark/>
          </w:tcPr>
          <w:p w14:paraId="44DCCF3D" w14:textId="77777777" w:rsidR="00792693" w:rsidRPr="007777E6" w:rsidRDefault="00792693" w:rsidP="00AF632F">
            <w:pPr>
              <w:pStyle w:val="NormalWeb"/>
              <w:jc w:val="center"/>
              <w:rPr>
                <w:sz w:val="18"/>
                <w:szCs w:val="18"/>
              </w:rPr>
            </w:pPr>
            <w:r w:rsidRPr="007777E6">
              <w:rPr>
                <w:sz w:val="18"/>
                <w:szCs w:val="18"/>
              </w:rPr>
              <w:t>203 (62.1)</w:t>
            </w:r>
          </w:p>
        </w:tc>
      </w:tr>
      <w:tr w:rsidR="00792693" w:rsidRPr="007777E6" w14:paraId="299D3348"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000000" w:themeColor="text1"/>
              <w:bottom w:val="single" w:sz="2" w:space="0" w:color="000000" w:themeColor="text1"/>
            </w:tcBorders>
            <w:shd w:val="clear" w:color="auto" w:fill="auto"/>
            <w:hideMark/>
          </w:tcPr>
          <w:p w14:paraId="3AC1F7C3" w14:textId="77777777" w:rsidR="00792693" w:rsidRPr="004D4676" w:rsidRDefault="00792693" w:rsidP="00AF632F">
            <w:pPr>
              <w:rPr>
                <w:b/>
                <w:sz w:val="18"/>
                <w:szCs w:val="18"/>
              </w:rPr>
            </w:pPr>
          </w:p>
        </w:tc>
        <w:tc>
          <w:tcPr>
            <w:tcW w:w="0" w:type="auto"/>
            <w:tcBorders>
              <w:top w:val="single" w:sz="2" w:space="0" w:color="000000" w:themeColor="text1"/>
              <w:bottom w:val="single" w:sz="2" w:space="0" w:color="000000" w:themeColor="text1"/>
            </w:tcBorders>
            <w:shd w:val="clear" w:color="auto" w:fill="auto"/>
            <w:hideMark/>
          </w:tcPr>
          <w:p w14:paraId="3E4AC716" w14:textId="77777777" w:rsidR="00792693" w:rsidRPr="007777E6" w:rsidRDefault="00792693" w:rsidP="00AF632F">
            <w:pPr>
              <w:pStyle w:val="NormalWeb"/>
              <w:rPr>
                <w:sz w:val="18"/>
                <w:szCs w:val="18"/>
              </w:rPr>
            </w:pPr>
            <w:r w:rsidRPr="007777E6">
              <w:rPr>
                <w:sz w:val="18"/>
                <w:szCs w:val="18"/>
              </w:rPr>
              <w:t>Inpatient hospital admission, n (%)</w:t>
            </w:r>
          </w:p>
        </w:tc>
        <w:tc>
          <w:tcPr>
            <w:tcW w:w="1319" w:type="dxa"/>
            <w:tcBorders>
              <w:top w:val="single" w:sz="2" w:space="0" w:color="000000" w:themeColor="text1"/>
              <w:bottom w:val="single" w:sz="2" w:space="0" w:color="000000" w:themeColor="text1"/>
            </w:tcBorders>
            <w:shd w:val="clear" w:color="auto" w:fill="auto"/>
            <w:hideMark/>
          </w:tcPr>
          <w:p w14:paraId="55C46943" w14:textId="09852061" w:rsidR="00792693" w:rsidRPr="007777E6" w:rsidRDefault="00792693" w:rsidP="00AF632F">
            <w:pPr>
              <w:pStyle w:val="NormalWeb"/>
              <w:jc w:val="center"/>
              <w:rPr>
                <w:sz w:val="18"/>
                <w:szCs w:val="18"/>
              </w:rPr>
            </w:pPr>
            <w:r w:rsidRPr="007777E6">
              <w:rPr>
                <w:sz w:val="18"/>
                <w:szCs w:val="18"/>
              </w:rPr>
              <w:t>56 (32</w:t>
            </w:r>
            <w:r w:rsidR="00B81C35">
              <w:rPr>
                <w:sz w:val="18"/>
                <w:szCs w:val="18"/>
              </w:rPr>
              <w:t>.0</w:t>
            </w:r>
            <w:r w:rsidRPr="007777E6">
              <w:rPr>
                <w:sz w:val="18"/>
                <w:szCs w:val="18"/>
              </w:rPr>
              <w:t>)</w:t>
            </w:r>
          </w:p>
        </w:tc>
        <w:tc>
          <w:tcPr>
            <w:tcW w:w="1319" w:type="dxa"/>
            <w:tcBorders>
              <w:top w:val="single" w:sz="2" w:space="0" w:color="000000" w:themeColor="text1"/>
              <w:bottom w:val="single" w:sz="2" w:space="0" w:color="000000" w:themeColor="text1"/>
            </w:tcBorders>
            <w:shd w:val="clear" w:color="auto" w:fill="auto"/>
            <w:hideMark/>
          </w:tcPr>
          <w:p w14:paraId="6B071A1C" w14:textId="77777777" w:rsidR="00792693" w:rsidRPr="007777E6" w:rsidRDefault="00792693" w:rsidP="00AF632F">
            <w:pPr>
              <w:pStyle w:val="NormalWeb"/>
              <w:jc w:val="center"/>
              <w:rPr>
                <w:sz w:val="18"/>
                <w:szCs w:val="18"/>
              </w:rPr>
            </w:pPr>
            <w:r w:rsidRPr="007777E6">
              <w:rPr>
                <w:sz w:val="18"/>
                <w:szCs w:val="18"/>
              </w:rPr>
              <w:t>39 (25.7)</w:t>
            </w:r>
          </w:p>
        </w:tc>
        <w:tc>
          <w:tcPr>
            <w:tcW w:w="1319" w:type="dxa"/>
            <w:tcBorders>
              <w:top w:val="single" w:sz="2" w:space="0" w:color="000000" w:themeColor="text1"/>
              <w:bottom w:val="single" w:sz="2" w:space="0" w:color="000000" w:themeColor="text1"/>
            </w:tcBorders>
            <w:shd w:val="clear" w:color="auto" w:fill="auto"/>
            <w:hideMark/>
          </w:tcPr>
          <w:p w14:paraId="0A819E29" w14:textId="77777777" w:rsidR="00792693" w:rsidRPr="007777E6" w:rsidRDefault="00792693" w:rsidP="00AF632F">
            <w:pPr>
              <w:pStyle w:val="NormalWeb"/>
              <w:jc w:val="center"/>
              <w:rPr>
                <w:sz w:val="18"/>
                <w:szCs w:val="18"/>
              </w:rPr>
            </w:pPr>
            <w:r w:rsidRPr="007777E6">
              <w:rPr>
                <w:sz w:val="18"/>
                <w:szCs w:val="18"/>
              </w:rPr>
              <w:t>95 (29.1)</w:t>
            </w:r>
          </w:p>
        </w:tc>
      </w:tr>
    </w:tbl>
    <w:p w14:paraId="0EC52754" w14:textId="6FC98FC3" w:rsidR="00792693" w:rsidRPr="00311A0F" w:rsidRDefault="00792693" w:rsidP="00311A0F">
      <w:pPr>
        <w:pStyle w:val="CDIfootnotes"/>
      </w:pPr>
      <w:proofErr w:type="spellStart"/>
      <w:proofErr w:type="gramStart"/>
      <w:r w:rsidRPr="00311A0F">
        <w:t>a</w:t>
      </w:r>
      <w:proofErr w:type="spellEnd"/>
      <w:proofErr w:type="gramEnd"/>
      <w:r w:rsidRPr="00311A0F">
        <w:tab/>
        <w:t>Estimates are based on cohort members with an onset date prior to 1 November 2020 (n</w:t>
      </w:r>
      <w:r w:rsidR="00B81C35" w:rsidRPr="00311A0F">
        <w:t xml:space="preserve"> </w:t>
      </w:r>
      <w:r w:rsidRPr="00311A0F">
        <w:t>=1,182). Emergency department admissions are measured with EDC data; hospital admissions, ICU and continuous ventilator support are measured with the QHAPDC, deaths are ascertained with the Death Registrations data. Inpatient hospital records exclude home-based admissions. Hospital data is yet to be finalised and these results should be considered preliminary. At the time of writing, data relating to length of stay in ICU was not available. Length of stay has been estimated excluding the 13 (7.1%) patients admitted and discharged on the same day.</w:t>
      </w:r>
    </w:p>
    <w:p w14:paraId="3ABF8EE2" w14:textId="2472A3FA" w:rsidR="00792693" w:rsidRPr="00311A0F" w:rsidRDefault="00792693" w:rsidP="00311A0F">
      <w:pPr>
        <w:pStyle w:val="CDIfootnotes"/>
      </w:pPr>
      <w:r w:rsidRPr="00311A0F">
        <w:t>b</w:t>
      </w:r>
      <w:r w:rsidRPr="00311A0F">
        <w:tab/>
        <w:t>n/a indicates that the result has been suppressed because of cell size &lt; 5.</w:t>
      </w:r>
    </w:p>
    <w:p w14:paraId="2306BB44" w14:textId="77777777" w:rsidR="00D6062B" w:rsidRDefault="00D6062B" w:rsidP="00D6062B">
      <w:r>
        <w:t xml:space="preserve">The </w:t>
      </w:r>
      <w:proofErr w:type="spellStart"/>
      <w:r>
        <w:t>NoCS</w:t>
      </w:r>
      <w:proofErr w:type="spellEnd"/>
      <w:r>
        <w:t xml:space="preserve"> data recorded that 337 patients (29%) were hospitalised, 752 (64%) were not hospitalised and hospitalisation status was not recorded for 93 cases (8%). By comparison, the QHAPDC stated that 250 (21%) patients required inpatient hospital admission, an additional 714 (60%) were home-based admissions, and 218 (18%) had no hospital record (Appendix A, Table A.1). The </w:t>
      </w:r>
      <w:proofErr w:type="spellStart"/>
      <w:r>
        <w:t>NoCS</w:t>
      </w:r>
      <w:proofErr w:type="spellEnd"/>
      <w:r>
        <w:t xml:space="preserve"> data recorded that 16 patients were admitted to ICU, and that 12 required ventilation, which was lower than the numbers recorded in the QHAPDC data (Appendix A, Tables A.2 and A.3). A large proportion of </w:t>
      </w:r>
      <w:proofErr w:type="spellStart"/>
      <w:r>
        <w:t>NoCS</w:t>
      </w:r>
      <w:proofErr w:type="spellEnd"/>
      <w:r>
        <w:t xml:space="preserve"> data pertaining to patient hospitalisation, ventilation, admission to ICU and death was not recorded (Appendix A, Tables A.1 to A.4). </w:t>
      </w:r>
    </w:p>
    <w:p w14:paraId="544AD44D" w14:textId="114C65E4" w:rsidR="00D6062B" w:rsidRDefault="00D6062B" w:rsidP="00D6062B">
      <w:r>
        <w:t xml:space="preserve">Over half of the cohort with onset date prior to 1 November 2020 (57.6%; 681/1,182) presented to an ED in the six-week follow-up period. The majority (n = 619/681; 90.9%) presented within two weeks of their symptom onset date. Proportions presenting did not vary substantially by broad age group (55.9% of those aged 0–59 years, compared to 62.1% of those aged 60+ years). Among those presenting to an ED, the most common primary diagnoses were COVID-19 (ICD-10: U07.1) and diagnoses related to viral and respiratory infections (Table 3). The ten most common diagnoses accounted for 89.2% of all principal diagnoses among those presenting to ED. Diagnoses were materially unchanged when restricted to presentations occurring within two weeks of the recorded symptom onset date (see Appendix A, Table A.5). </w:t>
      </w:r>
    </w:p>
    <w:p w14:paraId="6BDA0733" w14:textId="77777777" w:rsidR="00350400" w:rsidRDefault="00350400">
      <w:pPr>
        <w:rPr>
          <w:rStyle w:val="Strong"/>
          <w:bCs w:val="0"/>
        </w:rPr>
      </w:pPr>
      <w:r>
        <w:rPr>
          <w:rStyle w:val="Strong"/>
          <w:b w:val="0"/>
          <w:bCs w:val="0"/>
        </w:rPr>
        <w:br w:type="page"/>
      </w:r>
    </w:p>
    <w:p w14:paraId="48C19C70" w14:textId="1B63C612" w:rsidR="00AE728C" w:rsidRPr="00377AFD" w:rsidRDefault="00AE728C" w:rsidP="00AE728C">
      <w:pPr>
        <w:pStyle w:val="CDIFigures"/>
      </w:pPr>
      <w:r w:rsidRPr="00377AFD">
        <w:rPr>
          <w:rStyle w:val="Strong"/>
          <w:b/>
          <w:bCs w:val="0"/>
        </w:rPr>
        <w:lastRenderedPageBreak/>
        <w:t>Table 3: Top 10 principal diagnosis codes among COVID-19 patients presenting to an emergency department in</w:t>
      </w:r>
      <w:r w:rsidR="00311A0F">
        <w:rPr>
          <w:rStyle w:val="Strong"/>
          <w:b/>
          <w:bCs w:val="0"/>
        </w:rPr>
        <w:t> </w:t>
      </w:r>
      <w:proofErr w:type="spellStart"/>
      <w:r w:rsidRPr="00377AFD">
        <w:rPr>
          <w:rStyle w:val="Strong"/>
          <w:b/>
          <w:bCs w:val="0"/>
        </w:rPr>
        <w:t>Queensland</w:t>
      </w:r>
      <w:r w:rsidRPr="00377AFD">
        <w:rPr>
          <w:rStyle w:val="Strong"/>
          <w:b/>
          <w:bCs w:val="0"/>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presents the top 10 diagnoses for the 681 COVID-19 patients presenting to an emergency department in Queensland. The most common diagnoses related to viral infections, including Emergency use of U07.1 Probable COVID-19, unspecified viral infection, special screening examination for other viral diseases, acute upper respiratory infection and coronavirus infection. Together, the top 10 diagnoses accounted for 89% of all diagnoses in emergency department collection records. "/>
      </w:tblPr>
      <w:tblGrid>
        <w:gridCol w:w="488"/>
        <w:gridCol w:w="1130"/>
        <w:gridCol w:w="6657"/>
        <w:gridCol w:w="388"/>
        <w:gridCol w:w="434"/>
        <w:gridCol w:w="1343"/>
      </w:tblGrid>
      <w:tr w:rsidR="00AE728C" w:rsidRPr="00350400" w14:paraId="476C4211" w14:textId="77777777" w:rsidTr="00350400">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469B3E58" w14:textId="77777777" w:rsidR="00AE728C" w:rsidRPr="00350400" w:rsidRDefault="00AE728C" w:rsidP="00AF632F">
            <w:pPr>
              <w:pStyle w:val="NormalWeb"/>
              <w:rPr>
                <w:color w:val="FFFFFF" w:themeColor="background1"/>
                <w:sz w:val="18"/>
                <w:szCs w:val="18"/>
              </w:rPr>
            </w:pPr>
            <w:r w:rsidRPr="00350400">
              <w:rPr>
                <w:color w:val="FFFFFF" w:themeColor="background1"/>
                <w:sz w:val="18"/>
                <w:szCs w:val="18"/>
              </w:rPr>
              <w:t>Rank</w:t>
            </w:r>
          </w:p>
        </w:tc>
        <w:tc>
          <w:tcPr>
            <w:tcW w:w="1130" w:type="dxa"/>
            <w:tcBorders>
              <w:left w:val="single" w:sz="2" w:space="0" w:color="FFFFFF" w:themeColor="background1"/>
              <w:right w:val="single" w:sz="2" w:space="0" w:color="FFFFFF" w:themeColor="background1"/>
            </w:tcBorders>
            <w:hideMark/>
          </w:tcPr>
          <w:p w14:paraId="4CB37EA6" w14:textId="77777777" w:rsidR="00AE728C" w:rsidRPr="00350400" w:rsidRDefault="00AE728C" w:rsidP="00AF632F">
            <w:pPr>
              <w:pStyle w:val="NormalWeb"/>
              <w:jc w:val="center"/>
              <w:rPr>
                <w:color w:val="FFFFFF" w:themeColor="background1"/>
                <w:sz w:val="18"/>
                <w:szCs w:val="18"/>
              </w:rPr>
            </w:pPr>
            <w:r w:rsidRPr="00350400">
              <w:rPr>
                <w:color w:val="FFFFFF" w:themeColor="background1"/>
                <w:sz w:val="18"/>
                <w:szCs w:val="18"/>
              </w:rPr>
              <w:t>ICD-10-AM code</w:t>
            </w:r>
          </w:p>
        </w:tc>
        <w:tc>
          <w:tcPr>
            <w:tcW w:w="6657" w:type="dxa"/>
            <w:tcBorders>
              <w:left w:val="single" w:sz="2" w:space="0" w:color="FFFFFF" w:themeColor="background1"/>
              <w:right w:val="single" w:sz="2" w:space="0" w:color="FFFFFF" w:themeColor="background1"/>
            </w:tcBorders>
            <w:hideMark/>
          </w:tcPr>
          <w:p w14:paraId="1D0E877D" w14:textId="77777777" w:rsidR="00AE728C" w:rsidRPr="00350400" w:rsidRDefault="00AE728C" w:rsidP="00AF632F">
            <w:pPr>
              <w:pStyle w:val="NormalWeb"/>
              <w:rPr>
                <w:color w:val="FFFFFF" w:themeColor="background1"/>
                <w:sz w:val="18"/>
                <w:szCs w:val="18"/>
              </w:rPr>
            </w:pPr>
            <w:r w:rsidRPr="00350400">
              <w:rPr>
                <w:color w:val="FFFFFF" w:themeColor="background1"/>
                <w:sz w:val="18"/>
                <w:szCs w:val="18"/>
              </w:rPr>
              <w:t>Definition of ICD-10-AM code</w:t>
            </w:r>
          </w:p>
        </w:tc>
        <w:tc>
          <w:tcPr>
            <w:tcW w:w="0" w:type="auto"/>
            <w:tcBorders>
              <w:left w:val="single" w:sz="2" w:space="0" w:color="FFFFFF" w:themeColor="background1"/>
              <w:right w:val="single" w:sz="2" w:space="0" w:color="FFFFFF" w:themeColor="background1"/>
            </w:tcBorders>
            <w:hideMark/>
          </w:tcPr>
          <w:p w14:paraId="51709070" w14:textId="77777777" w:rsidR="00AE728C" w:rsidRPr="00350400" w:rsidRDefault="00AE728C" w:rsidP="00AF632F">
            <w:pPr>
              <w:pStyle w:val="NormalWeb"/>
              <w:jc w:val="center"/>
              <w:rPr>
                <w:color w:val="FFFFFF" w:themeColor="background1"/>
                <w:sz w:val="18"/>
                <w:szCs w:val="18"/>
              </w:rPr>
            </w:pPr>
            <w:r w:rsidRPr="00350400">
              <w:rPr>
                <w:color w:val="FFFFFF" w:themeColor="background1"/>
                <w:sz w:val="18"/>
                <w:szCs w:val="18"/>
              </w:rPr>
              <w:t>n</w:t>
            </w:r>
          </w:p>
        </w:tc>
        <w:tc>
          <w:tcPr>
            <w:tcW w:w="0" w:type="auto"/>
            <w:tcBorders>
              <w:left w:val="single" w:sz="2" w:space="0" w:color="FFFFFF" w:themeColor="background1"/>
              <w:right w:val="single" w:sz="2" w:space="0" w:color="FFFFFF" w:themeColor="background1"/>
            </w:tcBorders>
            <w:hideMark/>
          </w:tcPr>
          <w:p w14:paraId="66620435" w14:textId="77777777" w:rsidR="00AE728C" w:rsidRPr="00350400" w:rsidRDefault="00AE728C" w:rsidP="00AF632F">
            <w:pPr>
              <w:pStyle w:val="NormalWeb"/>
              <w:jc w:val="center"/>
              <w:rPr>
                <w:color w:val="FFFFFF" w:themeColor="background1"/>
                <w:sz w:val="18"/>
                <w:szCs w:val="18"/>
              </w:rPr>
            </w:pPr>
            <w:r w:rsidRPr="00350400">
              <w:rPr>
                <w:color w:val="FFFFFF" w:themeColor="background1"/>
                <w:sz w:val="18"/>
                <w:szCs w:val="18"/>
              </w:rPr>
              <w:t>%</w:t>
            </w:r>
          </w:p>
        </w:tc>
        <w:tc>
          <w:tcPr>
            <w:tcW w:w="1343" w:type="dxa"/>
            <w:tcBorders>
              <w:left w:val="single" w:sz="2" w:space="0" w:color="FFFFFF" w:themeColor="background1"/>
            </w:tcBorders>
            <w:hideMark/>
          </w:tcPr>
          <w:p w14:paraId="59485831" w14:textId="77777777" w:rsidR="00AE728C" w:rsidRPr="00350400" w:rsidRDefault="00AE728C" w:rsidP="00AF632F">
            <w:pPr>
              <w:pStyle w:val="NormalWeb"/>
              <w:jc w:val="center"/>
              <w:rPr>
                <w:color w:val="FFFFFF" w:themeColor="background1"/>
                <w:sz w:val="18"/>
                <w:szCs w:val="18"/>
              </w:rPr>
            </w:pPr>
            <w:r w:rsidRPr="00350400">
              <w:rPr>
                <w:color w:val="FFFFFF" w:themeColor="background1"/>
                <w:sz w:val="18"/>
                <w:szCs w:val="18"/>
              </w:rPr>
              <w:t>Cumulative</w:t>
            </w:r>
            <w:r w:rsidRPr="00350400">
              <w:rPr>
                <w:color w:val="FFFFFF" w:themeColor="background1"/>
                <w:sz w:val="18"/>
                <w:szCs w:val="18"/>
              </w:rPr>
              <w:br/>
              <w:t>%</w:t>
            </w:r>
          </w:p>
        </w:tc>
      </w:tr>
      <w:tr w:rsidR="00AE728C" w:rsidRPr="00350400" w14:paraId="377E7316" w14:textId="77777777" w:rsidTr="00350400">
        <w:tc>
          <w:tcPr>
            <w:tcW w:w="0" w:type="auto"/>
            <w:hideMark/>
          </w:tcPr>
          <w:p w14:paraId="1F2F6018" w14:textId="77777777" w:rsidR="00AE728C" w:rsidRPr="00350400" w:rsidRDefault="00AE728C" w:rsidP="00AF632F">
            <w:pPr>
              <w:pStyle w:val="NormalWeb"/>
              <w:rPr>
                <w:sz w:val="18"/>
                <w:szCs w:val="18"/>
              </w:rPr>
            </w:pPr>
            <w:r w:rsidRPr="00350400">
              <w:rPr>
                <w:sz w:val="18"/>
                <w:szCs w:val="18"/>
              </w:rPr>
              <w:t>1</w:t>
            </w:r>
          </w:p>
        </w:tc>
        <w:tc>
          <w:tcPr>
            <w:tcW w:w="1130" w:type="dxa"/>
            <w:hideMark/>
          </w:tcPr>
          <w:p w14:paraId="77862AFE" w14:textId="77777777" w:rsidR="00AE728C" w:rsidRPr="00350400" w:rsidRDefault="00AE728C" w:rsidP="00AF632F">
            <w:pPr>
              <w:pStyle w:val="NormalWeb"/>
              <w:jc w:val="center"/>
              <w:rPr>
                <w:sz w:val="18"/>
                <w:szCs w:val="18"/>
              </w:rPr>
            </w:pPr>
            <w:r w:rsidRPr="00350400">
              <w:rPr>
                <w:sz w:val="18"/>
                <w:szCs w:val="18"/>
              </w:rPr>
              <w:t>U07.1</w:t>
            </w:r>
          </w:p>
        </w:tc>
        <w:tc>
          <w:tcPr>
            <w:tcW w:w="6657" w:type="dxa"/>
            <w:hideMark/>
          </w:tcPr>
          <w:p w14:paraId="712C4DE7" w14:textId="77777777" w:rsidR="00AE728C" w:rsidRPr="00350400" w:rsidRDefault="00AE728C" w:rsidP="00AF632F">
            <w:pPr>
              <w:pStyle w:val="NormalWeb"/>
              <w:rPr>
                <w:sz w:val="18"/>
                <w:szCs w:val="18"/>
              </w:rPr>
            </w:pPr>
            <w:r w:rsidRPr="00350400">
              <w:rPr>
                <w:sz w:val="18"/>
                <w:szCs w:val="18"/>
              </w:rPr>
              <w:t>Emergency use of U07.1 (COVID-19)</w:t>
            </w:r>
          </w:p>
        </w:tc>
        <w:tc>
          <w:tcPr>
            <w:tcW w:w="0" w:type="auto"/>
            <w:hideMark/>
          </w:tcPr>
          <w:p w14:paraId="4BB58C08" w14:textId="77777777" w:rsidR="00AE728C" w:rsidRPr="00350400" w:rsidRDefault="00AE728C" w:rsidP="00AF632F">
            <w:pPr>
              <w:pStyle w:val="NormalWeb"/>
              <w:jc w:val="center"/>
              <w:rPr>
                <w:sz w:val="18"/>
                <w:szCs w:val="18"/>
              </w:rPr>
            </w:pPr>
            <w:r w:rsidRPr="00350400">
              <w:rPr>
                <w:sz w:val="18"/>
                <w:szCs w:val="18"/>
              </w:rPr>
              <w:t>288</w:t>
            </w:r>
          </w:p>
        </w:tc>
        <w:tc>
          <w:tcPr>
            <w:tcW w:w="0" w:type="auto"/>
            <w:hideMark/>
          </w:tcPr>
          <w:p w14:paraId="0EC9E527" w14:textId="77777777" w:rsidR="00AE728C" w:rsidRPr="00350400" w:rsidRDefault="00AE728C" w:rsidP="00AF632F">
            <w:pPr>
              <w:pStyle w:val="NormalWeb"/>
              <w:jc w:val="center"/>
              <w:rPr>
                <w:sz w:val="18"/>
                <w:szCs w:val="18"/>
              </w:rPr>
            </w:pPr>
            <w:r w:rsidRPr="00350400">
              <w:rPr>
                <w:sz w:val="18"/>
                <w:szCs w:val="18"/>
              </w:rPr>
              <w:t>28.8</w:t>
            </w:r>
          </w:p>
        </w:tc>
        <w:tc>
          <w:tcPr>
            <w:tcW w:w="1343" w:type="dxa"/>
            <w:hideMark/>
          </w:tcPr>
          <w:p w14:paraId="7268BF43" w14:textId="77777777" w:rsidR="00AE728C" w:rsidRPr="00350400" w:rsidRDefault="00AE728C" w:rsidP="00AF632F">
            <w:pPr>
              <w:pStyle w:val="NormalWeb"/>
              <w:jc w:val="center"/>
              <w:rPr>
                <w:sz w:val="18"/>
                <w:szCs w:val="18"/>
              </w:rPr>
            </w:pPr>
            <w:r w:rsidRPr="00350400">
              <w:rPr>
                <w:sz w:val="18"/>
                <w:szCs w:val="18"/>
              </w:rPr>
              <w:t>28.8</w:t>
            </w:r>
          </w:p>
        </w:tc>
      </w:tr>
      <w:tr w:rsidR="00AE728C" w:rsidRPr="00350400" w14:paraId="2139CB46" w14:textId="77777777" w:rsidTr="00350400">
        <w:trPr>
          <w:cnfStyle w:val="000000010000" w:firstRow="0" w:lastRow="0" w:firstColumn="0" w:lastColumn="0" w:oddVBand="0" w:evenVBand="0" w:oddHBand="0" w:evenHBand="1" w:firstRowFirstColumn="0" w:firstRowLastColumn="0" w:lastRowFirstColumn="0" w:lastRowLastColumn="0"/>
        </w:trPr>
        <w:tc>
          <w:tcPr>
            <w:tcW w:w="0" w:type="auto"/>
            <w:hideMark/>
          </w:tcPr>
          <w:p w14:paraId="0911F5AD" w14:textId="77777777" w:rsidR="00AE728C" w:rsidRPr="00350400" w:rsidRDefault="00AE728C" w:rsidP="00AF632F">
            <w:pPr>
              <w:pStyle w:val="NormalWeb"/>
              <w:rPr>
                <w:sz w:val="18"/>
                <w:szCs w:val="18"/>
              </w:rPr>
            </w:pPr>
            <w:r w:rsidRPr="00350400">
              <w:rPr>
                <w:sz w:val="18"/>
                <w:szCs w:val="18"/>
              </w:rPr>
              <w:t>2</w:t>
            </w:r>
          </w:p>
        </w:tc>
        <w:tc>
          <w:tcPr>
            <w:tcW w:w="1130" w:type="dxa"/>
            <w:hideMark/>
          </w:tcPr>
          <w:p w14:paraId="110AA9CB" w14:textId="77777777" w:rsidR="00AE728C" w:rsidRPr="00350400" w:rsidRDefault="00AE728C" w:rsidP="00AF632F">
            <w:pPr>
              <w:pStyle w:val="NormalWeb"/>
              <w:jc w:val="center"/>
              <w:rPr>
                <w:sz w:val="18"/>
                <w:szCs w:val="18"/>
              </w:rPr>
            </w:pPr>
            <w:r w:rsidRPr="00350400">
              <w:rPr>
                <w:sz w:val="18"/>
                <w:szCs w:val="18"/>
              </w:rPr>
              <w:t>B34.9</w:t>
            </w:r>
          </w:p>
        </w:tc>
        <w:tc>
          <w:tcPr>
            <w:tcW w:w="6657" w:type="dxa"/>
            <w:hideMark/>
          </w:tcPr>
          <w:p w14:paraId="61209035" w14:textId="77777777" w:rsidR="00AE728C" w:rsidRPr="00350400" w:rsidRDefault="00AE728C" w:rsidP="00AF632F">
            <w:pPr>
              <w:pStyle w:val="NormalWeb"/>
              <w:rPr>
                <w:sz w:val="18"/>
                <w:szCs w:val="18"/>
              </w:rPr>
            </w:pPr>
            <w:r w:rsidRPr="00350400">
              <w:rPr>
                <w:sz w:val="18"/>
                <w:szCs w:val="18"/>
              </w:rPr>
              <w:t>Viral infection, unspecified</w:t>
            </w:r>
          </w:p>
        </w:tc>
        <w:tc>
          <w:tcPr>
            <w:tcW w:w="0" w:type="auto"/>
            <w:hideMark/>
          </w:tcPr>
          <w:p w14:paraId="39493BB0" w14:textId="77777777" w:rsidR="00AE728C" w:rsidRPr="00350400" w:rsidRDefault="00AE728C" w:rsidP="00AF632F">
            <w:pPr>
              <w:pStyle w:val="NormalWeb"/>
              <w:jc w:val="center"/>
              <w:rPr>
                <w:sz w:val="18"/>
                <w:szCs w:val="18"/>
              </w:rPr>
            </w:pPr>
            <w:r w:rsidRPr="00350400">
              <w:rPr>
                <w:sz w:val="18"/>
                <w:szCs w:val="18"/>
              </w:rPr>
              <w:t>271</w:t>
            </w:r>
          </w:p>
        </w:tc>
        <w:tc>
          <w:tcPr>
            <w:tcW w:w="0" w:type="auto"/>
            <w:hideMark/>
          </w:tcPr>
          <w:p w14:paraId="4983A122" w14:textId="77777777" w:rsidR="00AE728C" w:rsidRPr="00350400" w:rsidRDefault="00AE728C" w:rsidP="00AF632F">
            <w:pPr>
              <w:pStyle w:val="NormalWeb"/>
              <w:jc w:val="center"/>
              <w:rPr>
                <w:sz w:val="18"/>
                <w:szCs w:val="18"/>
              </w:rPr>
            </w:pPr>
            <w:r w:rsidRPr="00350400">
              <w:rPr>
                <w:sz w:val="18"/>
                <w:szCs w:val="18"/>
              </w:rPr>
              <w:t>27.1</w:t>
            </w:r>
          </w:p>
        </w:tc>
        <w:tc>
          <w:tcPr>
            <w:tcW w:w="1343" w:type="dxa"/>
            <w:hideMark/>
          </w:tcPr>
          <w:p w14:paraId="59C97928" w14:textId="77777777" w:rsidR="00AE728C" w:rsidRPr="00350400" w:rsidRDefault="00AE728C" w:rsidP="00AF632F">
            <w:pPr>
              <w:pStyle w:val="NormalWeb"/>
              <w:jc w:val="center"/>
              <w:rPr>
                <w:sz w:val="18"/>
                <w:szCs w:val="18"/>
              </w:rPr>
            </w:pPr>
            <w:r w:rsidRPr="00350400">
              <w:rPr>
                <w:sz w:val="18"/>
                <w:szCs w:val="18"/>
              </w:rPr>
              <w:t>55.9</w:t>
            </w:r>
          </w:p>
        </w:tc>
      </w:tr>
      <w:tr w:rsidR="00AE728C" w:rsidRPr="00350400" w14:paraId="1E4989A4" w14:textId="77777777" w:rsidTr="00350400">
        <w:tc>
          <w:tcPr>
            <w:tcW w:w="0" w:type="auto"/>
            <w:hideMark/>
          </w:tcPr>
          <w:p w14:paraId="41380ACE" w14:textId="77777777" w:rsidR="00AE728C" w:rsidRPr="00350400" w:rsidRDefault="00AE728C" w:rsidP="00AF632F">
            <w:pPr>
              <w:pStyle w:val="NormalWeb"/>
              <w:rPr>
                <w:sz w:val="18"/>
                <w:szCs w:val="18"/>
              </w:rPr>
            </w:pPr>
            <w:r w:rsidRPr="00350400">
              <w:rPr>
                <w:sz w:val="18"/>
                <w:szCs w:val="18"/>
              </w:rPr>
              <w:t>3</w:t>
            </w:r>
          </w:p>
        </w:tc>
        <w:tc>
          <w:tcPr>
            <w:tcW w:w="1130" w:type="dxa"/>
            <w:hideMark/>
          </w:tcPr>
          <w:p w14:paraId="1E035A87" w14:textId="77777777" w:rsidR="00AE728C" w:rsidRPr="00350400" w:rsidRDefault="00AE728C" w:rsidP="00AF632F">
            <w:pPr>
              <w:pStyle w:val="NormalWeb"/>
              <w:jc w:val="center"/>
              <w:rPr>
                <w:sz w:val="18"/>
                <w:szCs w:val="18"/>
              </w:rPr>
            </w:pPr>
            <w:r w:rsidRPr="00350400">
              <w:rPr>
                <w:sz w:val="18"/>
                <w:szCs w:val="18"/>
              </w:rPr>
              <w:t>Z11.5</w:t>
            </w:r>
          </w:p>
        </w:tc>
        <w:tc>
          <w:tcPr>
            <w:tcW w:w="6657" w:type="dxa"/>
            <w:hideMark/>
          </w:tcPr>
          <w:p w14:paraId="01B4B0C8" w14:textId="77777777" w:rsidR="00AE728C" w:rsidRPr="00350400" w:rsidRDefault="00AE728C" w:rsidP="00AF632F">
            <w:pPr>
              <w:pStyle w:val="NormalWeb"/>
              <w:rPr>
                <w:sz w:val="18"/>
                <w:szCs w:val="18"/>
              </w:rPr>
            </w:pPr>
            <w:r w:rsidRPr="00350400">
              <w:rPr>
                <w:sz w:val="18"/>
                <w:szCs w:val="18"/>
              </w:rPr>
              <w:t>Special screening examination for other viral diseases</w:t>
            </w:r>
          </w:p>
        </w:tc>
        <w:tc>
          <w:tcPr>
            <w:tcW w:w="0" w:type="auto"/>
            <w:hideMark/>
          </w:tcPr>
          <w:p w14:paraId="0BEEA3EE" w14:textId="77777777" w:rsidR="00AE728C" w:rsidRPr="00350400" w:rsidRDefault="00AE728C" w:rsidP="00AF632F">
            <w:pPr>
              <w:pStyle w:val="NormalWeb"/>
              <w:jc w:val="center"/>
              <w:rPr>
                <w:sz w:val="18"/>
                <w:szCs w:val="18"/>
              </w:rPr>
            </w:pPr>
            <w:r w:rsidRPr="00350400">
              <w:rPr>
                <w:sz w:val="18"/>
                <w:szCs w:val="18"/>
              </w:rPr>
              <w:t>225</w:t>
            </w:r>
          </w:p>
        </w:tc>
        <w:tc>
          <w:tcPr>
            <w:tcW w:w="0" w:type="auto"/>
            <w:hideMark/>
          </w:tcPr>
          <w:p w14:paraId="5D138893" w14:textId="77777777" w:rsidR="00AE728C" w:rsidRPr="00350400" w:rsidRDefault="00AE728C" w:rsidP="00AF632F">
            <w:pPr>
              <w:pStyle w:val="NormalWeb"/>
              <w:jc w:val="center"/>
              <w:rPr>
                <w:sz w:val="18"/>
                <w:szCs w:val="18"/>
              </w:rPr>
            </w:pPr>
            <w:r w:rsidRPr="00350400">
              <w:rPr>
                <w:sz w:val="18"/>
                <w:szCs w:val="18"/>
              </w:rPr>
              <w:t>22.5</w:t>
            </w:r>
          </w:p>
        </w:tc>
        <w:tc>
          <w:tcPr>
            <w:tcW w:w="1343" w:type="dxa"/>
            <w:hideMark/>
          </w:tcPr>
          <w:p w14:paraId="516B5931" w14:textId="77777777" w:rsidR="00AE728C" w:rsidRPr="00350400" w:rsidRDefault="00AE728C" w:rsidP="00AF632F">
            <w:pPr>
              <w:pStyle w:val="NormalWeb"/>
              <w:jc w:val="center"/>
              <w:rPr>
                <w:sz w:val="18"/>
                <w:szCs w:val="18"/>
              </w:rPr>
            </w:pPr>
            <w:r w:rsidRPr="00350400">
              <w:rPr>
                <w:sz w:val="18"/>
                <w:szCs w:val="18"/>
              </w:rPr>
              <w:t>78.4</w:t>
            </w:r>
          </w:p>
        </w:tc>
      </w:tr>
      <w:tr w:rsidR="00AE728C" w:rsidRPr="00350400" w14:paraId="56FD9986" w14:textId="77777777" w:rsidTr="00350400">
        <w:trPr>
          <w:cnfStyle w:val="000000010000" w:firstRow="0" w:lastRow="0" w:firstColumn="0" w:lastColumn="0" w:oddVBand="0" w:evenVBand="0" w:oddHBand="0" w:evenHBand="1" w:firstRowFirstColumn="0" w:firstRowLastColumn="0" w:lastRowFirstColumn="0" w:lastRowLastColumn="0"/>
        </w:trPr>
        <w:tc>
          <w:tcPr>
            <w:tcW w:w="0" w:type="auto"/>
            <w:hideMark/>
          </w:tcPr>
          <w:p w14:paraId="06320E15" w14:textId="77777777" w:rsidR="00AE728C" w:rsidRPr="00350400" w:rsidRDefault="00AE728C" w:rsidP="00AF632F">
            <w:pPr>
              <w:pStyle w:val="NormalWeb"/>
              <w:rPr>
                <w:sz w:val="18"/>
                <w:szCs w:val="18"/>
              </w:rPr>
            </w:pPr>
            <w:r w:rsidRPr="00350400">
              <w:rPr>
                <w:sz w:val="18"/>
                <w:szCs w:val="18"/>
              </w:rPr>
              <w:t>4</w:t>
            </w:r>
          </w:p>
        </w:tc>
        <w:tc>
          <w:tcPr>
            <w:tcW w:w="1130" w:type="dxa"/>
            <w:hideMark/>
          </w:tcPr>
          <w:p w14:paraId="4952E344" w14:textId="77777777" w:rsidR="00AE728C" w:rsidRPr="00350400" w:rsidRDefault="00AE728C" w:rsidP="00AF632F">
            <w:pPr>
              <w:pStyle w:val="NormalWeb"/>
              <w:jc w:val="center"/>
              <w:rPr>
                <w:sz w:val="18"/>
                <w:szCs w:val="18"/>
              </w:rPr>
            </w:pPr>
            <w:r w:rsidRPr="00350400">
              <w:rPr>
                <w:sz w:val="18"/>
                <w:szCs w:val="18"/>
              </w:rPr>
              <w:t>J06.9</w:t>
            </w:r>
          </w:p>
        </w:tc>
        <w:tc>
          <w:tcPr>
            <w:tcW w:w="6657" w:type="dxa"/>
            <w:hideMark/>
          </w:tcPr>
          <w:p w14:paraId="0BE584EB" w14:textId="77777777" w:rsidR="00AE728C" w:rsidRPr="00350400" w:rsidRDefault="00AE728C" w:rsidP="00AF632F">
            <w:pPr>
              <w:pStyle w:val="NormalWeb"/>
              <w:rPr>
                <w:sz w:val="18"/>
                <w:szCs w:val="18"/>
              </w:rPr>
            </w:pPr>
            <w:r w:rsidRPr="00350400">
              <w:rPr>
                <w:sz w:val="18"/>
                <w:szCs w:val="18"/>
              </w:rPr>
              <w:t>Acute upper respiratory infection, unspecified</w:t>
            </w:r>
          </w:p>
        </w:tc>
        <w:tc>
          <w:tcPr>
            <w:tcW w:w="0" w:type="auto"/>
            <w:hideMark/>
          </w:tcPr>
          <w:p w14:paraId="7F28DD58" w14:textId="77777777" w:rsidR="00AE728C" w:rsidRPr="00350400" w:rsidRDefault="00AE728C" w:rsidP="00AF632F">
            <w:pPr>
              <w:pStyle w:val="NormalWeb"/>
              <w:jc w:val="center"/>
              <w:rPr>
                <w:sz w:val="18"/>
                <w:szCs w:val="18"/>
              </w:rPr>
            </w:pPr>
            <w:r w:rsidRPr="00350400">
              <w:rPr>
                <w:sz w:val="18"/>
                <w:szCs w:val="18"/>
              </w:rPr>
              <w:t>36</w:t>
            </w:r>
          </w:p>
        </w:tc>
        <w:tc>
          <w:tcPr>
            <w:tcW w:w="0" w:type="auto"/>
            <w:hideMark/>
          </w:tcPr>
          <w:p w14:paraId="5DC07F17" w14:textId="77777777" w:rsidR="00AE728C" w:rsidRPr="00350400" w:rsidRDefault="00AE728C" w:rsidP="00AF632F">
            <w:pPr>
              <w:pStyle w:val="NormalWeb"/>
              <w:jc w:val="center"/>
              <w:rPr>
                <w:sz w:val="18"/>
                <w:szCs w:val="18"/>
              </w:rPr>
            </w:pPr>
            <w:r w:rsidRPr="00350400">
              <w:rPr>
                <w:sz w:val="18"/>
                <w:szCs w:val="18"/>
              </w:rPr>
              <w:t>3.6</w:t>
            </w:r>
          </w:p>
        </w:tc>
        <w:tc>
          <w:tcPr>
            <w:tcW w:w="1343" w:type="dxa"/>
            <w:hideMark/>
          </w:tcPr>
          <w:p w14:paraId="3CD87497" w14:textId="77777777" w:rsidR="00AE728C" w:rsidRPr="00350400" w:rsidRDefault="00AE728C" w:rsidP="00AF632F">
            <w:pPr>
              <w:pStyle w:val="NormalWeb"/>
              <w:jc w:val="center"/>
              <w:rPr>
                <w:sz w:val="18"/>
                <w:szCs w:val="18"/>
              </w:rPr>
            </w:pPr>
            <w:r w:rsidRPr="00350400">
              <w:rPr>
                <w:sz w:val="18"/>
                <w:szCs w:val="18"/>
              </w:rPr>
              <w:t>82.0</w:t>
            </w:r>
          </w:p>
        </w:tc>
      </w:tr>
      <w:tr w:rsidR="00AE728C" w:rsidRPr="00350400" w14:paraId="3D0A5818" w14:textId="77777777" w:rsidTr="00350400">
        <w:tc>
          <w:tcPr>
            <w:tcW w:w="0" w:type="auto"/>
            <w:hideMark/>
          </w:tcPr>
          <w:p w14:paraId="59F78D42" w14:textId="77777777" w:rsidR="00AE728C" w:rsidRPr="00350400" w:rsidRDefault="00AE728C" w:rsidP="00AF632F">
            <w:pPr>
              <w:pStyle w:val="NormalWeb"/>
              <w:rPr>
                <w:sz w:val="18"/>
                <w:szCs w:val="18"/>
              </w:rPr>
            </w:pPr>
            <w:r w:rsidRPr="00350400">
              <w:rPr>
                <w:sz w:val="18"/>
                <w:szCs w:val="18"/>
              </w:rPr>
              <w:t>5</w:t>
            </w:r>
          </w:p>
        </w:tc>
        <w:tc>
          <w:tcPr>
            <w:tcW w:w="1130" w:type="dxa"/>
            <w:hideMark/>
          </w:tcPr>
          <w:p w14:paraId="08F3062E" w14:textId="77777777" w:rsidR="00AE728C" w:rsidRPr="00350400" w:rsidRDefault="00AE728C" w:rsidP="00AF632F">
            <w:pPr>
              <w:pStyle w:val="NormalWeb"/>
              <w:jc w:val="center"/>
              <w:rPr>
                <w:sz w:val="18"/>
                <w:szCs w:val="18"/>
              </w:rPr>
            </w:pPr>
            <w:r w:rsidRPr="00350400">
              <w:rPr>
                <w:sz w:val="18"/>
                <w:szCs w:val="18"/>
              </w:rPr>
              <w:t>B34.2</w:t>
            </w:r>
          </w:p>
        </w:tc>
        <w:tc>
          <w:tcPr>
            <w:tcW w:w="6657" w:type="dxa"/>
            <w:hideMark/>
          </w:tcPr>
          <w:p w14:paraId="6E40C715" w14:textId="77777777" w:rsidR="00AE728C" w:rsidRPr="00350400" w:rsidRDefault="00AE728C" w:rsidP="00AF632F">
            <w:pPr>
              <w:pStyle w:val="NormalWeb"/>
              <w:rPr>
                <w:sz w:val="18"/>
                <w:szCs w:val="18"/>
              </w:rPr>
            </w:pPr>
            <w:r w:rsidRPr="00350400">
              <w:rPr>
                <w:sz w:val="18"/>
                <w:szCs w:val="18"/>
              </w:rPr>
              <w:t>Coronavirus infection, unspecified site</w:t>
            </w:r>
          </w:p>
        </w:tc>
        <w:tc>
          <w:tcPr>
            <w:tcW w:w="0" w:type="auto"/>
            <w:hideMark/>
          </w:tcPr>
          <w:p w14:paraId="46226F8F" w14:textId="77777777" w:rsidR="00AE728C" w:rsidRPr="00350400" w:rsidRDefault="00AE728C" w:rsidP="00AF632F">
            <w:pPr>
              <w:pStyle w:val="NormalWeb"/>
              <w:jc w:val="center"/>
              <w:rPr>
                <w:sz w:val="18"/>
                <w:szCs w:val="18"/>
              </w:rPr>
            </w:pPr>
            <w:r w:rsidRPr="00350400">
              <w:rPr>
                <w:sz w:val="18"/>
                <w:szCs w:val="18"/>
              </w:rPr>
              <w:t>29</w:t>
            </w:r>
          </w:p>
        </w:tc>
        <w:tc>
          <w:tcPr>
            <w:tcW w:w="0" w:type="auto"/>
            <w:hideMark/>
          </w:tcPr>
          <w:p w14:paraId="321E8F66" w14:textId="77777777" w:rsidR="00AE728C" w:rsidRPr="00350400" w:rsidRDefault="00AE728C" w:rsidP="00AF632F">
            <w:pPr>
              <w:pStyle w:val="NormalWeb"/>
              <w:jc w:val="center"/>
              <w:rPr>
                <w:sz w:val="18"/>
                <w:szCs w:val="18"/>
              </w:rPr>
            </w:pPr>
            <w:r w:rsidRPr="00350400">
              <w:rPr>
                <w:sz w:val="18"/>
                <w:szCs w:val="18"/>
              </w:rPr>
              <w:t>2.9</w:t>
            </w:r>
          </w:p>
        </w:tc>
        <w:tc>
          <w:tcPr>
            <w:tcW w:w="1343" w:type="dxa"/>
            <w:hideMark/>
          </w:tcPr>
          <w:p w14:paraId="59701CB6" w14:textId="77777777" w:rsidR="00AE728C" w:rsidRPr="00350400" w:rsidRDefault="00AE728C" w:rsidP="00AF632F">
            <w:pPr>
              <w:pStyle w:val="NormalWeb"/>
              <w:jc w:val="center"/>
              <w:rPr>
                <w:sz w:val="18"/>
                <w:szCs w:val="18"/>
              </w:rPr>
            </w:pPr>
            <w:r w:rsidRPr="00350400">
              <w:rPr>
                <w:sz w:val="18"/>
                <w:szCs w:val="18"/>
              </w:rPr>
              <w:t>84.9</w:t>
            </w:r>
          </w:p>
        </w:tc>
      </w:tr>
      <w:tr w:rsidR="00AE728C" w:rsidRPr="00350400" w14:paraId="40A4710C" w14:textId="77777777" w:rsidTr="00350400">
        <w:trPr>
          <w:cnfStyle w:val="000000010000" w:firstRow="0" w:lastRow="0" w:firstColumn="0" w:lastColumn="0" w:oddVBand="0" w:evenVBand="0" w:oddHBand="0" w:evenHBand="1" w:firstRowFirstColumn="0" w:firstRowLastColumn="0" w:lastRowFirstColumn="0" w:lastRowLastColumn="0"/>
        </w:trPr>
        <w:tc>
          <w:tcPr>
            <w:tcW w:w="0" w:type="auto"/>
            <w:hideMark/>
          </w:tcPr>
          <w:p w14:paraId="50E272B9" w14:textId="77777777" w:rsidR="00AE728C" w:rsidRPr="00350400" w:rsidRDefault="00AE728C" w:rsidP="00AF632F">
            <w:pPr>
              <w:pStyle w:val="NormalWeb"/>
              <w:rPr>
                <w:sz w:val="18"/>
                <w:szCs w:val="18"/>
              </w:rPr>
            </w:pPr>
            <w:r w:rsidRPr="00350400">
              <w:rPr>
                <w:sz w:val="18"/>
                <w:szCs w:val="18"/>
              </w:rPr>
              <w:t>6</w:t>
            </w:r>
          </w:p>
        </w:tc>
        <w:tc>
          <w:tcPr>
            <w:tcW w:w="1130" w:type="dxa"/>
            <w:hideMark/>
          </w:tcPr>
          <w:p w14:paraId="1A581387" w14:textId="77777777" w:rsidR="00AE728C" w:rsidRPr="00350400" w:rsidRDefault="00AE728C" w:rsidP="00AF632F">
            <w:pPr>
              <w:pStyle w:val="NormalWeb"/>
              <w:jc w:val="center"/>
              <w:rPr>
                <w:sz w:val="18"/>
                <w:szCs w:val="18"/>
              </w:rPr>
            </w:pPr>
            <w:r w:rsidRPr="00350400">
              <w:rPr>
                <w:sz w:val="18"/>
                <w:szCs w:val="18"/>
              </w:rPr>
              <w:t>Z09.9</w:t>
            </w:r>
          </w:p>
        </w:tc>
        <w:tc>
          <w:tcPr>
            <w:tcW w:w="6657" w:type="dxa"/>
            <w:hideMark/>
          </w:tcPr>
          <w:p w14:paraId="3FF1E03C" w14:textId="77777777" w:rsidR="00AE728C" w:rsidRPr="00350400" w:rsidRDefault="00AE728C" w:rsidP="00AF632F">
            <w:pPr>
              <w:pStyle w:val="NormalWeb"/>
              <w:rPr>
                <w:sz w:val="18"/>
                <w:szCs w:val="18"/>
              </w:rPr>
            </w:pPr>
            <w:r w:rsidRPr="00350400">
              <w:rPr>
                <w:sz w:val="18"/>
                <w:szCs w:val="18"/>
              </w:rPr>
              <w:t>Follow-up examination after unspecified treatment for other conditions</w:t>
            </w:r>
          </w:p>
        </w:tc>
        <w:tc>
          <w:tcPr>
            <w:tcW w:w="0" w:type="auto"/>
            <w:hideMark/>
          </w:tcPr>
          <w:p w14:paraId="3D342E7F" w14:textId="77777777" w:rsidR="00AE728C" w:rsidRPr="00350400" w:rsidRDefault="00AE728C" w:rsidP="00AF632F">
            <w:pPr>
              <w:pStyle w:val="NormalWeb"/>
              <w:jc w:val="center"/>
              <w:rPr>
                <w:sz w:val="18"/>
                <w:szCs w:val="18"/>
              </w:rPr>
            </w:pPr>
            <w:r w:rsidRPr="00350400">
              <w:rPr>
                <w:sz w:val="18"/>
                <w:szCs w:val="18"/>
              </w:rPr>
              <w:t>12</w:t>
            </w:r>
          </w:p>
        </w:tc>
        <w:tc>
          <w:tcPr>
            <w:tcW w:w="0" w:type="auto"/>
            <w:hideMark/>
          </w:tcPr>
          <w:p w14:paraId="15E889AB" w14:textId="77777777" w:rsidR="00AE728C" w:rsidRPr="00350400" w:rsidRDefault="00AE728C" w:rsidP="00AF632F">
            <w:pPr>
              <w:pStyle w:val="NormalWeb"/>
              <w:jc w:val="center"/>
              <w:rPr>
                <w:sz w:val="18"/>
                <w:szCs w:val="18"/>
              </w:rPr>
            </w:pPr>
            <w:r w:rsidRPr="00350400">
              <w:rPr>
                <w:sz w:val="18"/>
                <w:szCs w:val="18"/>
              </w:rPr>
              <w:t>1.2</w:t>
            </w:r>
          </w:p>
        </w:tc>
        <w:tc>
          <w:tcPr>
            <w:tcW w:w="1343" w:type="dxa"/>
            <w:hideMark/>
          </w:tcPr>
          <w:p w14:paraId="14F61C32" w14:textId="77777777" w:rsidR="00AE728C" w:rsidRPr="00350400" w:rsidRDefault="00AE728C" w:rsidP="00AF632F">
            <w:pPr>
              <w:pStyle w:val="NormalWeb"/>
              <w:jc w:val="center"/>
              <w:rPr>
                <w:sz w:val="18"/>
                <w:szCs w:val="18"/>
              </w:rPr>
            </w:pPr>
            <w:r w:rsidRPr="00350400">
              <w:rPr>
                <w:sz w:val="18"/>
                <w:szCs w:val="18"/>
              </w:rPr>
              <w:t>86.1</w:t>
            </w:r>
          </w:p>
        </w:tc>
      </w:tr>
      <w:tr w:rsidR="00AE728C" w:rsidRPr="00350400" w14:paraId="672D6AF1" w14:textId="77777777" w:rsidTr="00350400">
        <w:tc>
          <w:tcPr>
            <w:tcW w:w="0" w:type="auto"/>
            <w:hideMark/>
          </w:tcPr>
          <w:p w14:paraId="7F91ACC0" w14:textId="77777777" w:rsidR="00AE728C" w:rsidRPr="00350400" w:rsidRDefault="00AE728C" w:rsidP="00AF632F">
            <w:pPr>
              <w:pStyle w:val="NormalWeb"/>
              <w:rPr>
                <w:sz w:val="18"/>
                <w:szCs w:val="18"/>
              </w:rPr>
            </w:pPr>
            <w:r w:rsidRPr="00350400">
              <w:rPr>
                <w:sz w:val="18"/>
                <w:szCs w:val="18"/>
              </w:rPr>
              <w:t>7</w:t>
            </w:r>
          </w:p>
        </w:tc>
        <w:tc>
          <w:tcPr>
            <w:tcW w:w="1130" w:type="dxa"/>
            <w:hideMark/>
          </w:tcPr>
          <w:p w14:paraId="129D4853" w14:textId="77777777" w:rsidR="00AE728C" w:rsidRPr="00350400" w:rsidRDefault="00AE728C" w:rsidP="00AF632F">
            <w:pPr>
              <w:pStyle w:val="NormalWeb"/>
              <w:jc w:val="center"/>
              <w:rPr>
                <w:sz w:val="18"/>
                <w:szCs w:val="18"/>
              </w:rPr>
            </w:pPr>
            <w:r w:rsidRPr="00350400">
              <w:rPr>
                <w:sz w:val="18"/>
                <w:szCs w:val="18"/>
              </w:rPr>
              <w:t>R07.4</w:t>
            </w:r>
          </w:p>
        </w:tc>
        <w:tc>
          <w:tcPr>
            <w:tcW w:w="6657" w:type="dxa"/>
            <w:hideMark/>
          </w:tcPr>
          <w:p w14:paraId="36EC5452" w14:textId="77777777" w:rsidR="00AE728C" w:rsidRPr="00350400" w:rsidRDefault="00AE728C" w:rsidP="00AF632F">
            <w:pPr>
              <w:pStyle w:val="NormalWeb"/>
              <w:rPr>
                <w:sz w:val="18"/>
                <w:szCs w:val="18"/>
              </w:rPr>
            </w:pPr>
            <w:r w:rsidRPr="00350400">
              <w:rPr>
                <w:sz w:val="18"/>
                <w:szCs w:val="18"/>
              </w:rPr>
              <w:t>Chest pain, unspecified</w:t>
            </w:r>
          </w:p>
        </w:tc>
        <w:tc>
          <w:tcPr>
            <w:tcW w:w="0" w:type="auto"/>
            <w:hideMark/>
          </w:tcPr>
          <w:p w14:paraId="236BA229" w14:textId="77777777" w:rsidR="00AE728C" w:rsidRPr="00350400" w:rsidRDefault="00AE728C" w:rsidP="00AF632F">
            <w:pPr>
              <w:pStyle w:val="NormalWeb"/>
              <w:jc w:val="center"/>
              <w:rPr>
                <w:sz w:val="18"/>
                <w:szCs w:val="18"/>
              </w:rPr>
            </w:pPr>
            <w:r w:rsidRPr="00350400">
              <w:rPr>
                <w:sz w:val="18"/>
                <w:szCs w:val="18"/>
              </w:rPr>
              <w:t>8</w:t>
            </w:r>
          </w:p>
        </w:tc>
        <w:tc>
          <w:tcPr>
            <w:tcW w:w="0" w:type="auto"/>
            <w:hideMark/>
          </w:tcPr>
          <w:p w14:paraId="7338C699" w14:textId="77777777" w:rsidR="00AE728C" w:rsidRPr="00350400" w:rsidRDefault="00AE728C" w:rsidP="00AF632F">
            <w:pPr>
              <w:pStyle w:val="NormalWeb"/>
              <w:jc w:val="center"/>
              <w:rPr>
                <w:sz w:val="18"/>
                <w:szCs w:val="18"/>
              </w:rPr>
            </w:pPr>
            <w:r w:rsidRPr="00350400">
              <w:rPr>
                <w:sz w:val="18"/>
                <w:szCs w:val="18"/>
              </w:rPr>
              <w:t>0.8</w:t>
            </w:r>
          </w:p>
        </w:tc>
        <w:tc>
          <w:tcPr>
            <w:tcW w:w="1343" w:type="dxa"/>
            <w:hideMark/>
          </w:tcPr>
          <w:p w14:paraId="6427D544" w14:textId="77777777" w:rsidR="00AE728C" w:rsidRPr="00350400" w:rsidRDefault="00AE728C" w:rsidP="00AF632F">
            <w:pPr>
              <w:pStyle w:val="NormalWeb"/>
              <w:jc w:val="center"/>
              <w:rPr>
                <w:sz w:val="18"/>
                <w:szCs w:val="18"/>
              </w:rPr>
            </w:pPr>
            <w:r w:rsidRPr="00350400">
              <w:rPr>
                <w:sz w:val="18"/>
                <w:szCs w:val="18"/>
              </w:rPr>
              <w:t>86.9</w:t>
            </w:r>
          </w:p>
        </w:tc>
      </w:tr>
      <w:tr w:rsidR="00AE728C" w:rsidRPr="00350400" w14:paraId="04DC7D6D" w14:textId="77777777" w:rsidTr="00350400">
        <w:trPr>
          <w:cnfStyle w:val="000000010000" w:firstRow="0" w:lastRow="0" w:firstColumn="0" w:lastColumn="0" w:oddVBand="0" w:evenVBand="0" w:oddHBand="0" w:evenHBand="1" w:firstRowFirstColumn="0" w:firstRowLastColumn="0" w:lastRowFirstColumn="0" w:lastRowLastColumn="0"/>
        </w:trPr>
        <w:tc>
          <w:tcPr>
            <w:tcW w:w="0" w:type="auto"/>
            <w:hideMark/>
          </w:tcPr>
          <w:p w14:paraId="546C8634" w14:textId="77777777" w:rsidR="00AE728C" w:rsidRPr="00350400" w:rsidRDefault="00AE728C" w:rsidP="00AF632F">
            <w:pPr>
              <w:pStyle w:val="NormalWeb"/>
              <w:rPr>
                <w:sz w:val="18"/>
                <w:szCs w:val="18"/>
              </w:rPr>
            </w:pPr>
            <w:r w:rsidRPr="00350400">
              <w:rPr>
                <w:sz w:val="18"/>
                <w:szCs w:val="18"/>
              </w:rPr>
              <w:t>8</w:t>
            </w:r>
          </w:p>
        </w:tc>
        <w:tc>
          <w:tcPr>
            <w:tcW w:w="1130" w:type="dxa"/>
            <w:hideMark/>
          </w:tcPr>
          <w:p w14:paraId="62654CE2" w14:textId="77777777" w:rsidR="00AE728C" w:rsidRPr="00350400" w:rsidRDefault="00AE728C" w:rsidP="00AF632F">
            <w:pPr>
              <w:pStyle w:val="NormalWeb"/>
              <w:jc w:val="center"/>
              <w:rPr>
                <w:sz w:val="18"/>
                <w:szCs w:val="18"/>
              </w:rPr>
            </w:pPr>
            <w:r w:rsidRPr="00350400">
              <w:rPr>
                <w:sz w:val="18"/>
                <w:szCs w:val="18"/>
              </w:rPr>
              <w:t>J22</w:t>
            </w:r>
          </w:p>
        </w:tc>
        <w:tc>
          <w:tcPr>
            <w:tcW w:w="6657" w:type="dxa"/>
            <w:hideMark/>
          </w:tcPr>
          <w:p w14:paraId="63436BB1" w14:textId="77777777" w:rsidR="00AE728C" w:rsidRPr="00350400" w:rsidRDefault="00AE728C" w:rsidP="00AF632F">
            <w:pPr>
              <w:pStyle w:val="NormalWeb"/>
              <w:rPr>
                <w:sz w:val="18"/>
                <w:szCs w:val="18"/>
              </w:rPr>
            </w:pPr>
            <w:r w:rsidRPr="00350400">
              <w:rPr>
                <w:sz w:val="18"/>
                <w:szCs w:val="18"/>
              </w:rPr>
              <w:t>Unspecified acute lower respiratory infection</w:t>
            </w:r>
          </w:p>
        </w:tc>
        <w:tc>
          <w:tcPr>
            <w:tcW w:w="0" w:type="auto"/>
            <w:hideMark/>
          </w:tcPr>
          <w:p w14:paraId="2C874D3A" w14:textId="77777777" w:rsidR="00AE728C" w:rsidRPr="00350400" w:rsidRDefault="00AE728C" w:rsidP="00AF632F">
            <w:pPr>
              <w:pStyle w:val="NormalWeb"/>
              <w:jc w:val="center"/>
              <w:rPr>
                <w:sz w:val="18"/>
                <w:szCs w:val="18"/>
              </w:rPr>
            </w:pPr>
            <w:r w:rsidRPr="00350400">
              <w:rPr>
                <w:sz w:val="18"/>
                <w:szCs w:val="18"/>
              </w:rPr>
              <w:t>8</w:t>
            </w:r>
          </w:p>
        </w:tc>
        <w:tc>
          <w:tcPr>
            <w:tcW w:w="0" w:type="auto"/>
            <w:hideMark/>
          </w:tcPr>
          <w:p w14:paraId="5DAA816F" w14:textId="77777777" w:rsidR="00AE728C" w:rsidRPr="00350400" w:rsidRDefault="00AE728C" w:rsidP="00AF632F">
            <w:pPr>
              <w:pStyle w:val="NormalWeb"/>
              <w:jc w:val="center"/>
              <w:rPr>
                <w:sz w:val="18"/>
                <w:szCs w:val="18"/>
              </w:rPr>
            </w:pPr>
            <w:r w:rsidRPr="00350400">
              <w:rPr>
                <w:sz w:val="18"/>
                <w:szCs w:val="18"/>
              </w:rPr>
              <w:t>0.8</w:t>
            </w:r>
          </w:p>
        </w:tc>
        <w:tc>
          <w:tcPr>
            <w:tcW w:w="1343" w:type="dxa"/>
            <w:hideMark/>
          </w:tcPr>
          <w:p w14:paraId="71347795" w14:textId="77777777" w:rsidR="00AE728C" w:rsidRPr="00350400" w:rsidRDefault="00AE728C" w:rsidP="00AF632F">
            <w:pPr>
              <w:pStyle w:val="NormalWeb"/>
              <w:jc w:val="center"/>
              <w:rPr>
                <w:sz w:val="18"/>
                <w:szCs w:val="18"/>
              </w:rPr>
            </w:pPr>
            <w:r w:rsidRPr="00350400">
              <w:rPr>
                <w:sz w:val="18"/>
                <w:szCs w:val="18"/>
              </w:rPr>
              <w:t>87.7</w:t>
            </w:r>
          </w:p>
        </w:tc>
      </w:tr>
      <w:tr w:rsidR="00AE728C" w:rsidRPr="00350400" w14:paraId="0420B9C3" w14:textId="77777777" w:rsidTr="00350400">
        <w:tc>
          <w:tcPr>
            <w:tcW w:w="0" w:type="auto"/>
            <w:hideMark/>
          </w:tcPr>
          <w:p w14:paraId="19C48076" w14:textId="77777777" w:rsidR="00AE728C" w:rsidRPr="00350400" w:rsidRDefault="00AE728C" w:rsidP="00AF632F">
            <w:pPr>
              <w:pStyle w:val="NormalWeb"/>
              <w:rPr>
                <w:sz w:val="18"/>
                <w:szCs w:val="18"/>
              </w:rPr>
            </w:pPr>
            <w:r w:rsidRPr="00350400">
              <w:rPr>
                <w:sz w:val="18"/>
                <w:szCs w:val="18"/>
              </w:rPr>
              <w:t>9</w:t>
            </w:r>
          </w:p>
        </w:tc>
        <w:tc>
          <w:tcPr>
            <w:tcW w:w="1130" w:type="dxa"/>
            <w:hideMark/>
          </w:tcPr>
          <w:p w14:paraId="2280FBBF" w14:textId="77777777" w:rsidR="00AE728C" w:rsidRPr="00350400" w:rsidRDefault="00AE728C" w:rsidP="00AF632F">
            <w:pPr>
              <w:pStyle w:val="NormalWeb"/>
              <w:jc w:val="center"/>
              <w:rPr>
                <w:sz w:val="18"/>
                <w:szCs w:val="18"/>
              </w:rPr>
            </w:pPr>
            <w:r w:rsidRPr="00350400">
              <w:rPr>
                <w:sz w:val="18"/>
                <w:szCs w:val="18"/>
              </w:rPr>
              <w:t>J11.1</w:t>
            </w:r>
          </w:p>
        </w:tc>
        <w:tc>
          <w:tcPr>
            <w:tcW w:w="6657" w:type="dxa"/>
            <w:hideMark/>
          </w:tcPr>
          <w:p w14:paraId="49468FCD" w14:textId="77777777" w:rsidR="00AE728C" w:rsidRPr="00350400" w:rsidRDefault="00AE728C" w:rsidP="00AF632F">
            <w:pPr>
              <w:pStyle w:val="NormalWeb"/>
              <w:rPr>
                <w:sz w:val="18"/>
                <w:szCs w:val="18"/>
              </w:rPr>
            </w:pPr>
            <w:r w:rsidRPr="00350400">
              <w:rPr>
                <w:sz w:val="18"/>
                <w:szCs w:val="18"/>
              </w:rPr>
              <w:t>Influenza with other respiratory manifestations, virus not identified</w:t>
            </w:r>
          </w:p>
        </w:tc>
        <w:tc>
          <w:tcPr>
            <w:tcW w:w="0" w:type="auto"/>
            <w:hideMark/>
          </w:tcPr>
          <w:p w14:paraId="330774E7" w14:textId="77777777" w:rsidR="00AE728C" w:rsidRPr="00350400" w:rsidRDefault="00AE728C" w:rsidP="00AF632F">
            <w:pPr>
              <w:pStyle w:val="NormalWeb"/>
              <w:jc w:val="center"/>
              <w:rPr>
                <w:sz w:val="18"/>
                <w:szCs w:val="18"/>
              </w:rPr>
            </w:pPr>
            <w:r w:rsidRPr="00350400">
              <w:rPr>
                <w:sz w:val="18"/>
                <w:szCs w:val="18"/>
              </w:rPr>
              <w:t>8</w:t>
            </w:r>
          </w:p>
        </w:tc>
        <w:tc>
          <w:tcPr>
            <w:tcW w:w="0" w:type="auto"/>
            <w:hideMark/>
          </w:tcPr>
          <w:p w14:paraId="401C9C0F" w14:textId="77777777" w:rsidR="00AE728C" w:rsidRPr="00350400" w:rsidRDefault="00AE728C" w:rsidP="00AF632F">
            <w:pPr>
              <w:pStyle w:val="NormalWeb"/>
              <w:jc w:val="center"/>
              <w:rPr>
                <w:sz w:val="18"/>
                <w:szCs w:val="18"/>
              </w:rPr>
            </w:pPr>
            <w:r w:rsidRPr="00350400">
              <w:rPr>
                <w:sz w:val="18"/>
                <w:szCs w:val="18"/>
              </w:rPr>
              <w:t>0.8</w:t>
            </w:r>
          </w:p>
        </w:tc>
        <w:tc>
          <w:tcPr>
            <w:tcW w:w="1343" w:type="dxa"/>
            <w:hideMark/>
          </w:tcPr>
          <w:p w14:paraId="249BB2A2" w14:textId="77777777" w:rsidR="00AE728C" w:rsidRPr="00350400" w:rsidRDefault="00AE728C" w:rsidP="00AF632F">
            <w:pPr>
              <w:pStyle w:val="NormalWeb"/>
              <w:jc w:val="center"/>
              <w:rPr>
                <w:sz w:val="18"/>
                <w:szCs w:val="18"/>
              </w:rPr>
            </w:pPr>
            <w:r w:rsidRPr="00350400">
              <w:rPr>
                <w:sz w:val="18"/>
                <w:szCs w:val="18"/>
              </w:rPr>
              <w:t>88.5</w:t>
            </w:r>
          </w:p>
        </w:tc>
      </w:tr>
      <w:tr w:rsidR="00AE728C" w:rsidRPr="00350400" w14:paraId="20046F9B" w14:textId="77777777" w:rsidTr="00350400">
        <w:trPr>
          <w:cnfStyle w:val="000000010000" w:firstRow="0" w:lastRow="0" w:firstColumn="0" w:lastColumn="0" w:oddVBand="0" w:evenVBand="0" w:oddHBand="0" w:evenHBand="1" w:firstRowFirstColumn="0" w:firstRowLastColumn="0" w:lastRowFirstColumn="0" w:lastRowLastColumn="0"/>
        </w:trPr>
        <w:tc>
          <w:tcPr>
            <w:tcW w:w="0" w:type="auto"/>
            <w:hideMark/>
          </w:tcPr>
          <w:p w14:paraId="76831732" w14:textId="77777777" w:rsidR="00AE728C" w:rsidRPr="00350400" w:rsidRDefault="00AE728C" w:rsidP="00AF632F">
            <w:pPr>
              <w:pStyle w:val="NormalWeb"/>
              <w:rPr>
                <w:sz w:val="18"/>
                <w:szCs w:val="18"/>
              </w:rPr>
            </w:pPr>
            <w:r w:rsidRPr="00350400">
              <w:rPr>
                <w:sz w:val="18"/>
                <w:szCs w:val="18"/>
              </w:rPr>
              <w:t>10</w:t>
            </w:r>
          </w:p>
        </w:tc>
        <w:tc>
          <w:tcPr>
            <w:tcW w:w="1130" w:type="dxa"/>
            <w:hideMark/>
          </w:tcPr>
          <w:p w14:paraId="1E1DE38F" w14:textId="77777777" w:rsidR="00AE728C" w:rsidRPr="00350400" w:rsidRDefault="00AE728C" w:rsidP="00AF632F">
            <w:pPr>
              <w:pStyle w:val="NormalWeb"/>
              <w:jc w:val="center"/>
              <w:rPr>
                <w:sz w:val="18"/>
                <w:szCs w:val="18"/>
              </w:rPr>
            </w:pPr>
            <w:r w:rsidRPr="00350400">
              <w:rPr>
                <w:sz w:val="18"/>
                <w:szCs w:val="18"/>
              </w:rPr>
              <w:t>R50.9</w:t>
            </w:r>
          </w:p>
        </w:tc>
        <w:tc>
          <w:tcPr>
            <w:tcW w:w="6657" w:type="dxa"/>
            <w:hideMark/>
          </w:tcPr>
          <w:p w14:paraId="7BAFAB4E" w14:textId="77777777" w:rsidR="00AE728C" w:rsidRPr="00350400" w:rsidRDefault="00AE728C" w:rsidP="00AF632F">
            <w:pPr>
              <w:pStyle w:val="NormalWeb"/>
              <w:rPr>
                <w:sz w:val="18"/>
                <w:szCs w:val="18"/>
              </w:rPr>
            </w:pPr>
            <w:r w:rsidRPr="00350400">
              <w:rPr>
                <w:sz w:val="18"/>
                <w:szCs w:val="18"/>
              </w:rPr>
              <w:t>Fever, unspecified</w:t>
            </w:r>
          </w:p>
        </w:tc>
        <w:tc>
          <w:tcPr>
            <w:tcW w:w="0" w:type="auto"/>
            <w:hideMark/>
          </w:tcPr>
          <w:p w14:paraId="1D4BBEAF" w14:textId="77777777" w:rsidR="00AE728C" w:rsidRPr="00350400" w:rsidRDefault="00AE728C" w:rsidP="00AF632F">
            <w:pPr>
              <w:pStyle w:val="NormalWeb"/>
              <w:jc w:val="center"/>
              <w:rPr>
                <w:sz w:val="18"/>
                <w:szCs w:val="18"/>
              </w:rPr>
            </w:pPr>
            <w:r w:rsidRPr="00350400">
              <w:rPr>
                <w:sz w:val="18"/>
                <w:szCs w:val="18"/>
              </w:rPr>
              <w:t>7</w:t>
            </w:r>
          </w:p>
        </w:tc>
        <w:tc>
          <w:tcPr>
            <w:tcW w:w="0" w:type="auto"/>
            <w:hideMark/>
          </w:tcPr>
          <w:p w14:paraId="7DDEF00D" w14:textId="77777777" w:rsidR="00AE728C" w:rsidRPr="00350400" w:rsidRDefault="00AE728C" w:rsidP="00AF632F">
            <w:pPr>
              <w:pStyle w:val="NormalWeb"/>
              <w:jc w:val="center"/>
              <w:rPr>
                <w:sz w:val="18"/>
                <w:szCs w:val="18"/>
              </w:rPr>
            </w:pPr>
            <w:r w:rsidRPr="00350400">
              <w:rPr>
                <w:sz w:val="18"/>
                <w:szCs w:val="18"/>
              </w:rPr>
              <w:t>0.7</w:t>
            </w:r>
          </w:p>
        </w:tc>
        <w:tc>
          <w:tcPr>
            <w:tcW w:w="1343" w:type="dxa"/>
            <w:hideMark/>
          </w:tcPr>
          <w:p w14:paraId="6CAC1091" w14:textId="77777777" w:rsidR="00AE728C" w:rsidRPr="00350400" w:rsidRDefault="00AE728C" w:rsidP="00AF632F">
            <w:pPr>
              <w:pStyle w:val="NormalWeb"/>
              <w:jc w:val="center"/>
              <w:rPr>
                <w:sz w:val="18"/>
                <w:szCs w:val="18"/>
              </w:rPr>
            </w:pPr>
            <w:r w:rsidRPr="00350400">
              <w:rPr>
                <w:sz w:val="18"/>
                <w:szCs w:val="18"/>
              </w:rPr>
              <w:t>89.2</w:t>
            </w:r>
          </w:p>
        </w:tc>
      </w:tr>
    </w:tbl>
    <w:p w14:paraId="3AED9D8A" w14:textId="13244D48" w:rsidR="00AE728C" w:rsidRPr="00AE728C" w:rsidRDefault="00AE728C" w:rsidP="00AE728C">
      <w:pPr>
        <w:pStyle w:val="CDIfootnotes"/>
        <w:rPr>
          <w:lang w:val="en-GB"/>
        </w:rPr>
      </w:pPr>
      <w:proofErr w:type="spellStart"/>
      <w:proofErr w:type="gramStart"/>
      <w:r>
        <w:rPr>
          <w:lang w:val="en-GB"/>
        </w:rPr>
        <w:t>a</w:t>
      </w:r>
      <w:proofErr w:type="spellEnd"/>
      <w:proofErr w:type="gramEnd"/>
      <w:r>
        <w:rPr>
          <w:lang w:val="en-GB"/>
        </w:rPr>
        <w:tab/>
        <w:t>Estimates are based on 998 admissions among 681 patients. Outcomes are measured with EDC data.</w:t>
      </w:r>
    </w:p>
    <w:p w14:paraId="4479D112" w14:textId="7F7401B9" w:rsidR="0075144B" w:rsidRPr="00835A89" w:rsidRDefault="00D6062B">
      <w:pPr>
        <w:rPr>
          <w:rStyle w:val="Strong"/>
          <w:b w:val="0"/>
          <w:bCs w:val="0"/>
        </w:rPr>
      </w:pPr>
      <w:r>
        <w:t xml:space="preserve">A total of 250/1,182 people (21.2%) in the COVID-19 cohort with onset before 1 November 2020 were admitted to hospital as an inpatient; </w:t>
      </w:r>
      <w:proofErr w:type="gramStart"/>
      <w:r>
        <w:t>the majority of</w:t>
      </w:r>
      <w:proofErr w:type="gramEnd"/>
      <w:r>
        <w:t xml:space="preserve"> admissions (n = 236/250; 94.4%) occurred within two weeks of recorded symptom onset date. Among those admitted to hospital, the most common diagnoses were COVID-19, coronavirus, isolation, and symptoms associated with COVID-19, including cough, </w:t>
      </w:r>
      <w:proofErr w:type="gramStart"/>
      <w:r>
        <w:t>fever</w:t>
      </w:r>
      <w:proofErr w:type="gramEnd"/>
      <w:r>
        <w:t xml:space="preserve"> and headache (Table 4). However, the top ten most common diagnoses accounted for less than half of all diagnoses (47.9%) among this patient cohort. Diagnoses were not materially different when restricted to admissions occurring within two weeks of recorded symptom onset date (Appendix A, Table A.6).</w:t>
      </w:r>
    </w:p>
    <w:p w14:paraId="3DADB918" w14:textId="673ABEF7" w:rsidR="0075144B" w:rsidRPr="00155D35" w:rsidRDefault="0075144B" w:rsidP="0075144B">
      <w:pPr>
        <w:pStyle w:val="CDIFigures"/>
      </w:pPr>
      <w:r w:rsidRPr="00155D35">
        <w:rPr>
          <w:rStyle w:val="Strong"/>
          <w:b/>
          <w:bCs w:val="0"/>
        </w:rPr>
        <w:t>Table 4: Top 10 principal diagnosis codes among COVID-19 patients requiring inpatient admission to hospital in</w:t>
      </w:r>
      <w:r w:rsidR="000A71DD">
        <w:rPr>
          <w:rStyle w:val="Strong"/>
          <w:b/>
          <w:bCs w:val="0"/>
        </w:rPr>
        <w:t> </w:t>
      </w:r>
      <w:proofErr w:type="spellStart"/>
      <w:r w:rsidRPr="00155D35">
        <w:rPr>
          <w:rStyle w:val="Strong"/>
          <w:b/>
          <w:bCs w:val="0"/>
        </w:rPr>
        <w:t>Queensland</w:t>
      </w:r>
      <w:r w:rsidRPr="00155D35">
        <w:rPr>
          <w:rStyle w:val="Strong"/>
          <w:b/>
          <w:bCs w:val="0"/>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presents the top 10 diagnoses for the 250 COVID-19 patients who had an inpatient hospital admission in Queensland. The most common diagnoses were Emergency use of U07.1 Probable COVID-19, coronavirus, isolation, and those related to common symptoms of COVID-19, including cough, fever and headache. "/>
      </w:tblPr>
      <w:tblGrid>
        <w:gridCol w:w="529"/>
        <w:gridCol w:w="1465"/>
        <w:gridCol w:w="5921"/>
        <w:gridCol w:w="419"/>
        <w:gridCol w:w="469"/>
        <w:gridCol w:w="1637"/>
      </w:tblGrid>
      <w:tr w:rsidR="0075144B" w:rsidRPr="00476CD9" w14:paraId="4B0AA931" w14:textId="77777777" w:rsidTr="00476CD9">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4CA29234" w14:textId="77777777" w:rsidR="0075144B" w:rsidRPr="00476CD9" w:rsidRDefault="0075144B" w:rsidP="00AF632F">
            <w:pPr>
              <w:pStyle w:val="NormalWeb"/>
              <w:rPr>
                <w:color w:val="FFFFFF" w:themeColor="background1"/>
                <w:sz w:val="20"/>
                <w:szCs w:val="20"/>
              </w:rPr>
            </w:pPr>
            <w:r w:rsidRPr="00476CD9">
              <w:rPr>
                <w:color w:val="FFFFFF" w:themeColor="background1"/>
                <w:sz w:val="20"/>
                <w:szCs w:val="20"/>
              </w:rPr>
              <w:t>Rank</w:t>
            </w:r>
          </w:p>
        </w:tc>
        <w:tc>
          <w:tcPr>
            <w:tcW w:w="0" w:type="auto"/>
            <w:tcBorders>
              <w:left w:val="single" w:sz="2" w:space="0" w:color="FFFFFF" w:themeColor="background1"/>
              <w:right w:val="single" w:sz="2" w:space="0" w:color="FFFFFF" w:themeColor="background1"/>
            </w:tcBorders>
            <w:hideMark/>
          </w:tcPr>
          <w:p w14:paraId="13CFAF7B" w14:textId="77777777" w:rsidR="0075144B" w:rsidRPr="00476CD9" w:rsidRDefault="0075144B" w:rsidP="00AF632F">
            <w:pPr>
              <w:pStyle w:val="NormalWeb"/>
              <w:jc w:val="center"/>
              <w:rPr>
                <w:color w:val="FFFFFF" w:themeColor="background1"/>
                <w:sz w:val="20"/>
                <w:szCs w:val="20"/>
              </w:rPr>
            </w:pPr>
            <w:r w:rsidRPr="00476CD9">
              <w:rPr>
                <w:color w:val="FFFFFF" w:themeColor="background1"/>
                <w:sz w:val="20"/>
                <w:szCs w:val="20"/>
              </w:rPr>
              <w:t>ICD-10-AM code</w:t>
            </w:r>
          </w:p>
        </w:tc>
        <w:tc>
          <w:tcPr>
            <w:tcW w:w="0" w:type="auto"/>
            <w:tcBorders>
              <w:left w:val="single" w:sz="2" w:space="0" w:color="FFFFFF" w:themeColor="background1"/>
              <w:right w:val="single" w:sz="2" w:space="0" w:color="FFFFFF" w:themeColor="background1"/>
            </w:tcBorders>
            <w:hideMark/>
          </w:tcPr>
          <w:p w14:paraId="218BCC50" w14:textId="77777777" w:rsidR="0075144B" w:rsidRPr="00476CD9" w:rsidRDefault="0075144B" w:rsidP="00AF632F">
            <w:pPr>
              <w:pStyle w:val="NormalWeb"/>
              <w:rPr>
                <w:color w:val="FFFFFF" w:themeColor="background1"/>
                <w:sz w:val="20"/>
                <w:szCs w:val="20"/>
              </w:rPr>
            </w:pPr>
            <w:r w:rsidRPr="00476CD9">
              <w:rPr>
                <w:color w:val="FFFFFF" w:themeColor="background1"/>
                <w:sz w:val="20"/>
                <w:szCs w:val="20"/>
              </w:rPr>
              <w:t>Definition of ICD-10-AM code</w:t>
            </w:r>
          </w:p>
        </w:tc>
        <w:tc>
          <w:tcPr>
            <w:tcW w:w="0" w:type="auto"/>
            <w:tcBorders>
              <w:left w:val="single" w:sz="2" w:space="0" w:color="FFFFFF" w:themeColor="background1"/>
              <w:right w:val="single" w:sz="2" w:space="0" w:color="FFFFFF" w:themeColor="background1"/>
            </w:tcBorders>
            <w:hideMark/>
          </w:tcPr>
          <w:p w14:paraId="0B29EF9C" w14:textId="77777777" w:rsidR="0075144B" w:rsidRPr="00476CD9" w:rsidRDefault="0075144B" w:rsidP="00AF632F">
            <w:pPr>
              <w:pStyle w:val="NormalWeb"/>
              <w:jc w:val="center"/>
              <w:rPr>
                <w:color w:val="FFFFFF" w:themeColor="background1"/>
                <w:sz w:val="20"/>
                <w:szCs w:val="20"/>
              </w:rPr>
            </w:pPr>
            <w:r w:rsidRPr="00476CD9">
              <w:rPr>
                <w:color w:val="FFFFFF" w:themeColor="background1"/>
                <w:sz w:val="20"/>
                <w:szCs w:val="20"/>
              </w:rPr>
              <w:t>n</w:t>
            </w:r>
          </w:p>
        </w:tc>
        <w:tc>
          <w:tcPr>
            <w:tcW w:w="0" w:type="auto"/>
            <w:tcBorders>
              <w:left w:val="single" w:sz="2" w:space="0" w:color="FFFFFF" w:themeColor="background1"/>
              <w:right w:val="single" w:sz="2" w:space="0" w:color="FFFFFF" w:themeColor="background1"/>
            </w:tcBorders>
            <w:hideMark/>
          </w:tcPr>
          <w:p w14:paraId="62D9DF47" w14:textId="77777777" w:rsidR="0075144B" w:rsidRPr="00476CD9" w:rsidRDefault="0075144B" w:rsidP="00AF632F">
            <w:pPr>
              <w:pStyle w:val="NormalWeb"/>
              <w:jc w:val="center"/>
              <w:rPr>
                <w:color w:val="FFFFFF" w:themeColor="background1"/>
                <w:sz w:val="20"/>
                <w:szCs w:val="20"/>
              </w:rPr>
            </w:pPr>
            <w:r w:rsidRPr="00476CD9">
              <w:rPr>
                <w:color w:val="FFFFFF" w:themeColor="background1"/>
                <w:sz w:val="20"/>
                <w:szCs w:val="20"/>
              </w:rPr>
              <w:t>%</w:t>
            </w:r>
          </w:p>
        </w:tc>
        <w:tc>
          <w:tcPr>
            <w:tcW w:w="1637" w:type="dxa"/>
            <w:tcBorders>
              <w:left w:val="single" w:sz="2" w:space="0" w:color="FFFFFF" w:themeColor="background1"/>
            </w:tcBorders>
            <w:hideMark/>
          </w:tcPr>
          <w:p w14:paraId="5B579C0E" w14:textId="77777777" w:rsidR="0075144B" w:rsidRPr="00476CD9" w:rsidRDefault="0075144B" w:rsidP="00AF632F">
            <w:pPr>
              <w:pStyle w:val="NormalWeb"/>
              <w:jc w:val="center"/>
              <w:rPr>
                <w:color w:val="FFFFFF" w:themeColor="background1"/>
                <w:sz w:val="20"/>
                <w:szCs w:val="20"/>
              </w:rPr>
            </w:pPr>
            <w:r w:rsidRPr="00476CD9">
              <w:rPr>
                <w:color w:val="FFFFFF" w:themeColor="background1"/>
                <w:sz w:val="20"/>
                <w:szCs w:val="20"/>
              </w:rPr>
              <w:t>Cumulative %</w:t>
            </w:r>
          </w:p>
        </w:tc>
      </w:tr>
      <w:tr w:rsidR="0075144B" w:rsidRPr="00476CD9" w14:paraId="498C66FB" w14:textId="77777777" w:rsidTr="00476CD9">
        <w:tc>
          <w:tcPr>
            <w:tcW w:w="0" w:type="auto"/>
            <w:hideMark/>
          </w:tcPr>
          <w:p w14:paraId="73098A0D" w14:textId="77777777" w:rsidR="0075144B" w:rsidRPr="00476CD9" w:rsidRDefault="0075144B" w:rsidP="00AF632F">
            <w:pPr>
              <w:pStyle w:val="NormalWeb"/>
              <w:rPr>
                <w:sz w:val="20"/>
                <w:szCs w:val="20"/>
              </w:rPr>
            </w:pPr>
            <w:r w:rsidRPr="00476CD9">
              <w:rPr>
                <w:sz w:val="20"/>
                <w:szCs w:val="20"/>
              </w:rPr>
              <w:t>1</w:t>
            </w:r>
          </w:p>
        </w:tc>
        <w:tc>
          <w:tcPr>
            <w:tcW w:w="0" w:type="auto"/>
            <w:hideMark/>
          </w:tcPr>
          <w:p w14:paraId="5001F8FA" w14:textId="77777777" w:rsidR="0075144B" w:rsidRPr="00476CD9" w:rsidRDefault="0075144B" w:rsidP="00AF632F">
            <w:pPr>
              <w:pStyle w:val="NormalWeb"/>
              <w:jc w:val="center"/>
              <w:rPr>
                <w:sz w:val="20"/>
                <w:szCs w:val="20"/>
              </w:rPr>
            </w:pPr>
            <w:r w:rsidRPr="00476CD9">
              <w:rPr>
                <w:sz w:val="20"/>
                <w:szCs w:val="20"/>
              </w:rPr>
              <w:t>U07.1</w:t>
            </w:r>
          </w:p>
        </w:tc>
        <w:tc>
          <w:tcPr>
            <w:tcW w:w="0" w:type="auto"/>
            <w:hideMark/>
          </w:tcPr>
          <w:p w14:paraId="76B96A28" w14:textId="77777777" w:rsidR="0075144B" w:rsidRPr="00476CD9" w:rsidRDefault="0075144B" w:rsidP="00AF632F">
            <w:pPr>
              <w:pStyle w:val="NormalWeb"/>
              <w:rPr>
                <w:sz w:val="20"/>
                <w:szCs w:val="20"/>
              </w:rPr>
            </w:pPr>
            <w:r w:rsidRPr="00476CD9">
              <w:rPr>
                <w:sz w:val="20"/>
                <w:szCs w:val="20"/>
              </w:rPr>
              <w:t>Emergency use of U07.1 (COVID-19)</w:t>
            </w:r>
          </w:p>
        </w:tc>
        <w:tc>
          <w:tcPr>
            <w:tcW w:w="0" w:type="auto"/>
            <w:hideMark/>
          </w:tcPr>
          <w:p w14:paraId="422A6A7B" w14:textId="77777777" w:rsidR="0075144B" w:rsidRPr="00476CD9" w:rsidRDefault="0075144B" w:rsidP="00AF632F">
            <w:pPr>
              <w:pStyle w:val="NormalWeb"/>
              <w:jc w:val="center"/>
              <w:rPr>
                <w:sz w:val="20"/>
                <w:szCs w:val="20"/>
              </w:rPr>
            </w:pPr>
            <w:r w:rsidRPr="00476CD9">
              <w:rPr>
                <w:sz w:val="20"/>
                <w:szCs w:val="20"/>
              </w:rPr>
              <w:t>257</w:t>
            </w:r>
          </w:p>
        </w:tc>
        <w:tc>
          <w:tcPr>
            <w:tcW w:w="0" w:type="auto"/>
            <w:hideMark/>
          </w:tcPr>
          <w:p w14:paraId="7043C487" w14:textId="77777777" w:rsidR="0075144B" w:rsidRPr="00476CD9" w:rsidRDefault="0075144B" w:rsidP="00AF632F">
            <w:pPr>
              <w:pStyle w:val="NormalWeb"/>
              <w:jc w:val="center"/>
              <w:rPr>
                <w:sz w:val="20"/>
                <w:szCs w:val="20"/>
              </w:rPr>
            </w:pPr>
            <w:r w:rsidRPr="00476CD9">
              <w:rPr>
                <w:sz w:val="20"/>
                <w:szCs w:val="20"/>
              </w:rPr>
              <w:t>11.5</w:t>
            </w:r>
          </w:p>
        </w:tc>
        <w:tc>
          <w:tcPr>
            <w:tcW w:w="1637" w:type="dxa"/>
            <w:hideMark/>
          </w:tcPr>
          <w:p w14:paraId="72D752B2" w14:textId="77777777" w:rsidR="0075144B" w:rsidRPr="00476CD9" w:rsidRDefault="0075144B" w:rsidP="00AF632F">
            <w:pPr>
              <w:pStyle w:val="NormalWeb"/>
              <w:jc w:val="center"/>
              <w:rPr>
                <w:sz w:val="20"/>
                <w:szCs w:val="20"/>
              </w:rPr>
            </w:pPr>
            <w:r w:rsidRPr="00476CD9">
              <w:rPr>
                <w:sz w:val="20"/>
                <w:szCs w:val="20"/>
              </w:rPr>
              <w:t>11.5</w:t>
            </w:r>
          </w:p>
        </w:tc>
      </w:tr>
      <w:tr w:rsidR="0075144B" w:rsidRPr="00476CD9" w14:paraId="0D8A4C48" w14:textId="77777777" w:rsidTr="00476CD9">
        <w:trPr>
          <w:cnfStyle w:val="000000010000" w:firstRow="0" w:lastRow="0" w:firstColumn="0" w:lastColumn="0" w:oddVBand="0" w:evenVBand="0" w:oddHBand="0" w:evenHBand="1" w:firstRowFirstColumn="0" w:firstRowLastColumn="0" w:lastRowFirstColumn="0" w:lastRowLastColumn="0"/>
        </w:trPr>
        <w:tc>
          <w:tcPr>
            <w:tcW w:w="0" w:type="auto"/>
            <w:hideMark/>
          </w:tcPr>
          <w:p w14:paraId="2A578FD0" w14:textId="77777777" w:rsidR="0075144B" w:rsidRPr="00476CD9" w:rsidRDefault="0075144B" w:rsidP="00AF632F">
            <w:pPr>
              <w:pStyle w:val="NormalWeb"/>
              <w:rPr>
                <w:sz w:val="20"/>
                <w:szCs w:val="20"/>
              </w:rPr>
            </w:pPr>
            <w:r w:rsidRPr="00476CD9">
              <w:rPr>
                <w:sz w:val="20"/>
                <w:szCs w:val="20"/>
              </w:rPr>
              <w:t>2</w:t>
            </w:r>
          </w:p>
        </w:tc>
        <w:tc>
          <w:tcPr>
            <w:tcW w:w="0" w:type="auto"/>
            <w:hideMark/>
          </w:tcPr>
          <w:p w14:paraId="7C34F63A" w14:textId="77777777" w:rsidR="0075144B" w:rsidRPr="00476CD9" w:rsidRDefault="0075144B" w:rsidP="00AF632F">
            <w:pPr>
              <w:pStyle w:val="NormalWeb"/>
              <w:jc w:val="center"/>
              <w:rPr>
                <w:sz w:val="20"/>
                <w:szCs w:val="20"/>
              </w:rPr>
            </w:pPr>
            <w:r w:rsidRPr="00476CD9">
              <w:rPr>
                <w:sz w:val="20"/>
                <w:szCs w:val="20"/>
              </w:rPr>
              <w:t>Z29.0</w:t>
            </w:r>
          </w:p>
        </w:tc>
        <w:tc>
          <w:tcPr>
            <w:tcW w:w="0" w:type="auto"/>
            <w:hideMark/>
          </w:tcPr>
          <w:p w14:paraId="16D6FCD8" w14:textId="77777777" w:rsidR="0075144B" w:rsidRPr="00476CD9" w:rsidRDefault="0075144B" w:rsidP="00AF632F">
            <w:pPr>
              <w:pStyle w:val="NormalWeb"/>
              <w:rPr>
                <w:sz w:val="20"/>
                <w:szCs w:val="20"/>
              </w:rPr>
            </w:pPr>
            <w:r w:rsidRPr="00476CD9">
              <w:rPr>
                <w:sz w:val="20"/>
                <w:szCs w:val="20"/>
              </w:rPr>
              <w:t>Isolation</w:t>
            </w:r>
          </w:p>
        </w:tc>
        <w:tc>
          <w:tcPr>
            <w:tcW w:w="0" w:type="auto"/>
            <w:hideMark/>
          </w:tcPr>
          <w:p w14:paraId="50AEA1FD" w14:textId="77777777" w:rsidR="0075144B" w:rsidRPr="00476CD9" w:rsidRDefault="0075144B" w:rsidP="00AF632F">
            <w:pPr>
              <w:pStyle w:val="NormalWeb"/>
              <w:jc w:val="center"/>
              <w:rPr>
                <w:sz w:val="20"/>
                <w:szCs w:val="20"/>
              </w:rPr>
            </w:pPr>
            <w:r w:rsidRPr="00476CD9">
              <w:rPr>
                <w:sz w:val="20"/>
                <w:szCs w:val="20"/>
              </w:rPr>
              <w:t>234</w:t>
            </w:r>
          </w:p>
        </w:tc>
        <w:tc>
          <w:tcPr>
            <w:tcW w:w="0" w:type="auto"/>
            <w:hideMark/>
          </w:tcPr>
          <w:p w14:paraId="5689579A" w14:textId="77777777" w:rsidR="0075144B" w:rsidRPr="00476CD9" w:rsidRDefault="0075144B" w:rsidP="00AF632F">
            <w:pPr>
              <w:pStyle w:val="NormalWeb"/>
              <w:jc w:val="center"/>
              <w:rPr>
                <w:sz w:val="20"/>
                <w:szCs w:val="20"/>
              </w:rPr>
            </w:pPr>
            <w:r w:rsidRPr="00476CD9">
              <w:rPr>
                <w:sz w:val="20"/>
                <w:szCs w:val="20"/>
              </w:rPr>
              <w:t>10.5</w:t>
            </w:r>
          </w:p>
        </w:tc>
        <w:tc>
          <w:tcPr>
            <w:tcW w:w="1637" w:type="dxa"/>
            <w:hideMark/>
          </w:tcPr>
          <w:p w14:paraId="6DF28FFA" w14:textId="77777777" w:rsidR="0075144B" w:rsidRPr="00476CD9" w:rsidRDefault="0075144B" w:rsidP="00AF632F">
            <w:pPr>
              <w:pStyle w:val="NormalWeb"/>
              <w:jc w:val="center"/>
              <w:rPr>
                <w:sz w:val="20"/>
                <w:szCs w:val="20"/>
              </w:rPr>
            </w:pPr>
            <w:r w:rsidRPr="00476CD9">
              <w:rPr>
                <w:sz w:val="20"/>
                <w:szCs w:val="20"/>
              </w:rPr>
              <w:t>22.0</w:t>
            </w:r>
          </w:p>
        </w:tc>
      </w:tr>
      <w:tr w:rsidR="0075144B" w:rsidRPr="00476CD9" w14:paraId="34DFEF9B" w14:textId="77777777" w:rsidTr="00476CD9">
        <w:tc>
          <w:tcPr>
            <w:tcW w:w="0" w:type="auto"/>
            <w:hideMark/>
          </w:tcPr>
          <w:p w14:paraId="0D9D0D59" w14:textId="77777777" w:rsidR="0075144B" w:rsidRPr="00476CD9" w:rsidRDefault="0075144B" w:rsidP="00AF632F">
            <w:pPr>
              <w:pStyle w:val="NormalWeb"/>
              <w:rPr>
                <w:sz w:val="20"/>
                <w:szCs w:val="20"/>
              </w:rPr>
            </w:pPr>
            <w:r w:rsidRPr="00476CD9">
              <w:rPr>
                <w:sz w:val="20"/>
                <w:szCs w:val="20"/>
              </w:rPr>
              <w:t>3</w:t>
            </w:r>
          </w:p>
        </w:tc>
        <w:tc>
          <w:tcPr>
            <w:tcW w:w="0" w:type="auto"/>
            <w:hideMark/>
          </w:tcPr>
          <w:p w14:paraId="5D15C2BB" w14:textId="77777777" w:rsidR="0075144B" w:rsidRPr="00476CD9" w:rsidRDefault="0075144B" w:rsidP="00AF632F">
            <w:pPr>
              <w:pStyle w:val="NormalWeb"/>
              <w:jc w:val="center"/>
              <w:rPr>
                <w:sz w:val="20"/>
                <w:szCs w:val="20"/>
              </w:rPr>
            </w:pPr>
            <w:r w:rsidRPr="00476CD9">
              <w:rPr>
                <w:sz w:val="20"/>
                <w:szCs w:val="20"/>
              </w:rPr>
              <w:t>B97.2</w:t>
            </w:r>
          </w:p>
        </w:tc>
        <w:tc>
          <w:tcPr>
            <w:tcW w:w="0" w:type="auto"/>
            <w:hideMark/>
          </w:tcPr>
          <w:p w14:paraId="26DC7101" w14:textId="77777777" w:rsidR="0075144B" w:rsidRPr="00476CD9" w:rsidRDefault="0075144B" w:rsidP="00AF632F">
            <w:pPr>
              <w:pStyle w:val="NormalWeb"/>
              <w:rPr>
                <w:sz w:val="20"/>
                <w:szCs w:val="20"/>
              </w:rPr>
            </w:pPr>
            <w:r w:rsidRPr="00476CD9">
              <w:rPr>
                <w:sz w:val="20"/>
                <w:szCs w:val="20"/>
              </w:rPr>
              <w:t>Coronavirus as the cause of disease classified to other chapters</w:t>
            </w:r>
          </w:p>
        </w:tc>
        <w:tc>
          <w:tcPr>
            <w:tcW w:w="0" w:type="auto"/>
            <w:hideMark/>
          </w:tcPr>
          <w:p w14:paraId="71E7EA82" w14:textId="77777777" w:rsidR="0075144B" w:rsidRPr="00476CD9" w:rsidRDefault="0075144B" w:rsidP="00AF632F">
            <w:pPr>
              <w:pStyle w:val="NormalWeb"/>
              <w:jc w:val="center"/>
              <w:rPr>
                <w:sz w:val="20"/>
                <w:szCs w:val="20"/>
              </w:rPr>
            </w:pPr>
            <w:r w:rsidRPr="00476CD9">
              <w:rPr>
                <w:sz w:val="20"/>
                <w:szCs w:val="20"/>
              </w:rPr>
              <w:t>216</w:t>
            </w:r>
          </w:p>
        </w:tc>
        <w:tc>
          <w:tcPr>
            <w:tcW w:w="0" w:type="auto"/>
            <w:hideMark/>
          </w:tcPr>
          <w:p w14:paraId="691C7170" w14:textId="77777777" w:rsidR="0075144B" w:rsidRPr="00476CD9" w:rsidRDefault="0075144B" w:rsidP="00AF632F">
            <w:pPr>
              <w:pStyle w:val="NormalWeb"/>
              <w:jc w:val="center"/>
              <w:rPr>
                <w:sz w:val="20"/>
                <w:szCs w:val="20"/>
              </w:rPr>
            </w:pPr>
            <w:r w:rsidRPr="00476CD9">
              <w:rPr>
                <w:sz w:val="20"/>
                <w:szCs w:val="20"/>
              </w:rPr>
              <w:t>9.7</w:t>
            </w:r>
          </w:p>
        </w:tc>
        <w:tc>
          <w:tcPr>
            <w:tcW w:w="1637" w:type="dxa"/>
            <w:hideMark/>
          </w:tcPr>
          <w:p w14:paraId="0338CB67" w14:textId="77777777" w:rsidR="0075144B" w:rsidRPr="00476CD9" w:rsidRDefault="0075144B" w:rsidP="00AF632F">
            <w:pPr>
              <w:pStyle w:val="NormalWeb"/>
              <w:jc w:val="center"/>
              <w:rPr>
                <w:sz w:val="20"/>
                <w:szCs w:val="20"/>
              </w:rPr>
            </w:pPr>
            <w:r w:rsidRPr="00476CD9">
              <w:rPr>
                <w:sz w:val="20"/>
                <w:szCs w:val="20"/>
              </w:rPr>
              <w:t>31.7</w:t>
            </w:r>
          </w:p>
        </w:tc>
      </w:tr>
      <w:tr w:rsidR="0075144B" w:rsidRPr="00476CD9" w14:paraId="67F2E54D" w14:textId="77777777" w:rsidTr="00476CD9">
        <w:trPr>
          <w:cnfStyle w:val="000000010000" w:firstRow="0" w:lastRow="0" w:firstColumn="0" w:lastColumn="0" w:oddVBand="0" w:evenVBand="0" w:oddHBand="0" w:evenHBand="1" w:firstRowFirstColumn="0" w:firstRowLastColumn="0" w:lastRowFirstColumn="0" w:lastRowLastColumn="0"/>
        </w:trPr>
        <w:tc>
          <w:tcPr>
            <w:tcW w:w="0" w:type="auto"/>
            <w:hideMark/>
          </w:tcPr>
          <w:p w14:paraId="0DF7E834" w14:textId="77777777" w:rsidR="0075144B" w:rsidRPr="00476CD9" w:rsidRDefault="0075144B" w:rsidP="00AF632F">
            <w:pPr>
              <w:pStyle w:val="NormalWeb"/>
              <w:rPr>
                <w:sz w:val="20"/>
                <w:szCs w:val="20"/>
              </w:rPr>
            </w:pPr>
            <w:r w:rsidRPr="00476CD9">
              <w:rPr>
                <w:sz w:val="20"/>
                <w:szCs w:val="20"/>
              </w:rPr>
              <w:t>4</w:t>
            </w:r>
          </w:p>
        </w:tc>
        <w:tc>
          <w:tcPr>
            <w:tcW w:w="0" w:type="auto"/>
            <w:hideMark/>
          </w:tcPr>
          <w:p w14:paraId="7A93C3AA" w14:textId="77777777" w:rsidR="0075144B" w:rsidRPr="00476CD9" w:rsidRDefault="0075144B" w:rsidP="00AF632F">
            <w:pPr>
              <w:pStyle w:val="NormalWeb"/>
              <w:jc w:val="center"/>
              <w:rPr>
                <w:sz w:val="20"/>
                <w:szCs w:val="20"/>
              </w:rPr>
            </w:pPr>
            <w:r w:rsidRPr="00476CD9">
              <w:rPr>
                <w:sz w:val="20"/>
                <w:szCs w:val="20"/>
              </w:rPr>
              <w:t>R05</w:t>
            </w:r>
          </w:p>
        </w:tc>
        <w:tc>
          <w:tcPr>
            <w:tcW w:w="0" w:type="auto"/>
            <w:hideMark/>
          </w:tcPr>
          <w:p w14:paraId="11C65A7B" w14:textId="77777777" w:rsidR="0075144B" w:rsidRPr="00476CD9" w:rsidRDefault="0075144B" w:rsidP="00AF632F">
            <w:pPr>
              <w:pStyle w:val="NormalWeb"/>
              <w:rPr>
                <w:sz w:val="20"/>
                <w:szCs w:val="20"/>
              </w:rPr>
            </w:pPr>
            <w:r w:rsidRPr="00476CD9">
              <w:rPr>
                <w:sz w:val="20"/>
                <w:szCs w:val="20"/>
              </w:rPr>
              <w:t>Cough</w:t>
            </w:r>
          </w:p>
        </w:tc>
        <w:tc>
          <w:tcPr>
            <w:tcW w:w="0" w:type="auto"/>
            <w:hideMark/>
          </w:tcPr>
          <w:p w14:paraId="0189CEC5" w14:textId="77777777" w:rsidR="0075144B" w:rsidRPr="00476CD9" w:rsidRDefault="0075144B" w:rsidP="00AF632F">
            <w:pPr>
              <w:pStyle w:val="NormalWeb"/>
              <w:jc w:val="center"/>
              <w:rPr>
                <w:sz w:val="20"/>
                <w:szCs w:val="20"/>
              </w:rPr>
            </w:pPr>
            <w:r w:rsidRPr="00476CD9">
              <w:rPr>
                <w:sz w:val="20"/>
                <w:szCs w:val="20"/>
              </w:rPr>
              <w:t>85</w:t>
            </w:r>
          </w:p>
        </w:tc>
        <w:tc>
          <w:tcPr>
            <w:tcW w:w="0" w:type="auto"/>
            <w:hideMark/>
          </w:tcPr>
          <w:p w14:paraId="1ECE03E1" w14:textId="77777777" w:rsidR="0075144B" w:rsidRPr="00476CD9" w:rsidRDefault="0075144B" w:rsidP="00AF632F">
            <w:pPr>
              <w:pStyle w:val="NormalWeb"/>
              <w:jc w:val="center"/>
              <w:rPr>
                <w:sz w:val="20"/>
                <w:szCs w:val="20"/>
              </w:rPr>
            </w:pPr>
            <w:r w:rsidRPr="00476CD9">
              <w:rPr>
                <w:sz w:val="20"/>
                <w:szCs w:val="20"/>
              </w:rPr>
              <w:t>3.8</w:t>
            </w:r>
          </w:p>
        </w:tc>
        <w:tc>
          <w:tcPr>
            <w:tcW w:w="1637" w:type="dxa"/>
            <w:hideMark/>
          </w:tcPr>
          <w:p w14:paraId="60779DF0" w14:textId="77777777" w:rsidR="0075144B" w:rsidRPr="00476CD9" w:rsidRDefault="0075144B" w:rsidP="00AF632F">
            <w:pPr>
              <w:pStyle w:val="NormalWeb"/>
              <w:jc w:val="center"/>
              <w:rPr>
                <w:sz w:val="20"/>
                <w:szCs w:val="20"/>
              </w:rPr>
            </w:pPr>
            <w:r w:rsidRPr="00476CD9">
              <w:rPr>
                <w:sz w:val="20"/>
                <w:szCs w:val="20"/>
              </w:rPr>
              <w:t>35.5</w:t>
            </w:r>
          </w:p>
        </w:tc>
      </w:tr>
      <w:tr w:rsidR="0075144B" w:rsidRPr="00476CD9" w14:paraId="1E71D934" w14:textId="77777777" w:rsidTr="00476CD9">
        <w:tc>
          <w:tcPr>
            <w:tcW w:w="0" w:type="auto"/>
            <w:hideMark/>
          </w:tcPr>
          <w:p w14:paraId="6C53ACB6" w14:textId="77777777" w:rsidR="0075144B" w:rsidRPr="00476CD9" w:rsidRDefault="0075144B" w:rsidP="00AF632F">
            <w:pPr>
              <w:pStyle w:val="NormalWeb"/>
              <w:rPr>
                <w:sz w:val="20"/>
                <w:szCs w:val="20"/>
              </w:rPr>
            </w:pPr>
            <w:r w:rsidRPr="00476CD9">
              <w:rPr>
                <w:sz w:val="20"/>
                <w:szCs w:val="20"/>
              </w:rPr>
              <w:t>5</w:t>
            </w:r>
          </w:p>
        </w:tc>
        <w:tc>
          <w:tcPr>
            <w:tcW w:w="0" w:type="auto"/>
            <w:hideMark/>
          </w:tcPr>
          <w:p w14:paraId="6115B7FA" w14:textId="77777777" w:rsidR="0075144B" w:rsidRPr="00476CD9" w:rsidRDefault="0075144B" w:rsidP="00AF632F">
            <w:pPr>
              <w:pStyle w:val="NormalWeb"/>
              <w:jc w:val="center"/>
              <w:rPr>
                <w:sz w:val="20"/>
                <w:szCs w:val="20"/>
              </w:rPr>
            </w:pPr>
            <w:r w:rsidRPr="00476CD9">
              <w:rPr>
                <w:sz w:val="20"/>
                <w:szCs w:val="20"/>
              </w:rPr>
              <w:t>U82.3</w:t>
            </w:r>
            <w:r w:rsidRPr="00476CD9">
              <w:rPr>
                <w:sz w:val="20"/>
                <w:szCs w:val="20"/>
                <w:vertAlign w:val="superscript"/>
              </w:rPr>
              <w:t>b</w:t>
            </w:r>
          </w:p>
        </w:tc>
        <w:tc>
          <w:tcPr>
            <w:tcW w:w="0" w:type="auto"/>
            <w:hideMark/>
          </w:tcPr>
          <w:p w14:paraId="193FE763" w14:textId="77777777" w:rsidR="0075144B" w:rsidRPr="00476CD9" w:rsidRDefault="0075144B" w:rsidP="00AF632F">
            <w:pPr>
              <w:pStyle w:val="NormalWeb"/>
              <w:rPr>
                <w:sz w:val="20"/>
                <w:szCs w:val="20"/>
              </w:rPr>
            </w:pPr>
            <w:r w:rsidRPr="00476CD9">
              <w:rPr>
                <w:sz w:val="20"/>
                <w:szCs w:val="20"/>
              </w:rPr>
              <w:t>Hypertension</w:t>
            </w:r>
          </w:p>
        </w:tc>
        <w:tc>
          <w:tcPr>
            <w:tcW w:w="0" w:type="auto"/>
            <w:hideMark/>
          </w:tcPr>
          <w:p w14:paraId="439C7437" w14:textId="77777777" w:rsidR="0075144B" w:rsidRPr="00476CD9" w:rsidRDefault="0075144B" w:rsidP="00AF632F">
            <w:pPr>
              <w:pStyle w:val="NormalWeb"/>
              <w:jc w:val="center"/>
              <w:rPr>
                <w:sz w:val="20"/>
                <w:szCs w:val="20"/>
              </w:rPr>
            </w:pPr>
            <w:r w:rsidRPr="00476CD9">
              <w:rPr>
                <w:sz w:val="20"/>
                <w:szCs w:val="20"/>
              </w:rPr>
              <w:t>51</w:t>
            </w:r>
          </w:p>
        </w:tc>
        <w:tc>
          <w:tcPr>
            <w:tcW w:w="0" w:type="auto"/>
            <w:hideMark/>
          </w:tcPr>
          <w:p w14:paraId="6423451C" w14:textId="77777777" w:rsidR="0075144B" w:rsidRPr="00476CD9" w:rsidRDefault="0075144B" w:rsidP="00AF632F">
            <w:pPr>
              <w:pStyle w:val="NormalWeb"/>
              <w:jc w:val="center"/>
              <w:rPr>
                <w:sz w:val="20"/>
                <w:szCs w:val="20"/>
              </w:rPr>
            </w:pPr>
            <w:r w:rsidRPr="00476CD9">
              <w:rPr>
                <w:sz w:val="20"/>
                <w:szCs w:val="20"/>
              </w:rPr>
              <w:t>2.3</w:t>
            </w:r>
          </w:p>
        </w:tc>
        <w:tc>
          <w:tcPr>
            <w:tcW w:w="1637" w:type="dxa"/>
            <w:hideMark/>
          </w:tcPr>
          <w:p w14:paraId="381F28ED" w14:textId="77777777" w:rsidR="0075144B" w:rsidRPr="00476CD9" w:rsidRDefault="0075144B" w:rsidP="00AF632F">
            <w:pPr>
              <w:pStyle w:val="NormalWeb"/>
              <w:jc w:val="center"/>
              <w:rPr>
                <w:sz w:val="20"/>
                <w:szCs w:val="20"/>
              </w:rPr>
            </w:pPr>
            <w:r w:rsidRPr="00476CD9">
              <w:rPr>
                <w:sz w:val="20"/>
                <w:szCs w:val="20"/>
              </w:rPr>
              <w:t>37.8</w:t>
            </w:r>
          </w:p>
        </w:tc>
      </w:tr>
      <w:tr w:rsidR="0075144B" w:rsidRPr="00476CD9" w14:paraId="7D1AAF0E" w14:textId="77777777" w:rsidTr="00476CD9">
        <w:trPr>
          <w:cnfStyle w:val="000000010000" w:firstRow="0" w:lastRow="0" w:firstColumn="0" w:lastColumn="0" w:oddVBand="0" w:evenVBand="0" w:oddHBand="0" w:evenHBand="1" w:firstRowFirstColumn="0" w:firstRowLastColumn="0" w:lastRowFirstColumn="0" w:lastRowLastColumn="0"/>
        </w:trPr>
        <w:tc>
          <w:tcPr>
            <w:tcW w:w="0" w:type="auto"/>
            <w:hideMark/>
          </w:tcPr>
          <w:p w14:paraId="10A64FD9" w14:textId="77777777" w:rsidR="0075144B" w:rsidRPr="00476CD9" w:rsidRDefault="0075144B" w:rsidP="00AF632F">
            <w:pPr>
              <w:pStyle w:val="NormalWeb"/>
              <w:rPr>
                <w:sz w:val="20"/>
                <w:szCs w:val="20"/>
              </w:rPr>
            </w:pPr>
            <w:r w:rsidRPr="00476CD9">
              <w:rPr>
                <w:sz w:val="20"/>
                <w:szCs w:val="20"/>
              </w:rPr>
              <w:t>6</w:t>
            </w:r>
          </w:p>
        </w:tc>
        <w:tc>
          <w:tcPr>
            <w:tcW w:w="0" w:type="auto"/>
            <w:hideMark/>
          </w:tcPr>
          <w:p w14:paraId="5751F4E6" w14:textId="77777777" w:rsidR="0075144B" w:rsidRPr="00476CD9" w:rsidRDefault="0075144B" w:rsidP="00AF632F">
            <w:pPr>
              <w:pStyle w:val="NormalWeb"/>
              <w:jc w:val="center"/>
              <w:rPr>
                <w:sz w:val="20"/>
                <w:szCs w:val="20"/>
              </w:rPr>
            </w:pPr>
            <w:r w:rsidRPr="00476CD9">
              <w:rPr>
                <w:sz w:val="20"/>
                <w:szCs w:val="20"/>
              </w:rPr>
              <w:t>R50.9</w:t>
            </w:r>
          </w:p>
        </w:tc>
        <w:tc>
          <w:tcPr>
            <w:tcW w:w="0" w:type="auto"/>
            <w:hideMark/>
          </w:tcPr>
          <w:p w14:paraId="7E2CF6D0" w14:textId="77777777" w:rsidR="0075144B" w:rsidRPr="00476CD9" w:rsidRDefault="0075144B" w:rsidP="00AF632F">
            <w:pPr>
              <w:pStyle w:val="NormalWeb"/>
              <w:rPr>
                <w:sz w:val="20"/>
                <w:szCs w:val="20"/>
              </w:rPr>
            </w:pPr>
            <w:r w:rsidRPr="00476CD9">
              <w:rPr>
                <w:sz w:val="20"/>
                <w:szCs w:val="20"/>
              </w:rPr>
              <w:t>Fever, unspecified</w:t>
            </w:r>
          </w:p>
        </w:tc>
        <w:tc>
          <w:tcPr>
            <w:tcW w:w="0" w:type="auto"/>
            <w:hideMark/>
          </w:tcPr>
          <w:p w14:paraId="1E0592E9" w14:textId="77777777" w:rsidR="0075144B" w:rsidRPr="00476CD9" w:rsidRDefault="0075144B" w:rsidP="00AF632F">
            <w:pPr>
              <w:pStyle w:val="NormalWeb"/>
              <w:jc w:val="center"/>
              <w:rPr>
                <w:sz w:val="20"/>
                <w:szCs w:val="20"/>
              </w:rPr>
            </w:pPr>
            <w:r w:rsidRPr="00476CD9">
              <w:rPr>
                <w:sz w:val="20"/>
                <w:szCs w:val="20"/>
              </w:rPr>
              <w:t>50</w:t>
            </w:r>
          </w:p>
        </w:tc>
        <w:tc>
          <w:tcPr>
            <w:tcW w:w="0" w:type="auto"/>
            <w:hideMark/>
          </w:tcPr>
          <w:p w14:paraId="56E1A62C" w14:textId="77777777" w:rsidR="0075144B" w:rsidRPr="00476CD9" w:rsidRDefault="0075144B" w:rsidP="00AF632F">
            <w:pPr>
              <w:pStyle w:val="NormalWeb"/>
              <w:jc w:val="center"/>
              <w:rPr>
                <w:sz w:val="20"/>
                <w:szCs w:val="20"/>
              </w:rPr>
            </w:pPr>
            <w:r w:rsidRPr="00476CD9">
              <w:rPr>
                <w:sz w:val="20"/>
                <w:szCs w:val="20"/>
              </w:rPr>
              <w:t>2.2</w:t>
            </w:r>
          </w:p>
        </w:tc>
        <w:tc>
          <w:tcPr>
            <w:tcW w:w="1637" w:type="dxa"/>
            <w:hideMark/>
          </w:tcPr>
          <w:p w14:paraId="29B0C24C" w14:textId="77777777" w:rsidR="0075144B" w:rsidRPr="00476CD9" w:rsidRDefault="0075144B" w:rsidP="00AF632F">
            <w:pPr>
              <w:pStyle w:val="NormalWeb"/>
              <w:jc w:val="center"/>
              <w:rPr>
                <w:sz w:val="20"/>
                <w:szCs w:val="20"/>
              </w:rPr>
            </w:pPr>
            <w:r w:rsidRPr="00476CD9">
              <w:rPr>
                <w:sz w:val="20"/>
                <w:szCs w:val="20"/>
              </w:rPr>
              <w:t>40.0</w:t>
            </w:r>
          </w:p>
        </w:tc>
      </w:tr>
      <w:tr w:rsidR="0075144B" w:rsidRPr="00476CD9" w14:paraId="3A2E9544" w14:textId="77777777" w:rsidTr="00476CD9">
        <w:tc>
          <w:tcPr>
            <w:tcW w:w="0" w:type="auto"/>
            <w:hideMark/>
          </w:tcPr>
          <w:p w14:paraId="03BA96F0" w14:textId="77777777" w:rsidR="0075144B" w:rsidRPr="00476CD9" w:rsidRDefault="0075144B" w:rsidP="00AF632F">
            <w:pPr>
              <w:pStyle w:val="NormalWeb"/>
              <w:rPr>
                <w:sz w:val="20"/>
                <w:szCs w:val="20"/>
              </w:rPr>
            </w:pPr>
            <w:r w:rsidRPr="00476CD9">
              <w:rPr>
                <w:sz w:val="20"/>
                <w:szCs w:val="20"/>
              </w:rPr>
              <w:t>7</w:t>
            </w:r>
          </w:p>
        </w:tc>
        <w:tc>
          <w:tcPr>
            <w:tcW w:w="0" w:type="auto"/>
            <w:hideMark/>
          </w:tcPr>
          <w:p w14:paraId="283D2990" w14:textId="77777777" w:rsidR="0075144B" w:rsidRPr="00476CD9" w:rsidRDefault="0075144B" w:rsidP="00AF632F">
            <w:pPr>
              <w:pStyle w:val="NormalWeb"/>
              <w:jc w:val="center"/>
              <w:rPr>
                <w:sz w:val="20"/>
                <w:szCs w:val="20"/>
              </w:rPr>
            </w:pPr>
            <w:r w:rsidRPr="00476CD9">
              <w:rPr>
                <w:sz w:val="20"/>
                <w:szCs w:val="20"/>
              </w:rPr>
              <w:t>Z86.43</w:t>
            </w:r>
          </w:p>
        </w:tc>
        <w:tc>
          <w:tcPr>
            <w:tcW w:w="0" w:type="auto"/>
            <w:hideMark/>
          </w:tcPr>
          <w:p w14:paraId="4D7051E1" w14:textId="77777777" w:rsidR="0075144B" w:rsidRPr="00476CD9" w:rsidRDefault="0075144B" w:rsidP="00AF632F">
            <w:pPr>
              <w:pStyle w:val="NormalWeb"/>
              <w:rPr>
                <w:sz w:val="20"/>
                <w:szCs w:val="20"/>
              </w:rPr>
            </w:pPr>
            <w:r w:rsidRPr="00476CD9">
              <w:rPr>
                <w:sz w:val="20"/>
                <w:szCs w:val="20"/>
              </w:rPr>
              <w:t>Personal history of psychoactive substance abuse, tobacco use disorder</w:t>
            </w:r>
          </w:p>
        </w:tc>
        <w:tc>
          <w:tcPr>
            <w:tcW w:w="0" w:type="auto"/>
            <w:hideMark/>
          </w:tcPr>
          <w:p w14:paraId="6901F309" w14:textId="77777777" w:rsidR="0075144B" w:rsidRPr="00476CD9" w:rsidRDefault="0075144B" w:rsidP="00AF632F">
            <w:pPr>
              <w:pStyle w:val="NormalWeb"/>
              <w:jc w:val="center"/>
              <w:rPr>
                <w:sz w:val="20"/>
                <w:szCs w:val="20"/>
              </w:rPr>
            </w:pPr>
            <w:r w:rsidRPr="00476CD9">
              <w:rPr>
                <w:sz w:val="20"/>
                <w:szCs w:val="20"/>
              </w:rPr>
              <w:t>49</w:t>
            </w:r>
          </w:p>
        </w:tc>
        <w:tc>
          <w:tcPr>
            <w:tcW w:w="0" w:type="auto"/>
            <w:hideMark/>
          </w:tcPr>
          <w:p w14:paraId="0AD5995B" w14:textId="77777777" w:rsidR="0075144B" w:rsidRPr="00476CD9" w:rsidRDefault="0075144B" w:rsidP="00AF632F">
            <w:pPr>
              <w:pStyle w:val="NormalWeb"/>
              <w:jc w:val="center"/>
              <w:rPr>
                <w:sz w:val="20"/>
                <w:szCs w:val="20"/>
              </w:rPr>
            </w:pPr>
            <w:r w:rsidRPr="00476CD9">
              <w:rPr>
                <w:sz w:val="20"/>
                <w:szCs w:val="20"/>
              </w:rPr>
              <w:t>2.2</w:t>
            </w:r>
          </w:p>
        </w:tc>
        <w:tc>
          <w:tcPr>
            <w:tcW w:w="1637" w:type="dxa"/>
            <w:hideMark/>
          </w:tcPr>
          <w:p w14:paraId="3F68FFEA" w14:textId="77777777" w:rsidR="0075144B" w:rsidRPr="00476CD9" w:rsidRDefault="0075144B" w:rsidP="00AF632F">
            <w:pPr>
              <w:pStyle w:val="NormalWeb"/>
              <w:jc w:val="center"/>
              <w:rPr>
                <w:sz w:val="20"/>
                <w:szCs w:val="20"/>
              </w:rPr>
            </w:pPr>
            <w:r w:rsidRPr="00476CD9">
              <w:rPr>
                <w:sz w:val="20"/>
                <w:szCs w:val="20"/>
              </w:rPr>
              <w:t>42.2</w:t>
            </w:r>
          </w:p>
        </w:tc>
      </w:tr>
      <w:tr w:rsidR="0075144B" w:rsidRPr="00476CD9" w14:paraId="321A868A" w14:textId="77777777" w:rsidTr="00476CD9">
        <w:trPr>
          <w:cnfStyle w:val="000000010000" w:firstRow="0" w:lastRow="0" w:firstColumn="0" w:lastColumn="0" w:oddVBand="0" w:evenVBand="0" w:oddHBand="0" w:evenHBand="1" w:firstRowFirstColumn="0" w:firstRowLastColumn="0" w:lastRowFirstColumn="0" w:lastRowLastColumn="0"/>
        </w:trPr>
        <w:tc>
          <w:tcPr>
            <w:tcW w:w="0" w:type="auto"/>
            <w:hideMark/>
          </w:tcPr>
          <w:p w14:paraId="282122B4" w14:textId="77777777" w:rsidR="0075144B" w:rsidRPr="00476CD9" w:rsidRDefault="0075144B" w:rsidP="00AF632F">
            <w:pPr>
              <w:pStyle w:val="NormalWeb"/>
              <w:rPr>
                <w:sz w:val="20"/>
                <w:szCs w:val="20"/>
              </w:rPr>
            </w:pPr>
            <w:r w:rsidRPr="00476CD9">
              <w:rPr>
                <w:sz w:val="20"/>
                <w:szCs w:val="20"/>
              </w:rPr>
              <w:t>8</w:t>
            </w:r>
          </w:p>
        </w:tc>
        <w:tc>
          <w:tcPr>
            <w:tcW w:w="0" w:type="auto"/>
            <w:hideMark/>
          </w:tcPr>
          <w:p w14:paraId="1A3D146E" w14:textId="77777777" w:rsidR="0075144B" w:rsidRPr="00476CD9" w:rsidRDefault="0075144B" w:rsidP="00AF632F">
            <w:pPr>
              <w:pStyle w:val="NormalWeb"/>
              <w:jc w:val="center"/>
              <w:rPr>
                <w:sz w:val="20"/>
                <w:szCs w:val="20"/>
              </w:rPr>
            </w:pPr>
            <w:r w:rsidRPr="00476CD9">
              <w:rPr>
                <w:sz w:val="20"/>
                <w:szCs w:val="20"/>
              </w:rPr>
              <w:t>B34.2</w:t>
            </w:r>
          </w:p>
        </w:tc>
        <w:tc>
          <w:tcPr>
            <w:tcW w:w="0" w:type="auto"/>
            <w:hideMark/>
          </w:tcPr>
          <w:p w14:paraId="34458CEA" w14:textId="77777777" w:rsidR="0075144B" w:rsidRPr="00476CD9" w:rsidRDefault="0075144B" w:rsidP="00AF632F">
            <w:pPr>
              <w:pStyle w:val="NormalWeb"/>
              <w:rPr>
                <w:sz w:val="20"/>
                <w:szCs w:val="20"/>
              </w:rPr>
            </w:pPr>
            <w:r w:rsidRPr="00476CD9">
              <w:rPr>
                <w:sz w:val="20"/>
                <w:szCs w:val="20"/>
              </w:rPr>
              <w:t>Coronavirus infection, unspecified site</w:t>
            </w:r>
          </w:p>
        </w:tc>
        <w:tc>
          <w:tcPr>
            <w:tcW w:w="0" w:type="auto"/>
            <w:hideMark/>
          </w:tcPr>
          <w:p w14:paraId="6B3BB563" w14:textId="77777777" w:rsidR="0075144B" w:rsidRPr="00476CD9" w:rsidRDefault="0075144B" w:rsidP="00AF632F">
            <w:pPr>
              <w:pStyle w:val="NormalWeb"/>
              <w:jc w:val="center"/>
              <w:rPr>
                <w:sz w:val="20"/>
                <w:szCs w:val="20"/>
              </w:rPr>
            </w:pPr>
            <w:r w:rsidRPr="00476CD9">
              <w:rPr>
                <w:sz w:val="20"/>
                <w:szCs w:val="20"/>
              </w:rPr>
              <w:t>45</w:t>
            </w:r>
          </w:p>
        </w:tc>
        <w:tc>
          <w:tcPr>
            <w:tcW w:w="0" w:type="auto"/>
            <w:hideMark/>
          </w:tcPr>
          <w:p w14:paraId="6CAA82A2" w14:textId="77777777" w:rsidR="0075144B" w:rsidRPr="00476CD9" w:rsidRDefault="0075144B" w:rsidP="00AF632F">
            <w:pPr>
              <w:pStyle w:val="NormalWeb"/>
              <w:jc w:val="center"/>
              <w:rPr>
                <w:sz w:val="20"/>
                <w:szCs w:val="20"/>
              </w:rPr>
            </w:pPr>
            <w:r w:rsidRPr="00476CD9">
              <w:rPr>
                <w:sz w:val="20"/>
                <w:szCs w:val="20"/>
              </w:rPr>
              <w:t>2.0</w:t>
            </w:r>
          </w:p>
        </w:tc>
        <w:tc>
          <w:tcPr>
            <w:tcW w:w="1637" w:type="dxa"/>
            <w:hideMark/>
          </w:tcPr>
          <w:p w14:paraId="646281CD" w14:textId="77777777" w:rsidR="0075144B" w:rsidRPr="00476CD9" w:rsidRDefault="0075144B" w:rsidP="00AF632F">
            <w:pPr>
              <w:pStyle w:val="NormalWeb"/>
              <w:jc w:val="center"/>
              <w:rPr>
                <w:sz w:val="20"/>
                <w:szCs w:val="20"/>
              </w:rPr>
            </w:pPr>
            <w:r w:rsidRPr="00476CD9">
              <w:rPr>
                <w:sz w:val="20"/>
                <w:szCs w:val="20"/>
              </w:rPr>
              <w:t>44.2</w:t>
            </w:r>
          </w:p>
        </w:tc>
      </w:tr>
      <w:tr w:rsidR="0075144B" w:rsidRPr="00476CD9" w14:paraId="69B6CF05" w14:textId="77777777" w:rsidTr="00476CD9">
        <w:tc>
          <w:tcPr>
            <w:tcW w:w="0" w:type="auto"/>
            <w:hideMark/>
          </w:tcPr>
          <w:p w14:paraId="3EA839A5" w14:textId="77777777" w:rsidR="0075144B" w:rsidRPr="00476CD9" w:rsidRDefault="0075144B" w:rsidP="00AF632F">
            <w:pPr>
              <w:pStyle w:val="NormalWeb"/>
              <w:rPr>
                <w:sz w:val="20"/>
                <w:szCs w:val="20"/>
              </w:rPr>
            </w:pPr>
            <w:r w:rsidRPr="00476CD9">
              <w:rPr>
                <w:sz w:val="20"/>
                <w:szCs w:val="20"/>
              </w:rPr>
              <w:t>9</w:t>
            </w:r>
          </w:p>
        </w:tc>
        <w:tc>
          <w:tcPr>
            <w:tcW w:w="0" w:type="auto"/>
            <w:hideMark/>
          </w:tcPr>
          <w:p w14:paraId="56B83CCA" w14:textId="77777777" w:rsidR="0075144B" w:rsidRPr="00476CD9" w:rsidRDefault="0075144B" w:rsidP="00AF632F">
            <w:pPr>
              <w:pStyle w:val="NormalWeb"/>
              <w:jc w:val="center"/>
              <w:rPr>
                <w:sz w:val="20"/>
                <w:szCs w:val="20"/>
              </w:rPr>
            </w:pPr>
            <w:r w:rsidRPr="00476CD9">
              <w:rPr>
                <w:sz w:val="20"/>
                <w:szCs w:val="20"/>
              </w:rPr>
              <w:t>J128</w:t>
            </w:r>
          </w:p>
        </w:tc>
        <w:tc>
          <w:tcPr>
            <w:tcW w:w="0" w:type="auto"/>
            <w:hideMark/>
          </w:tcPr>
          <w:p w14:paraId="75010704" w14:textId="77777777" w:rsidR="0075144B" w:rsidRPr="00476CD9" w:rsidRDefault="0075144B" w:rsidP="00AF632F">
            <w:pPr>
              <w:pStyle w:val="NormalWeb"/>
              <w:rPr>
                <w:sz w:val="20"/>
                <w:szCs w:val="20"/>
              </w:rPr>
            </w:pPr>
            <w:r w:rsidRPr="00476CD9">
              <w:rPr>
                <w:sz w:val="20"/>
                <w:szCs w:val="20"/>
              </w:rPr>
              <w:t>Other viral pneumonia</w:t>
            </w:r>
          </w:p>
        </w:tc>
        <w:tc>
          <w:tcPr>
            <w:tcW w:w="0" w:type="auto"/>
            <w:hideMark/>
          </w:tcPr>
          <w:p w14:paraId="43772B66" w14:textId="77777777" w:rsidR="0075144B" w:rsidRPr="00476CD9" w:rsidRDefault="0075144B" w:rsidP="00AF632F">
            <w:pPr>
              <w:pStyle w:val="NormalWeb"/>
              <w:jc w:val="center"/>
              <w:rPr>
                <w:sz w:val="20"/>
                <w:szCs w:val="20"/>
              </w:rPr>
            </w:pPr>
            <w:r w:rsidRPr="00476CD9">
              <w:rPr>
                <w:sz w:val="20"/>
                <w:szCs w:val="20"/>
              </w:rPr>
              <w:t>41</w:t>
            </w:r>
          </w:p>
        </w:tc>
        <w:tc>
          <w:tcPr>
            <w:tcW w:w="0" w:type="auto"/>
            <w:hideMark/>
          </w:tcPr>
          <w:p w14:paraId="4DC8C723" w14:textId="77777777" w:rsidR="0075144B" w:rsidRPr="00476CD9" w:rsidRDefault="0075144B" w:rsidP="00AF632F">
            <w:pPr>
              <w:pStyle w:val="NormalWeb"/>
              <w:jc w:val="center"/>
              <w:rPr>
                <w:sz w:val="20"/>
                <w:szCs w:val="20"/>
              </w:rPr>
            </w:pPr>
            <w:r w:rsidRPr="00476CD9">
              <w:rPr>
                <w:sz w:val="20"/>
                <w:szCs w:val="20"/>
              </w:rPr>
              <w:t>1.8</w:t>
            </w:r>
          </w:p>
        </w:tc>
        <w:tc>
          <w:tcPr>
            <w:tcW w:w="1637" w:type="dxa"/>
            <w:hideMark/>
          </w:tcPr>
          <w:p w14:paraId="2A8C76D0" w14:textId="77777777" w:rsidR="0075144B" w:rsidRPr="00476CD9" w:rsidRDefault="0075144B" w:rsidP="00AF632F">
            <w:pPr>
              <w:pStyle w:val="NormalWeb"/>
              <w:jc w:val="center"/>
              <w:rPr>
                <w:sz w:val="20"/>
                <w:szCs w:val="20"/>
              </w:rPr>
            </w:pPr>
            <w:r w:rsidRPr="00476CD9">
              <w:rPr>
                <w:sz w:val="20"/>
                <w:szCs w:val="20"/>
              </w:rPr>
              <w:t>46.1</w:t>
            </w:r>
          </w:p>
        </w:tc>
      </w:tr>
      <w:tr w:rsidR="0075144B" w:rsidRPr="00476CD9" w14:paraId="67F5E2C5" w14:textId="77777777" w:rsidTr="00476CD9">
        <w:trPr>
          <w:cnfStyle w:val="000000010000" w:firstRow="0" w:lastRow="0" w:firstColumn="0" w:lastColumn="0" w:oddVBand="0" w:evenVBand="0" w:oddHBand="0" w:evenHBand="1" w:firstRowFirstColumn="0" w:firstRowLastColumn="0" w:lastRowFirstColumn="0" w:lastRowLastColumn="0"/>
        </w:trPr>
        <w:tc>
          <w:tcPr>
            <w:tcW w:w="0" w:type="auto"/>
            <w:hideMark/>
          </w:tcPr>
          <w:p w14:paraId="2530DB45" w14:textId="77777777" w:rsidR="0075144B" w:rsidRPr="00476CD9" w:rsidRDefault="0075144B" w:rsidP="00AF632F">
            <w:pPr>
              <w:pStyle w:val="NormalWeb"/>
              <w:rPr>
                <w:sz w:val="20"/>
                <w:szCs w:val="20"/>
              </w:rPr>
            </w:pPr>
            <w:r w:rsidRPr="00476CD9">
              <w:rPr>
                <w:sz w:val="20"/>
                <w:szCs w:val="20"/>
              </w:rPr>
              <w:t>10</w:t>
            </w:r>
          </w:p>
        </w:tc>
        <w:tc>
          <w:tcPr>
            <w:tcW w:w="0" w:type="auto"/>
            <w:hideMark/>
          </w:tcPr>
          <w:p w14:paraId="5E58A17C" w14:textId="77777777" w:rsidR="0075144B" w:rsidRPr="00476CD9" w:rsidRDefault="0075144B" w:rsidP="00AF632F">
            <w:pPr>
              <w:pStyle w:val="NormalWeb"/>
              <w:jc w:val="center"/>
              <w:rPr>
                <w:sz w:val="20"/>
                <w:szCs w:val="20"/>
              </w:rPr>
            </w:pPr>
            <w:r w:rsidRPr="00476CD9">
              <w:rPr>
                <w:sz w:val="20"/>
                <w:szCs w:val="20"/>
              </w:rPr>
              <w:t>R51</w:t>
            </w:r>
          </w:p>
        </w:tc>
        <w:tc>
          <w:tcPr>
            <w:tcW w:w="0" w:type="auto"/>
            <w:hideMark/>
          </w:tcPr>
          <w:p w14:paraId="0937ED77" w14:textId="77777777" w:rsidR="0075144B" w:rsidRPr="00476CD9" w:rsidRDefault="0075144B" w:rsidP="00AF632F">
            <w:pPr>
              <w:pStyle w:val="NormalWeb"/>
              <w:rPr>
                <w:sz w:val="20"/>
                <w:szCs w:val="20"/>
              </w:rPr>
            </w:pPr>
            <w:r w:rsidRPr="00476CD9">
              <w:rPr>
                <w:sz w:val="20"/>
                <w:szCs w:val="20"/>
              </w:rPr>
              <w:t>Headache</w:t>
            </w:r>
          </w:p>
        </w:tc>
        <w:tc>
          <w:tcPr>
            <w:tcW w:w="0" w:type="auto"/>
            <w:hideMark/>
          </w:tcPr>
          <w:p w14:paraId="419D926C" w14:textId="77777777" w:rsidR="0075144B" w:rsidRPr="00476CD9" w:rsidRDefault="0075144B" w:rsidP="00AF632F">
            <w:pPr>
              <w:pStyle w:val="NormalWeb"/>
              <w:jc w:val="center"/>
              <w:rPr>
                <w:sz w:val="20"/>
                <w:szCs w:val="20"/>
              </w:rPr>
            </w:pPr>
            <w:r w:rsidRPr="00476CD9">
              <w:rPr>
                <w:sz w:val="20"/>
                <w:szCs w:val="20"/>
              </w:rPr>
              <w:t>40</w:t>
            </w:r>
          </w:p>
        </w:tc>
        <w:tc>
          <w:tcPr>
            <w:tcW w:w="0" w:type="auto"/>
            <w:hideMark/>
          </w:tcPr>
          <w:p w14:paraId="550708CF" w14:textId="77777777" w:rsidR="0075144B" w:rsidRPr="00476CD9" w:rsidRDefault="0075144B" w:rsidP="00AF632F">
            <w:pPr>
              <w:pStyle w:val="NormalWeb"/>
              <w:jc w:val="center"/>
              <w:rPr>
                <w:sz w:val="20"/>
                <w:szCs w:val="20"/>
              </w:rPr>
            </w:pPr>
            <w:r w:rsidRPr="00476CD9">
              <w:rPr>
                <w:sz w:val="20"/>
                <w:szCs w:val="20"/>
              </w:rPr>
              <w:t>1.8</w:t>
            </w:r>
          </w:p>
        </w:tc>
        <w:tc>
          <w:tcPr>
            <w:tcW w:w="1637" w:type="dxa"/>
            <w:hideMark/>
          </w:tcPr>
          <w:p w14:paraId="09E9C34C" w14:textId="77777777" w:rsidR="0075144B" w:rsidRPr="00476CD9" w:rsidRDefault="0075144B" w:rsidP="00AF632F">
            <w:pPr>
              <w:pStyle w:val="NormalWeb"/>
              <w:jc w:val="center"/>
              <w:rPr>
                <w:sz w:val="20"/>
                <w:szCs w:val="20"/>
              </w:rPr>
            </w:pPr>
            <w:r w:rsidRPr="00476CD9">
              <w:rPr>
                <w:sz w:val="20"/>
                <w:szCs w:val="20"/>
              </w:rPr>
              <w:t>47.9</w:t>
            </w:r>
          </w:p>
        </w:tc>
      </w:tr>
    </w:tbl>
    <w:p w14:paraId="5F098731" w14:textId="77777777" w:rsidR="0075144B" w:rsidRPr="00311A0F" w:rsidRDefault="0075144B" w:rsidP="00311A0F">
      <w:pPr>
        <w:pStyle w:val="CDIfootnotes"/>
      </w:pPr>
      <w:proofErr w:type="spellStart"/>
      <w:proofErr w:type="gramStart"/>
      <w:r w:rsidRPr="00311A0F">
        <w:t>a</w:t>
      </w:r>
      <w:proofErr w:type="spellEnd"/>
      <w:proofErr w:type="gramEnd"/>
      <w:r w:rsidRPr="00311A0F">
        <w:tab/>
        <w:t>Estimates are based on 380 inpatient admissions among 250 patients. Outcomes are measured with data from the QHAPDC.</w:t>
      </w:r>
    </w:p>
    <w:p w14:paraId="22FC21E9" w14:textId="7BB8B3AA" w:rsidR="0075144B" w:rsidRPr="00311A0F" w:rsidRDefault="0075144B" w:rsidP="00311A0F">
      <w:pPr>
        <w:pStyle w:val="CDIfootnotes"/>
      </w:pPr>
      <w:r w:rsidRPr="00311A0F">
        <w:t>b</w:t>
      </w:r>
      <w:r w:rsidRPr="00311A0F">
        <w:tab/>
        <w:t xml:space="preserve">U82.3 Hypertension is a supplementary code, assigned when a condition is present on admission but that does not meet the criteria for coding as instructed by the general and specialty coding standards, coding conventions, and coding rules. </w:t>
      </w:r>
    </w:p>
    <w:p w14:paraId="2DEF865A" w14:textId="77777777" w:rsidR="00D6062B" w:rsidRPr="00D6062B" w:rsidRDefault="00D6062B" w:rsidP="00D6062B">
      <w:pPr>
        <w:pStyle w:val="Heading2"/>
      </w:pPr>
      <w:r w:rsidRPr="00D6062B">
        <w:lastRenderedPageBreak/>
        <w:t xml:space="preserve">Factors associated with a presentation to an emergency department or admission to hospital </w:t>
      </w:r>
    </w:p>
    <w:p w14:paraId="49CED972" w14:textId="50A1468F" w:rsidR="00E96FDF" w:rsidRPr="00835A89" w:rsidRDefault="00D6062B">
      <w:pPr>
        <w:rPr>
          <w:rStyle w:val="Strong"/>
          <w:b w:val="0"/>
          <w:bCs w:val="0"/>
        </w:rPr>
      </w:pPr>
      <w:r>
        <w:t xml:space="preserve">There were 1,148 people who were residents of Queensland with an onset date before 1 November 2020. Among these people, there was little variation in risks associated with presentation to an ED in relation to sociodemographic characteristics after adjustment for age and sex (Table 5), other than that those residing in outer regional areas had lower risk of presenting to an ED than did those in major cities (age-sex-adjusted RR: 0.64; 95% CI: 0.44, 0.92; test for trend: </w:t>
      </w:r>
      <w:r w:rsidRPr="00222AE1">
        <w:rPr>
          <w:rStyle w:val="Emphasis"/>
          <w:b w:val="0"/>
          <w:bCs w:val="0"/>
        </w:rPr>
        <w:t>p</w:t>
      </w:r>
      <w:r>
        <w:t xml:space="preserve"> = 0.007). In age-sex-adjusted models, there was evidence that those in </w:t>
      </w:r>
      <w:r w:rsidR="00E2143B">
        <w:t>less-disadvantaged</w:t>
      </w:r>
      <w:r>
        <w:t xml:space="preserve"> areas had higher risks of presenting to an ED (test for trend, </w:t>
      </w:r>
      <w:r w:rsidRPr="00222AE1">
        <w:rPr>
          <w:rStyle w:val="Emphasis"/>
          <w:b w:val="0"/>
          <w:bCs w:val="0"/>
        </w:rPr>
        <w:t>p</w:t>
      </w:r>
      <w:r>
        <w:t xml:space="preserve"> = 0.014); however, this association was no longer evident after ARIA+ region classification was considered. </w:t>
      </w:r>
    </w:p>
    <w:p w14:paraId="0361ABBB" w14:textId="77777777" w:rsidR="00B81C35" w:rsidRDefault="00B81C35">
      <w:pPr>
        <w:rPr>
          <w:rStyle w:val="Strong"/>
          <w:bCs w:val="0"/>
        </w:rPr>
      </w:pPr>
      <w:r>
        <w:rPr>
          <w:rStyle w:val="Strong"/>
          <w:b w:val="0"/>
          <w:bCs w:val="0"/>
        </w:rPr>
        <w:br w:type="page"/>
      </w:r>
    </w:p>
    <w:p w14:paraId="3112143B" w14:textId="229D30B1" w:rsidR="00E96FDF" w:rsidRPr="008231A7" w:rsidRDefault="00E96FDF" w:rsidP="00E96FDF">
      <w:pPr>
        <w:pStyle w:val="CDIFigures"/>
      </w:pPr>
      <w:r w:rsidRPr="008231A7">
        <w:rPr>
          <w:rStyle w:val="Strong"/>
          <w:b/>
          <w:bCs w:val="0"/>
        </w:rPr>
        <w:lastRenderedPageBreak/>
        <w:t>Table 5: Proportions and relative risks for emergency department presentation within two weeks of recorded symptom onset among Queensland residents with confirmed COVID-</w:t>
      </w:r>
      <w:proofErr w:type="gramStart"/>
      <w:r w:rsidRPr="008231A7">
        <w:rPr>
          <w:rStyle w:val="Strong"/>
          <w:b/>
          <w:bCs w:val="0"/>
        </w:rPr>
        <w:t>19,</w:t>
      </w:r>
      <w:r w:rsidRPr="008231A7">
        <w:rPr>
          <w:rStyle w:val="Strong"/>
          <w:b/>
          <w:bCs w:val="0"/>
          <w:vertAlign w:val="superscript"/>
        </w:rPr>
        <w:t>a</w:t>
      </w:r>
      <w:proofErr w:type="gramEnd"/>
      <w:r w:rsidRPr="008231A7">
        <w:rPr>
          <w:rStyle w:val="Strong"/>
          <w:b/>
          <w:bCs w:val="0"/>
        </w:rPr>
        <w:t xml:space="preserve"> in relation to key socio-demographic characteristics</w:t>
      </w:r>
    </w:p>
    <w:tbl>
      <w:tblPr>
        <w:tblStyle w:val="CDI-StandardTable"/>
        <w:tblW w:w="0" w:type="auto"/>
        <w:tblCellMar>
          <w:top w:w="28" w:type="dxa"/>
          <w:left w:w="57" w:type="dxa"/>
          <w:bottom w:w="28" w:type="dxa"/>
          <w:right w:w="57" w:type="dxa"/>
        </w:tblCellMar>
        <w:tblLook w:val="04A0" w:firstRow="1" w:lastRow="0" w:firstColumn="1" w:lastColumn="0" w:noHBand="0" w:noVBand="1"/>
        <w:tblDescription w:val="Table 5 presents the risks of presentation to an emergency department associated with sociodemographic and health characteristics for the 1148 cohort members who were residents of Queensland with an onset date before 1 November 2020. After adjustment for age and sex, the only sociodemographic factor associated with presentation to an emergency department was remoteness, such than compared to those living in major cities, those living in outer regional/ remote and very remote areas had 36% lower risk of presenting to an emergency department. Small numbers of cohort members with comorbid conditions resulted in imprecise estimates of risks associated with comorbidities."/>
      </w:tblPr>
      <w:tblGrid>
        <w:gridCol w:w="2552"/>
        <w:gridCol w:w="2977"/>
        <w:gridCol w:w="1559"/>
        <w:gridCol w:w="1843"/>
        <w:gridCol w:w="1509"/>
      </w:tblGrid>
      <w:tr w:rsidR="00E96FDF" w:rsidRPr="00B05E9E" w14:paraId="66BAA480" w14:textId="77777777" w:rsidTr="0008659E">
        <w:trPr>
          <w:cnfStyle w:val="100000000000" w:firstRow="1" w:lastRow="0" w:firstColumn="0" w:lastColumn="0" w:oddVBand="0" w:evenVBand="0" w:oddHBand="0" w:evenHBand="0" w:firstRowFirstColumn="0" w:firstRowLastColumn="0" w:lastRowFirstColumn="0" w:lastRowLastColumn="0"/>
          <w:tblHeader/>
        </w:trPr>
        <w:tc>
          <w:tcPr>
            <w:tcW w:w="2552" w:type="dxa"/>
            <w:tcBorders>
              <w:right w:val="single" w:sz="2" w:space="0" w:color="FFFFFF" w:themeColor="background1"/>
            </w:tcBorders>
            <w:hideMark/>
          </w:tcPr>
          <w:p w14:paraId="1D9EF0A1" w14:textId="77777777" w:rsidR="00E96FDF" w:rsidRPr="00B05E9E" w:rsidRDefault="00E96FDF" w:rsidP="00AF632F">
            <w:pPr>
              <w:rPr>
                <w:color w:val="FFFFFF" w:themeColor="background1"/>
                <w:sz w:val="18"/>
                <w:szCs w:val="18"/>
                <w:lang w:val="en-GB"/>
              </w:rPr>
            </w:pPr>
          </w:p>
        </w:tc>
        <w:tc>
          <w:tcPr>
            <w:tcW w:w="2977" w:type="dxa"/>
            <w:tcBorders>
              <w:left w:val="single" w:sz="2" w:space="0" w:color="FFFFFF" w:themeColor="background1"/>
              <w:right w:val="single" w:sz="2" w:space="0" w:color="FFFFFF" w:themeColor="background1"/>
            </w:tcBorders>
            <w:hideMark/>
          </w:tcPr>
          <w:p w14:paraId="7582181E" w14:textId="77777777" w:rsidR="00E96FDF" w:rsidRPr="00B05E9E" w:rsidRDefault="00E96FDF" w:rsidP="00AF632F">
            <w:pPr>
              <w:rPr>
                <w:rFonts w:eastAsia="Times New Roman"/>
                <w:color w:val="FFFFFF" w:themeColor="background1"/>
                <w:sz w:val="18"/>
                <w:szCs w:val="18"/>
              </w:rPr>
            </w:pPr>
          </w:p>
        </w:tc>
        <w:tc>
          <w:tcPr>
            <w:tcW w:w="1559" w:type="dxa"/>
            <w:tcBorders>
              <w:left w:val="single" w:sz="2" w:space="0" w:color="FFFFFF" w:themeColor="background1"/>
              <w:right w:val="single" w:sz="2" w:space="0" w:color="FFFFFF" w:themeColor="background1"/>
            </w:tcBorders>
            <w:hideMark/>
          </w:tcPr>
          <w:p w14:paraId="1AE4299E" w14:textId="77777777" w:rsidR="00E96FDF" w:rsidRPr="00B05E9E" w:rsidRDefault="00E96FDF" w:rsidP="00AF632F">
            <w:pPr>
              <w:pStyle w:val="NormalWeb"/>
              <w:jc w:val="center"/>
              <w:rPr>
                <w:color w:val="FFFFFF" w:themeColor="background1"/>
                <w:sz w:val="18"/>
                <w:szCs w:val="18"/>
              </w:rPr>
            </w:pPr>
            <w:r w:rsidRPr="00B05E9E">
              <w:rPr>
                <w:color w:val="FFFFFF" w:themeColor="background1"/>
                <w:sz w:val="18"/>
                <w:szCs w:val="18"/>
              </w:rPr>
              <w:t>Events/</w:t>
            </w:r>
            <w:r w:rsidRPr="00B05E9E">
              <w:rPr>
                <w:color w:val="FFFFFF" w:themeColor="background1"/>
                <w:sz w:val="18"/>
                <w:szCs w:val="18"/>
              </w:rPr>
              <w:br/>
              <w:t>persons</w:t>
            </w:r>
            <w:r w:rsidRPr="00B05E9E">
              <w:rPr>
                <w:color w:val="FFFFFF" w:themeColor="background1"/>
                <w:sz w:val="18"/>
                <w:szCs w:val="18"/>
              </w:rPr>
              <w:br/>
              <w:t>(%)</w:t>
            </w:r>
          </w:p>
        </w:tc>
        <w:tc>
          <w:tcPr>
            <w:tcW w:w="1843" w:type="dxa"/>
            <w:tcBorders>
              <w:left w:val="single" w:sz="2" w:space="0" w:color="FFFFFF" w:themeColor="background1"/>
              <w:right w:val="single" w:sz="2" w:space="0" w:color="FFFFFF" w:themeColor="background1"/>
            </w:tcBorders>
            <w:hideMark/>
          </w:tcPr>
          <w:p w14:paraId="3E1D4979" w14:textId="77777777" w:rsidR="00E96FDF" w:rsidRPr="00B05E9E" w:rsidRDefault="00E96FDF" w:rsidP="00AF632F">
            <w:pPr>
              <w:pStyle w:val="NormalWeb"/>
              <w:jc w:val="center"/>
              <w:rPr>
                <w:color w:val="FFFFFF" w:themeColor="background1"/>
                <w:sz w:val="18"/>
                <w:szCs w:val="18"/>
              </w:rPr>
            </w:pPr>
            <w:r w:rsidRPr="00B05E9E">
              <w:rPr>
                <w:color w:val="FFFFFF" w:themeColor="background1"/>
                <w:sz w:val="18"/>
                <w:szCs w:val="18"/>
              </w:rPr>
              <w:t>Model 1 RR</w:t>
            </w:r>
            <w:r w:rsidRPr="00B05E9E">
              <w:rPr>
                <w:color w:val="FFFFFF" w:themeColor="background1"/>
                <w:sz w:val="18"/>
                <w:szCs w:val="18"/>
              </w:rPr>
              <w:br/>
              <w:t>(95% CI)</w:t>
            </w:r>
          </w:p>
        </w:tc>
        <w:tc>
          <w:tcPr>
            <w:tcW w:w="1509" w:type="dxa"/>
            <w:tcBorders>
              <w:left w:val="single" w:sz="2" w:space="0" w:color="FFFFFF" w:themeColor="background1"/>
            </w:tcBorders>
            <w:hideMark/>
          </w:tcPr>
          <w:p w14:paraId="04986DD8" w14:textId="77777777" w:rsidR="00E96FDF" w:rsidRPr="00B05E9E" w:rsidRDefault="00E96FDF" w:rsidP="00AF632F">
            <w:pPr>
              <w:pStyle w:val="NormalWeb"/>
              <w:jc w:val="center"/>
              <w:rPr>
                <w:color w:val="FFFFFF" w:themeColor="background1"/>
                <w:sz w:val="18"/>
                <w:szCs w:val="18"/>
              </w:rPr>
            </w:pPr>
            <w:r w:rsidRPr="00B05E9E">
              <w:rPr>
                <w:color w:val="FFFFFF" w:themeColor="background1"/>
                <w:sz w:val="18"/>
                <w:szCs w:val="18"/>
              </w:rPr>
              <w:t>Model 2 RR</w:t>
            </w:r>
            <w:r w:rsidRPr="00B05E9E">
              <w:rPr>
                <w:color w:val="FFFFFF" w:themeColor="background1"/>
                <w:sz w:val="18"/>
                <w:szCs w:val="18"/>
              </w:rPr>
              <w:br/>
              <w:t>(95% CI)</w:t>
            </w:r>
          </w:p>
        </w:tc>
      </w:tr>
      <w:tr w:rsidR="00E96FDF" w:rsidRPr="00B05E9E" w14:paraId="2DB3CC99" w14:textId="77777777" w:rsidTr="0008659E">
        <w:tc>
          <w:tcPr>
            <w:tcW w:w="2552" w:type="dxa"/>
            <w:tcBorders>
              <w:bottom w:val="single" w:sz="2" w:space="0" w:color="000000" w:themeColor="text1"/>
            </w:tcBorders>
            <w:shd w:val="clear" w:color="auto" w:fill="FDE9D9" w:themeFill="accent6" w:themeFillTint="33"/>
            <w:hideMark/>
          </w:tcPr>
          <w:p w14:paraId="2145A2B6" w14:textId="77777777" w:rsidR="00E96FDF" w:rsidRPr="00B05E9E" w:rsidRDefault="00E96FDF" w:rsidP="00AF632F">
            <w:pPr>
              <w:pStyle w:val="NormalWeb"/>
              <w:rPr>
                <w:b/>
                <w:bCs/>
                <w:sz w:val="18"/>
                <w:szCs w:val="18"/>
              </w:rPr>
            </w:pPr>
            <w:r w:rsidRPr="00B05E9E">
              <w:rPr>
                <w:b/>
                <w:bCs/>
                <w:sz w:val="18"/>
                <w:szCs w:val="18"/>
              </w:rPr>
              <w:t>Total</w:t>
            </w:r>
          </w:p>
        </w:tc>
        <w:tc>
          <w:tcPr>
            <w:tcW w:w="2977" w:type="dxa"/>
            <w:tcBorders>
              <w:bottom w:val="single" w:sz="2" w:space="0" w:color="000000" w:themeColor="text1"/>
            </w:tcBorders>
            <w:shd w:val="clear" w:color="auto" w:fill="FDE9D9" w:themeFill="accent6" w:themeFillTint="33"/>
            <w:hideMark/>
          </w:tcPr>
          <w:p w14:paraId="077FDC4A" w14:textId="77777777" w:rsidR="00E96FDF" w:rsidRPr="00B05E9E" w:rsidRDefault="00E96FDF" w:rsidP="00AF632F">
            <w:pPr>
              <w:rPr>
                <w:b/>
                <w:bCs/>
                <w:sz w:val="18"/>
                <w:szCs w:val="18"/>
              </w:rPr>
            </w:pPr>
          </w:p>
        </w:tc>
        <w:tc>
          <w:tcPr>
            <w:tcW w:w="1559" w:type="dxa"/>
            <w:tcBorders>
              <w:bottom w:val="single" w:sz="2" w:space="0" w:color="000000" w:themeColor="text1"/>
            </w:tcBorders>
            <w:shd w:val="clear" w:color="auto" w:fill="FDE9D9" w:themeFill="accent6" w:themeFillTint="33"/>
            <w:hideMark/>
          </w:tcPr>
          <w:p w14:paraId="4F32B0E3" w14:textId="77777777" w:rsidR="00E96FDF" w:rsidRPr="00B05E9E" w:rsidRDefault="00E96FDF" w:rsidP="00AF632F">
            <w:pPr>
              <w:pStyle w:val="NormalWeb"/>
              <w:jc w:val="center"/>
              <w:rPr>
                <w:b/>
                <w:bCs/>
                <w:sz w:val="18"/>
                <w:szCs w:val="18"/>
              </w:rPr>
            </w:pPr>
            <w:r w:rsidRPr="00B05E9E">
              <w:rPr>
                <w:b/>
                <w:bCs/>
                <w:sz w:val="18"/>
                <w:szCs w:val="18"/>
              </w:rPr>
              <w:t>607/1,148 (52.9)</w:t>
            </w:r>
          </w:p>
        </w:tc>
        <w:tc>
          <w:tcPr>
            <w:tcW w:w="1843" w:type="dxa"/>
            <w:tcBorders>
              <w:bottom w:val="single" w:sz="2" w:space="0" w:color="000000" w:themeColor="text1"/>
            </w:tcBorders>
            <w:shd w:val="clear" w:color="auto" w:fill="FDE9D9" w:themeFill="accent6" w:themeFillTint="33"/>
            <w:hideMark/>
          </w:tcPr>
          <w:p w14:paraId="66B8E288" w14:textId="77777777" w:rsidR="00E96FDF" w:rsidRPr="00B05E9E" w:rsidRDefault="00E96FDF" w:rsidP="00AF632F">
            <w:pPr>
              <w:jc w:val="center"/>
              <w:rPr>
                <w:b/>
                <w:bCs/>
                <w:sz w:val="18"/>
                <w:szCs w:val="18"/>
              </w:rPr>
            </w:pPr>
          </w:p>
        </w:tc>
        <w:tc>
          <w:tcPr>
            <w:tcW w:w="1509" w:type="dxa"/>
            <w:tcBorders>
              <w:bottom w:val="single" w:sz="2" w:space="0" w:color="000000" w:themeColor="text1"/>
            </w:tcBorders>
            <w:shd w:val="clear" w:color="auto" w:fill="FDE9D9" w:themeFill="accent6" w:themeFillTint="33"/>
            <w:hideMark/>
          </w:tcPr>
          <w:p w14:paraId="5DD77517" w14:textId="77777777" w:rsidR="00E96FDF" w:rsidRPr="00B05E9E" w:rsidRDefault="00E96FDF" w:rsidP="00AF632F">
            <w:pPr>
              <w:jc w:val="center"/>
              <w:rPr>
                <w:rFonts w:eastAsia="Times New Roman"/>
                <w:b/>
                <w:bCs/>
                <w:sz w:val="18"/>
                <w:szCs w:val="18"/>
              </w:rPr>
            </w:pPr>
          </w:p>
        </w:tc>
      </w:tr>
      <w:tr w:rsidR="00E96FDF" w:rsidRPr="00B05E9E" w14:paraId="536EB0E5"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val="restart"/>
            <w:tcBorders>
              <w:top w:val="single" w:sz="2" w:space="0" w:color="000000" w:themeColor="text1"/>
              <w:bottom w:val="single" w:sz="2" w:space="0" w:color="FFFFFF" w:themeColor="background1"/>
            </w:tcBorders>
            <w:shd w:val="clear" w:color="auto" w:fill="auto"/>
            <w:vAlign w:val="center"/>
            <w:hideMark/>
          </w:tcPr>
          <w:p w14:paraId="65BCC9DE" w14:textId="77777777" w:rsidR="00E96FDF" w:rsidRPr="00B05E9E" w:rsidRDefault="00E96FDF" w:rsidP="00AF632F">
            <w:pPr>
              <w:pStyle w:val="NormalWeb"/>
              <w:rPr>
                <w:sz w:val="18"/>
                <w:szCs w:val="18"/>
              </w:rPr>
            </w:pPr>
            <w:r w:rsidRPr="00B05E9E">
              <w:rPr>
                <w:sz w:val="18"/>
                <w:szCs w:val="18"/>
              </w:rPr>
              <w:t>Age group (years)</w:t>
            </w:r>
            <w:r w:rsidRPr="00B05E9E">
              <w:rPr>
                <w:sz w:val="18"/>
                <w:szCs w:val="18"/>
                <w:vertAlign w:val="superscript"/>
              </w:rPr>
              <w:t>b</w:t>
            </w:r>
          </w:p>
        </w:tc>
        <w:tc>
          <w:tcPr>
            <w:tcW w:w="2977" w:type="dxa"/>
            <w:tcBorders>
              <w:top w:val="single" w:sz="2" w:space="0" w:color="000000" w:themeColor="text1"/>
              <w:bottom w:val="single" w:sz="2" w:space="0" w:color="FFFFFF" w:themeColor="background1"/>
            </w:tcBorders>
            <w:shd w:val="clear" w:color="auto" w:fill="auto"/>
            <w:hideMark/>
          </w:tcPr>
          <w:p w14:paraId="16994402" w14:textId="77777777" w:rsidR="00E96FDF" w:rsidRPr="00B05E9E" w:rsidRDefault="00E96FDF" w:rsidP="00AF632F">
            <w:pPr>
              <w:pStyle w:val="NormalWeb"/>
              <w:rPr>
                <w:sz w:val="18"/>
                <w:szCs w:val="18"/>
              </w:rPr>
            </w:pPr>
            <w:r w:rsidRPr="00B05E9E">
              <w:rPr>
                <w:sz w:val="18"/>
                <w:szCs w:val="18"/>
              </w:rPr>
              <w:t>0–19</w:t>
            </w:r>
          </w:p>
        </w:tc>
        <w:tc>
          <w:tcPr>
            <w:tcW w:w="1559" w:type="dxa"/>
            <w:tcBorders>
              <w:top w:val="single" w:sz="2" w:space="0" w:color="000000" w:themeColor="text1"/>
              <w:bottom w:val="single" w:sz="2" w:space="0" w:color="FFFFFF" w:themeColor="background1"/>
            </w:tcBorders>
            <w:shd w:val="clear" w:color="auto" w:fill="auto"/>
            <w:hideMark/>
          </w:tcPr>
          <w:p w14:paraId="10D2CBF5" w14:textId="77777777" w:rsidR="00E96FDF" w:rsidRPr="00B05E9E" w:rsidRDefault="00E96FDF" w:rsidP="00AF632F">
            <w:pPr>
              <w:pStyle w:val="NormalWeb"/>
              <w:jc w:val="center"/>
              <w:rPr>
                <w:sz w:val="18"/>
                <w:szCs w:val="18"/>
              </w:rPr>
            </w:pPr>
            <w:r w:rsidRPr="00B05E9E">
              <w:rPr>
                <w:sz w:val="18"/>
                <w:szCs w:val="18"/>
              </w:rPr>
              <w:t>24/63 (38.1)</w:t>
            </w:r>
          </w:p>
        </w:tc>
        <w:tc>
          <w:tcPr>
            <w:tcW w:w="1843" w:type="dxa"/>
            <w:tcBorders>
              <w:top w:val="single" w:sz="2" w:space="0" w:color="000000" w:themeColor="text1"/>
              <w:bottom w:val="single" w:sz="2" w:space="0" w:color="FFFFFF" w:themeColor="background1"/>
            </w:tcBorders>
            <w:shd w:val="clear" w:color="auto" w:fill="auto"/>
            <w:hideMark/>
          </w:tcPr>
          <w:p w14:paraId="01E73792" w14:textId="77777777" w:rsidR="00E96FDF" w:rsidRPr="00B05E9E" w:rsidRDefault="00E96FDF" w:rsidP="00AF632F">
            <w:pPr>
              <w:pStyle w:val="NormalWeb"/>
              <w:jc w:val="center"/>
              <w:rPr>
                <w:sz w:val="18"/>
                <w:szCs w:val="18"/>
              </w:rPr>
            </w:pPr>
            <w:r w:rsidRPr="00B05E9E">
              <w:rPr>
                <w:sz w:val="18"/>
                <w:szCs w:val="18"/>
              </w:rPr>
              <w:t>0.73 (0.48, 1.11)</w:t>
            </w:r>
          </w:p>
        </w:tc>
        <w:tc>
          <w:tcPr>
            <w:tcW w:w="1509" w:type="dxa"/>
            <w:tcBorders>
              <w:top w:val="single" w:sz="2" w:space="0" w:color="000000" w:themeColor="text1"/>
              <w:bottom w:val="single" w:sz="2" w:space="0" w:color="FFFFFF" w:themeColor="background1"/>
            </w:tcBorders>
            <w:shd w:val="clear" w:color="auto" w:fill="auto"/>
            <w:hideMark/>
          </w:tcPr>
          <w:p w14:paraId="1E4B8D0B" w14:textId="77777777" w:rsidR="00E96FDF" w:rsidRPr="00B05E9E" w:rsidRDefault="00E96FDF" w:rsidP="00AF632F">
            <w:pPr>
              <w:pStyle w:val="NormalWeb"/>
              <w:jc w:val="center"/>
              <w:rPr>
                <w:sz w:val="18"/>
                <w:szCs w:val="18"/>
              </w:rPr>
            </w:pPr>
            <w:r w:rsidRPr="00B05E9E">
              <w:rPr>
                <w:sz w:val="18"/>
                <w:szCs w:val="18"/>
              </w:rPr>
              <w:t>0.72 (0.47, 1.09)</w:t>
            </w:r>
          </w:p>
        </w:tc>
      </w:tr>
      <w:tr w:rsidR="00E96FDF" w:rsidRPr="00B05E9E" w14:paraId="3309A10D" w14:textId="77777777" w:rsidTr="0008659E">
        <w:tc>
          <w:tcPr>
            <w:tcW w:w="2552" w:type="dxa"/>
            <w:vMerge/>
            <w:tcBorders>
              <w:top w:val="single" w:sz="2" w:space="0" w:color="FFFFFF" w:themeColor="background1"/>
              <w:bottom w:val="single" w:sz="2" w:space="0" w:color="FFFFFF" w:themeColor="background1"/>
            </w:tcBorders>
            <w:shd w:val="clear" w:color="auto" w:fill="auto"/>
            <w:vAlign w:val="center"/>
            <w:hideMark/>
          </w:tcPr>
          <w:p w14:paraId="58852020" w14:textId="77777777" w:rsidR="00E96FDF" w:rsidRPr="00B05E9E" w:rsidRDefault="00E96FDF" w:rsidP="00AF632F">
            <w:pPr>
              <w:rPr>
                <w:sz w:val="18"/>
                <w:szCs w:val="18"/>
              </w:rPr>
            </w:pPr>
          </w:p>
        </w:tc>
        <w:tc>
          <w:tcPr>
            <w:tcW w:w="2977" w:type="dxa"/>
            <w:tcBorders>
              <w:top w:val="single" w:sz="2" w:space="0" w:color="FFFFFF" w:themeColor="background1"/>
              <w:bottom w:val="single" w:sz="2" w:space="0" w:color="FFFFFF" w:themeColor="background1"/>
            </w:tcBorders>
            <w:shd w:val="clear" w:color="auto" w:fill="auto"/>
            <w:hideMark/>
          </w:tcPr>
          <w:p w14:paraId="062E4ACA" w14:textId="77777777" w:rsidR="00E96FDF" w:rsidRPr="00B05E9E" w:rsidRDefault="00E96FDF" w:rsidP="00AF632F">
            <w:pPr>
              <w:pStyle w:val="NormalWeb"/>
              <w:rPr>
                <w:sz w:val="18"/>
                <w:szCs w:val="18"/>
              </w:rPr>
            </w:pPr>
            <w:r w:rsidRPr="00B05E9E">
              <w:rPr>
                <w:sz w:val="18"/>
                <w:szCs w:val="18"/>
              </w:rPr>
              <w:t>20–39</w:t>
            </w:r>
          </w:p>
        </w:tc>
        <w:tc>
          <w:tcPr>
            <w:tcW w:w="1559" w:type="dxa"/>
            <w:tcBorders>
              <w:top w:val="single" w:sz="2" w:space="0" w:color="FFFFFF" w:themeColor="background1"/>
              <w:bottom w:val="single" w:sz="2" w:space="0" w:color="FFFFFF" w:themeColor="background1"/>
            </w:tcBorders>
            <w:shd w:val="clear" w:color="auto" w:fill="auto"/>
            <w:hideMark/>
          </w:tcPr>
          <w:p w14:paraId="38F7CEB9" w14:textId="77777777" w:rsidR="00E96FDF" w:rsidRPr="00B05E9E" w:rsidRDefault="00E96FDF" w:rsidP="00AF632F">
            <w:pPr>
              <w:pStyle w:val="NormalWeb"/>
              <w:jc w:val="center"/>
              <w:rPr>
                <w:sz w:val="18"/>
                <w:szCs w:val="18"/>
              </w:rPr>
            </w:pPr>
            <w:r w:rsidRPr="00B05E9E">
              <w:rPr>
                <w:sz w:val="18"/>
                <w:szCs w:val="18"/>
              </w:rPr>
              <w:t>226/432 (52.3)</w:t>
            </w:r>
          </w:p>
        </w:tc>
        <w:tc>
          <w:tcPr>
            <w:tcW w:w="1843" w:type="dxa"/>
            <w:tcBorders>
              <w:top w:val="single" w:sz="2" w:space="0" w:color="FFFFFF" w:themeColor="background1"/>
              <w:bottom w:val="single" w:sz="2" w:space="0" w:color="FFFFFF" w:themeColor="background1"/>
            </w:tcBorders>
            <w:shd w:val="clear" w:color="auto" w:fill="auto"/>
            <w:hideMark/>
          </w:tcPr>
          <w:p w14:paraId="15C2508C" w14:textId="77777777" w:rsidR="00E96FDF" w:rsidRPr="00B05E9E" w:rsidRDefault="00E96FDF" w:rsidP="00AF632F">
            <w:pPr>
              <w:pStyle w:val="NormalWeb"/>
              <w:jc w:val="center"/>
              <w:rPr>
                <w:sz w:val="18"/>
                <w:szCs w:val="18"/>
              </w:rPr>
            </w:pPr>
            <w:r w:rsidRPr="00B05E9E">
              <w:rPr>
                <w:sz w:val="18"/>
                <w:szCs w:val="18"/>
              </w:rPr>
              <w:t>1.00</w:t>
            </w:r>
          </w:p>
        </w:tc>
        <w:tc>
          <w:tcPr>
            <w:tcW w:w="1509" w:type="dxa"/>
            <w:tcBorders>
              <w:top w:val="single" w:sz="2" w:space="0" w:color="FFFFFF" w:themeColor="background1"/>
              <w:bottom w:val="single" w:sz="2" w:space="0" w:color="FFFFFF" w:themeColor="background1"/>
            </w:tcBorders>
            <w:shd w:val="clear" w:color="auto" w:fill="auto"/>
            <w:hideMark/>
          </w:tcPr>
          <w:p w14:paraId="5A98CD52" w14:textId="77777777" w:rsidR="00E96FDF" w:rsidRPr="00B05E9E" w:rsidRDefault="00E96FDF" w:rsidP="00AF632F">
            <w:pPr>
              <w:pStyle w:val="NormalWeb"/>
              <w:jc w:val="center"/>
              <w:rPr>
                <w:sz w:val="18"/>
                <w:szCs w:val="18"/>
              </w:rPr>
            </w:pPr>
            <w:r w:rsidRPr="00B05E9E">
              <w:rPr>
                <w:sz w:val="18"/>
                <w:szCs w:val="18"/>
              </w:rPr>
              <w:t>1.00</w:t>
            </w:r>
          </w:p>
        </w:tc>
      </w:tr>
      <w:tr w:rsidR="00E96FDF" w:rsidRPr="00B05E9E" w14:paraId="6EB9D6F8"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FFFFFF" w:themeColor="background1"/>
              <w:bottom w:val="single" w:sz="2" w:space="0" w:color="FFFFFF" w:themeColor="background1"/>
            </w:tcBorders>
            <w:shd w:val="clear" w:color="auto" w:fill="auto"/>
            <w:vAlign w:val="center"/>
            <w:hideMark/>
          </w:tcPr>
          <w:p w14:paraId="13743688" w14:textId="77777777" w:rsidR="00E96FDF" w:rsidRPr="00B05E9E" w:rsidRDefault="00E96FDF" w:rsidP="00AF632F">
            <w:pPr>
              <w:rPr>
                <w:sz w:val="18"/>
                <w:szCs w:val="18"/>
              </w:rPr>
            </w:pPr>
          </w:p>
        </w:tc>
        <w:tc>
          <w:tcPr>
            <w:tcW w:w="2977" w:type="dxa"/>
            <w:tcBorders>
              <w:top w:val="single" w:sz="2" w:space="0" w:color="FFFFFF" w:themeColor="background1"/>
              <w:bottom w:val="single" w:sz="2" w:space="0" w:color="FFFFFF" w:themeColor="background1"/>
            </w:tcBorders>
            <w:shd w:val="clear" w:color="auto" w:fill="auto"/>
            <w:hideMark/>
          </w:tcPr>
          <w:p w14:paraId="6C5CCBD5" w14:textId="77777777" w:rsidR="00E96FDF" w:rsidRPr="00B05E9E" w:rsidRDefault="00E96FDF" w:rsidP="00AF632F">
            <w:pPr>
              <w:pStyle w:val="NormalWeb"/>
              <w:rPr>
                <w:sz w:val="18"/>
                <w:szCs w:val="18"/>
              </w:rPr>
            </w:pPr>
            <w:r w:rsidRPr="00B05E9E">
              <w:rPr>
                <w:sz w:val="18"/>
                <w:szCs w:val="18"/>
              </w:rPr>
              <w:t>40–59</w:t>
            </w:r>
          </w:p>
        </w:tc>
        <w:tc>
          <w:tcPr>
            <w:tcW w:w="1559" w:type="dxa"/>
            <w:tcBorders>
              <w:top w:val="single" w:sz="2" w:space="0" w:color="FFFFFF" w:themeColor="background1"/>
              <w:bottom w:val="single" w:sz="2" w:space="0" w:color="FFFFFF" w:themeColor="background1"/>
            </w:tcBorders>
            <w:shd w:val="clear" w:color="auto" w:fill="auto"/>
            <w:hideMark/>
          </w:tcPr>
          <w:p w14:paraId="3F048EB5" w14:textId="77777777" w:rsidR="00E96FDF" w:rsidRPr="00B05E9E" w:rsidRDefault="00E96FDF" w:rsidP="00AF632F">
            <w:pPr>
              <w:pStyle w:val="NormalWeb"/>
              <w:jc w:val="center"/>
              <w:rPr>
                <w:sz w:val="18"/>
                <w:szCs w:val="18"/>
              </w:rPr>
            </w:pPr>
            <w:r w:rsidRPr="00B05E9E">
              <w:rPr>
                <w:sz w:val="18"/>
                <w:szCs w:val="18"/>
              </w:rPr>
              <w:t>172/328 (52.4)</w:t>
            </w:r>
          </w:p>
        </w:tc>
        <w:tc>
          <w:tcPr>
            <w:tcW w:w="1843" w:type="dxa"/>
            <w:tcBorders>
              <w:top w:val="single" w:sz="2" w:space="0" w:color="FFFFFF" w:themeColor="background1"/>
              <w:bottom w:val="single" w:sz="2" w:space="0" w:color="FFFFFF" w:themeColor="background1"/>
            </w:tcBorders>
            <w:shd w:val="clear" w:color="auto" w:fill="auto"/>
            <w:hideMark/>
          </w:tcPr>
          <w:p w14:paraId="2CE397FD" w14:textId="77777777" w:rsidR="00E96FDF" w:rsidRPr="00B05E9E" w:rsidRDefault="00E96FDF" w:rsidP="00AF632F">
            <w:pPr>
              <w:pStyle w:val="NormalWeb"/>
              <w:jc w:val="center"/>
              <w:rPr>
                <w:sz w:val="18"/>
                <w:szCs w:val="18"/>
              </w:rPr>
            </w:pPr>
            <w:r w:rsidRPr="00B05E9E">
              <w:rPr>
                <w:sz w:val="18"/>
                <w:szCs w:val="18"/>
              </w:rPr>
              <w:t>1.00 (0.82, 1.22)</w:t>
            </w:r>
          </w:p>
        </w:tc>
        <w:tc>
          <w:tcPr>
            <w:tcW w:w="1509" w:type="dxa"/>
            <w:tcBorders>
              <w:top w:val="single" w:sz="2" w:space="0" w:color="FFFFFF" w:themeColor="background1"/>
              <w:bottom w:val="single" w:sz="2" w:space="0" w:color="FFFFFF" w:themeColor="background1"/>
            </w:tcBorders>
            <w:shd w:val="clear" w:color="auto" w:fill="auto"/>
            <w:hideMark/>
          </w:tcPr>
          <w:p w14:paraId="324A7D68" w14:textId="77777777" w:rsidR="00E96FDF" w:rsidRPr="00B05E9E" w:rsidRDefault="00E96FDF" w:rsidP="00AF632F">
            <w:pPr>
              <w:pStyle w:val="NormalWeb"/>
              <w:jc w:val="center"/>
              <w:rPr>
                <w:sz w:val="18"/>
                <w:szCs w:val="18"/>
              </w:rPr>
            </w:pPr>
            <w:r w:rsidRPr="00B05E9E">
              <w:rPr>
                <w:sz w:val="18"/>
                <w:szCs w:val="18"/>
              </w:rPr>
              <w:t>1.01 (0.82, 1.23)</w:t>
            </w:r>
          </w:p>
        </w:tc>
      </w:tr>
      <w:tr w:rsidR="00E96FDF" w:rsidRPr="00B05E9E" w14:paraId="26CCDC60" w14:textId="77777777" w:rsidTr="0008659E">
        <w:tc>
          <w:tcPr>
            <w:tcW w:w="2552" w:type="dxa"/>
            <w:vMerge/>
            <w:tcBorders>
              <w:top w:val="single" w:sz="2" w:space="0" w:color="FFFFFF" w:themeColor="background1"/>
              <w:bottom w:val="single" w:sz="2" w:space="0" w:color="FFFFFF" w:themeColor="background1"/>
            </w:tcBorders>
            <w:shd w:val="clear" w:color="auto" w:fill="auto"/>
            <w:vAlign w:val="center"/>
            <w:hideMark/>
          </w:tcPr>
          <w:p w14:paraId="6A78E047" w14:textId="77777777" w:rsidR="00E96FDF" w:rsidRPr="00B05E9E" w:rsidRDefault="00E96FDF" w:rsidP="00AF632F">
            <w:pPr>
              <w:rPr>
                <w:sz w:val="18"/>
                <w:szCs w:val="18"/>
              </w:rPr>
            </w:pPr>
          </w:p>
        </w:tc>
        <w:tc>
          <w:tcPr>
            <w:tcW w:w="2977" w:type="dxa"/>
            <w:tcBorders>
              <w:top w:val="single" w:sz="2" w:space="0" w:color="FFFFFF" w:themeColor="background1"/>
              <w:bottom w:val="single" w:sz="2" w:space="0" w:color="FFFFFF" w:themeColor="background1"/>
            </w:tcBorders>
            <w:shd w:val="clear" w:color="auto" w:fill="auto"/>
            <w:hideMark/>
          </w:tcPr>
          <w:p w14:paraId="3A40EB1F" w14:textId="77777777" w:rsidR="00E96FDF" w:rsidRPr="00B05E9E" w:rsidRDefault="00E96FDF" w:rsidP="00AF632F">
            <w:pPr>
              <w:pStyle w:val="NormalWeb"/>
              <w:rPr>
                <w:sz w:val="18"/>
                <w:szCs w:val="18"/>
              </w:rPr>
            </w:pPr>
            <w:r w:rsidRPr="00B05E9E">
              <w:rPr>
                <w:sz w:val="18"/>
                <w:szCs w:val="18"/>
              </w:rPr>
              <w:t>60–74</w:t>
            </w:r>
          </w:p>
        </w:tc>
        <w:tc>
          <w:tcPr>
            <w:tcW w:w="1559" w:type="dxa"/>
            <w:tcBorders>
              <w:top w:val="single" w:sz="2" w:space="0" w:color="FFFFFF" w:themeColor="background1"/>
              <w:bottom w:val="single" w:sz="2" w:space="0" w:color="FFFFFF" w:themeColor="background1"/>
            </w:tcBorders>
            <w:shd w:val="clear" w:color="auto" w:fill="auto"/>
            <w:hideMark/>
          </w:tcPr>
          <w:p w14:paraId="6788CA3E" w14:textId="77777777" w:rsidR="00E96FDF" w:rsidRPr="00B05E9E" w:rsidRDefault="00E96FDF" w:rsidP="00AF632F">
            <w:pPr>
              <w:pStyle w:val="NormalWeb"/>
              <w:jc w:val="center"/>
              <w:rPr>
                <w:sz w:val="18"/>
                <w:szCs w:val="18"/>
              </w:rPr>
            </w:pPr>
            <w:r w:rsidRPr="00B05E9E">
              <w:rPr>
                <w:sz w:val="18"/>
                <w:szCs w:val="18"/>
              </w:rPr>
              <w:t>148/264 (56.1)</w:t>
            </w:r>
          </w:p>
        </w:tc>
        <w:tc>
          <w:tcPr>
            <w:tcW w:w="1843" w:type="dxa"/>
            <w:tcBorders>
              <w:top w:val="single" w:sz="2" w:space="0" w:color="FFFFFF" w:themeColor="background1"/>
              <w:bottom w:val="single" w:sz="2" w:space="0" w:color="FFFFFF" w:themeColor="background1"/>
            </w:tcBorders>
            <w:shd w:val="clear" w:color="auto" w:fill="auto"/>
            <w:hideMark/>
          </w:tcPr>
          <w:p w14:paraId="05C39F64" w14:textId="77777777" w:rsidR="00E96FDF" w:rsidRPr="00B05E9E" w:rsidRDefault="00E96FDF" w:rsidP="00AF632F">
            <w:pPr>
              <w:pStyle w:val="NormalWeb"/>
              <w:jc w:val="center"/>
              <w:rPr>
                <w:sz w:val="18"/>
                <w:szCs w:val="18"/>
              </w:rPr>
            </w:pPr>
            <w:r w:rsidRPr="00B05E9E">
              <w:rPr>
                <w:sz w:val="18"/>
                <w:szCs w:val="18"/>
              </w:rPr>
              <w:t>1.07 (0.87, 1.32)</w:t>
            </w:r>
          </w:p>
        </w:tc>
        <w:tc>
          <w:tcPr>
            <w:tcW w:w="1509" w:type="dxa"/>
            <w:tcBorders>
              <w:top w:val="single" w:sz="2" w:space="0" w:color="FFFFFF" w:themeColor="background1"/>
              <w:bottom w:val="single" w:sz="2" w:space="0" w:color="FFFFFF" w:themeColor="background1"/>
            </w:tcBorders>
            <w:shd w:val="clear" w:color="auto" w:fill="auto"/>
            <w:hideMark/>
          </w:tcPr>
          <w:p w14:paraId="3CC68443" w14:textId="77777777" w:rsidR="00E96FDF" w:rsidRPr="00B05E9E" w:rsidRDefault="00E96FDF" w:rsidP="00AF632F">
            <w:pPr>
              <w:pStyle w:val="NormalWeb"/>
              <w:jc w:val="center"/>
              <w:rPr>
                <w:sz w:val="18"/>
                <w:szCs w:val="18"/>
              </w:rPr>
            </w:pPr>
            <w:r w:rsidRPr="00B05E9E">
              <w:rPr>
                <w:sz w:val="18"/>
                <w:szCs w:val="18"/>
              </w:rPr>
              <w:t>1.08 (0.88, 1.33)</w:t>
            </w:r>
          </w:p>
        </w:tc>
      </w:tr>
      <w:tr w:rsidR="00E96FDF" w:rsidRPr="00B05E9E" w14:paraId="49E98D63"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FFFFFF" w:themeColor="background1"/>
              <w:bottom w:val="single" w:sz="2" w:space="0" w:color="000000" w:themeColor="text1"/>
            </w:tcBorders>
            <w:shd w:val="clear" w:color="auto" w:fill="auto"/>
            <w:vAlign w:val="center"/>
            <w:hideMark/>
          </w:tcPr>
          <w:p w14:paraId="1C2F2725" w14:textId="77777777" w:rsidR="00E96FDF" w:rsidRPr="00B05E9E" w:rsidRDefault="00E96FDF" w:rsidP="00AF632F">
            <w:pPr>
              <w:rPr>
                <w:sz w:val="18"/>
                <w:szCs w:val="18"/>
              </w:rPr>
            </w:pPr>
          </w:p>
        </w:tc>
        <w:tc>
          <w:tcPr>
            <w:tcW w:w="2977" w:type="dxa"/>
            <w:tcBorders>
              <w:top w:val="single" w:sz="2" w:space="0" w:color="FFFFFF" w:themeColor="background1"/>
              <w:bottom w:val="single" w:sz="2" w:space="0" w:color="000000" w:themeColor="text1"/>
            </w:tcBorders>
            <w:shd w:val="clear" w:color="auto" w:fill="auto"/>
            <w:hideMark/>
          </w:tcPr>
          <w:p w14:paraId="57FD68DE" w14:textId="77777777" w:rsidR="00E96FDF" w:rsidRPr="00B05E9E" w:rsidRDefault="00E96FDF" w:rsidP="00AF632F">
            <w:pPr>
              <w:pStyle w:val="NormalWeb"/>
              <w:rPr>
                <w:sz w:val="18"/>
                <w:szCs w:val="18"/>
              </w:rPr>
            </w:pPr>
            <w:r w:rsidRPr="00B05E9E">
              <w:rPr>
                <w:sz w:val="18"/>
                <w:szCs w:val="18"/>
              </w:rPr>
              <w:t>75+</w:t>
            </w:r>
          </w:p>
        </w:tc>
        <w:tc>
          <w:tcPr>
            <w:tcW w:w="1559" w:type="dxa"/>
            <w:tcBorders>
              <w:top w:val="single" w:sz="2" w:space="0" w:color="FFFFFF" w:themeColor="background1"/>
              <w:bottom w:val="single" w:sz="2" w:space="0" w:color="000000" w:themeColor="text1"/>
            </w:tcBorders>
            <w:shd w:val="clear" w:color="auto" w:fill="auto"/>
            <w:hideMark/>
          </w:tcPr>
          <w:p w14:paraId="2FACEFDB" w14:textId="77777777" w:rsidR="00E96FDF" w:rsidRPr="00B05E9E" w:rsidRDefault="00E96FDF" w:rsidP="00AF632F">
            <w:pPr>
              <w:pStyle w:val="NormalWeb"/>
              <w:jc w:val="center"/>
              <w:rPr>
                <w:sz w:val="18"/>
                <w:szCs w:val="18"/>
              </w:rPr>
            </w:pPr>
            <w:r w:rsidRPr="00B05E9E">
              <w:rPr>
                <w:sz w:val="18"/>
                <w:szCs w:val="18"/>
              </w:rPr>
              <w:t>37/61 (60.7)</w:t>
            </w:r>
          </w:p>
        </w:tc>
        <w:tc>
          <w:tcPr>
            <w:tcW w:w="1843" w:type="dxa"/>
            <w:tcBorders>
              <w:top w:val="single" w:sz="2" w:space="0" w:color="FFFFFF" w:themeColor="background1"/>
              <w:bottom w:val="single" w:sz="2" w:space="0" w:color="000000" w:themeColor="text1"/>
            </w:tcBorders>
            <w:shd w:val="clear" w:color="auto" w:fill="auto"/>
            <w:hideMark/>
          </w:tcPr>
          <w:p w14:paraId="187A6AEB" w14:textId="77777777" w:rsidR="00E96FDF" w:rsidRPr="00B05E9E" w:rsidRDefault="00E96FDF" w:rsidP="00AF632F">
            <w:pPr>
              <w:pStyle w:val="NormalWeb"/>
              <w:jc w:val="center"/>
              <w:rPr>
                <w:sz w:val="18"/>
                <w:szCs w:val="18"/>
              </w:rPr>
            </w:pPr>
            <w:r w:rsidRPr="00B05E9E">
              <w:rPr>
                <w:sz w:val="18"/>
                <w:szCs w:val="18"/>
              </w:rPr>
              <w:t>1.16 (0.82, 1.65)</w:t>
            </w:r>
          </w:p>
        </w:tc>
        <w:tc>
          <w:tcPr>
            <w:tcW w:w="1509" w:type="dxa"/>
            <w:tcBorders>
              <w:top w:val="single" w:sz="2" w:space="0" w:color="FFFFFF" w:themeColor="background1"/>
              <w:bottom w:val="single" w:sz="2" w:space="0" w:color="000000" w:themeColor="text1"/>
            </w:tcBorders>
            <w:shd w:val="clear" w:color="auto" w:fill="auto"/>
            <w:hideMark/>
          </w:tcPr>
          <w:p w14:paraId="2B64825A" w14:textId="77777777" w:rsidR="00E96FDF" w:rsidRPr="00B05E9E" w:rsidRDefault="00E96FDF" w:rsidP="00AF632F">
            <w:pPr>
              <w:pStyle w:val="NormalWeb"/>
              <w:jc w:val="center"/>
              <w:rPr>
                <w:sz w:val="18"/>
                <w:szCs w:val="18"/>
              </w:rPr>
            </w:pPr>
            <w:r w:rsidRPr="00B05E9E">
              <w:rPr>
                <w:sz w:val="18"/>
                <w:szCs w:val="18"/>
              </w:rPr>
              <w:t>1.18 (0.83, 1.68)</w:t>
            </w:r>
          </w:p>
        </w:tc>
      </w:tr>
      <w:tr w:rsidR="00E96FDF" w:rsidRPr="00B05E9E" w14:paraId="3AD6EF23" w14:textId="77777777" w:rsidTr="0008659E">
        <w:tc>
          <w:tcPr>
            <w:tcW w:w="2552" w:type="dxa"/>
            <w:vMerge w:val="restart"/>
            <w:tcBorders>
              <w:top w:val="single" w:sz="2" w:space="0" w:color="000000" w:themeColor="text1"/>
              <w:bottom w:val="single" w:sz="2" w:space="0" w:color="FFFFFF" w:themeColor="background1"/>
            </w:tcBorders>
            <w:shd w:val="clear" w:color="auto" w:fill="auto"/>
            <w:vAlign w:val="center"/>
            <w:hideMark/>
          </w:tcPr>
          <w:p w14:paraId="1FE1EEE0" w14:textId="77777777" w:rsidR="00E96FDF" w:rsidRPr="00B05E9E" w:rsidRDefault="00E96FDF" w:rsidP="00AF632F">
            <w:pPr>
              <w:pStyle w:val="NormalWeb"/>
              <w:rPr>
                <w:sz w:val="18"/>
                <w:szCs w:val="18"/>
              </w:rPr>
            </w:pPr>
            <w:proofErr w:type="spellStart"/>
            <w:r w:rsidRPr="00B05E9E">
              <w:rPr>
                <w:sz w:val="18"/>
                <w:szCs w:val="18"/>
              </w:rPr>
              <w:t>Sex</w:t>
            </w:r>
            <w:r w:rsidRPr="00B05E9E">
              <w:rPr>
                <w:sz w:val="18"/>
                <w:szCs w:val="18"/>
                <w:vertAlign w:val="superscript"/>
              </w:rPr>
              <w:t>b</w:t>
            </w:r>
            <w:proofErr w:type="spellEnd"/>
          </w:p>
        </w:tc>
        <w:tc>
          <w:tcPr>
            <w:tcW w:w="2977" w:type="dxa"/>
            <w:tcBorders>
              <w:top w:val="single" w:sz="2" w:space="0" w:color="000000" w:themeColor="text1"/>
              <w:bottom w:val="single" w:sz="2" w:space="0" w:color="FFFFFF" w:themeColor="background1"/>
            </w:tcBorders>
            <w:shd w:val="clear" w:color="auto" w:fill="auto"/>
            <w:hideMark/>
          </w:tcPr>
          <w:p w14:paraId="3995CE08" w14:textId="77777777" w:rsidR="00E96FDF" w:rsidRPr="00B05E9E" w:rsidRDefault="00E96FDF" w:rsidP="00AF632F">
            <w:pPr>
              <w:pStyle w:val="NormalWeb"/>
              <w:rPr>
                <w:sz w:val="18"/>
                <w:szCs w:val="18"/>
              </w:rPr>
            </w:pPr>
            <w:r w:rsidRPr="00B05E9E">
              <w:rPr>
                <w:sz w:val="18"/>
                <w:szCs w:val="18"/>
              </w:rPr>
              <w:t>Male</w:t>
            </w:r>
          </w:p>
        </w:tc>
        <w:tc>
          <w:tcPr>
            <w:tcW w:w="1559" w:type="dxa"/>
            <w:tcBorders>
              <w:top w:val="single" w:sz="2" w:space="0" w:color="000000" w:themeColor="text1"/>
              <w:bottom w:val="single" w:sz="2" w:space="0" w:color="FFFFFF" w:themeColor="background1"/>
            </w:tcBorders>
            <w:shd w:val="clear" w:color="auto" w:fill="auto"/>
            <w:hideMark/>
          </w:tcPr>
          <w:p w14:paraId="430DEDC3" w14:textId="77777777" w:rsidR="00E96FDF" w:rsidRPr="00B05E9E" w:rsidRDefault="00E96FDF" w:rsidP="00AF632F">
            <w:pPr>
              <w:pStyle w:val="NormalWeb"/>
              <w:jc w:val="center"/>
              <w:rPr>
                <w:sz w:val="18"/>
                <w:szCs w:val="18"/>
              </w:rPr>
            </w:pPr>
            <w:r w:rsidRPr="00B05E9E">
              <w:rPr>
                <w:sz w:val="18"/>
                <w:szCs w:val="18"/>
              </w:rPr>
              <w:t>300/566 (53.0)</w:t>
            </w:r>
          </w:p>
        </w:tc>
        <w:tc>
          <w:tcPr>
            <w:tcW w:w="1843" w:type="dxa"/>
            <w:tcBorders>
              <w:top w:val="single" w:sz="2" w:space="0" w:color="000000" w:themeColor="text1"/>
              <w:bottom w:val="single" w:sz="2" w:space="0" w:color="FFFFFF" w:themeColor="background1"/>
            </w:tcBorders>
            <w:shd w:val="clear" w:color="auto" w:fill="auto"/>
            <w:hideMark/>
          </w:tcPr>
          <w:p w14:paraId="0867180D" w14:textId="77777777" w:rsidR="00E96FDF" w:rsidRPr="00B05E9E" w:rsidRDefault="00E96FDF" w:rsidP="00AF632F">
            <w:pPr>
              <w:pStyle w:val="NormalWeb"/>
              <w:jc w:val="center"/>
              <w:rPr>
                <w:sz w:val="18"/>
                <w:szCs w:val="18"/>
              </w:rPr>
            </w:pPr>
            <w:r w:rsidRPr="00B05E9E">
              <w:rPr>
                <w:sz w:val="18"/>
                <w:szCs w:val="18"/>
              </w:rPr>
              <w:t>1.00</w:t>
            </w:r>
          </w:p>
        </w:tc>
        <w:tc>
          <w:tcPr>
            <w:tcW w:w="1509" w:type="dxa"/>
            <w:tcBorders>
              <w:top w:val="single" w:sz="2" w:space="0" w:color="000000" w:themeColor="text1"/>
              <w:bottom w:val="single" w:sz="2" w:space="0" w:color="FFFFFF" w:themeColor="background1"/>
            </w:tcBorders>
            <w:shd w:val="clear" w:color="auto" w:fill="auto"/>
            <w:hideMark/>
          </w:tcPr>
          <w:p w14:paraId="761265C3" w14:textId="77777777" w:rsidR="00E96FDF" w:rsidRPr="00B05E9E" w:rsidRDefault="00E96FDF" w:rsidP="00AF632F">
            <w:pPr>
              <w:pStyle w:val="NormalWeb"/>
              <w:jc w:val="center"/>
              <w:rPr>
                <w:sz w:val="18"/>
                <w:szCs w:val="18"/>
              </w:rPr>
            </w:pPr>
            <w:r w:rsidRPr="00B05E9E">
              <w:rPr>
                <w:sz w:val="18"/>
                <w:szCs w:val="18"/>
              </w:rPr>
              <w:t>1.00</w:t>
            </w:r>
          </w:p>
        </w:tc>
      </w:tr>
      <w:tr w:rsidR="00E96FDF" w:rsidRPr="00B05E9E" w14:paraId="5E9920BA"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FFFFFF" w:themeColor="background1"/>
              <w:bottom w:val="single" w:sz="2" w:space="0" w:color="000000" w:themeColor="text1"/>
            </w:tcBorders>
            <w:shd w:val="clear" w:color="auto" w:fill="auto"/>
            <w:vAlign w:val="center"/>
            <w:hideMark/>
          </w:tcPr>
          <w:p w14:paraId="62A0F0F2" w14:textId="77777777" w:rsidR="00E96FDF" w:rsidRPr="00B05E9E" w:rsidRDefault="00E96FDF" w:rsidP="00AF632F">
            <w:pPr>
              <w:rPr>
                <w:sz w:val="18"/>
                <w:szCs w:val="18"/>
              </w:rPr>
            </w:pPr>
          </w:p>
        </w:tc>
        <w:tc>
          <w:tcPr>
            <w:tcW w:w="2977" w:type="dxa"/>
            <w:tcBorders>
              <w:top w:val="single" w:sz="2" w:space="0" w:color="FFFFFF" w:themeColor="background1"/>
              <w:bottom w:val="single" w:sz="2" w:space="0" w:color="000000" w:themeColor="text1"/>
            </w:tcBorders>
            <w:shd w:val="clear" w:color="auto" w:fill="auto"/>
            <w:hideMark/>
          </w:tcPr>
          <w:p w14:paraId="53486EF2" w14:textId="77777777" w:rsidR="00E96FDF" w:rsidRPr="00B05E9E" w:rsidRDefault="00E96FDF" w:rsidP="00AF632F">
            <w:pPr>
              <w:pStyle w:val="NormalWeb"/>
              <w:rPr>
                <w:sz w:val="18"/>
                <w:szCs w:val="18"/>
              </w:rPr>
            </w:pPr>
            <w:r w:rsidRPr="00B05E9E">
              <w:rPr>
                <w:sz w:val="18"/>
                <w:szCs w:val="18"/>
              </w:rPr>
              <w:t>Female</w:t>
            </w:r>
          </w:p>
        </w:tc>
        <w:tc>
          <w:tcPr>
            <w:tcW w:w="1559" w:type="dxa"/>
            <w:tcBorders>
              <w:top w:val="single" w:sz="2" w:space="0" w:color="FFFFFF" w:themeColor="background1"/>
              <w:bottom w:val="single" w:sz="2" w:space="0" w:color="000000" w:themeColor="text1"/>
            </w:tcBorders>
            <w:shd w:val="clear" w:color="auto" w:fill="auto"/>
            <w:hideMark/>
          </w:tcPr>
          <w:p w14:paraId="1CD51D7F" w14:textId="77777777" w:rsidR="00E96FDF" w:rsidRPr="00B05E9E" w:rsidRDefault="00E96FDF" w:rsidP="00AF632F">
            <w:pPr>
              <w:pStyle w:val="NormalWeb"/>
              <w:jc w:val="center"/>
              <w:rPr>
                <w:sz w:val="18"/>
                <w:szCs w:val="18"/>
              </w:rPr>
            </w:pPr>
            <w:r w:rsidRPr="00B05E9E">
              <w:rPr>
                <w:sz w:val="18"/>
                <w:szCs w:val="18"/>
              </w:rPr>
              <w:t>307/582 (52.7)</w:t>
            </w:r>
          </w:p>
        </w:tc>
        <w:tc>
          <w:tcPr>
            <w:tcW w:w="1843" w:type="dxa"/>
            <w:tcBorders>
              <w:top w:val="single" w:sz="2" w:space="0" w:color="FFFFFF" w:themeColor="background1"/>
              <w:bottom w:val="single" w:sz="2" w:space="0" w:color="000000" w:themeColor="text1"/>
            </w:tcBorders>
            <w:shd w:val="clear" w:color="auto" w:fill="auto"/>
            <w:hideMark/>
          </w:tcPr>
          <w:p w14:paraId="36D953F9" w14:textId="77777777" w:rsidR="00E96FDF" w:rsidRPr="00B05E9E" w:rsidRDefault="00E96FDF" w:rsidP="00AF632F">
            <w:pPr>
              <w:pStyle w:val="NormalWeb"/>
              <w:jc w:val="center"/>
              <w:rPr>
                <w:sz w:val="18"/>
                <w:szCs w:val="18"/>
              </w:rPr>
            </w:pPr>
            <w:r w:rsidRPr="00B05E9E">
              <w:rPr>
                <w:sz w:val="18"/>
                <w:szCs w:val="18"/>
              </w:rPr>
              <w:t>1.00 (0.85, 1.18)</w:t>
            </w:r>
          </w:p>
        </w:tc>
        <w:tc>
          <w:tcPr>
            <w:tcW w:w="1509" w:type="dxa"/>
            <w:tcBorders>
              <w:top w:val="single" w:sz="2" w:space="0" w:color="FFFFFF" w:themeColor="background1"/>
              <w:bottom w:val="single" w:sz="2" w:space="0" w:color="000000" w:themeColor="text1"/>
            </w:tcBorders>
            <w:shd w:val="clear" w:color="auto" w:fill="auto"/>
            <w:hideMark/>
          </w:tcPr>
          <w:p w14:paraId="4A775232" w14:textId="77777777" w:rsidR="00E96FDF" w:rsidRPr="00B05E9E" w:rsidRDefault="00E96FDF" w:rsidP="00AF632F">
            <w:pPr>
              <w:pStyle w:val="NormalWeb"/>
              <w:jc w:val="center"/>
              <w:rPr>
                <w:sz w:val="18"/>
                <w:szCs w:val="18"/>
              </w:rPr>
            </w:pPr>
            <w:r w:rsidRPr="00B05E9E">
              <w:rPr>
                <w:sz w:val="18"/>
                <w:szCs w:val="18"/>
              </w:rPr>
              <w:t>1.00 (0.85, 1.17)</w:t>
            </w:r>
          </w:p>
        </w:tc>
      </w:tr>
      <w:tr w:rsidR="00E96FDF" w:rsidRPr="00B05E9E" w14:paraId="1E8C67B8" w14:textId="77777777" w:rsidTr="0008659E">
        <w:tc>
          <w:tcPr>
            <w:tcW w:w="2552" w:type="dxa"/>
            <w:vMerge w:val="restart"/>
            <w:tcBorders>
              <w:top w:val="single" w:sz="2" w:space="0" w:color="000000" w:themeColor="text1"/>
            </w:tcBorders>
            <w:shd w:val="clear" w:color="auto" w:fill="auto"/>
            <w:vAlign w:val="center"/>
            <w:hideMark/>
          </w:tcPr>
          <w:p w14:paraId="3389743C" w14:textId="77777777" w:rsidR="00E96FDF" w:rsidRPr="00B05E9E" w:rsidRDefault="00E96FDF" w:rsidP="00AF632F">
            <w:pPr>
              <w:pStyle w:val="NormalWeb"/>
              <w:rPr>
                <w:sz w:val="18"/>
                <w:szCs w:val="18"/>
              </w:rPr>
            </w:pPr>
            <w:proofErr w:type="spellStart"/>
            <w:r w:rsidRPr="00B05E9E">
              <w:rPr>
                <w:sz w:val="18"/>
                <w:szCs w:val="18"/>
              </w:rPr>
              <w:t>ARIA+</w:t>
            </w:r>
            <w:r w:rsidRPr="00B05E9E">
              <w:rPr>
                <w:sz w:val="18"/>
                <w:szCs w:val="18"/>
                <w:vertAlign w:val="superscript"/>
              </w:rPr>
              <w:t>c</w:t>
            </w:r>
            <w:proofErr w:type="spellEnd"/>
          </w:p>
        </w:tc>
        <w:tc>
          <w:tcPr>
            <w:tcW w:w="2977" w:type="dxa"/>
            <w:tcBorders>
              <w:top w:val="single" w:sz="2" w:space="0" w:color="000000" w:themeColor="text1"/>
            </w:tcBorders>
            <w:shd w:val="clear" w:color="auto" w:fill="auto"/>
            <w:hideMark/>
          </w:tcPr>
          <w:p w14:paraId="3B3CF485" w14:textId="77777777" w:rsidR="00E96FDF" w:rsidRPr="00B05E9E" w:rsidRDefault="00E96FDF" w:rsidP="00AF632F">
            <w:pPr>
              <w:pStyle w:val="NormalWeb"/>
              <w:rPr>
                <w:sz w:val="18"/>
                <w:szCs w:val="18"/>
              </w:rPr>
            </w:pPr>
            <w:r w:rsidRPr="00B05E9E">
              <w:rPr>
                <w:sz w:val="18"/>
                <w:szCs w:val="18"/>
              </w:rPr>
              <w:t>Major cities</w:t>
            </w:r>
          </w:p>
        </w:tc>
        <w:tc>
          <w:tcPr>
            <w:tcW w:w="1559" w:type="dxa"/>
            <w:tcBorders>
              <w:top w:val="single" w:sz="2" w:space="0" w:color="000000" w:themeColor="text1"/>
            </w:tcBorders>
            <w:shd w:val="clear" w:color="auto" w:fill="auto"/>
            <w:hideMark/>
          </w:tcPr>
          <w:p w14:paraId="2C7D5A2D" w14:textId="77777777" w:rsidR="00E96FDF" w:rsidRPr="00B05E9E" w:rsidRDefault="00E96FDF" w:rsidP="00AF632F">
            <w:pPr>
              <w:pStyle w:val="NormalWeb"/>
              <w:jc w:val="center"/>
              <w:rPr>
                <w:sz w:val="18"/>
                <w:szCs w:val="18"/>
              </w:rPr>
            </w:pPr>
            <w:r w:rsidRPr="00B05E9E">
              <w:rPr>
                <w:sz w:val="18"/>
                <w:szCs w:val="18"/>
              </w:rPr>
              <w:t>516/935 (55.2)</w:t>
            </w:r>
          </w:p>
        </w:tc>
        <w:tc>
          <w:tcPr>
            <w:tcW w:w="1843" w:type="dxa"/>
            <w:tcBorders>
              <w:top w:val="single" w:sz="2" w:space="0" w:color="000000" w:themeColor="text1"/>
            </w:tcBorders>
            <w:shd w:val="clear" w:color="auto" w:fill="auto"/>
            <w:hideMark/>
          </w:tcPr>
          <w:p w14:paraId="5FF92B3D" w14:textId="77777777" w:rsidR="00E96FDF" w:rsidRPr="00B05E9E" w:rsidRDefault="00E96FDF" w:rsidP="00AF632F">
            <w:pPr>
              <w:pStyle w:val="NormalWeb"/>
              <w:jc w:val="center"/>
              <w:rPr>
                <w:sz w:val="18"/>
                <w:szCs w:val="18"/>
              </w:rPr>
            </w:pPr>
            <w:r w:rsidRPr="00B05E9E">
              <w:rPr>
                <w:sz w:val="18"/>
                <w:szCs w:val="18"/>
              </w:rPr>
              <w:t>1.00</w:t>
            </w:r>
          </w:p>
        </w:tc>
        <w:tc>
          <w:tcPr>
            <w:tcW w:w="1509" w:type="dxa"/>
            <w:tcBorders>
              <w:top w:val="single" w:sz="2" w:space="0" w:color="000000" w:themeColor="text1"/>
            </w:tcBorders>
            <w:shd w:val="clear" w:color="auto" w:fill="auto"/>
            <w:hideMark/>
          </w:tcPr>
          <w:p w14:paraId="74FCBA85" w14:textId="77777777" w:rsidR="00E96FDF" w:rsidRPr="00B05E9E" w:rsidRDefault="00E96FDF" w:rsidP="00AF632F">
            <w:pPr>
              <w:pStyle w:val="NormalWeb"/>
              <w:jc w:val="center"/>
              <w:rPr>
                <w:sz w:val="18"/>
                <w:szCs w:val="18"/>
              </w:rPr>
            </w:pPr>
            <w:r w:rsidRPr="00B05E9E">
              <w:rPr>
                <w:sz w:val="18"/>
                <w:szCs w:val="18"/>
              </w:rPr>
              <w:t>–</w:t>
            </w:r>
          </w:p>
        </w:tc>
      </w:tr>
      <w:tr w:rsidR="00E96FDF" w:rsidRPr="00B05E9E" w14:paraId="5B829BFF"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shd w:val="clear" w:color="auto" w:fill="auto"/>
            <w:vAlign w:val="center"/>
            <w:hideMark/>
          </w:tcPr>
          <w:p w14:paraId="0B73CACC" w14:textId="77777777" w:rsidR="00E96FDF" w:rsidRPr="00B05E9E" w:rsidRDefault="00E96FDF" w:rsidP="00AF632F">
            <w:pPr>
              <w:rPr>
                <w:sz w:val="18"/>
                <w:szCs w:val="18"/>
              </w:rPr>
            </w:pPr>
          </w:p>
        </w:tc>
        <w:tc>
          <w:tcPr>
            <w:tcW w:w="2977" w:type="dxa"/>
            <w:shd w:val="clear" w:color="auto" w:fill="auto"/>
            <w:hideMark/>
          </w:tcPr>
          <w:p w14:paraId="7437BC7D" w14:textId="77777777" w:rsidR="00E96FDF" w:rsidRPr="00B05E9E" w:rsidRDefault="00E96FDF" w:rsidP="00AF632F">
            <w:pPr>
              <w:pStyle w:val="NormalWeb"/>
              <w:rPr>
                <w:sz w:val="18"/>
                <w:szCs w:val="18"/>
              </w:rPr>
            </w:pPr>
            <w:r w:rsidRPr="00B05E9E">
              <w:rPr>
                <w:sz w:val="18"/>
                <w:szCs w:val="18"/>
              </w:rPr>
              <w:t>Inner regional</w:t>
            </w:r>
          </w:p>
        </w:tc>
        <w:tc>
          <w:tcPr>
            <w:tcW w:w="1559" w:type="dxa"/>
            <w:shd w:val="clear" w:color="auto" w:fill="auto"/>
            <w:hideMark/>
          </w:tcPr>
          <w:p w14:paraId="1946F316" w14:textId="77777777" w:rsidR="00E96FDF" w:rsidRPr="00B05E9E" w:rsidRDefault="00E96FDF" w:rsidP="00AF632F">
            <w:pPr>
              <w:pStyle w:val="NormalWeb"/>
              <w:jc w:val="center"/>
              <w:rPr>
                <w:sz w:val="18"/>
                <w:szCs w:val="18"/>
              </w:rPr>
            </w:pPr>
            <w:r w:rsidRPr="00B05E9E">
              <w:rPr>
                <w:sz w:val="18"/>
                <w:szCs w:val="18"/>
              </w:rPr>
              <w:t>60/127 (47.2)</w:t>
            </w:r>
          </w:p>
        </w:tc>
        <w:tc>
          <w:tcPr>
            <w:tcW w:w="1843" w:type="dxa"/>
            <w:shd w:val="clear" w:color="auto" w:fill="auto"/>
            <w:hideMark/>
          </w:tcPr>
          <w:p w14:paraId="51E84737" w14:textId="77777777" w:rsidR="00E96FDF" w:rsidRPr="00B05E9E" w:rsidRDefault="00E96FDF" w:rsidP="00AF632F">
            <w:pPr>
              <w:pStyle w:val="NormalWeb"/>
              <w:jc w:val="center"/>
              <w:rPr>
                <w:sz w:val="18"/>
                <w:szCs w:val="18"/>
              </w:rPr>
            </w:pPr>
            <w:r w:rsidRPr="00B05E9E">
              <w:rPr>
                <w:sz w:val="18"/>
                <w:szCs w:val="18"/>
              </w:rPr>
              <w:t>0.83 (0.64, 1.09)</w:t>
            </w:r>
          </w:p>
        </w:tc>
        <w:tc>
          <w:tcPr>
            <w:tcW w:w="1509" w:type="dxa"/>
            <w:shd w:val="clear" w:color="auto" w:fill="auto"/>
            <w:hideMark/>
          </w:tcPr>
          <w:p w14:paraId="5700F9F9" w14:textId="77777777" w:rsidR="00E96FDF" w:rsidRPr="00B05E9E" w:rsidRDefault="00E96FDF" w:rsidP="00AF632F">
            <w:pPr>
              <w:pStyle w:val="NormalWeb"/>
              <w:jc w:val="center"/>
              <w:rPr>
                <w:sz w:val="18"/>
                <w:szCs w:val="18"/>
              </w:rPr>
            </w:pPr>
            <w:r w:rsidRPr="00B05E9E">
              <w:rPr>
                <w:sz w:val="18"/>
                <w:szCs w:val="18"/>
              </w:rPr>
              <w:t>–</w:t>
            </w:r>
          </w:p>
        </w:tc>
      </w:tr>
      <w:tr w:rsidR="00E96FDF" w:rsidRPr="00B05E9E" w14:paraId="69AADBE6" w14:textId="77777777" w:rsidTr="0008659E">
        <w:tc>
          <w:tcPr>
            <w:tcW w:w="2552" w:type="dxa"/>
            <w:vMerge/>
            <w:tcBorders>
              <w:bottom w:val="single" w:sz="2" w:space="0" w:color="000000" w:themeColor="text1"/>
            </w:tcBorders>
            <w:shd w:val="clear" w:color="auto" w:fill="auto"/>
            <w:vAlign w:val="center"/>
            <w:hideMark/>
          </w:tcPr>
          <w:p w14:paraId="3CA77DF9" w14:textId="77777777" w:rsidR="00E96FDF" w:rsidRPr="00B05E9E" w:rsidRDefault="00E96FDF" w:rsidP="00AF632F">
            <w:pPr>
              <w:rPr>
                <w:sz w:val="18"/>
                <w:szCs w:val="18"/>
              </w:rPr>
            </w:pPr>
          </w:p>
        </w:tc>
        <w:tc>
          <w:tcPr>
            <w:tcW w:w="2977" w:type="dxa"/>
            <w:tcBorders>
              <w:bottom w:val="single" w:sz="2" w:space="0" w:color="000000" w:themeColor="text1"/>
            </w:tcBorders>
            <w:shd w:val="clear" w:color="auto" w:fill="auto"/>
            <w:hideMark/>
          </w:tcPr>
          <w:p w14:paraId="0098885C" w14:textId="77777777" w:rsidR="00E96FDF" w:rsidRPr="00B05E9E" w:rsidRDefault="00E96FDF" w:rsidP="00AF632F">
            <w:pPr>
              <w:pStyle w:val="NormalWeb"/>
              <w:rPr>
                <w:sz w:val="18"/>
                <w:szCs w:val="18"/>
              </w:rPr>
            </w:pPr>
            <w:r w:rsidRPr="00B05E9E">
              <w:rPr>
                <w:sz w:val="18"/>
                <w:szCs w:val="18"/>
              </w:rPr>
              <w:t>Outer regional / remote / very remote</w:t>
            </w:r>
          </w:p>
        </w:tc>
        <w:tc>
          <w:tcPr>
            <w:tcW w:w="1559" w:type="dxa"/>
            <w:tcBorders>
              <w:bottom w:val="single" w:sz="2" w:space="0" w:color="000000" w:themeColor="text1"/>
            </w:tcBorders>
            <w:shd w:val="clear" w:color="auto" w:fill="auto"/>
            <w:hideMark/>
          </w:tcPr>
          <w:p w14:paraId="76B3EF29" w14:textId="77777777" w:rsidR="00E96FDF" w:rsidRPr="00B05E9E" w:rsidRDefault="00E96FDF" w:rsidP="00AF632F">
            <w:pPr>
              <w:pStyle w:val="NormalWeb"/>
              <w:jc w:val="center"/>
              <w:rPr>
                <w:sz w:val="18"/>
                <w:szCs w:val="18"/>
              </w:rPr>
            </w:pPr>
            <w:r w:rsidRPr="00B05E9E">
              <w:rPr>
                <w:sz w:val="18"/>
                <w:szCs w:val="18"/>
              </w:rPr>
              <w:t>30/85 (35.3)</w:t>
            </w:r>
          </w:p>
        </w:tc>
        <w:tc>
          <w:tcPr>
            <w:tcW w:w="1843" w:type="dxa"/>
            <w:tcBorders>
              <w:bottom w:val="single" w:sz="2" w:space="0" w:color="000000" w:themeColor="text1"/>
            </w:tcBorders>
            <w:shd w:val="clear" w:color="auto" w:fill="auto"/>
            <w:hideMark/>
          </w:tcPr>
          <w:p w14:paraId="6FEAEB82" w14:textId="77777777" w:rsidR="00E96FDF" w:rsidRPr="00B05E9E" w:rsidRDefault="00E96FDF" w:rsidP="00AF632F">
            <w:pPr>
              <w:pStyle w:val="NormalWeb"/>
              <w:jc w:val="center"/>
              <w:rPr>
                <w:sz w:val="18"/>
                <w:szCs w:val="18"/>
              </w:rPr>
            </w:pPr>
            <w:r w:rsidRPr="00B05E9E">
              <w:rPr>
                <w:sz w:val="18"/>
                <w:szCs w:val="18"/>
              </w:rPr>
              <w:t xml:space="preserve">0.64 (0.44, </w:t>
            </w:r>
            <w:proofErr w:type="gramStart"/>
            <w:r w:rsidRPr="00B05E9E">
              <w:rPr>
                <w:sz w:val="18"/>
                <w:szCs w:val="18"/>
              </w:rPr>
              <w:t>0.92)</w:t>
            </w:r>
            <w:r w:rsidRPr="00B05E9E">
              <w:rPr>
                <w:sz w:val="18"/>
                <w:szCs w:val="18"/>
                <w:vertAlign w:val="superscript"/>
              </w:rPr>
              <w:t>d</w:t>
            </w:r>
            <w:proofErr w:type="gramEnd"/>
          </w:p>
        </w:tc>
        <w:tc>
          <w:tcPr>
            <w:tcW w:w="1509" w:type="dxa"/>
            <w:tcBorders>
              <w:bottom w:val="single" w:sz="2" w:space="0" w:color="000000" w:themeColor="text1"/>
            </w:tcBorders>
            <w:shd w:val="clear" w:color="auto" w:fill="auto"/>
            <w:hideMark/>
          </w:tcPr>
          <w:p w14:paraId="2259CA19" w14:textId="77777777" w:rsidR="00E96FDF" w:rsidRPr="00B05E9E" w:rsidRDefault="00E96FDF" w:rsidP="00AF632F">
            <w:pPr>
              <w:pStyle w:val="NormalWeb"/>
              <w:jc w:val="center"/>
              <w:rPr>
                <w:sz w:val="18"/>
                <w:szCs w:val="18"/>
              </w:rPr>
            </w:pPr>
            <w:r w:rsidRPr="00B05E9E">
              <w:rPr>
                <w:sz w:val="18"/>
                <w:szCs w:val="18"/>
              </w:rPr>
              <w:t>–</w:t>
            </w:r>
          </w:p>
        </w:tc>
      </w:tr>
      <w:tr w:rsidR="00E96FDF" w:rsidRPr="00B05E9E" w14:paraId="4A728959"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val="restart"/>
            <w:tcBorders>
              <w:top w:val="single" w:sz="2" w:space="0" w:color="000000" w:themeColor="text1"/>
            </w:tcBorders>
            <w:shd w:val="clear" w:color="auto" w:fill="auto"/>
            <w:vAlign w:val="center"/>
            <w:hideMark/>
          </w:tcPr>
          <w:p w14:paraId="5AC2F6F2" w14:textId="77777777" w:rsidR="00E96FDF" w:rsidRPr="00B05E9E" w:rsidRDefault="00E96FDF" w:rsidP="00AF632F">
            <w:pPr>
              <w:pStyle w:val="NormalWeb"/>
              <w:rPr>
                <w:sz w:val="18"/>
                <w:szCs w:val="18"/>
              </w:rPr>
            </w:pPr>
            <w:r w:rsidRPr="00B05E9E">
              <w:rPr>
                <w:sz w:val="18"/>
                <w:szCs w:val="18"/>
              </w:rPr>
              <w:t xml:space="preserve">SEIFA </w:t>
            </w:r>
            <w:proofErr w:type="spellStart"/>
            <w:r w:rsidRPr="00B05E9E">
              <w:rPr>
                <w:sz w:val="18"/>
                <w:szCs w:val="18"/>
              </w:rPr>
              <w:t>IRSD</w:t>
            </w:r>
            <w:r w:rsidRPr="00B05E9E">
              <w:rPr>
                <w:sz w:val="18"/>
                <w:szCs w:val="18"/>
                <w:vertAlign w:val="superscript"/>
              </w:rPr>
              <w:t>e</w:t>
            </w:r>
            <w:proofErr w:type="spellEnd"/>
          </w:p>
        </w:tc>
        <w:tc>
          <w:tcPr>
            <w:tcW w:w="2977" w:type="dxa"/>
            <w:tcBorders>
              <w:top w:val="single" w:sz="2" w:space="0" w:color="000000" w:themeColor="text1"/>
            </w:tcBorders>
            <w:shd w:val="clear" w:color="auto" w:fill="auto"/>
            <w:hideMark/>
          </w:tcPr>
          <w:p w14:paraId="04888D71" w14:textId="77777777" w:rsidR="00E96FDF" w:rsidRPr="00B05E9E" w:rsidRDefault="00E96FDF" w:rsidP="00AF632F">
            <w:pPr>
              <w:pStyle w:val="NormalWeb"/>
              <w:rPr>
                <w:sz w:val="18"/>
                <w:szCs w:val="18"/>
              </w:rPr>
            </w:pPr>
            <w:r w:rsidRPr="00B05E9E">
              <w:rPr>
                <w:sz w:val="18"/>
                <w:szCs w:val="18"/>
              </w:rPr>
              <w:t>Most disadvantaged quintile</w:t>
            </w:r>
          </w:p>
        </w:tc>
        <w:tc>
          <w:tcPr>
            <w:tcW w:w="1559" w:type="dxa"/>
            <w:tcBorders>
              <w:top w:val="single" w:sz="2" w:space="0" w:color="000000" w:themeColor="text1"/>
            </w:tcBorders>
            <w:shd w:val="clear" w:color="auto" w:fill="auto"/>
            <w:hideMark/>
          </w:tcPr>
          <w:p w14:paraId="05A6CE45" w14:textId="77777777" w:rsidR="00E96FDF" w:rsidRPr="00B05E9E" w:rsidRDefault="00E96FDF" w:rsidP="00AF632F">
            <w:pPr>
              <w:pStyle w:val="NormalWeb"/>
              <w:jc w:val="center"/>
              <w:rPr>
                <w:sz w:val="18"/>
                <w:szCs w:val="18"/>
              </w:rPr>
            </w:pPr>
            <w:r w:rsidRPr="00B05E9E">
              <w:rPr>
                <w:sz w:val="18"/>
                <w:szCs w:val="18"/>
              </w:rPr>
              <w:t>56/127 (44.1)</w:t>
            </w:r>
          </w:p>
        </w:tc>
        <w:tc>
          <w:tcPr>
            <w:tcW w:w="1843" w:type="dxa"/>
            <w:tcBorders>
              <w:top w:val="single" w:sz="2" w:space="0" w:color="000000" w:themeColor="text1"/>
            </w:tcBorders>
            <w:shd w:val="clear" w:color="auto" w:fill="auto"/>
            <w:hideMark/>
          </w:tcPr>
          <w:p w14:paraId="6B43D29A" w14:textId="77777777" w:rsidR="00E96FDF" w:rsidRPr="00B05E9E" w:rsidRDefault="00E96FDF" w:rsidP="00AF632F">
            <w:pPr>
              <w:pStyle w:val="NormalWeb"/>
              <w:jc w:val="center"/>
              <w:rPr>
                <w:sz w:val="18"/>
                <w:szCs w:val="18"/>
              </w:rPr>
            </w:pPr>
            <w:r w:rsidRPr="00B05E9E">
              <w:rPr>
                <w:sz w:val="18"/>
                <w:szCs w:val="18"/>
              </w:rPr>
              <w:t>1.00</w:t>
            </w:r>
          </w:p>
        </w:tc>
        <w:tc>
          <w:tcPr>
            <w:tcW w:w="1509" w:type="dxa"/>
            <w:tcBorders>
              <w:top w:val="single" w:sz="2" w:space="0" w:color="000000" w:themeColor="text1"/>
            </w:tcBorders>
            <w:shd w:val="clear" w:color="auto" w:fill="auto"/>
            <w:hideMark/>
          </w:tcPr>
          <w:p w14:paraId="23F35E39" w14:textId="77777777" w:rsidR="00E96FDF" w:rsidRPr="00B05E9E" w:rsidRDefault="00E96FDF" w:rsidP="00AF632F">
            <w:pPr>
              <w:pStyle w:val="NormalWeb"/>
              <w:jc w:val="center"/>
              <w:rPr>
                <w:sz w:val="18"/>
                <w:szCs w:val="18"/>
              </w:rPr>
            </w:pPr>
            <w:r w:rsidRPr="00B05E9E">
              <w:rPr>
                <w:sz w:val="18"/>
                <w:szCs w:val="18"/>
              </w:rPr>
              <w:t>1.00</w:t>
            </w:r>
          </w:p>
        </w:tc>
      </w:tr>
      <w:tr w:rsidR="00E96FDF" w:rsidRPr="00B05E9E" w14:paraId="5B044D72" w14:textId="77777777" w:rsidTr="0008659E">
        <w:tc>
          <w:tcPr>
            <w:tcW w:w="2552" w:type="dxa"/>
            <w:vMerge/>
            <w:shd w:val="clear" w:color="auto" w:fill="auto"/>
            <w:vAlign w:val="center"/>
            <w:hideMark/>
          </w:tcPr>
          <w:p w14:paraId="270BF09A" w14:textId="77777777" w:rsidR="00E96FDF" w:rsidRPr="00B05E9E" w:rsidRDefault="00E96FDF" w:rsidP="00AF632F">
            <w:pPr>
              <w:rPr>
                <w:sz w:val="18"/>
                <w:szCs w:val="18"/>
              </w:rPr>
            </w:pPr>
          </w:p>
        </w:tc>
        <w:tc>
          <w:tcPr>
            <w:tcW w:w="2977" w:type="dxa"/>
            <w:shd w:val="clear" w:color="auto" w:fill="auto"/>
            <w:hideMark/>
          </w:tcPr>
          <w:p w14:paraId="101A128C" w14:textId="77777777" w:rsidR="00E96FDF" w:rsidRPr="00B05E9E" w:rsidRDefault="00E96FDF" w:rsidP="00AF632F">
            <w:pPr>
              <w:pStyle w:val="NormalWeb"/>
              <w:rPr>
                <w:sz w:val="18"/>
                <w:szCs w:val="18"/>
              </w:rPr>
            </w:pPr>
            <w:r w:rsidRPr="00B05E9E">
              <w:rPr>
                <w:sz w:val="18"/>
                <w:szCs w:val="18"/>
              </w:rPr>
              <w:t>2nd quintile</w:t>
            </w:r>
          </w:p>
        </w:tc>
        <w:tc>
          <w:tcPr>
            <w:tcW w:w="1559" w:type="dxa"/>
            <w:shd w:val="clear" w:color="auto" w:fill="auto"/>
            <w:hideMark/>
          </w:tcPr>
          <w:p w14:paraId="53464D17" w14:textId="77777777" w:rsidR="00E96FDF" w:rsidRPr="00B05E9E" w:rsidRDefault="00E96FDF" w:rsidP="00AF632F">
            <w:pPr>
              <w:pStyle w:val="NormalWeb"/>
              <w:jc w:val="center"/>
              <w:rPr>
                <w:sz w:val="18"/>
                <w:szCs w:val="18"/>
              </w:rPr>
            </w:pPr>
            <w:r w:rsidRPr="00B05E9E">
              <w:rPr>
                <w:sz w:val="18"/>
                <w:szCs w:val="18"/>
              </w:rPr>
              <w:t>62/141 (44)</w:t>
            </w:r>
          </w:p>
        </w:tc>
        <w:tc>
          <w:tcPr>
            <w:tcW w:w="1843" w:type="dxa"/>
            <w:shd w:val="clear" w:color="auto" w:fill="auto"/>
            <w:hideMark/>
          </w:tcPr>
          <w:p w14:paraId="4B084917" w14:textId="77777777" w:rsidR="00E96FDF" w:rsidRPr="00B05E9E" w:rsidRDefault="00E96FDF" w:rsidP="00AF632F">
            <w:pPr>
              <w:pStyle w:val="NormalWeb"/>
              <w:jc w:val="center"/>
              <w:rPr>
                <w:sz w:val="18"/>
                <w:szCs w:val="18"/>
              </w:rPr>
            </w:pPr>
            <w:r w:rsidRPr="00B05E9E">
              <w:rPr>
                <w:sz w:val="18"/>
                <w:szCs w:val="18"/>
              </w:rPr>
              <w:t>0.97 (0.67, 1.39)</w:t>
            </w:r>
          </w:p>
        </w:tc>
        <w:tc>
          <w:tcPr>
            <w:tcW w:w="1509" w:type="dxa"/>
            <w:shd w:val="clear" w:color="auto" w:fill="auto"/>
            <w:hideMark/>
          </w:tcPr>
          <w:p w14:paraId="17E8DA1D" w14:textId="77777777" w:rsidR="00E96FDF" w:rsidRPr="00B05E9E" w:rsidRDefault="00E96FDF" w:rsidP="00AF632F">
            <w:pPr>
              <w:pStyle w:val="NormalWeb"/>
              <w:jc w:val="center"/>
              <w:rPr>
                <w:sz w:val="18"/>
                <w:szCs w:val="18"/>
              </w:rPr>
            </w:pPr>
            <w:r w:rsidRPr="00B05E9E">
              <w:rPr>
                <w:sz w:val="18"/>
                <w:szCs w:val="18"/>
              </w:rPr>
              <w:t>1.03 (0.71, 1.48)</w:t>
            </w:r>
          </w:p>
        </w:tc>
      </w:tr>
      <w:tr w:rsidR="00E96FDF" w:rsidRPr="00B05E9E" w14:paraId="046DFA25"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shd w:val="clear" w:color="auto" w:fill="auto"/>
            <w:vAlign w:val="center"/>
            <w:hideMark/>
          </w:tcPr>
          <w:p w14:paraId="4F1BF01F" w14:textId="77777777" w:rsidR="00E96FDF" w:rsidRPr="00B05E9E" w:rsidRDefault="00E96FDF" w:rsidP="00AF632F">
            <w:pPr>
              <w:rPr>
                <w:sz w:val="18"/>
                <w:szCs w:val="18"/>
              </w:rPr>
            </w:pPr>
          </w:p>
        </w:tc>
        <w:tc>
          <w:tcPr>
            <w:tcW w:w="2977" w:type="dxa"/>
            <w:shd w:val="clear" w:color="auto" w:fill="auto"/>
            <w:hideMark/>
          </w:tcPr>
          <w:p w14:paraId="7DD7A9B4" w14:textId="77777777" w:rsidR="00E96FDF" w:rsidRPr="00B05E9E" w:rsidRDefault="00E96FDF" w:rsidP="00AF632F">
            <w:pPr>
              <w:pStyle w:val="NormalWeb"/>
              <w:rPr>
                <w:sz w:val="18"/>
                <w:szCs w:val="18"/>
              </w:rPr>
            </w:pPr>
            <w:r w:rsidRPr="00B05E9E">
              <w:rPr>
                <w:sz w:val="18"/>
                <w:szCs w:val="18"/>
              </w:rPr>
              <w:t>3rd quintile</w:t>
            </w:r>
          </w:p>
        </w:tc>
        <w:tc>
          <w:tcPr>
            <w:tcW w:w="1559" w:type="dxa"/>
            <w:shd w:val="clear" w:color="auto" w:fill="auto"/>
            <w:hideMark/>
          </w:tcPr>
          <w:p w14:paraId="5596536D" w14:textId="77777777" w:rsidR="00E96FDF" w:rsidRPr="00B05E9E" w:rsidRDefault="00E96FDF" w:rsidP="00AF632F">
            <w:pPr>
              <w:pStyle w:val="NormalWeb"/>
              <w:jc w:val="center"/>
              <w:rPr>
                <w:sz w:val="18"/>
                <w:szCs w:val="18"/>
              </w:rPr>
            </w:pPr>
            <w:r w:rsidRPr="00B05E9E">
              <w:rPr>
                <w:sz w:val="18"/>
                <w:szCs w:val="18"/>
              </w:rPr>
              <w:t>105/199 (52.8)</w:t>
            </w:r>
          </w:p>
        </w:tc>
        <w:tc>
          <w:tcPr>
            <w:tcW w:w="1843" w:type="dxa"/>
            <w:shd w:val="clear" w:color="auto" w:fill="auto"/>
            <w:hideMark/>
          </w:tcPr>
          <w:p w14:paraId="030B7250" w14:textId="77777777" w:rsidR="00E96FDF" w:rsidRPr="00B05E9E" w:rsidRDefault="00E96FDF" w:rsidP="00AF632F">
            <w:pPr>
              <w:pStyle w:val="NormalWeb"/>
              <w:jc w:val="center"/>
              <w:rPr>
                <w:sz w:val="18"/>
                <w:szCs w:val="18"/>
              </w:rPr>
            </w:pPr>
            <w:r w:rsidRPr="00B05E9E">
              <w:rPr>
                <w:sz w:val="18"/>
                <w:szCs w:val="18"/>
              </w:rPr>
              <w:t>1.19 (0.86, 1.65)</w:t>
            </w:r>
          </w:p>
        </w:tc>
        <w:tc>
          <w:tcPr>
            <w:tcW w:w="1509" w:type="dxa"/>
            <w:shd w:val="clear" w:color="auto" w:fill="auto"/>
            <w:hideMark/>
          </w:tcPr>
          <w:p w14:paraId="692D283F" w14:textId="77777777" w:rsidR="00E96FDF" w:rsidRPr="00B05E9E" w:rsidRDefault="00E96FDF" w:rsidP="00AF632F">
            <w:pPr>
              <w:pStyle w:val="NormalWeb"/>
              <w:jc w:val="center"/>
              <w:rPr>
                <w:sz w:val="18"/>
                <w:szCs w:val="18"/>
              </w:rPr>
            </w:pPr>
            <w:r w:rsidRPr="00B05E9E">
              <w:rPr>
                <w:sz w:val="18"/>
                <w:szCs w:val="18"/>
              </w:rPr>
              <w:t>1.19 (0.85, 1.67)</w:t>
            </w:r>
          </w:p>
        </w:tc>
      </w:tr>
      <w:tr w:rsidR="00E96FDF" w:rsidRPr="00B05E9E" w14:paraId="3FAAC9EF" w14:textId="77777777" w:rsidTr="0008659E">
        <w:tc>
          <w:tcPr>
            <w:tcW w:w="2552" w:type="dxa"/>
            <w:vMerge/>
            <w:shd w:val="clear" w:color="auto" w:fill="auto"/>
            <w:vAlign w:val="center"/>
            <w:hideMark/>
          </w:tcPr>
          <w:p w14:paraId="0A220E39" w14:textId="77777777" w:rsidR="00E96FDF" w:rsidRPr="00B05E9E" w:rsidRDefault="00E96FDF" w:rsidP="00AF632F">
            <w:pPr>
              <w:rPr>
                <w:sz w:val="18"/>
                <w:szCs w:val="18"/>
              </w:rPr>
            </w:pPr>
          </w:p>
        </w:tc>
        <w:tc>
          <w:tcPr>
            <w:tcW w:w="2977" w:type="dxa"/>
            <w:shd w:val="clear" w:color="auto" w:fill="auto"/>
            <w:hideMark/>
          </w:tcPr>
          <w:p w14:paraId="57885DB3" w14:textId="77777777" w:rsidR="00E96FDF" w:rsidRPr="00B05E9E" w:rsidRDefault="00E96FDF" w:rsidP="00AF632F">
            <w:pPr>
              <w:pStyle w:val="NormalWeb"/>
              <w:rPr>
                <w:sz w:val="18"/>
                <w:szCs w:val="18"/>
              </w:rPr>
            </w:pPr>
            <w:r w:rsidRPr="00B05E9E">
              <w:rPr>
                <w:sz w:val="18"/>
                <w:szCs w:val="18"/>
              </w:rPr>
              <w:t>4th quintile</w:t>
            </w:r>
          </w:p>
        </w:tc>
        <w:tc>
          <w:tcPr>
            <w:tcW w:w="1559" w:type="dxa"/>
            <w:shd w:val="clear" w:color="auto" w:fill="auto"/>
            <w:hideMark/>
          </w:tcPr>
          <w:p w14:paraId="257F7053" w14:textId="77777777" w:rsidR="00E96FDF" w:rsidRPr="00B05E9E" w:rsidRDefault="00E96FDF" w:rsidP="00AF632F">
            <w:pPr>
              <w:pStyle w:val="NormalWeb"/>
              <w:jc w:val="center"/>
              <w:rPr>
                <w:sz w:val="18"/>
                <w:szCs w:val="18"/>
              </w:rPr>
            </w:pPr>
            <w:r w:rsidRPr="00B05E9E">
              <w:rPr>
                <w:sz w:val="18"/>
                <w:szCs w:val="18"/>
              </w:rPr>
              <w:t>152/277 (54.9)</w:t>
            </w:r>
          </w:p>
        </w:tc>
        <w:tc>
          <w:tcPr>
            <w:tcW w:w="1843" w:type="dxa"/>
            <w:shd w:val="clear" w:color="auto" w:fill="auto"/>
            <w:hideMark/>
          </w:tcPr>
          <w:p w14:paraId="2504E0E4" w14:textId="77777777" w:rsidR="00E96FDF" w:rsidRPr="00B05E9E" w:rsidRDefault="00E96FDF" w:rsidP="00AF632F">
            <w:pPr>
              <w:pStyle w:val="NormalWeb"/>
              <w:jc w:val="center"/>
              <w:rPr>
                <w:sz w:val="18"/>
                <w:szCs w:val="18"/>
              </w:rPr>
            </w:pPr>
            <w:r w:rsidRPr="00B05E9E">
              <w:rPr>
                <w:sz w:val="18"/>
                <w:szCs w:val="18"/>
              </w:rPr>
              <w:t>1.25 (0.92, 1.69)</w:t>
            </w:r>
          </w:p>
        </w:tc>
        <w:tc>
          <w:tcPr>
            <w:tcW w:w="1509" w:type="dxa"/>
            <w:shd w:val="clear" w:color="auto" w:fill="auto"/>
            <w:hideMark/>
          </w:tcPr>
          <w:p w14:paraId="47346245" w14:textId="77777777" w:rsidR="00E96FDF" w:rsidRPr="00B05E9E" w:rsidRDefault="00E96FDF" w:rsidP="00AF632F">
            <w:pPr>
              <w:pStyle w:val="NormalWeb"/>
              <w:jc w:val="center"/>
              <w:rPr>
                <w:sz w:val="18"/>
                <w:szCs w:val="18"/>
              </w:rPr>
            </w:pPr>
            <w:r w:rsidRPr="00B05E9E">
              <w:rPr>
                <w:sz w:val="18"/>
                <w:szCs w:val="18"/>
              </w:rPr>
              <w:t>1.20 (0.86, 1.66)</w:t>
            </w:r>
          </w:p>
        </w:tc>
      </w:tr>
      <w:tr w:rsidR="00E96FDF" w:rsidRPr="00B05E9E" w14:paraId="32DD56A3"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bottom w:val="single" w:sz="2" w:space="0" w:color="000000" w:themeColor="text1"/>
            </w:tcBorders>
            <w:shd w:val="clear" w:color="auto" w:fill="auto"/>
            <w:vAlign w:val="center"/>
            <w:hideMark/>
          </w:tcPr>
          <w:p w14:paraId="161199A3" w14:textId="77777777" w:rsidR="00E96FDF" w:rsidRPr="00B05E9E" w:rsidRDefault="00E96FDF" w:rsidP="00AF632F">
            <w:pPr>
              <w:rPr>
                <w:sz w:val="18"/>
                <w:szCs w:val="18"/>
              </w:rPr>
            </w:pPr>
          </w:p>
        </w:tc>
        <w:tc>
          <w:tcPr>
            <w:tcW w:w="2977" w:type="dxa"/>
            <w:tcBorders>
              <w:bottom w:val="single" w:sz="2" w:space="0" w:color="000000" w:themeColor="text1"/>
            </w:tcBorders>
            <w:shd w:val="clear" w:color="auto" w:fill="auto"/>
            <w:hideMark/>
          </w:tcPr>
          <w:p w14:paraId="3C3FC474" w14:textId="77777777" w:rsidR="00E96FDF" w:rsidRPr="00B05E9E" w:rsidRDefault="00E96FDF" w:rsidP="00AF632F">
            <w:pPr>
              <w:pStyle w:val="NormalWeb"/>
              <w:rPr>
                <w:sz w:val="18"/>
                <w:szCs w:val="18"/>
              </w:rPr>
            </w:pPr>
            <w:r w:rsidRPr="00B05E9E">
              <w:rPr>
                <w:sz w:val="18"/>
                <w:szCs w:val="18"/>
              </w:rPr>
              <w:t>Least disadvantaged quintile</w:t>
            </w:r>
          </w:p>
        </w:tc>
        <w:tc>
          <w:tcPr>
            <w:tcW w:w="1559" w:type="dxa"/>
            <w:tcBorders>
              <w:bottom w:val="single" w:sz="2" w:space="0" w:color="000000" w:themeColor="text1"/>
            </w:tcBorders>
            <w:shd w:val="clear" w:color="auto" w:fill="auto"/>
            <w:hideMark/>
          </w:tcPr>
          <w:p w14:paraId="75605F7E" w14:textId="77777777" w:rsidR="00E96FDF" w:rsidRPr="00B05E9E" w:rsidRDefault="00E96FDF" w:rsidP="00AF632F">
            <w:pPr>
              <w:pStyle w:val="NormalWeb"/>
              <w:jc w:val="center"/>
              <w:rPr>
                <w:sz w:val="18"/>
                <w:szCs w:val="18"/>
              </w:rPr>
            </w:pPr>
            <w:r w:rsidRPr="00B05E9E">
              <w:rPr>
                <w:sz w:val="18"/>
                <w:szCs w:val="18"/>
              </w:rPr>
              <w:t>231/403 (57.3)</w:t>
            </w:r>
          </w:p>
        </w:tc>
        <w:tc>
          <w:tcPr>
            <w:tcW w:w="1843" w:type="dxa"/>
            <w:tcBorders>
              <w:bottom w:val="single" w:sz="2" w:space="0" w:color="000000" w:themeColor="text1"/>
            </w:tcBorders>
            <w:shd w:val="clear" w:color="auto" w:fill="auto"/>
            <w:hideMark/>
          </w:tcPr>
          <w:p w14:paraId="0D3C5E50" w14:textId="77777777" w:rsidR="00E96FDF" w:rsidRPr="00B05E9E" w:rsidRDefault="00E96FDF" w:rsidP="00AF632F">
            <w:pPr>
              <w:pStyle w:val="NormalWeb"/>
              <w:jc w:val="center"/>
              <w:rPr>
                <w:sz w:val="18"/>
                <w:szCs w:val="18"/>
              </w:rPr>
            </w:pPr>
            <w:r w:rsidRPr="00B05E9E">
              <w:rPr>
                <w:sz w:val="18"/>
                <w:szCs w:val="18"/>
              </w:rPr>
              <w:t xml:space="preserve">1.32 (0.98, </w:t>
            </w:r>
            <w:proofErr w:type="gramStart"/>
            <w:r w:rsidRPr="00B05E9E">
              <w:rPr>
                <w:sz w:val="18"/>
                <w:szCs w:val="18"/>
              </w:rPr>
              <w:t>1.77)</w:t>
            </w:r>
            <w:r w:rsidRPr="00B05E9E">
              <w:rPr>
                <w:sz w:val="18"/>
                <w:szCs w:val="18"/>
                <w:vertAlign w:val="superscript"/>
              </w:rPr>
              <w:t>f</w:t>
            </w:r>
            <w:proofErr w:type="gramEnd"/>
          </w:p>
        </w:tc>
        <w:tc>
          <w:tcPr>
            <w:tcW w:w="1509" w:type="dxa"/>
            <w:tcBorders>
              <w:bottom w:val="single" w:sz="2" w:space="0" w:color="000000" w:themeColor="text1"/>
            </w:tcBorders>
            <w:shd w:val="clear" w:color="auto" w:fill="auto"/>
            <w:hideMark/>
          </w:tcPr>
          <w:p w14:paraId="5FFAC826" w14:textId="77777777" w:rsidR="00E96FDF" w:rsidRPr="00B05E9E" w:rsidRDefault="00E96FDF" w:rsidP="00AF632F">
            <w:pPr>
              <w:pStyle w:val="NormalWeb"/>
              <w:jc w:val="center"/>
              <w:rPr>
                <w:sz w:val="18"/>
                <w:szCs w:val="18"/>
              </w:rPr>
            </w:pPr>
            <w:r w:rsidRPr="00B05E9E">
              <w:rPr>
                <w:sz w:val="18"/>
                <w:szCs w:val="18"/>
              </w:rPr>
              <w:t>1.25 (0.92, 1.71)</w:t>
            </w:r>
          </w:p>
        </w:tc>
      </w:tr>
      <w:tr w:rsidR="00E96FDF" w:rsidRPr="00B05E9E" w14:paraId="371E92BC" w14:textId="77777777" w:rsidTr="0008659E">
        <w:tc>
          <w:tcPr>
            <w:tcW w:w="2552" w:type="dxa"/>
            <w:vMerge w:val="restart"/>
            <w:tcBorders>
              <w:top w:val="single" w:sz="2" w:space="0" w:color="000000" w:themeColor="text1"/>
              <w:bottom w:val="single" w:sz="2" w:space="0" w:color="000000" w:themeColor="text1"/>
            </w:tcBorders>
            <w:shd w:val="clear" w:color="auto" w:fill="auto"/>
            <w:vAlign w:val="center"/>
            <w:hideMark/>
          </w:tcPr>
          <w:p w14:paraId="70517637" w14:textId="77777777" w:rsidR="00E96FDF" w:rsidRPr="00B05E9E" w:rsidRDefault="00E96FDF" w:rsidP="00AF632F">
            <w:pPr>
              <w:pStyle w:val="NormalWeb"/>
              <w:rPr>
                <w:sz w:val="18"/>
                <w:szCs w:val="18"/>
              </w:rPr>
            </w:pPr>
            <w:r w:rsidRPr="00B05E9E">
              <w:rPr>
                <w:sz w:val="18"/>
                <w:szCs w:val="18"/>
              </w:rPr>
              <w:t>Smoking</w:t>
            </w:r>
            <w:r w:rsidRPr="00B05E9E">
              <w:rPr>
                <w:sz w:val="18"/>
                <w:szCs w:val="18"/>
              </w:rPr>
              <w:br/>
              <w:t>status</w:t>
            </w:r>
          </w:p>
        </w:tc>
        <w:tc>
          <w:tcPr>
            <w:tcW w:w="2977" w:type="dxa"/>
            <w:tcBorders>
              <w:top w:val="single" w:sz="2" w:space="0" w:color="000000" w:themeColor="text1"/>
            </w:tcBorders>
            <w:shd w:val="clear" w:color="auto" w:fill="auto"/>
            <w:hideMark/>
          </w:tcPr>
          <w:p w14:paraId="0031155E" w14:textId="77777777" w:rsidR="00E96FDF" w:rsidRPr="00B05E9E" w:rsidRDefault="00E96FDF" w:rsidP="00AF632F">
            <w:pPr>
              <w:pStyle w:val="NormalWeb"/>
              <w:rPr>
                <w:sz w:val="18"/>
                <w:szCs w:val="18"/>
              </w:rPr>
            </w:pPr>
            <w:r w:rsidRPr="00B05E9E">
              <w:rPr>
                <w:sz w:val="18"/>
                <w:szCs w:val="18"/>
              </w:rPr>
              <w:t>Non-smoker</w:t>
            </w:r>
          </w:p>
        </w:tc>
        <w:tc>
          <w:tcPr>
            <w:tcW w:w="1559" w:type="dxa"/>
            <w:tcBorders>
              <w:top w:val="single" w:sz="2" w:space="0" w:color="000000" w:themeColor="text1"/>
            </w:tcBorders>
            <w:shd w:val="clear" w:color="auto" w:fill="auto"/>
            <w:hideMark/>
          </w:tcPr>
          <w:p w14:paraId="760D7483" w14:textId="77777777" w:rsidR="00E96FDF" w:rsidRPr="00B05E9E" w:rsidRDefault="00E96FDF" w:rsidP="00AF632F">
            <w:pPr>
              <w:pStyle w:val="NormalWeb"/>
              <w:jc w:val="center"/>
              <w:rPr>
                <w:sz w:val="18"/>
                <w:szCs w:val="18"/>
              </w:rPr>
            </w:pPr>
            <w:r w:rsidRPr="00B05E9E">
              <w:rPr>
                <w:sz w:val="18"/>
                <w:szCs w:val="18"/>
              </w:rPr>
              <w:t>357/613 (58.2)</w:t>
            </w:r>
          </w:p>
        </w:tc>
        <w:tc>
          <w:tcPr>
            <w:tcW w:w="1843" w:type="dxa"/>
            <w:tcBorders>
              <w:top w:val="single" w:sz="2" w:space="0" w:color="000000" w:themeColor="text1"/>
            </w:tcBorders>
            <w:shd w:val="clear" w:color="auto" w:fill="auto"/>
            <w:hideMark/>
          </w:tcPr>
          <w:p w14:paraId="7D3BBCB9" w14:textId="77777777" w:rsidR="00E96FDF" w:rsidRPr="00B05E9E" w:rsidRDefault="00E96FDF" w:rsidP="00AF632F">
            <w:pPr>
              <w:pStyle w:val="NormalWeb"/>
              <w:jc w:val="center"/>
              <w:rPr>
                <w:sz w:val="18"/>
                <w:szCs w:val="18"/>
              </w:rPr>
            </w:pPr>
            <w:r w:rsidRPr="00B05E9E">
              <w:rPr>
                <w:sz w:val="18"/>
                <w:szCs w:val="18"/>
              </w:rPr>
              <w:t>1.00</w:t>
            </w:r>
          </w:p>
        </w:tc>
        <w:tc>
          <w:tcPr>
            <w:tcW w:w="1509" w:type="dxa"/>
            <w:tcBorders>
              <w:top w:val="single" w:sz="2" w:space="0" w:color="000000" w:themeColor="text1"/>
            </w:tcBorders>
            <w:shd w:val="clear" w:color="auto" w:fill="auto"/>
            <w:hideMark/>
          </w:tcPr>
          <w:p w14:paraId="77C40C73" w14:textId="77777777" w:rsidR="00E96FDF" w:rsidRPr="00B05E9E" w:rsidRDefault="00E96FDF" w:rsidP="00AF632F">
            <w:pPr>
              <w:pStyle w:val="NormalWeb"/>
              <w:jc w:val="center"/>
              <w:rPr>
                <w:sz w:val="18"/>
                <w:szCs w:val="18"/>
              </w:rPr>
            </w:pPr>
            <w:r w:rsidRPr="00B05E9E">
              <w:rPr>
                <w:sz w:val="18"/>
                <w:szCs w:val="18"/>
              </w:rPr>
              <w:t>1.00</w:t>
            </w:r>
          </w:p>
        </w:tc>
      </w:tr>
      <w:tr w:rsidR="00E96FDF" w:rsidRPr="00B05E9E" w14:paraId="036C87DB"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000000" w:themeColor="text1"/>
              <w:bottom w:val="single" w:sz="2" w:space="0" w:color="000000" w:themeColor="text1"/>
            </w:tcBorders>
            <w:shd w:val="clear" w:color="auto" w:fill="auto"/>
            <w:vAlign w:val="center"/>
            <w:hideMark/>
          </w:tcPr>
          <w:p w14:paraId="2AF012FC" w14:textId="77777777" w:rsidR="00E96FDF" w:rsidRPr="00B05E9E" w:rsidRDefault="00E96FDF" w:rsidP="00AF632F">
            <w:pPr>
              <w:rPr>
                <w:sz w:val="18"/>
                <w:szCs w:val="18"/>
              </w:rPr>
            </w:pPr>
          </w:p>
        </w:tc>
        <w:tc>
          <w:tcPr>
            <w:tcW w:w="2977" w:type="dxa"/>
            <w:shd w:val="clear" w:color="auto" w:fill="auto"/>
            <w:hideMark/>
          </w:tcPr>
          <w:p w14:paraId="57151B79" w14:textId="77777777" w:rsidR="00E96FDF" w:rsidRPr="00B05E9E" w:rsidRDefault="00E96FDF" w:rsidP="00AF632F">
            <w:pPr>
              <w:pStyle w:val="NormalWeb"/>
              <w:rPr>
                <w:sz w:val="18"/>
                <w:szCs w:val="18"/>
              </w:rPr>
            </w:pPr>
            <w:r w:rsidRPr="00B05E9E">
              <w:rPr>
                <w:sz w:val="18"/>
                <w:szCs w:val="18"/>
              </w:rPr>
              <w:t>Current / recent smoker</w:t>
            </w:r>
          </w:p>
        </w:tc>
        <w:tc>
          <w:tcPr>
            <w:tcW w:w="1559" w:type="dxa"/>
            <w:shd w:val="clear" w:color="auto" w:fill="auto"/>
            <w:hideMark/>
          </w:tcPr>
          <w:p w14:paraId="5FCBC733" w14:textId="77777777" w:rsidR="00E96FDF" w:rsidRPr="00B05E9E" w:rsidRDefault="00E96FDF" w:rsidP="00AF632F">
            <w:pPr>
              <w:pStyle w:val="NormalWeb"/>
              <w:jc w:val="center"/>
              <w:rPr>
                <w:sz w:val="18"/>
                <w:szCs w:val="18"/>
              </w:rPr>
            </w:pPr>
            <w:r w:rsidRPr="00B05E9E">
              <w:rPr>
                <w:sz w:val="18"/>
                <w:szCs w:val="18"/>
              </w:rPr>
              <w:t>26/45 (57.8)</w:t>
            </w:r>
          </w:p>
        </w:tc>
        <w:tc>
          <w:tcPr>
            <w:tcW w:w="1843" w:type="dxa"/>
            <w:shd w:val="clear" w:color="auto" w:fill="auto"/>
            <w:hideMark/>
          </w:tcPr>
          <w:p w14:paraId="27A5CBFE" w14:textId="77777777" w:rsidR="00E96FDF" w:rsidRPr="00B05E9E" w:rsidRDefault="00E96FDF" w:rsidP="00AF632F">
            <w:pPr>
              <w:pStyle w:val="NormalWeb"/>
              <w:jc w:val="center"/>
              <w:rPr>
                <w:sz w:val="18"/>
                <w:szCs w:val="18"/>
              </w:rPr>
            </w:pPr>
            <w:r w:rsidRPr="00B05E9E">
              <w:rPr>
                <w:sz w:val="18"/>
                <w:szCs w:val="18"/>
              </w:rPr>
              <w:t>1.00 (0.67, 1.50)</w:t>
            </w:r>
          </w:p>
        </w:tc>
        <w:tc>
          <w:tcPr>
            <w:tcW w:w="1509" w:type="dxa"/>
            <w:shd w:val="clear" w:color="auto" w:fill="auto"/>
            <w:hideMark/>
          </w:tcPr>
          <w:p w14:paraId="1E8F884C" w14:textId="77777777" w:rsidR="00E96FDF" w:rsidRPr="00B05E9E" w:rsidRDefault="00E96FDF" w:rsidP="00AF632F">
            <w:pPr>
              <w:pStyle w:val="NormalWeb"/>
              <w:jc w:val="center"/>
              <w:rPr>
                <w:sz w:val="18"/>
                <w:szCs w:val="18"/>
              </w:rPr>
            </w:pPr>
            <w:r w:rsidRPr="00B05E9E">
              <w:rPr>
                <w:sz w:val="18"/>
                <w:szCs w:val="18"/>
              </w:rPr>
              <w:t>1.00 (0.67, 1.49)</w:t>
            </w:r>
          </w:p>
        </w:tc>
      </w:tr>
      <w:tr w:rsidR="00E96FDF" w:rsidRPr="00B05E9E" w14:paraId="7E35839C" w14:textId="77777777" w:rsidTr="0008659E">
        <w:tc>
          <w:tcPr>
            <w:tcW w:w="2552" w:type="dxa"/>
            <w:vMerge/>
            <w:tcBorders>
              <w:top w:val="single" w:sz="2" w:space="0" w:color="000000" w:themeColor="text1"/>
              <w:bottom w:val="single" w:sz="2" w:space="0" w:color="000000" w:themeColor="text1"/>
            </w:tcBorders>
            <w:shd w:val="clear" w:color="auto" w:fill="auto"/>
            <w:vAlign w:val="center"/>
            <w:hideMark/>
          </w:tcPr>
          <w:p w14:paraId="75A49188" w14:textId="77777777" w:rsidR="00E96FDF" w:rsidRPr="00B05E9E" w:rsidRDefault="00E96FDF" w:rsidP="00AF632F">
            <w:pPr>
              <w:rPr>
                <w:sz w:val="18"/>
                <w:szCs w:val="18"/>
              </w:rPr>
            </w:pPr>
          </w:p>
        </w:tc>
        <w:tc>
          <w:tcPr>
            <w:tcW w:w="2977" w:type="dxa"/>
            <w:tcBorders>
              <w:bottom w:val="single" w:sz="2" w:space="0" w:color="000000" w:themeColor="text1"/>
            </w:tcBorders>
            <w:shd w:val="clear" w:color="auto" w:fill="auto"/>
            <w:hideMark/>
          </w:tcPr>
          <w:p w14:paraId="456FF85B" w14:textId="77777777" w:rsidR="00E96FDF" w:rsidRPr="00B05E9E" w:rsidRDefault="00E96FDF" w:rsidP="00AF632F">
            <w:pPr>
              <w:pStyle w:val="NormalWeb"/>
              <w:rPr>
                <w:sz w:val="18"/>
                <w:szCs w:val="18"/>
              </w:rPr>
            </w:pPr>
            <w:r w:rsidRPr="00B05E9E">
              <w:rPr>
                <w:sz w:val="18"/>
                <w:szCs w:val="18"/>
              </w:rPr>
              <w:t>Missing</w:t>
            </w:r>
          </w:p>
        </w:tc>
        <w:tc>
          <w:tcPr>
            <w:tcW w:w="1559" w:type="dxa"/>
            <w:tcBorders>
              <w:bottom w:val="single" w:sz="2" w:space="0" w:color="000000" w:themeColor="text1"/>
            </w:tcBorders>
            <w:shd w:val="clear" w:color="auto" w:fill="auto"/>
            <w:hideMark/>
          </w:tcPr>
          <w:p w14:paraId="73978EE7" w14:textId="77777777" w:rsidR="00E96FDF" w:rsidRPr="00B05E9E" w:rsidRDefault="00E96FDF" w:rsidP="00AF632F">
            <w:pPr>
              <w:pStyle w:val="NormalWeb"/>
              <w:jc w:val="center"/>
              <w:rPr>
                <w:sz w:val="18"/>
                <w:szCs w:val="18"/>
              </w:rPr>
            </w:pPr>
            <w:r w:rsidRPr="00B05E9E">
              <w:rPr>
                <w:sz w:val="18"/>
                <w:szCs w:val="18"/>
              </w:rPr>
              <w:t>224/490 (45.7)</w:t>
            </w:r>
          </w:p>
        </w:tc>
        <w:tc>
          <w:tcPr>
            <w:tcW w:w="1843" w:type="dxa"/>
            <w:tcBorders>
              <w:bottom w:val="single" w:sz="2" w:space="0" w:color="000000" w:themeColor="text1"/>
            </w:tcBorders>
            <w:shd w:val="clear" w:color="auto" w:fill="auto"/>
            <w:hideMark/>
          </w:tcPr>
          <w:p w14:paraId="18521793" w14:textId="77777777" w:rsidR="00E96FDF" w:rsidRPr="00B05E9E" w:rsidRDefault="00E96FDF" w:rsidP="00AF632F">
            <w:pPr>
              <w:pStyle w:val="NormalWeb"/>
              <w:jc w:val="center"/>
              <w:rPr>
                <w:sz w:val="18"/>
                <w:szCs w:val="18"/>
              </w:rPr>
            </w:pPr>
            <w:r w:rsidRPr="00B05E9E">
              <w:rPr>
                <w:sz w:val="18"/>
                <w:szCs w:val="18"/>
              </w:rPr>
              <w:t>0.80 (0.68, 0.95)</w:t>
            </w:r>
          </w:p>
        </w:tc>
        <w:tc>
          <w:tcPr>
            <w:tcW w:w="1509" w:type="dxa"/>
            <w:tcBorders>
              <w:bottom w:val="single" w:sz="2" w:space="0" w:color="000000" w:themeColor="text1"/>
            </w:tcBorders>
            <w:shd w:val="clear" w:color="auto" w:fill="auto"/>
            <w:hideMark/>
          </w:tcPr>
          <w:p w14:paraId="205F2C5C" w14:textId="77777777" w:rsidR="00E96FDF" w:rsidRPr="00B05E9E" w:rsidRDefault="00E96FDF" w:rsidP="00AF632F">
            <w:pPr>
              <w:pStyle w:val="NormalWeb"/>
              <w:jc w:val="center"/>
              <w:rPr>
                <w:sz w:val="18"/>
                <w:szCs w:val="18"/>
              </w:rPr>
            </w:pPr>
            <w:r w:rsidRPr="00B05E9E">
              <w:rPr>
                <w:sz w:val="18"/>
                <w:szCs w:val="18"/>
              </w:rPr>
              <w:t>0.78 (0.66, 0.93)</w:t>
            </w:r>
          </w:p>
        </w:tc>
      </w:tr>
      <w:tr w:rsidR="00E96FDF" w:rsidRPr="00B05E9E" w14:paraId="4FFCE450"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val="restart"/>
            <w:tcBorders>
              <w:top w:val="single" w:sz="2" w:space="0" w:color="000000" w:themeColor="text1"/>
              <w:bottom w:val="single" w:sz="2" w:space="0" w:color="000000" w:themeColor="text1"/>
            </w:tcBorders>
            <w:shd w:val="clear" w:color="auto" w:fill="auto"/>
            <w:vAlign w:val="center"/>
            <w:hideMark/>
          </w:tcPr>
          <w:p w14:paraId="6606EEBB" w14:textId="24A584F0" w:rsidR="00E96FDF" w:rsidRPr="00B05E9E" w:rsidRDefault="00E96FDF" w:rsidP="00AF632F">
            <w:pPr>
              <w:pStyle w:val="NormalWeb"/>
              <w:rPr>
                <w:sz w:val="18"/>
                <w:szCs w:val="18"/>
              </w:rPr>
            </w:pPr>
            <w:proofErr w:type="spellStart"/>
            <w:r w:rsidRPr="00B05E9E">
              <w:rPr>
                <w:sz w:val="18"/>
                <w:szCs w:val="18"/>
              </w:rPr>
              <w:t>Elixhauser</w:t>
            </w:r>
            <w:proofErr w:type="spellEnd"/>
            <w:r w:rsidR="0008659E">
              <w:rPr>
                <w:sz w:val="18"/>
                <w:szCs w:val="18"/>
              </w:rPr>
              <w:t xml:space="preserve"> </w:t>
            </w:r>
            <w:r w:rsidRPr="00B05E9E">
              <w:rPr>
                <w:sz w:val="18"/>
                <w:szCs w:val="18"/>
              </w:rPr>
              <w:t>comorbidity</w:t>
            </w:r>
            <w:r w:rsidR="0008659E">
              <w:rPr>
                <w:sz w:val="18"/>
                <w:szCs w:val="18"/>
              </w:rPr>
              <w:t xml:space="preserve"> </w:t>
            </w:r>
            <w:r w:rsidRPr="00B05E9E">
              <w:rPr>
                <w:sz w:val="18"/>
                <w:szCs w:val="18"/>
              </w:rPr>
              <w:t>index</w:t>
            </w:r>
          </w:p>
        </w:tc>
        <w:tc>
          <w:tcPr>
            <w:tcW w:w="2977" w:type="dxa"/>
            <w:tcBorders>
              <w:top w:val="single" w:sz="2" w:space="0" w:color="000000" w:themeColor="text1"/>
            </w:tcBorders>
            <w:shd w:val="clear" w:color="auto" w:fill="auto"/>
            <w:hideMark/>
          </w:tcPr>
          <w:p w14:paraId="33016DE7" w14:textId="77777777" w:rsidR="00E96FDF" w:rsidRPr="00B05E9E" w:rsidRDefault="00E96FDF" w:rsidP="00AF632F">
            <w:pPr>
              <w:pStyle w:val="NormalWeb"/>
              <w:rPr>
                <w:sz w:val="18"/>
                <w:szCs w:val="18"/>
              </w:rPr>
            </w:pPr>
            <w:r w:rsidRPr="00B05E9E">
              <w:rPr>
                <w:sz w:val="18"/>
                <w:szCs w:val="18"/>
              </w:rPr>
              <w:t>0</w:t>
            </w:r>
          </w:p>
        </w:tc>
        <w:tc>
          <w:tcPr>
            <w:tcW w:w="1559" w:type="dxa"/>
            <w:tcBorders>
              <w:top w:val="single" w:sz="2" w:space="0" w:color="000000" w:themeColor="text1"/>
            </w:tcBorders>
            <w:shd w:val="clear" w:color="auto" w:fill="auto"/>
            <w:hideMark/>
          </w:tcPr>
          <w:p w14:paraId="58E1F4F5" w14:textId="77777777" w:rsidR="00E96FDF" w:rsidRPr="00B05E9E" w:rsidRDefault="00E96FDF" w:rsidP="00AF632F">
            <w:pPr>
              <w:pStyle w:val="NormalWeb"/>
              <w:jc w:val="center"/>
              <w:rPr>
                <w:sz w:val="18"/>
                <w:szCs w:val="18"/>
              </w:rPr>
            </w:pPr>
            <w:r w:rsidRPr="00B05E9E">
              <w:rPr>
                <w:sz w:val="18"/>
                <w:szCs w:val="18"/>
              </w:rPr>
              <w:t>326/612 (53.3)</w:t>
            </w:r>
          </w:p>
        </w:tc>
        <w:tc>
          <w:tcPr>
            <w:tcW w:w="1843" w:type="dxa"/>
            <w:tcBorders>
              <w:top w:val="single" w:sz="2" w:space="0" w:color="000000" w:themeColor="text1"/>
            </w:tcBorders>
            <w:shd w:val="clear" w:color="auto" w:fill="auto"/>
            <w:hideMark/>
          </w:tcPr>
          <w:p w14:paraId="6F7F4420" w14:textId="77777777" w:rsidR="00E96FDF" w:rsidRPr="00B05E9E" w:rsidRDefault="00E96FDF" w:rsidP="00AF632F">
            <w:pPr>
              <w:pStyle w:val="NormalWeb"/>
              <w:jc w:val="center"/>
              <w:rPr>
                <w:sz w:val="18"/>
                <w:szCs w:val="18"/>
              </w:rPr>
            </w:pPr>
            <w:r w:rsidRPr="00B05E9E">
              <w:rPr>
                <w:sz w:val="18"/>
                <w:szCs w:val="18"/>
              </w:rPr>
              <w:t>1.00</w:t>
            </w:r>
          </w:p>
        </w:tc>
        <w:tc>
          <w:tcPr>
            <w:tcW w:w="1509" w:type="dxa"/>
            <w:tcBorders>
              <w:top w:val="single" w:sz="2" w:space="0" w:color="000000" w:themeColor="text1"/>
            </w:tcBorders>
            <w:shd w:val="clear" w:color="auto" w:fill="auto"/>
            <w:hideMark/>
          </w:tcPr>
          <w:p w14:paraId="006579C3" w14:textId="77777777" w:rsidR="00E96FDF" w:rsidRPr="00B05E9E" w:rsidRDefault="00E96FDF" w:rsidP="00AF632F">
            <w:pPr>
              <w:pStyle w:val="NormalWeb"/>
              <w:jc w:val="center"/>
              <w:rPr>
                <w:sz w:val="18"/>
                <w:szCs w:val="18"/>
              </w:rPr>
            </w:pPr>
            <w:r w:rsidRPr="00B05E9E">
              <w:rPr>
                <w:sz w:val="18"/>
                <w:szCs w:val="18"/>
              </w:rPr>
              <w:t>1.00</w:t>
            </w:r>
          </w:p>
        </w:tc>
      </w:tr>
      <w:tr w:rsidR="00E96FDF" w:rsidRPr="00B05E9E" w14:paraId="418E460D" w14:textId="77777777" w:rsidTr="0008659E">
        <w:tc>
          <w:tcPr>
            <w:tcW w:w="2552" w:type="dxa"/>
            <w:vMerge/>
            <w:tcBorders>
              <w:top w:val="single" w:sz="2" w:space="0" w:color="000000" w:themeColor="text1"/>
              <w:bottom w:val="single" w:sz="2" w:space="0" w:color="000000" w:themeColor="text1"/>
            </w:tcBorders>
            <w:shd w:val="clear" w:color="auto" w:fill="auto"/>
            <w:vAlign w:val="center"/>
            <w:hideMark/>
          </w:tcPr>
          <w:p w14:paraId="33CFACED" w14:textId="77777777" w:rsidR="00E96FDF" w:rsidRPr="00B05E9E" w:rsidRDefault="00E96FDF" w:rsidP="00AF632F">
            <w:pPr>
              <w:rPr>
                <w:sz w:val="18"/>
                <w:szCs w:val="18"/>
              </w:rPr>
            </w:pPr>
          </w:p>
        </w:tc>
        <w:tc>
          <w:tcPr>
            <w:tcW w:w="2977" w:type="dxa"/>
            <w:shd w:val="clear" w:color="auto" w:fill="auto"/>
            <w:hideMark/>
          </w:tcPr>
          <w:p w14:paraId="4129DC7C" w14:textId="77777777" w:rsidR="00E96FDF" w:rsidRPr="00B05E9E" w:rsidRDefault="00E96FDF" w:rsidP="00AF632F">
            <w:pPr>
              <w:pStyle w:val="NormalWeb"/>
              <w:rPr>
                <w:sz w:val="18"/>
                <w:szCs w:val="18"/>
              </w:rPr>
            </w:pPr>
            <w:r w:rsidRPr="00B05E9E">
              <w:rPr>
                <w:sz w:val="18"/>
                <w:szCs w:val="18"/>
              </w:rPr>
              <w:t>1</w:t>
            </w:r>
          </w:p>
        </w:tc>
        <w:tc>
          <w:tcPr>
            <w:tcW w:w="1559" w:type="dxa"/>
            <w:shd w:val="clear" w:color="auto" w:fill="auto"/>
            <w:hideMark/>
          </w:tcPr>
          <w:p w14:paraId="7DFC5975" w14:textId="77777777" w:rsidR="00E96FDF" w:rsidRPr="00B05E9E" w:rsidRDefault="00E96FDF" w:rsidP="00AF632F">
            <w:pPr>
              <w:pStyle w:val="NormalWeb"/>
              <w:jc w:val="center"/>
              <w:rPr>
                <w:sz w:val="18"/>
                <w:szCs w:val="18"/>
              </w:rPr>
            </w:pPr>
            <w:r w:rsidRPr="00B05E9E">
              <w:rPr>
                <w:sz w:val="18"/>
                <w:szCs w:val="18"/>
              </w:rPr>
              <w:t>64/113 (56.6)</w:t>
            </w:r>
          </w:p>
        </w:tc>
        <w:tc>
          <w:tcPr>
            <w:tcW w:w="1843" w:type="dxa"/>
            <w:shd w:val="clear" w:color="auto" w:fill="auto"/>
            <w:hideMark/>
          </w:tcPr>
          <w:p w14:paraId="5500EA98" w14:textId="77777777" w:rsidR="00E96FDF" w:rsidRPr="00B05E9E" w:rsidRDefault="00E96FDF" w:rsidP="00AF632F">
            <w:pPr>
              <w:pStyle w:val="NormalWeb"/>
              <w:jc w:val="center"/>
              <w:rPr>
                <w:sz w:val="18"/>
                <w:szCs w:val="18"/>
              </w:rPr>
            </w:pPr>
            <w:r w:rsidRPr="00B05E9E">
              <w:rPr>
                <w:sz w:val="18"/>
                <w:szCs w:val="18"/>
              </w:rPr>
              <w:t>1.03 (0.78, 1.36)</w:t>
            </w:r>
          </w:p>
        </w:tc>
        <w:tc>
          <w:tcPr>
            <w:tcW w:w="1509" w:type="dxa"/>
            <w:shd w:val="clear" w:color="auto" w:fill="auto"/>
            <w:hideMark/>
          </w:tcPr>
          <w:p w14:paraId="1F34A442" w14:textId="77777777" w:rsidR="00E96FDF" w:rsidRPr="00B05E9E" w:rsidRDefault="00E96FDF" w:rsidP="00AF632F">
            <w:pPr>
              <w:pStyle w:val="NormalWeb"/>
              <w:jc w:val="center"/>
              <w:rPr>
                <w:sz w:val="18"/>
                <w:szCs w:val="18"/>
              </w:rPr>
            </w:pPr>
            <w:r w:rsidRPr="00B05E9E">
              <w:rPr>
                <w:sz w:val="18"/>
                <w:szCs w:val="18"/>
              </w:rPr>
              <w:t>1.04 (0.79, 1.36)</w:t>
            </w:r>
          </w:p>
        </w:tc>
      </w:tr>
      <w:tr w:rsidR="00E96FDF" w:rsidRPr="00B05E9E" w14:paraId="470DFD68"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000000" w:themeColor="text1"/>
              <w:bottom w:val="single" w:sz="2" w:space="0" w:color="000000" w:themeColor="text1"/>
            </w:tcBorders>
            <w:shd w:val="clear" w:color="auto" w:fill="auto"/>
            <w:vAlign w:val="center"/>
            <w:hideMark/>
          </w:tcPr>
          <w:p w14:paraId="0A2244E8" w14:textId="77777777" w:rsidR="00E96FDF" w:rsidRPr="00B05E9E" w:rsidRDefault="00E96FDF" w:rsidP="00AF632F">
            <w:pPr>
              <w:rPr>
                <w:sz w:val="18"/>
                <w:szCs w:val="18"/>
              </w:rPr>
            </w:pPr>
          </w:p>
        </w:tc>
        <w:tc>
          <w:tcPr>
            <w:tcW w:w="2977" w:type="dxa"/>
            <w:shd w:val="clear" w:color="auto" w:fill="auto"/>
            <w:hideMark/>
          </w:tcPr>
          <w:p w14:paraId="5FBA2623" w14:textId="77777777" w:rsidR="00E96FDF" w:rsidRPr="00B05E9E" w:rsidRDefault="00E96FDF" w:rsidP="00AF632F">
            <w:pPr>
              <w:pStyle w:val="NormalWeb"/>
              <w:rPr>
                <w:sz w:val="18"/>
                <w:szCs w:val="18"/>
              </w:rPr>
            </w:pPr>
            <w:r w:rsidRPr="00B05E9E">
              <w:rPr>
                <w:sz w:val="18"/>
                <w:szCs w:val="18"/>
              </w:rPr>
              <w:t>2+</w:t>
            </w:r>
          </w:p>
        </w:tc>
        <w:tc>
          <w:tcPr>
            <w:tcW w:w="1559" w:type="dxa"/>
            <w:shd w:val="clear" w:color="auto" w:fill="auto"/>
            <w:hideMark/>
          </w:tcPr>
          <w:p w14:paraId="0355ECDA" w14:textId="77777777" w:rsidR="00E96FDF" w:rsidRPr="00B05E9E" w:rsidRDefault="00E96FDF" w:rsidP="00AF632F">
            <w:pPr>
              <w:pStyle w:val="NormalWeb"/>
              <w:jc w:val="center"/>
              <w:rPr>
                <w:sz w:val="18"/>
                <w:szCs w:val="18"/>
              </w:rPr>
            </w:pPr>
            <w:r w:rsidRPr="00B05E9E">
              <w:rPr>
                <w:sz w:val="18"/>
                <w:szCs w:val="18"/>
              </w:rPr>
              <w:t>28/54 (51.9)</w:t>
            </w:r>
          </w:p>
        </w:tc>
        <w:tc>
          <w:tcPr>
            <w:tcW w:w="1843" w:type="dxa"/>
            <w:shd w:val="clear" w:color="auto" w:fill="auto"/>
            <w:hideMark/>
          </w:tcPr>
          <w:p w14:paraId="126C1C66" w14:textId="77777777" w:rsidR="00E96FDF" w:rsidRPr="00B05E9E" w:rsidRDefault="00E96FDF" w:rsidP="00AF632F">
            <w:pPr>
              <w:pStyle w:val="NormalWeb"/>
              <w:jc w:val="center"/>
              <w:rPr>
                <w:sz w:val="18"/>
                <w:szCs w:val="18"/>
              </w:rPr>
            </w:pPr>
            <w:r w:rsidRPr="00B05E9E">
              <w:rPr>
                <w:sz w:val="18"/>
                <w:szCs w:val="18"/>
              </w:rPr>
              <w:t>0.93 (0.63, 1.38)</w:t>
            </w:r>
          </w:p>
        </w:tc>
        <w:tc>
          <w:tcPr>
            <w:tcW w:w="1509" w:type="dxa"/>
            <w:shd w:val="clear" w:color="auto" w:fill="auto"/>
            <w:hideMark/>
          </w:tcPr>
          <w:p w14:paraId="588A272E" w14:textId="77777777" w:rsidR="00E96FDF" w:rsidRPr="00B05E9E" w:rsidRDefault="00E96FDF" w:rsidP="00AF632F">
            <w:pPr>
              <w:pStyle w:val="NormalWeb"/>
              <w:jc w:val="center"/>
              <w:rPr>
                <w:sz w:val="18"/>
                <w:szCs w:val="18"/>
              </w:rPr>
            </w:pPr>
            <w:r w:rsidRPr="00B05E9E">
              <w:rPr>
                <w:sz w:val="18"/>
                <w:szCs w:val="18"/>
              </w:rPr>
              <w:t>0.95 (0.64, 1.41)</w:t>
            </w:r>
          </w:p>
        </w:tc>
      </w:tr>
      <w:tr w:rsidR="00E96FDF" w:rsidRPr="00B05E9E" w14:paraId="0B45F05B" w14:textId="77777777" w:rsidTr="0008659E">
        <w:tc>
          <w:tcPr>
            <w:tcW w:w="2552" w:type="dxa"/>
            <w:vMerge/>
            <w:tcBorders>
              <w:top w:val="single" w:sz="2" w:space="0" w:color="000000" w:themeColor="text1"/>
              <w:bottom w:val="single" w:sz="2" w:space="0" w:color="000000" w:themeColor="text1"/>
            </w:tcBorders>
            <w:shd w:val="clear" w:color="auto" w:fill="auto"/>
            <w:vAlign w:val="center"/>
            <w:hideMark/>
          </w:tcPr>
          <w:p w14:paraId="7EBF559F" w14:textId="77777777" w:rsidR="00E96FDF" w:rsidRPr="00B05E9E" w:rsidRDefault="00E96FDF" w:rsidP="00AF632F">
            <w:pPr>
              <w:rPr>
                <w:sz w:val="18"/>
                <w:szCs w:val="18"/>
              </w:rPr>
            </w:pPr>
          </w:p>
        </w:tc>
        <w:tc>
          <w:tcPr>
            <w:tcW w:w="2977" w:type="dxa"/>
            <w:tcBorders>
              <w:bottom w:val="single" w:sz="2" w:space="0" w:color="000000" w:themeColor="text1"/>
            </w:tcBorders>
            <w:shd w:val="clear" w:color="auto" w:fill="auto"/>
            <w:hideMark/>
          </w:tcPr>
          <w:p w14:paraId="0D44A29C" w14:textId="77777777" w:rsidR="00E96FDF" w:rsidRPr="00B05E9E" w:rsidRDefault="00E96FDF" w:rsidP="00AF632F">
            <w:pPr>
              <w:pStyle w:val="NormalWeb"/>
              <w:rPr>
                <w:sz w:val="18"/>
                <w:szCs w:val="18"/>
              </w:rPr>
            </w:pPr>
            <w:r w:rsidRPr="00B05E9E">
              <w:rPr>
                <w:sz w:val="18"/>
                <w:szCs w:val="18"/>
              </w:rPr>
              <w:t>No hospital record prior to infection</w:t>
            </w:r>
          </w:p>
        </w:tc>
        <w:tc>
          <w:tcPr>
            <w:tcW w:w="1559" w:type="dxa"/>
            <w:tcBorders>
              <w:bottom w:val="single" w:sz="2" w:space="0" w:color="000000" w:themeColor="text1"/>
            </w:tcBorders>
            <w:shd w:val="clear" w:color="auto" w:fill="auto"/>
            <w:hideMark/>
          </w:tcPr>
          <w:p w14:paraId="1D1EF93D" w14:textId="77777777" w:rsidR="00E96FDF" w:rsidRPr="00B05E9E" w:rsidRDefault="00E96FDF" w:rsidP="00AF632F">
            <w:pPr>
              <w:pStyle w:val="NormalWeb"/>
              <w:jc w:val="center"/>
              <w:rPr>
                <w:sz w:val="18"/>
                <w:szCs w:val="18"/>
              </w:rPr>
            </w:pPr>
            <w:r w:rsidRPr="00B05E9E">
              <w:rPr>
                <w:sz w:val="18"/>
                <w:szCs w:val="18"/>
              </w:rPr>
              <w:t>189/369 (51.2)</w:t>
            </w:r>
          </w:p>
        </w:tc>
        <w:tc>
          <w:tcPr>
            <w:tcW w:w="1843" w:type="dxa"/>
            <w:tcBorders>
              <w:bottom w:val="single" w:sz="2" w:space="0" w:color="000000" w:themeColor="text1"/>
            </w:tcBorders>
            <w:shd w:val="clear" w:color="auto" w:fill="auto"/>
            <w:hideMark/>
          </w:tcPr>
          <w:p w14:paraId="484C6656" w14:textId="77777777" w:rsidR="00E96FDF" w:rsidRPr="00B05E9E" w:rsidRDefault="00E96FDF" w:rsidP="00AF632F">
            <w:pPr>
              <w:pStyle w:val="NormalWeb"/>
              <w:jc w:val="center"/>
              <w:rPr>
                <w:sz w:val="18"/>
                <w:szCs w:val="18"/>
              </w:rPr>
            </w:pPr>
            <w:r w:rsidRPr="00B05E9E">
              <w:rPr>
                <w:sz w:val="18"/>
                <w:szCs w:val="18"/>
              </w:rPr>
              <w:t>0.99 (0.82, 1.19)</w:t>
            </w:r>
          </w:p>
        </w:tc>
        <w:tc>
          <w:tcPr>
            <w:tcW w:w="1509" w:type="dxa"/>
            <w:tcBorders>
              <w:bottom w:val="single" w:sz="2" w:space="0" w:color="000000" w:themeColor="text1"/>
            </w:tcBorders>
            <w:shd w:val="clear" w:color="auto" w:fill="auto"/>
            <w:hideMark/>
          </w:tcPr>
          <w:p w14:paraId="35FECE87" w14:textId="77777777" w:rsidR="00E96FDF" w:rsidRPr="00B05E9E" w:rsidRDefault="00E96FDF" w:rsidP="00AF632F">
            <w:pPr>
              <w:pStyle w:val="NormalWeb"/>
              <w:jc w:val="center"/>
              <w:rPr>
                <w:sz w:val="18"/>
                <w:szCs w:val="18"/>
              </w:rPr>
            </w:pPr>
            <w:r w:rsidRPr="00B05E9E">
              <w:rPr>
                <w:sz w:val="18"/>
                <w:szCs w:val="18"/>
              </w:rPr>
              <w:t>0.98 (0.82, 1.18)</w:t>
            </w:r>
          </w:p>
        </w:tc>
      </w:tr>
      <w:tr w:rsidR="00E96FDF" w:rsidRPr="00B05E9E" w14:paraId="4CD36397"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val="restart"/>
            <w:tcBorders>
              <w:top w:val="single" w:sz="2" w:space="0" w:color="000000" w:themeColor="text1"/>
              <w:bottom w:val="single" w:sz="2" w:space="0" w:color="000000" w:themeColor="text1"/>
            </w:tcBorders>
            <w:shd w:val="clear" w:color="auto" w:fill="auto"/>
            <w:vAlign w:val="center"/>
            <w:hideMark/>
          </w:tcPr>
          <w:p w14:paraId="15228856" w14:textId="77777777" w:rsidR="00E96FDF" w:rsidRPr="00B05E9E" w:rsidRDefault="00E96FDF" w:rsidP="00AF632F">
            <w:pPr>
              <w:pStyle w:val="NormalWeb"/>
              <w:rPr>
                <w:sz w:val="18"/>
                <w:szCs w:val="18"/>
              </w:rPr>
            </w:pPr>
            <w:r w:rsidRPr="00B05E9E">
              <w:rPr>
                <w:sz w:val="18"/>
                <w:szCs w:val="18"/>
              </w:rPr>
              <w:t xml:space="preserve">Comorbid </w:t>
            </w:r>
            <w:proofErr w:type="spellStart"/>
            <w:r w:rsidRPr="00B05E9E">
              <w:rPr>
                <w:sz w:val="18"/>
                <w:szCs w:val="18"/>
              </w:rPr>
              <w:t>conditions</w:t>
            </w:r>
            <w:r w:rsidRPr="00B05E9E">
              <w:rPr>
                <w:sz w:val="18"/>
                <w:szCs w:val="18"/>
                <w:vertAlign w:val="superscript"/>
              </w:rPr>
              <w:t>g</w:t>
            </w:r>
            <w:proofErr w:type="spellEnd"/>
          </w:p>
        </w:tc>
        <w:tc>
          <w:tcPr>
            <w:tcW w:w="2977" w:type="dxa"/>
            <w:tcBorders>
              <w:top w:val="single" w:sz="2" w:space="0" w:color="000000" w:themeColor="text1"/>
            </w:tcBorders>
            <w:shd w:val="clear" w:color="auto" w:fill="auto"/>
            <w:hideMark/>
          </w:tcPr>
          <w:p w14:paraId="68D50456" w14:textId="77777777" w:rsidR="00E96FDF" w:rsidRPr="00B05E9E" w:rsidRDefault="00E96FDF" w:rsidP="00AF632F">
            <w:pPr>
              <w:pStyle w:val="NormalWeb"/>
              <w:rPr>
                <w:sz w:val="18"/>
                <w:szCs w:val="18"/>
              </w:rPr>
            </w:pPr>
            <w:r w:rsidRPr="00B05E9E">
              <w:rPr>
                <w:sz w:val="18"/>
                <w:szCs w:val="18"/>
              </w:rPr>
              <w:t>Asthma</w:t>
            </w:r>
          </w:p>
        </w:tc>
        <w:tc>
          <w:tcPr>
            <w:tcW w:w="1559" w:type="dxa"/>
            <w:tcBorders>
              <w:top w:val="single" w:sz="2" w:space="0" w:color="000000" w:themeColor="text1"/>
            </w:tcBorders>
            <w:shd w:val="clear" w:color="auto" w:fill="auto"/>
            <w:hideMark/>
          </w:tcPr>
          <w:p w14:paraId="4F1440D1" w14:textId="77777777" w:rsidR="00E96FDF" w:rsidRPr="00B05E9E" w:rsidRDefault="00E96FDF" w:rsidP="00AF632F">
            <w:pPr>
              <w:pStyle w:val="NormalWeb"/>
              <w:jc w:val="center"/>
              <w:rPr>
                <w:sz w:val="18"/>
                <w:szCs w:val="18"/>
              </w:rPr>
            </w:pPr>
            <w:r w:rsidRPr="00B05E9E">
              <w:rPr>
                <w:sz w:val="18"/>
                <w:szCs w:val="18"/>
              </w:rPr>
              <w:t>8/12 (66.7)</w:t>
            </w:r>
          </w:p>
        </w:tc>
        <w:tc>
          <w:tcPr>
            <w:tcW w:w="1843" w:type="dxa"/>
            <w:tcBorders>
              <w:top w:val="single" w:sz="2" w:space="0" w:color="000000" w:themeColor="text1"/>
            </w:tcBorders>
            <w:shd w:val="clear" w:color="auto" w:fill="auto"/>
            <w:hideMark/>
          </w:tcPr>
          <w:p w14:paraId="57076924" w14:textId="77777777" w:rsidR="00E96FDF" w:rsidRPr="00B05E9E" w:rsidRDefault="00E96FDF" w:rsidP="00AF632F">
            <w:pPr>
              <w:pStyle w:val="NormalWeb"/>
              <w:jc w:val="center"/>
              <w:rPr>
                <w:sz w:val="18"/>
                <w:szCs w:val="18"/>
              </w:rPr>
            </w:pPr>
            <w:r w:rsidRPr="00B05E9E">
              <w:rPr>
                <w:sz w:val="18"/>
                <w:szCs w:val="18"/>
              </w:rPr>
              <w:t>1.28 (0.64, 2.59)</w:t>
            </w:r>
          </w:p>
        </w:tc>
        <w:tc>
          <w:tcPr>
            <w:tcW w:w="1509" w:type="dxa"/>
            <w:tcBorders>
              <w:top w:val="single" w:sz="2" w:space="0" w:color="000000" w:themeColor="text1"/>
            </w:tcBorders>
            <w:shd w:val="clear" w:color="auto" w:fill="auto"/>
            <w:hideMark/>
          </w:tcPr>
          <w:p w14:paraId="52597467" w14:textId="77777777" w:rsidR="00E96FDF" w:rsidRPr="00B05E9E" w:rsidRDefault="00E96FDF" w:rsidP="00AF632F">
            <w:pPr>
              <w:pStyle w:val="NormalWeb"/>
              <w:jc w:val="center"/>
              <w:rPr>
                <w:sz w:val="18"/>
                <w:szCs w:val="18"/>
              </w:rPr>
            </w:pPr>
            <w:r w:rsidRPr="00B05E9E">
              <w:rPr>
                <w:sz w:val="18"/>
                <w:szCs w:val="18"/>
              </w:rPr>
              <w:t>1.24 (0.61, 2.51)</w:t>
            </w:r>
          </w:p>
        </w:tc>
      </w:tr>
      <w:tr w:rsidR="00E96FDF" w:rsidRPr="00B05E9E" w14:paraId="395CC987" w14:textId="77777777" w:rsidTr="0008659E">
        <w:tc>
          <w:tcPr>
            <w:tcW w:w="2552" w:type="dxa"/>
            <w:vMerge/>
            <w:tcBorders>
              <w:top w:val="single" w:sz="2" w:space="0" w:color="000000" w:themeColor="text1"/>
              <w:bottom w:val="single" w:sz="2" w:space="0" w:color="000000" w:themeColor="text1"/>
            </w:tcBorders>
            <w:shd w:val="clear" w:color="auto" w:fill="auto"/>
            <w:hideMark/>
          </w:tcPr>
          <w:p w14:paraId="64A07F54" w14:textId="77777777" w:rsidR="00E96FDF" w:rsidRPr="00B05E9E" w:rsidRDefault="00E96FDF" w:rsidP="00AF632F">
            <w:pPr>
              <w:rPr>
                <w:sz w:val="18"/>
                <w:szCs w:val="18"/>
              </w:rPr>
            </w:pPr>
          </w:p>
        </w:tc>
        <w:tc>
          <w:tcPr>
            <w:tcW w:w="2977" w:type="dxa"/>
            <w:shd w:val="clear" w:color="auto" w:fill="auto"/>
            <w:hideMark/>
          </w:tcPr>
          <w:p w14:paraId="7C41B3CC" w14:textId="77777777" w:rsidR="00E96FDF" w:rsidRPr="00B05E9E" w:rsidRDefault="00E96FDF" w:rsidP="00AF632F">
            <w:pPr>
              <w:pStyle w:val="NormalWeb"/>
              <w:rPr>
                <w:sz w:val="18"/>
                <w:szCs w:val="18"/>
              </w:rPr>
            </w:pPr>
            <w:r w:rsidRPr="00B05E9E">
              <w:rPr>
                <w:sz w:val="18"/>
                <w:szCs w:val="18"/>
              </w:rPr>
              <w:t>Chronic lower respiratory disease</w:t>
            </w:r>
          </w:p>
        </w:tc>
        <w:tc>
          <w:tcPr>
            <w:tcW w:w="1559" w:type="dxa"/>
            <w:shd w:val="clear" w:color="auto" w:fill="auto"/>
            <w:hideMark/>
          </w:tcPr>
          <w:p w14:paraId="7F9B83BB" w14:textId="77777777" w:rsidR="00E96FDF" w:rsidRPr="00B05E9E" w:rsidRDefault="00E96FDF" w:rsidP="00AF632F">
            <w:pPr>
              <w:pStyle w:val="NormalWeb"/>
              <w:jc w:val="center"/>
              <w:rPr>
                <w:sz w:val="18"/>
                <w:szCs w:val="18"/>
              </w:rPr>
            </w:pPr>
            <w:r w:rsidRPr="00B05E9E">
              <w:rPr>
                <w:sz w:val="18"/>
                <w:szCs w:val="18"/>
              </w:rPr>
              <w:t>9/13 (69.2)</w:t>
            </w:r>
          </w:p>
        </w:tc>
        <w:tc>
          <w:tcPr>
            <w:tcW w:w="1843" w:type="dxa"/>
            <w:shd w:val="clear" w:color="auto" w:fill="auto"/>
            <w:hideMark/>
          </w:tcPr>
          <w:p w14:paraId="0C19890F" w14:textId="77777777" w:rsidR="00E96FDF" w:rsidRPr="00B05E9E" w:rsidRDefault="00E96FDF" w:rsidP="00AF632F">
            <w:pPr>
              <w:pStyle w:val="NormalWeb"/>
              <w:jc w:val="center"/>
              <w:rPr>
                <w:sz w:val="18"/>
                <w:szCs w:val="18"/>
              </w:rPr>
            </w:pPr>
            <w:r w:rsidRPr="00B05E9E">
              <w:rPr>
                <w:sz w:val="18"/>
                <w:szCs w:val="18"/>
              </w:rPr>
              <w:t>1.22 (0.63, 2.40)</w:t>
            </w:r>
          </w:p>
        </w:tc>
        <w:tc>
          <w:tcPr>
            <w:tcW w:w="1509" w:type="dxa"/>
            <w:shd w:val="clear" w:color="auto" w:fill="auto"/>
            <w:hideMark/>
          </w:tcPr>
          <w:p w14:paraId="4AABBC1F" w14:textId="77777777" w:rsidR="00E96FDF" w:rsidRPr="00B05E9E" w:rsidRDefault="00E96FDF" w:rsidP="00AF632F">
            <w:pPr>
              <w:pStyle w:val="NormalWeb"/>
              <w:jc w:val="center"/>
              <w:rPr>
                <w:sz w:val="18"/>
                <w:szCs w:val="18"/>
              </w:rPr>
            </w:pPr>
            <w:r w:rsidRPr="00B05E9E">
              <w:rPr>
                <w:sz w:val="18"/>
                <w:szCs w:val="18"/>
              </w:rPr>
              <w:t>1.21 (0.61, 2.36)</w:t>
            </w:r>
          </w:p>
        </w:tc>
      </w:tr>
      <w:tr w:rsidR="00E96FDF" w:rsidRPr="00B05E9E" w14:paraId="4EB63A8A"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000000" w:themeColor="text1"/>
              <w:bottom w:val="single" w:sz="2" w:space="0" w:color="000000" w:themeColor="text1"/>
            </w:tcBorders>
            <w:shd w:val="clear" w:color="auto" w:fill="auto"/>
            <w:hideMark/>
          </w:tcPr>
          <w:p w14:paraId="37AC18D5" w14:textId="77777777" w:rsidR="00E96FDF" w:rsidRPr="00B05E9E" w:rsidRDefault="00E96FDF" w:rsidP="00AF632F">
            <w:pPr>
              <w:rPr>
                <w:sz w:val="18"/>
                <w:szCs w:val="18"/>
              </w:rPr>
            </w:pPr>
          </w:p>
        </w:tc>
        <w:tc>
          <w:tcPr>
            <w:tcW w:w="2977" w:type="dxa"/>
            <w:shd w:val="clear" w:color="auto" w:fill="auto"/>
            <w:hideMark/>
          </w:tcPr>
          <w:p w14:paraId="60418695" w14:textId="77777777" w:rsidR="00E96FDF" w:rsidRPr="00B05E9E" w:rsidRDefault="00E96FDF" w:rsidP="00AF632F">
            <w:pPr>
              <w:pStyle w:val="NormalWeb"/>
              <w:rPr>
                <w:sz w:val="18"/>
                <w:szCs w:val="18"/>
              </w:rPr>
            </w:pPr>
            <w:r w:rsidRPr="00B05E9E">
              <w:rPr>
                <w:sz w:val="18"/>
                <w:szCs w:val="18"/>
              </w:rPr>
              <w:t>Diabetes</w:t>
            </w:r>
          </w:p>
        </w:tc>
        <w:tc>
          <w:tcPr>
            <w:tcW w:w="1559" w:type="dxa"/>
            <w:shd w:val="clear" w:color="auto" w:fill="auto"/>
            <w:hideMark/>
          </w:tcPr>
          <w:p w14:paraId="4CD4EED9" w14:textId="77777777" w:rsidR="00E96FDF" w:rsidRPr="00B05E9E" w:rsidRDefault="00E96FDF" w:rsidP="00AF632F">
            <w:pPr>
              <w:pStyle w:val="NormalWeb"/>
              <w:jc w:val="center"/>
              <w:rPr>
                <w:sz w:val="18"/>
                <w:szCs w:val="18"/>
              </w:rPr>
            </w:pPr>
            <w:r w:rsidRPr="00B05E9E">
              <w:rPr>
                <w:sz w:val="18"/>
                <w:szCs w:val="18"/>
              </w:rPr>
              <w:t>34/52 (65.4)</w:t>
            </w:r>
          </w:p>
        </w:tc>
        <w:tc>
          <w:tcPr>
            <w:tcW w:w="1843" w:type="dxa"/>
            <w:shd w:val="clear" w:color="auto" w:fill="auto"/>
            <w:hideMark/>
          </w:tcPr>
          <w:p w14:paraId="1FDBEA2E" w14:textId="77777777" w:rsidR="00E96FDF" w:rsidRPr="00B05E9E" w:rsidRDefault="00E96FDF" w:rsidP="00AF632F">
            <w:pPr>
              <w:pStyle w:val="NormalWeb"/>
              <w:jc w:val="center"/>
              <w:rPr>
                <w:sz w:val="18"/>
                <w:szCs w:val="18"/>
              </w:rPr>
            </w:pPr>
            <w:r w:rsidRPr="00B05E9E">
              <w:rPr>
                <w:sz w:val="18"/>
                <w:szCs w:val="18"/>
              </w:rPr>
              <w:t>1.18 (0.82, 1.70)</w:t>
            </w:r>
          </w:p>
        </w:tc>
        <w:tc>
          <w:tcPr>
            <w:tcW w:w="1509" w:type="dxa"/>
            <w:shd w:val="clear" w:color="auto" w:fill="auto"/>
            <w:hideMark/>
          </w:tcPr>
          <w:p w14:paraId="52B3970A" w14:textId="77777777" w:rsidR="00E96FDF" w:rsidRPr="00B05E9E" w:rsidRDefault="00E96FDF" w:rsidP="00AF632F">
            <w:pPr>
              <w:pStyle w:val="NormalWeb"/>
              <w:jc w:val="center"/>
              <w:rPr>
                <w:sz w:val="18"/>
                <w:szCs w:val="18"/>
              </w:rPr>
            </w:pPr>
            <w:r w:rsidRPr="00B05E9E">
              <w:rPr>
                <w:sz w:val="18"/>
                <w:szCs w:val="18"/>
              </w:rPr>
              <w:t>1.22 (0.84, 1.76)</w:t>
            </w:r>
          </w:p>
        </w:tc>
      </w:tr>
      <w:tr w:rsidR="00E96FDF" w:rsidRPr="00B05E9E" w14:paraId="06AE44A7" w14:textId="77777777" w:rsidTr="0008659E">
        <w:tc>
          <w:tcPr>
            <w:tcW w:w="2552" w:type="dxa"/>
            <w:vMerge/>
            <w:tcBorders>
              <w:top w:val="single" w:sz="2" w:space="0" w:color="000000" w:themeColor="text1"/>
              <w:bottom w:val="single" w:sz="2" w:space="0" w:color="000000" w:themeColor="text1"/>
            </w:tcBorders>
            <w:shd w:val="clear" w:color="auto" w:fill="auto"/>
            <w:hideMark/>
          </w:tcPr>
          <w:p w14:paraId="3FF0AD27" w14:textId="77777777" w:rsidR="00E96FDF" w:rsidRPr="00B05E9E" w:rsidRDefault="00E96FDF" w:rsidP="00AF632F">
            <w:pPr>
              <w:rPr>
                <w:sz w:val="18"/>
                <w:szCs w:val="18"/>
              </w:rPr>
            </w:pPr>
          </w:p>
        </w:tc>
        <w:tc>
          <w:tcPr>
            <w:tcW w:w="2977" w:type="dxa"/>
            <w:shd w:val="clear" w:color="auto" w:fill="auto"/>
            <w:hideMark/>
          </w:tcPr>
          <w:p w14:paraId="0F2F9606" w14:textId="77777777" w:rsidR="00E96FDF" w:rsidRPr="00B05E9E" w:rsidRDefault="00E96FDF" w:rsidP="00AF632F">
            <w:pPr>
              <w:pStyle w:val="NormalWeb"/>
              <w:rPr>
                <w:sz w:val="18"/>
                <w:szCs w:val="18"/>
              </w:rPr>
            </w:pPr>
            <w:r w:rsidRPr="00B05E9E">
              <w:rPr>
                <w:sz w:val="18"/>
                <w:szCs w:val="18"/>
              </w:rPr>
              <w:t>Renal failure</w:t>
            </w:r>
          </w:p>
        </w:tc>
        <w:tc>
          <w:tcPr>
            <w:tcW w:w="1559" w:type="dxa"/>
            <w:shd w:val="clear" w:color="auto" w:fill="auto"/>
            <w:hideMark/>
          </w:tcPr>
          <w:p w14:paraId="2F9B2A64" w14:textId="77777777" w:rsidR="00E96FDF" w:rsidRPr="00B05E9E" w:rsidRDefault="00E96FDF" w:rsidP="00AF632F">
            <w:pPr>
              <w:pStyle w:val="NormalWeb"/>
              <w:jc w:val="center"/>
              <w:rPr>
                <w:sz w:val="18"/>
                <w:szCs w:val="18"/>
              </w:rPr>
            </w:pPr>
            <w:r w:rsidRPr="00B05E9E">
              <w:rPr>
                <w:sz w:val="18"/>
                <w:szCs w:val="18"/>
              </w:rPr>
              <w:t>11/19 (57.9)</w:t>
            </w:r>
          </w:p>
        </w:tc>
        <w:tc>
          <w:tcPr>
            <w:tcW w:w="1843" w:type="dxa"/>
            <w:shd w:val="clear" w:color="auto" w:fill="auto"/>
            <w:hideMark/>
          </w:tcPr>
          <w:p w14:paraId="6EB5F95E" w14:textId="77777777" w:rsidR="00E96FDF" w:rsidRPr="00B05E9E" w:rsidRDefault="00E96FDF" w:rsidP="00AF632F">
            <w:pPr>
              <w:pStyle w:val="NormalWeb"/>
              <w:jc w:val="center"/>
              <w:rPr>
                <w:sz w:val="18"/>
                <w:szCs w:val="18"/>
              </w:rPr>
            </w:pPr>
            <w:r w:rsidRPr="00B05E9E">
              <w:rPr>
                <w:sz w:val="18"/>
                <w:szCs w:val="18"/>
              </w:rPr>
              <w:t>1.03 (0.56, 1.89)</w:t>
            </w:r>
          </w:p>
        </w:tc>
        <w:tc>
          <w:tcPr>
            <w:tcW w:w="1509" w:type="dxa"/>
            <w:shd w:val="clear" w:color="auto" w:fill="auto"/>
            <w:hideMark/>
          </w:tcPr>
          <w:p w14:paraId="562C9072" w14:textId="77777777" w:rsidR="00E96FDF" w:rsidRPr="00B05E9E" w:rsidRDefault="00E96FDF" w:rsidP="00AF632F">
            <w:pPr>
              <w:pStyle w:val="NormalWeb"/>
              <w:jc w:val="center"/>
              <w:rPr>
                <w:sz w:val="18"/>
                <w:szCs w:val="18"/>
              </w:rPr>
            </w:pPr>
            <w:r w:rsidRPr="00B05E9E">
              <w:rPr>
                <w:sz w:val="18"/>
                <w:szCs w:val="18"/>
              </w:rPr>
              <w:t>1.03 (0.56, 1.89)</w:t>
            </w:r>
          </w:p>
        </w:tc>
      </w:tr>
      <w:tr w:rsidR="00E96FDF" w:rsidRPr="00B05E9E" w14:paraId="2CD710B7" w14:textId="77777777" w:rsidTr="0008659E">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000000" w:themeColor="text1"/>
              <w:bottom w:val="single" w:sz="2" w:space="0" w:color="000000" w:themeColor="text1"/>
            </w:tcBorders>
            <w:shd w:val="clear" w:color="auto" w:fill="auto"/>
            <w:hideMark/>
          </w:tcPr>
          <w:p w14:paraId="668C68F9" w14:textId="77777777" w:rsidR="00E96FDF" w:rsidRPr="00B05E9E" w:rsidRDefault="00E96FDF" w:rsidP="00AF632F">
            <w:pPr>
              <w:rPr>
                <w:sz w:val="18"/>
                <w:szCs w:val="18"/>
              </w:rPr>
            </w:pPr>
          </w:p>
        </w:tc>
        <w:tc>
          <w:tcPr>
            <w:tcW w:w="2977" w:type="dxa"/>
            <w:shd w:val="clear" w:color="auto" w:fill="auto"/>
            <w:hideMark/>
          </w:tcPr>
          <w:p w14:paraId="33A3FC0A" w14:textId="77777777" w:rsidR="00E96FDF" w:rsidRPr="00B05E9E" w:rsidRDefault="00E96FDF" w:rsidP="00AF632F">
            <w:pPr>
              <w:pStyle w:val="NormalWeb"/>
              <w:rPr>
                <w:sz w:val="18"/>
                <w:szCs w:val="18"/>
              </w:rPr>
            </w:pPr>
            <w:r w:rsidRPr="00B05E9E">
              <w:rPr>
                <w:sz w:val="18"/>
                <w:szCs w:val="18"/>
              </w:rPr>
              <w:t>Cancer</w:t>
            </w:r>
          </w:p>
        </w:tc>
        <w:tc>
          <w:tcPr>
            <w:tcW w:w="1559" w:type="dxa"/>
            <w:shd w:val="clear" w:color="auto" w:fill="auto"/>
            <w:hideMark/>
          </w:tcPr>
          <w:p w14:paraId="3508CE78" w14:textId="77777777" w:rsidR="00E96FDF" w:rsidRPr="00B05E9E" w:rsidRDefault="00E96FDF" w:rsidP="00AF632F">
            <w:pPr>
              <w:pStyle w:val="NormalWeb"/>
              <w:jc w:val="center"/>
              <w:rPr>
                <w:sz w:val="18"/>
                <w:szCs w:val="18"/>
              </w:rPr>
            </w:pPr>
            <w:r w:rsidRPr="00B05E9E">
              <w:rPr>
                <w:sz w:val="18"/>
                <w:szCs w:val="18"/>
              </w:rPr>
              <w:t>37/73 (50.7)</w:t>
            </w:r>
          </w:p>
        </w:tc>
        <w:tc>
          <w:tcPr>
            <w:tcW w:w="1843" w:type="dxa"/>
            <w:shd w:val="clear" w:color="auto" w:fill="auto"/>
            <w:hideMark/>
          </w:tcPr>
          <w:p w14:paraId="2DE5AC55" w14:textId="77777777" w:rsidR="00E96FDF" w:rsidRPr="00B05E9E" w:rsidRDefault="00E96FDF" w:rsidP="00AF632F">
            <w:pPr>
              <w:pStyle w:val="NormalWeb"/>
              <w:jc w:val="center"/>
              <w:rPr>
                <w:sz w:val="18"/>
                <w:szCs w:val="18"/>
              </w:rPr>
            </w:pPr>
            <w:r w:rsidRPr="00B05E9E">
              <w:rPr>
                <w:sz w:val="18"/>
                <w:szCs w:val="18"/>
              </w:rPr>
              <w:t>0.88 (0.62, 1.25)</w:t>
            </w:r>
          </w:p>
        </w:tc>
        <w:tc>
          <w:tcPr>
            <w:tcW w:w="1509" w:type="dxa"/>
            <w:shd w:val="clear" w:color="auto" w:fill="auto"/>
            <w:hideMark/>
          </w:tcPr>
          <w:p w14:paraId="5F111171" w14:textId="77777777" w:rsidR="00E96FDF" w:rsidRPr="00B05E9E" w:rsidRDefault="00E96FDF" w:rsidP="00AF632F">
            <w:pPr>
              <w:pStyle w:val="NormalWeb"/>
              <w:jc w:val="center"/>
              <w:rPr>
                <w:sz w:val="18"/>
                <w:szCs w:val="18"/>
              </w:rPr>
            </w:pPr>
            <w:r w:rsidRPr="00B05E9E">
              <w:rPr>
                <w:sz w:val="18"/>
                <w:szCs w:val="18"/>
              </w:rPr>
              <w:t>0.88 (0.62, 1.25)</w:t>
            </w:r>
          </w:p>
        </w:tc>
      </w:tr>
      <w:tr w:rsidR="00E96FDF" w:rsidRPr="00B05E9E" w14:paraId="431302CF" w14:textId="77777777" w:rsidTr="0008659E">
        <w:tc>
          <w:tcPr>
            <w:tcW w:w="2552" w:type="dxa"/>
            <w:vMerge/>
            <w:tcBorders>
              <w:top w:val="single" w:sz="2" w:space="0" w:color="000000" w:themeColor="text1"/>
              <w:bottom w:val="single" w:sz="2" w:space="0" w:color="000000" w:themeColor="text1"/>
            </w:tcBorders>
            <w:shd w:val="clear" w:color="auto" w:fill="auto"/>
            <w:hideMark/>
          </w:tcPr>
          <w:p w14:paraId="51A90F33" w14:textId="77777777" w:rsidR="00E96FDF" w:rsidRPr="00B05E9E" w:rsidRDefault="00E96FDF" w:rsidP="00AF632F">
            <w:pPr>
              <w:rPr>
                <w:sz w:val="18"/>
                <w:szCs w:val="18"/>
              </w:rPr>
            </w:pPr>
          </w:p>
        </w:tc>
        <w:tc>
          <w:tcPr>
            <w:tcW w:w="2977" w:type="dxa"/>
            <w:tcBorders>
              <w:bottom w:val="single" w:sz="2" w:space="0" w:color="000000" w:themeColor="text1"/>
            </w:tcBorders>
            <w:shd w:val="clear" w:color="auto" w:fill="auto"/>
            <w:hideMark/>
          </w:tcPr>
          <w:p w14:paraId="5DB905BF" w14:textId="77777777" w:rsidR="00E96FDF" w:rsidRPr="00B05E9E" w:rsidRDefault="00E96FDF" w:rsidP="00AF632F">
            <w:pPr>
              <w:pStyle w:val="NormalWeb"/>
              <w:rPr>
                <w:sz w:val="18"/>
                <w:szCs w:val="18"/>
              </w:rPr>
            </w:pPr>
            <w:r w:rsidRPr="00B05E9E">
              <w:rPr>
                <w:sz w:val="18"/>
                <w:szCs w:val="18"/>
              </w:rPr>
              <w:t>Cardiovascular disease</w:t>
            </w:r>
          </w:p>
        </w:tc>
        <w:tc>
          <w:tcPr>
            <w:tcW w:w="1559" w:type="dxa"/>
            <w:tcBorders>
              <w:bottom w:val="single" w:sz="2" w:space="0" w:color="000000" w:themeColor="text1"/>
            </w:tcBorders>
            <w:shd w:val="clear" w:color="auto" w:fill="auto"/>
            <w:hideMark/>
          </w:tcPr>
          <w:p w14:paraId="1E1E51A5" w14:textId="77777777" w:rsidR="00E96FDF" w:rsidRPr="00B05E9E" w:rsidRDefault="00E96FDF" w:rsidP="00AF632F">
            <w:pPr>
              <w:pStyle w:val="NormalWeb"/>
              <w:jc w:val="center"/>
              <w:rPr>
                <w:sz w:val="18"/>
                <w:szCs w:val="18"/>
              </w:rPr>
            </w:pPr>
            <w:r w:rsidRPr="00B05E9E">
              <w:rPr>
                <w:sz w:val="18"/>
                <w:szCs w:val="18"/>
              </w:rPr>
              <w:t>54/97 (55.7)</w:t>
            </w:r>
          </w:p>
        </w:tc>
        <w:tc>
          <w:tcPr>
            <w:tcW w:w="1843" w:type="dxa"/>
            <w:tcBorders>
              <w:bottom w:val="single" w:sz="2" w:space="0" w:color="000000" w:themeColor="text1"/>
            </w:tcBorders>
            <w:shd w:val="clear" w:color="auto" w:fill="auto"/>
            <w:hideMark/>
          </w:tcPr>
          <w:p w14:paraId="0C2EF7F1" w14:textId="77777777" w:rsidR="00E96FDF" w:rsidRPr="00B05E9E" w:rsidRDefault="00E96FDF" w:rsidP="00AF632F">
            <w:pPr>
              <w:pStyle w:val="NormalWeb"/>
              <w:jc w:val="center"/>
              <w:rPr>
                <w:sz w:val="18"/>
                <w:szCs w:val="18"/>
              </w:rPr>
            </w:pPr>
            <w:r w:rsidRPr="00B05E9E">
              <w:rPr>
                <w:sz w:val="18"/>
                <w:szCs w:val="18"/>
              </w:rPr>
              <w:t>0.98 (0.73, 1.33)</w:t>
            </w:r>
          </w:p>
        </w:tc>
        <w:tc>
          <w:tcPr>
            <w:tcW w:w="1509" w:type="dxa"/>
            <w:tcBorders>
              <w:bottom w:val="single" w:sz="2" w:space="0" w:color="000000" w:themeColor="text1"/>
            </w:tcBorders>
            <w:shd w:val="clear" w:color="auto" w:fill="auto"/>
            <w:hideMark/>
          </w:tcPr>
          <w:p w14:paraId="00EA9998" w14:textId="77777777" w:rsidR="00E96FDF" w:rsidRPr="00B05E9E" w:rsidRDefault="00E96FDF" w:rsidP="00AF632F">
            <w:pPr>
              <w:pStyle w:val="NormalWeb"/>
              <w:jc w:val="center"/>
              <w:rPr>
                <w:sz w:val="18"/>
                <w:szCs w:val="18"/>
              </w:rPr>
            </w:pPr>
            <w:r w:rsidRPr="00B05E9E">
              <w:rPr>
                <w:sz w:val="18"/>
                <w:szCs w:val="18"/>
              </w:rPr>
              <w:t>1.00 (0.74, 1.36)</w:t>
            </w:r>
          </w:p>
        </w:tc>
      </w:tr>
    </w:tbl>
    <w:p w14:paraId="4B5F8795" w14:textId="77777777" w:rsidR="00E96FDF" w:rsidRDefault="00E96FDF" w:rsidP="00E96FDF">
      <w:pPr>
        <w:pStyle w:val="CDIfootnotes"/>
        <w:rPr>
          <w:lang w:val="en-GB"/>
        </w:rPr>
      </w:pPr>
      <w:proofErr w:type="spellStart"/>
      <w:proofErr w:type="gramStart"/>
      <w:r>
        <w:rPr>
          <w:lang w:val="en-GB"/>
        </w:rPr>
        <w:t>a</w:t>
      </w:r>
      <w:proofErr w:type="spellEnd"/>
      <w:proofErr w:type="gramEnd"/>
      <w:r>
        <w:rPr>
          <w:lang w:val="en-GB"/>
        </w:rPr>
        <w:tab/>
        <w:t xml:space="preserve">Estimates are based on 1,148 people who were residents of Queensland with an onset date before 1 November 2020 and 607 presentations to emergency departments, measured with EDC data. Model 1 is adjusted for age and sex. Model 2 is adjusted for age, </w:t>
      </w:r>
      <w:proofErr w:type="gramStart"/>
      <w:r>
        <w:rPr>
          <w:lang w:val="en-GB"/>
        </w:rPr>
        <w:t>sex</w:t>
      </w:r>
      <w:proofErr w:type="gramEnd"/>
      <w:r>
        <w:rPr>
          <w:lang w:val="en-GB"/>
        </w:rPr>
        <w:t xml:space="preserve"> and remoteness, measured with ARIA+. Age, sex, </w:t>
      </w:r>
      <w:proofErr w:type="gramStart"/>
      <w:r>
        <w:rPr>
          <w:lang w:val="en-GB"/>
        </w:rPr>
        <w:t>remoteness</w:t>
      </w:r>
      <w:proofErr w:type="gramEnd"/>
      <w:r>
        <w:rPr>
          <w:lang w:val="en-GB"/>
        </w:rPr>
        <w:t xml:space="preserve"> and SEIFA IRSD are measured with or derived from </w:t>
      </w:r>
      <w:proofErr w:type="spellStart"/>
      <w:r>
        <w:rPr>
          <w:lang w:val="en-GB"/>
        </w:rPr>
        <w:t>NoCS</w:t>
      </w:r>
      <w:proofErr w:type="spellEnd"/>
      <w:r>
        <w:rPr>
          <w:lang w:val="en-GB"/>
        </w:rPr>
        <w:t xml:space="preserve"> data. Smoking status and comorbidities are measured with QHAPDC prior to onset date. SEIFA IRSD is measured in population-based quintiles.</w:t>
      </w:r>
    </w:p>
    <w:p w14:paraId="2AE12FE7" w14:textId="77777777" w:rsidR="00E96FDF" w:rsidRDefault="00E96FDF" w:rsidP="00E96FDF">
      <w:pPr>
        <w:pStyle w:val="CDIfootnotes"/>
        <w:rPr>
          <w:lang w:val="en-GB"/>
        </w:rPr>
      </w:pPr>
      <w:r>
        <w:rPr>
          <w:lang w:val="en-GB"/>
        </w:rPr>
        <w:t>b</w:t>
      </w:r>
      <w:r>
        <w:rPr>
          <w:lang w:val="en-GB"/>
        </w:rPr>
        <w:tab/>
        <w:t>Where age is the primary exposure variable, Model 1 is adjusted only for sex. Where sex is the primary exposure variable, Model 1 is adjusted for only age. EDC data is yet to be finalised and results should be considered preliminary.</w:t>
      </w:r>
    </w:p>
    <w:p w14:paraId="1BF7836B" w14:textId="77777777" w:rsidR="00E96FDF" w:rsidRDefault="00E96FDF" w:rsidP="00E96FDF">
      <w:pPr>
        <w:pStyle w:val="CDIfootnotes"/>
        <w:rPr>
          <w:lang w:val="en-GB"/>
        </w:rPr>
      </w:pPr>
      <w:r>
        <w:rPr>
          <w:lang w:val="en-GB"/>
        </w:rPr>
        <w:t>c</w:t>
      </w:r>
      <w:r>
        <w:rPr>
          <w:lang w:val="en-GB"/>
        </w:rPr>
        <w:tab/>
        <w:t>Accessibility and Remoteness Index of Australia.</w:t>
      </w:r>
    </w:p>
    <w:p w14:paraId="017952D4" w14:textId="77777777" w:rsidR="00E96FDF" w:rsidRDefault="00E96FDF" w:rsidP="00E96FDF">
      <w:pPr>
        <w:pStyle w:val="CDIfootnotes"/>
        <w:rPr>
          <w:lang w:val="en-GB"/>
        </w:rPr>
      </w:pPr>
      <w:r>
        <w:rPr>
          <w:lang w:val="en-GB"/>
        </w:rPr>
        <w:t>d</w:t>
      </w:r>
      <w:r>
        <w:rPr>
          <w:lang w:val="en-GB"/>
        </w:rPr>
        <w:tab/>
        <w:t xml:space="preserve">Indicates that the test for linear trend was significant, </w:t>
      </w:r>
      <w:r w:rsidRPr="002D346F">
        <w:rPr>
          <w:i/>
          <w:iCs/>
          <w:lang w:val="en-GB"/>
        </w:rPr>
        <w:t>p</w:t>
      </w:r>
      <w:r>
        <w:rPr>
          <w:lang w:val="en-GB"/>
        </w:rPr>
        <w:t xml:space="preserve"> &lt; 0.01.</w:t>
      </w:r>
    </w:p>
    <w:p w14:paraId="266B2FE9" w14:textId="77777777" w:rsidR="00E96FDF" w:rsidRDefault="00E96FDF" w:rsidP="00E96FDF">
      <w:pPr>
        <w:pStyle w:val="CDIfootnotes"/>
        <w:rPr>
          <w:lang w:val="en-GB"/>
        </w:rPr>
      </w:pPr>
      <w:r>
        <w:rPr>
          <w:lang w:val="en-GB"/>
        </w:rPr>
        <w:t>e</w:t>
      </w:r>
      <w:r>
        <w:rPr>
          <w:lang w:val="en-GB"/>
        </w:rPr>
        <w:tab/>
        <w:t>Socio-Economic Indexes for Areas, Index of Relative Socio-Economic Disadvantage.</w:t>
      </w:r>
    </w:p>
    <w:p w14:paraId="7919CD84" w14:textId="77777777" w:rsidR="00E96FDF" w:rsidRDefault="00E96FDF" w:rsidP="00E96FDF">
      <w:pPr>
        <w:pStyle w:val="CDIfootnotes"/>
        <w:rPr>
          <w:lang w:val="en-GB"/>
        </w:rPr>
      </w:pPr>
      <w:r>
        <w:rPr>
          <w:lang w:val="en-GB"/>
        </w:rPr>
        <w:t>f</w:t>
      </w:r>
      <w:r>
        <w:rPr>
          <w:lang w:val="en-GB"/>
        </w:rPr>
        <w:tab/>
        <w:t xml:space="preserve">Indicates that the test for linear trend was significant, </w:t>
      </w:r>
      <w:r w:rsidRPr="002D346F">
        <w:rPr>
          <w:i/>
          <w:iCs/>
          <w:lang w:val="en-GB"/>
        </w:rPr>
        <w:t>p</w:t>
      </w:r>
      <w:r>
        <w:rPr>
          <w:lang w:val="en-GB"/>
        </w:rPr>
        <w:t xml:space="preserve"> &lt; 0.05.</w:t>
      </w:r>
    </w:p>
    <w:p w14:paraId="6DEE3E6B" w14:textId="77777777" w:rsidR="00E96FDF" w:rsidRDefault="00E96FDF" w:rsidP="00E96FDF">
      <w:pPr>
        <w:pStyle w:val="CDIfootnotes"/>
        <w:rPr>
          <w:lang w:val="en-GB"/>
        </w:rPr>
      </w:pPr>
      <w:r>
        <w:rPr>
          <w:lang w:val="en-GB"/>
        </w:rPr>
        <w:t>g</w:t>
      </w:r>
      <w:r>
        <w:rPr>
          <w:lang w:val="en-GB"/>
        </w:rPr>
        <w:tab/>
        <w:t>Risks associated with comorbid conditions are estimated for each condition separately, using those with a hospital record but without the condition as the reference category.</w:t>
      </w:r>
    </w:p>
    <w:p w14:paraId="49007194" w14:textId="77777777" w:rsidR="00E96FDF" w:rsidRDefault="00E96FDF" w:rsidP="00D6062B"/>
    <w:p w14:paraId="2D7321C2" w14:textId="2606BD1A" w:rsidR="00835A89" w:rsidRPr="007D5B45" w:rsidRDefault="00D6062B">
      <w:pPr>
        <w:rPr>
          <w:rStyle w:val="Strong"/>
          <w:b w:val="0"/>
          <w:bCs w:val="0"/>
        </w:rPr>
      </w:pPr>
      <w:r>
        <w:lastRenderedPageBreak/>
        <w:t xml:space="preserve">Proportions admitted to hospital increased with age (&lt; 20% of those aged 0–39 years to &gt; 34% of those aged 75+ years); with being a current/recent smoker (42.2%) compared to being a non-smoker (27.9%); and with having a comorbid chronic health condition (26.3–38.5%) compared to having no comorbid condition (18.8%). There was considerable uncertainty in the estimates in the age-sex-adjusted models. However, risk of hospital admission increased with greater age (test for linear trend: </w:t>
      </w:r>
      <w:r w:rsidRPr="00222AE1">
        <w:rPr>
          <w:rStyle w:val="Emphasis"/>
          <w:b w:val="0"/>
          <w:bCs w:val="0"/>
        </w:rPr>
        <w:t>p</w:t>
      </w:r>
      <w:r>
        <w:t xml:space="preserve"> &lt; 0.001) and was elevated among current/recent smokers compared to non-smokers (age-sex-adjusted RR</w:t>
      </w:r>
      <w:r w:rsidR="002D346F">
        <w:t xml:space="preserve">: </w:t>
      </w:r>
      <w:r>
        <w:t xml:space="preserve">1.62; 95% CI: 1.00, 2.61); those living in </w:t>
      </w:r>
      <w:r w:rsidR="00E2143B">
        <w:t>less-disadvantaged</w:t>
      </w:r>
      <w:r>
        <w:t xml:space="preserve"> areas had lower risk of being admitted to hospital (age-sex-adjusted test for trend, </w:t>
      </w:r>
      <w:r w:rsidRPr="00222AE1">
        <w:rPr>
          <w:rStyle w:val="Emphasis"/>
          <w:b w:val="0"/>
          <w:bCs w:val="0"/>
        </w:rPr>
        <w:t>p</w:t>
      </w:r>
      <w:r>
        <w:t xml:space="preserve"> = 0.001) (Model 1, Table 6). There was no material difference in these results after adjustment for region (Model 2, Table 6). </w:t>
      </w:r>
    </w:p>
    <w:p w14:paraId="597A8647" w14:textId="77777777" w:rsidR="00B81C35" w:rsidRDefault="00B81C35">
      <w:pPr>
        <w:rPr>
          <w:rStyle w:val="Strong"/>
          <w:lang w:val="en-GB"/>
        </w:rPr>
      </w:pPr>
      <w:r>
        <w:rPr>
          <w:rStyle w:val="Strong"/>
          <w:lang w:val="en-GB"/>
        </w:rPr>
        <w:br w:type="page"/>
      </w:r>
    </w:p>
    <w:p w14:paraId="4E0A229F" w14:textId="5505C59A" w:rsidR="005F5258" w:rsidRDefault="005F5258" w:rsidP="005F5258">
      <w:pPr>
        <w:pStyle w:val="NormalWeb"/>
        <w:rPr>
          <w:lang w:val="en-GB"/>
        </w:rPr>
      </w:pPr>
      <w:r>
        <w:rPr>
          <w:rStyle w:val="Strong"/>
          <w:lang w:val="en-GB"/>
        </w:rPr>
        <w:lastRenderedPageBreak/>
        <w:t xml:space="preserve">Table 6: Proportions and relative risks for an inpatient admission to hospital within two weeks of recorded COVID-19 symptom </w:t>
      </w:r>
      <w:proofErr w:type="spellStart"/>
      <w:proofErr w:type="gramStart"/>
      <w:r>
        <w:rPr>
          <w:rStyle w:val="Strong"/>
          <w:lang w:val="en-GB"/>
        </w:rPr>
        <w:t>onset,</w:t>
      </w:r>
      <w:r w:rsidRPr="00981905">
        <w:rPr>
          <w:rStyle w:val="Strong"/>
          <w:vertAlign w:val="superscript"/>
          <w:lang w:val="en-GB"/>
        </w:rPr>
        <w:t>a</w:t>
      </w:r>
      <w:proofErr w:type="spellEnd"/>
      <w:proofErr w:type="gramEnd"/>
      <w:r>
        <w:rPr>
          <w:rStyle w:val="Strong"/>
          <w:lang w:val="en-GB"/>
        </w:rPr>
        <w:t xml:space="preserve"> among Queensland residents in relation to key sociodemographic characteristics</w:t>
      </w:r>
      <w:r>
        <w:rPr>
          <w:lang w:val="en-GB"/>
        </w:rPr>
        <w:t xml:space="preserve">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presents the risks of an inpatient hospital admission associated with sociodemographic and health characteristics for the 1148 cohort members who were residents of Queensland with an onset date before 1 November 2020. After adjustment for age, sex and remoteness, increasing age was associated with higher risk of an inpatient hospital admission and living in less disadvantaged areas was associated with lower risk of an inpatient hospital admission. After adjustment for age, sex and remoteness, current/ recent smokers had a 61% higher risk of being admitted as an inpatient to hospital compared to non-smokers. Small numbers of cohort members with comorbid conditions resulted in imprecise estimates of risks associated with comorbidities."/>
      </w:tblPr>
      <w:tblGrid>
        <w:gridCol w:w="1697"/>
        <w:gridCol w:w="2916"/>
        <w:gridCol w:w="1780"/>
        <w:gridCol w:w="1780"/>
        <w:gridCol w:w="2267"/>
      </w:tblGrid>
      <w:tr w:rsidR="005F5258" w:rsidRPr="00835A89" w14:paraId="53ADC167" w14:textId="77777777" w:rsidTr="00835A89">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75DEFB16" w14:textId="77777777" w:rsidR="005F5258" w:rsidRPr="00835A89" w:rsidRDefault="005F5258" w:rsidP="00AF632F">
            <w:pPr>
              <w:rPr>
                <w:color w:val="FFFFFF" w:themeColor="background1"/>
                <w:sz w:val="18"/>
                <w:szCs w:val="18"/>
                <w:lang w:val="en-GB"/>
              </w:rPr>
            </w:pPr>
          </w:p>
        </w:tc>
        <w:tc>
          <w:tcPr>
            <w:tcW w:w="0" w:type="auto"/>
            <w:tcBorders>
              <w:left w:val="single" w:sz="2" w:space="0" w:color="FFFFFF" w:themeColor="background1"/>
              <w:right w:val="single" w:sz="2" w:space="0" w:color="FFFFFF" w:themeColor="background1"/>
            </w:tcBorders>
            <w:hideMark/>
          </w:tcPr>
          <w:p w14:paraId="06536638" w14:textId="77777777" w:rsidR="005F5258" w:rsidRPr="00835A89" w:rsidRDefault="005F5258" w:rsidP="00AF632F">
            <w:pPr>
              <w:rPr>
                <w:rFonts w:eastAsia="Times New Roman"/>
                <w:color w:val="FFFFFF" w:themeColor="background1"/>
                <w:sz w:val="18"/>
                <w:szCs w:val="18"/>
              </w:rPr>
            </w:pPr>
          </w:p>
        </w:tc>
        <w:tc>
          <w:tcPr>
            <w:tcW w:w="1780" w:type="dxa"/>
            <w:tcBorders>
              <w:left w:val="single" w:sz="2" w:space="0" w:color="FFFFFF" w:themeColor="background1"/>
              <w:right w:val="single" w:sz="2" w:space="0" w:color="FFFFFF" w:themeColor="background1"/>
            </w:tcBorders>
            <w:hideMark/>
          </w:tcPr>
          <w:p w14:paraId="4885231F" w14:textId="05112D62" w:rsidR="005F5258" w:rsidRPr="00835A89" w:rsidRDefault="005F5258" w:rsidP="00AF632F">
            <w:pPr>
              <w:pStyle w:val="NormalWeb"/>
              <w:jc w:val="center"/>
              <w:rPr>
                <w:color w:val="FFFFFF" w:themeColor="background1"/>
                <w:sz w:val="18"/>
                <w:szCs w:val="18"/>
              </w:rPr>
            </w:pPr>
            <w:r w:rsidRPr="00835A89">
              <w:rPr>
                <w:color w:val="FFFFFF" w:themeColor="background1"/>
                <w:sz w:val="18"/>
                <w:szCs w:val="18"/>
              </w:rPr>
              <w:t>Events/persons</w:t>
            </w:r>
            <w:r w:rsidRPr="00835A89">
              <w:rPr>
                <w:color w:val="FFFFFF" w:themeColor="background1"/>
                <w:sz w:val="18"/>
                <w:szCs w:val="18"/>
              </w:rPr>
              <w:br/>
              <w:t>(%)</w:t>
            </w:r>
          </w:p>
        </w:tc>
        <w:tc>
          <w:tcPr>
            <w:tcW w:w="1780" w:type="dxa"/>
            <w:tcBorders>
              <w:left w:val="single" w:sz="2" w:space="0" w:color="FFFFFF" w:themeColor="background1"/>
              <w:right w:val="single" w:sz="2" w:space="0" w:color="FFFFFF" w:themeColor="background1"/>
            </w:tcBorders>
            <w:hideMark/>
          </w:tcPr>
          <w:p w14:paraId="36A13F9E" w14:textId="77777777" w:rsidR="005F5258" w:rsidRPr="00835A89" w:rsidRDefault="005F5258" w:rsidP="00AF632F">
            <w:pPr>
              <w:pStyle w:val="NormalWeb"/>
              <w:jc w:val="center"/>
              <w:rPr>
                <w:color w:val="FFFFFF" w:themeColor="background1"/>
                <w:sz w:val="18"/>
                <w:szCs w:val="18"/>
              </w:rPr>
            </w:pPr>
            <w:r w:rsidRPr="00835A89">
              <w:rPr>
                <w:color w:val="FFFFFF" w:themeColor="background1"/>
                <w:sz w:val="18"/>
                <w:szCs w:val="18"/>
              </w:rPr>
              <w:t>Model 1 RR</w:t>
            </w:r>
            <w:r w:rsidRPr="00835A89">
              <w:rPr>
                <w:color w:val="FFFFFF" w:themeColor="background1"/>
                <w:sz w:val="18"/>
                <w:szCs w:val="18"/>
              </w:rPr>
              <w:br/>
              <w:t>(95% CI)</w:t>
            </w:r>
          </w:p>
        </w:tc>
        <w:tc>
          <w:tcPr>
            <w:tcW w:w="2267" w:type="dxa"/>
            <w:tcBorders>
              <w:left w:val="single" w:sz="2" w:space="0" w:color="FFFFFF" w:themeColor="background1"/>
            </w:tcBorders>
            <w:hideMark/>
          </w:tcPr>
          <w:p w14:paraId="631264B1" w14:textId="77777777" w:rsidR="005F5258" w:rsidRPr="00835A89" w:rsidRDefault="005F5258" w:rsidP="00AF632F">
            <w:pPr>
              <w:pStyle w:val="NormalWeb"/>
              <w:jc w:val="center"/>
              <w:rPr>
                <w:color w:val="FFFFFF" w:themeColor="background1"/>
                <w:sz w:val="18"/>
                <w:szCs w:val="18"/>
              </w:rPr>
            </w:pPr>
            <w:r w:rsidRPr="00835A89">
              <w:rPr>
                <w:color w:val="FFFFFF" w:themeColor="background1"/>
                <w:sz w:val="18"/>
                <w:szCs w:val="18"/>
              </w:rPr>
              <w:t>Model 2 RR</w:t>
            </w:r>
            <w:r w:rsidRPr="00835A89">
              <w:rPr>
                <w:color w:val="FFFFFF" w:themeColor="background1"/>
                <w:sz w:val="18"/>
                <w:szCs w:val="18"/>
              </w:rPr>
              <w:br/>
              <w:t>(95% CI)</w:t>
            </w:r>
          </w:p>
        </w:tc>
      </w:tr>
      <w:tr w:rsidR="005F5258" w:rsidRPr="00835A89" w14:paraId="5A33BB19" w14:textId="77777777" w:rsidTr="00835A89">
        <w:tc>
          <w:tcPr>
            <w:tcW w:w="0" w:type="auto"/>
            <w:tcBorders>
              <w:bottom w:val="single" w:sz="2" w:space="0" w:color="auto"/>
            </w:tcBorders>
            <w:shd w:val="clear" w:color="auto" w:fill="FDE9D9" w:themeFill="accent6" w:themeFillTint="33"/>
            <w:hideMark/>
          </w:tcPr>
          <w:p w14:paraId="4BE163DC" w14:textId="77777777" w:rsidR="005F5258" w:rsidRPr="00835A89" w:rsidRDefault="005F5258" w:rsidP="00AF632F">
            <w:pPr>
              <w:pStyle w:val="NormalWeb"/>
              <w:rPr>
                <w:b/>
                <w:bCs/>
                <w:sz w:val="18"/>
                <w:szCs w:val="18"/>
              </w:rPr>
            </w:pPr>
            <w:r w:rsidRPr="00835A89">
              <w:rPr>
                <w:b/>
                <w:bCs/>
                <w:sz w:val="18"/>
                <w:szCs w:val="18"/>
              </w:rPr>
              <w:t>Total</w:t>
            </w:r>
          </w:p>
        </w:tc>
        <w:tc>
          <w:tcPr>
            <w:tcW w:w="0" w:type="auto"/>
            <w:tcBorders>
              <w:bottom w:val="single" w:sz="2" w:space="0" w:color="auto"/>
            </w:tcBorders>
            <w:shd w:val="clear" w:color="auto" w:fill="FDE9D9" w:themeFill="accent6" w:themeFillTint="33"/>
            <w:hideMark/>
          </w:tcPr>
          <w:p w14:paraId="20C0C7CA" w14:textId="77777777" w:rsidR="005F5258" w:rsidRPr="00835A89" w:rsidRDefault="005F5258" w:rsidP="00AF632F">
            <w:pPr>
              <w:rPr>
                <w:b/>
                <w:bCs/>
                <w:sz w:val="18"/>
                <w:szCs w:val="18"/>
              </w:rPr>
            </w:pPr>
          </w:p>
        </w:tc>
        <w:tc>
          <w:tcPr>
            <w:tcW w:w="1780" w:type="dxa"/>
            <w:tcBorders>
              <w:bottom w:val="single" w:sz="2" w:space="0" w:color="auto"/>
            </w:tcBorders>
            <w:shd w:val="clear" w:color="auto" w:fill="FDE9D9" w:themeFill="accent6" w:themeFillTint="33"/>
            <w:hideMark/>
          </w:tcPr>
          <w:p w14:paraId="1EBD5432" w14:textId="77777777" w:rsidR="005F5258" w:rsidRPr="00835A89" w:rsidRDefault="005F5258" w:rsidP="00AF632F">
            <w:pPr>
              <w:pStyle w:val="NormalWeb"/>
              <w:jc w:val="center"/>
              <w:rPr>
                <w:b/>
                <w:bCs/>
                <w:sz w:val="18"/>
                <w:szCs w:val="18"/>
              </w:rPr>
            </w:pPr>
            <w:r w:rsidRPr="00835A89">
              <w:rPr>
                <w:b/>
                <w:bCs/>
                <w:sz w:val="18"/>
                <w:szCs w:val="18"/>
              </w:rPr>
              <w:t>227/1148 (19.8)</w:t>
            </w:r>
          </w:p>
        </w:tc>
        <w:tc>
          <w:tcPr>
            <w:tcW w:w="1780" w:type="dxa"/>
            <w:tcBorders>
              <w:bottom w:val="single" w:sz="2" w:space="0" w:color="auto"/>
            </w:tcBorders>
            <w:shd w:val="clear" w:color="auto" w:fill="FDE9D9" w:themeFill="accent6" w:themeFillTint="33"/>
            <w:hideMark/>
          </w:tcPr>
          <w:p w14:paraId="6053C466" w14:textId="77777777" w:rsidR="005F5258" w:rsidRPr="00835A89" w:rsidRDefault="005F5258" w:rsidP="00AF632F">
            <w:pPr>
              <w:jc w:val="center"/>
              <w:rPr>
                <w:b/>
                <w:bCs/>
                <w:sz w:val="18"/>
                <w:szCs w:val="18"/>
              </w:rPr>
            </w:pPr>
          </w:p>
        </w:tc>
        <w:tc>
          <w:tcPr>
            <w:tcW w:w="2267" w:type="dxa"/>
            <w:tcBorders>
              <w:bottom w:val="single" w:sz="2" w:space="0" w:color="auto"/>
            </w:tcBorders>
            <w:shd w:val="clear" w:color="auto" w:fill="FDE9D9" w:themeFill="accent6" w:themeFillTint="33"/>
            <w:hideMark/>
          </w:tcPr>
          <w:p w14:paraId="08A26CC7" w14:textId="77777777" w:rsidR="005F5258" w:rsidRPr="00835A89" w:rsidRDefault="005F5258" w:rsidP="00AF632F">
            <w:pPr>
              <w:jc w:val="center"/>
              <w:rPr>
                <w:rFonts w:eastAsia="Times New Roman"/>
                <w:b/>
                <w:bCs/>
                <w:sz w:val="18"/>
                <w:szCs w:val="18"/>
              </w:rPr>
            </w:pPr>
          </w:p>
        </w:tc>
      </w:tr>
      <w:tr w:rsidR="005F5258" w:rsidRPr="00835A89" w14:paraId="53B9A0A1"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auto"/>
            </w:tcBorders>
            <w:shd w:val="clear" w:color="auto" w:fill="auto"/>
            <w:vAlign w:val="center"/>
            <w:hideMark/>
          </w:tcPr>
          <w:p w14:paraId="0D9D9FC0" w14:textId="77777777" w:rsidR="005F5258" w:rsidRPr="00835A89" w:rsidRDefault="005F5258" w:rsidP="00AF632F">
            <w:pPr>
              <w:pStyle w:val="NormalWeb"/>
              <w:rPr>
                <w:sz w:val="18"/>
                <w:szCs w:val="18"/>
              </w:rPr>
            </w:pPr>
            <w:r w:rsidRPr="00835A89">
              <w:rPr>
                <w:sz w:val="18"/>
                <w:szCs w:val="18"/>
              </w:rPr>
              <w:t>Age group (years)</w:t>
            </w:r>
            <w:r w:rsidRPr="00835A89">
              <w:rPr>
                <w:sz w:val="18"/>
                <w:szCs w:val="18"/>
                <w:vertAlign w:val="superscript"/>
              </w:rPr>
              <w:t>b</w:t>
            </w:r>
          </w:p>
        </w:tc>
        <w:tc>
          <w:tcPr>
            <w:tcW w:w="0" w:type="auto"/>
            <w:tcBorders>
              <w:top w:val="single" w:sz="2" w:space="0" w:color="auto"/>
            </w:tcBorders>
            <w:shd w:val="clear" w:color="auto" w:fill="auto"/>
            <w:hideMark/>
          </w:tcPr>
          <w:p w14:paraId="73065147" w14:textId="77777777" w:rsidR="005F5258" w:rsidRPr="00835A89" w:rsidRDefault="005F5258" w:rsidP="00AF632F">
            <w:pPr>
              <w:pStyle w:val="NormalWeb"/>
              <w:rPr>
                <w:sz w:val="18"/>
                <w:szCs w:val="18"/>
              </w:rPr>
            </w:pPr>
            <w:r w:rsidRPr="00835A89">
              <w:rPr>
                <w:sz w:val="18"/>
                <w:szCs w:val="18"/>
              </w:rPr>
              <w:t>0–19</w:t>
            </w:r>
          </w:p>
        </w:tc>
        <w:tc>
          <w:tcPr>
            <w:tcW w:w="1780" w:type="dxa"/>
            <w:tcBorders>
              <w:top w:val="single" w:sz="2" w:space="0" w:color="auto"/>
            </w:tcBorders>
            <w:shd w:val="clear" w:color="auto" w:fill="auto"/>
            <w:hideMark/>
          </w:tcPr>
          <w:p w14:paraId="54690A67" w14:textId="77777777" w:rsidR="005F5258" w:rsidRPr="00835A89" w:rsidRDefault="005F5258" w:rsidP="00AF632F">
            <w:pPr>
              <w:pStyle w:val="NormalWeb"/>
              <w:jc w:val="center"/>
              <w:rPr>
                <w:sz w:val="18"/>
                <w:szCs w:val="18"/>
              </w:rPr>
            </w:pPr>
            <w:r w:rsidRPr="00835A89">
              <w:rPr>
                <w:sz w:val="18"/>
                <w:szCs w:val="18"/>
              </w:rPr>
              <w:t>11/ 63 (17.5)</w:t>
            </w:r>
          </w:p>
        </w:tc>
        <w:tc>
          <w:tcPr>
            <w:tcW w:w="1780" w:type="dxa"/>
            <w:tcBorders>
              <w:top w:val="single" w:sz="2" w:space="0" w:color="auto"/>
            </w:tcBorders>
            <w:shd w:val="clear" w:color="auto" w:fill="auto"/>
            <w:hideMark/>
          </w:tcPr>
          <w:p w14:paraId="5CC0E3C3" w14:textId="77777777" w:rsidR="005F5258" w:rsidRPr="00835A89" w:rsidRDefault="005F5258" w:rsidP="00AF632F">
            <w:pPr>
              <w:pStyle w:val="NormalWeb"/>
              <w:jc w:val="center"/>
              <w:rPr>
                <w:sz w:val="18"/>
                <w:szCs w:val="18"/>
              </w:rPr>
            </w:pPr>
            <w:r w:rsidRPr="00835A89">
              <w:rPr>
                <w:sz w:val="18"/>
                <w:szCs w:val="18"/>
              </w:rPr>
              <w:t>1.13 (0.60, 2.14)</w:t>
            </w:r>
          </w:p>
        </w:tc>
        <w:tc>
          <w:tcPr>
            <w:tcW w:w="2267" w:type="dxa"/>
            <w:tcBorders>
              <w:top w:val="single" w:sz="2" w:space="0" w:color="auto"/>
            </w:tcBorders>
            <w:shd w:val="clear" w:color="auto" w:fill="auto"/>
            <w:hideMark/>
          </w:tcPr>
          <w:p w14:paraId="6EEEA194" w14:textId="77777777" w:rsidR="005F5258" w:rsidRPr="00835A89" w:rsidRDefault="005F5258" w:rsidP="00AF632F">
            <w:pPr>
              <w:pStyle w:val="NormalWeb"/>
              <w:jc w:val="center"/>
              <w:rPr>
                <w:sz w:val="18"/>
                <w:szCs w:val="18"/>
              </w:rPr>
            </w:pPr>
            <w:r w:rsidRPr="00835A89">
              <w:rPr>
                <w:sz w:val="18"/>
                <w:szCs w:val="18"/>
              </w:rPr>
              <w:t>1.18 (0.62, 2.23)</w:t>
            </w:r>
          </w:p>
        </w:tc>
      </w:tr>
      <w:tr w:rsidR="005F5258" w:rsidRPr="00835A89" w14:paraId="15ECE80F" w14:textId="77777777" w:rsidTr="00835A89">
        <w:tc>
          <w:tcPr>
            <w:tcW w:w="0" w:type="auto"/>
            <w:vMerge/>
            <w:shd w:val="clear" w:color="auto" w:fill="auto"/>
            <w:vAlign w:val="center"/>
            <w:hideMark/>
          </w:tcPr>
          <w:p w14:paraId="13540FB1" w14:textId="77777777" w:rsidR="005F5258" w:rsidRPr="00835A89" w:rsidRDefault="005F5258" w:rsidP="00AF632F">
            <w:pPr>
              <w:rPr>
                <w:sz w:val="18"/>
                <w:szCs w:val="18"/>
              </w:rPr>
            </w:pPr>
          </w:p>
        </w:tc>
        <w:tc>
          <w:tcPr>
            <w:tcW w:w="0" w:type="auto"/>
            <w:shd w:val="clear" w:color="auto" w:fill="auto"/>
            <w:hideMark/>
          </w:tcPr>
          <w:p w14:paraId="1AEAAC8E" w14:textId="77777777" w:rsidR="005F5258" w:rsidRPr="00835A89" w:rsidRDefault="005F5258" w:rsidP="00AF632F">
            <w:pPr>
              <w:pStyle w:val="NormalWeb"/>
              <w:rPr>
                <w:sz w:val="18"/>
                <w:szCs w:val="18"/>
              </w:rPr>
            </w:pPr>
            <w:r w:rsidRPr="00835A89">
              <w:rPr>
                <w:sz w:val="18"/>
                <w:szCs w:val="18"/>
              </w:rPr>
              <w:t>20–39</w:t>
            </w:r>
          </w:p>
        </w:tc>
        <w:tc>
          <w:tcPr>
            <w:tcW w:w="1780" w:type="dxa"/>
            <w:shd w:val="clear" w:color="auto" w:fill="auto"/>
            <w:hideMark/>
          </w:tcPr>
          <w:p w14:paraId="37EA805B" w14:textId="77777777" w:rsidR="005F5258" w:rsidRPr="00835A89" w:rsidRDefault="005F5258" w:rsidP="00AF632F">
            <w:pPr>
              <w:pStyle w:val="NormalWeb"/>
              <w:jc w:val="center"/>
              <w:rPr>
                <w:sz w:val="18"/>
                <w:szCs w:val="18"/>
              </w:rPr>
            </w:pPr>
            <w:r w:rsidRPr="00835A89">
              <w:rPr>
                <w:sz w:val="18"/>
                <w:szCs w:val="18"/>
              </w:rPr>
              <w:t>66/ 432 (15.3)</w:t>
            </w:r>
          </w:p>
        </w:tc>
        <w:tc>
          <w:tcPr>
            <w:tcW w:w="1780" w:type="dxa"/>
            <w:shd w:val="clear" w:color="auto" w:fill="auto"/>
            <w:hideMark/>
          </w:tcPr>
          <w:p w14:paraId="3A4AE273" w14:textId="77777777" w:rsidR="005F5258" w:rsidRPr="00835A89" w:rsidRDefault="005F5258" w:rsidP="00AF632F">
            <w:pPr>
              <w:pStyle w:val="NormalWeb"/>
              <w:jc w:val="center"/>
              <w:rPr>
                <w:sz w:val="18"/>
                <w:szCs w:val="18"/>
              </w:rPr>
            </w:pPr>
            <w:r w:rsidRPr="00835A89">
              <w:rPr>
                <w:sz w:val="18"/>
                <w:szCs w:val="18"/>
              </w:rPr>
              <w:t>1.00</w:t>
            </w:r>
          </w:p>
        </w:tc>
        <w:tc>
          <w:tcPr>
            <w:tcW w:w="2267" w:type="dxa"/>
            <w:shd w:val="clear" w:color="auto" w:fill="auto"/>
            <w:hideMark/>
          </w:tcPr>
          <w:p w14:paraId="65DE22E0" w14:textId="77777777" w:rsidR="005F5258" w:rsidRPr="00835A89" w:rsidRDefault="005F5258" w:rsidP="00AF632F">
            <w:pPr>
              <w:pStyle w:val="NormalWeb"/>
              <w:jc w:val="center"/>
              <w:rPr>
                <w:sz w:val="18"/>
                <w:szCs w:val="18"/>
              </w:rPr>
            </w:pPr>
            <w:r w:rsidRPr="00835A89">
              <w:rPr>
                <w:sz w:val="18"/>
                <w:szCs w:val="18"/>
              </w:rPr>
              <w:t>1.00</w:t>
            </w:r>
          </w:p>
        </w:tc>
      </w:tr>
      <w:tr w:rsidR="00835A89" w:rsidRPr="00835A89" w14:paraId="0A730271"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3C8F4484" w14:textId="77777777" w:rsidR="005F5258" w:rsidRPr="00835A89" w:rsidRDefault="005F5258" w:rsidP="00AF632F">
            <w:pPr>
              <w:rPr>
                <w:sz w:val="18"/>
                <w:szCs w:val="18"/>
              </w:rPr>
            </w:pPr>
          </w:p>
        </w:tc>
        <w:tc>
          <w:tcPr>
            <w:tcW w:w="0" w:type="auto"/>
            <w:shd w:val="clear" w:color="auto" w:fill="auto"/>
            <w:hideMark/>
          </w:tcPr>
          <w:p w14:paraId="5F445737" w14:textId="77777777" w:rsidR="005F5258" w:rsidRPr="00835A89" w:rsidRDefault="005F5258" w:rsidP="00AF632F">
            <w:pPr>
              <w:pStyle w:val="NormalWeb"/>
              <w:rPr>
                <w:sz w:val="18"/>
                <w:szCs w:val="18"/>
              </w:rPr>
            </w:pPr>
            <w:r w:rsidRPr="00835A89">
              <w:rPr>
                <w:sz w:val="18"/>
                <w:szCs w:val="18"/>
              </w:rPr>
              <w:t>40–59</w:t>
            </w:r>
          </w:p>
        </w:tc>
        <w:tc>
          <w:tcPr>
            <w:tcW w:w="1780" w:type="dxa"/>
            <w:shd w:val="clear" w:color="auto" w:fill="auto"/>
            <w:hideMark/>
          </w:tcPr>
          <w:p w14:paraId="5BD2BBF6" w14:textId="77777777" w:rsidR="005F5258" w:rsidRPr="00835A89" w:rsidRDefault="005F5258" w:rsidP="00AF632F">
            <w:pPr>
              <w:pStyle w:val="NormalWeb"/>
              <w:jc w:val="center"/>
              <w:rPr>
                <w:sz w:val="18"/>
                <w:szCs w:val="18"/>
              </w:rPr>
            </w:pPr>
            <w:r w:rsidRPr="00835A89">
              <w:rPr>
                <w:sz w:val="18"/>
                <w:szCs w:val="18"/>
              </w:rPr>
              <w:t>61/ 328 (18.6)</w:t>
            </w:r>
          </w:p>
        </w:tc>
        <w:tc>
          <w:tcPr>
            <w:tcW w:w="1780" w:type="dxa"/>
            <w:shd w:val="clear" w:color="auto" w:fill="auto"/>
            <w:hideMark/>
          </w:tcPr>
          <w:p w14:paraId="3E81A42F" w14:textId="77777777" w:rsidR="005F5258" w:rsidRPr="00835A89" w:rsidRDefault="005F5258" w:rsidP="00AF632F">
            <w:pPr>
              <w:pStyle w:val="NormalWeb"/>
              <w:jc w:val="center"/>
              <w:rPr>
                <w:sz w:val="18"/>
                <w:szCs w:val="18"/>
              </w:rPr>
            </w:pPr>
            <w:r w:rsidRPr="00835A89">
              <w:rPr>
                <w:sz w:val="18"/>
                <w:szCs w:val="18"/>
              </w:rPr>
              <w:t>1.19 (0.84, 1.69)</w:t>
            </w:r>
          </w:p>
        </w:tc>
        <w:tc>
          <w:tcPr>
            <w:tcW w:w="2267" w:type="dxa"/>
            <w:shd w:val="clear" w:color="auto" w:fill="auto"/>
            <w:hideMark/>
          </w:tcPr>
          <w:p w14:paraId="0E84746C" w14:textId="77777777" w:rsidR="005F5258" w:rsidRPr="00835A89" w:rsidRDefault="005F5258" w:rsidP="00AF632F">
            <w:pPr>
              <w:pStyle w:val="NormalWeb"/>
              <w:jc w:val="center"/>
              <w:rPr>
                <w:sz w:val="18"/>
                <w:szCs w:val="18"/>
              </w:rPr>
            </w:pPr>
            <w:r w:rsidRPr="00835A89">
              <w:rPr>
                <w:sz w:val="18"/>
                <w:szCs w:val="18"/>
              </w:rPr>
              <w:t>1.19 (0.84, 1.69)</w:t>
            </w:r>
          </w:p>
        </w:tc>
      </w:tr>
      <w:tr w:rsidR="005F5258" w:rsidRPr="00835A89" w14:paraId="31B8311B" w14:textId="77777777" w:rsidTr="00835A89">
        <w:tc>
          <w:tcPr>
            <w:tcW w:w="0" w:type="auto"/>
            <w:vMerge/>
            <w:shd w:val="clear" w:color="auto" w:fill="auto"/>
            <w:vAlign w:val="center"/>
            <w:hideMark/>
          </w:tcPr>
          <w:p w14:paraId="79316D28" w14:textId="77777777" w:rsidR="005F5258" w:rsidRPr="00835A89" w:rsidRDefault="005F5258" w:rsidP="00AF632F">
            <w:pPr>
              <w:rPr>
                <w:sz w:val="18"/>
                <w:szCs w:val="18"/>
              </w:rPr>
            </w:pPr>
          </w:p>
        </w:tc>
        <w:tc>
          <w:tcPr>
            <w:tcW w:w="0" w:type="auto"/>
            <w:shd w:val="clear" w:color="auto" w:fill="auto"/>
            <w:hideMark/>
          </w:tcPr>
          <w:p w14:paraId="78359C00" w14:textId="77777777" w:rsidR="005F5258" w:rsidRPr="00835A89" w:rsidRDefault="005F5258" w:rsidP="00AF632F">
            <w:pPr>
              <w:pStyle w:val="NormalWeb"/>
              <w:rPr>
                <w:sz w:val="18"/>
                <w:szCs w:val="18"/>
              </w:rPr>
            </w:pPr>
            <w:r w:rsidRPr="00835A89">
              <w:rPr>
                <w:sz w:val="18"/>
                <w:szCs w:val="18"/>
              </w:rPr>
              <w:t>60–74</w:t>
            </w:r>
          </w:p>
        </w:tc>
        <w:tc>
          <w:tcPr>
            <w:tcW w:w="1780" w:type="dxa"/>
            <w:shd w:val="clear" w:color="auto" w:fill="auto"/>
            <w:hideMark/>
          </w:tcPr>
          <w:p w14:paraId="3BAEB199" w14:textId="77777777" w:rsidR="005F5258" w:rsidRPr="00835A89" w:rsidRDefault="005F5258" w:rsidP="00AF632F">
            <w:pPr>
              <w:pStyle w:val="NormalWeb"/>
              <w:jc w:val="center"/>
              <w:rPr>
                <w:sz w:val="18"/>
                <w:szCs w:val="18"/>
              </w:rPr>
            </w:pPr>
            <w:r w:rsidRPr="00835A89">
              <w:rPr>
                <w:sz w:val="18"/>
                <w:szCs w:val="18"/>
              </w:rPr>
              <w:t>68/ 264 (25.8)</w:t>
            </w:r>
          </w:p>
        </w:tc>
        <w:tc>
          <w:tcPr>
            <w:tcW w:w="1780" w:type="dxa"/>
            <w:shd w:val="clear" w:color="auto" w:fill="auto"/>
            <w:hideMark/>
          </w:tcPr>
          <w:p w14:paraId="37E00F54" w14:textId="77777777" w:rsidR="005F5258" w:rsidRPr="00835A89" w:rsidRDefault="005F5258" w:rsidP="00AF632F">
            <w:pPr>
              <w:pStyle w:val="NormalWeb"/>
              <w:jc w:val="center"/>
              <w:rPr>
                <w:sz w:val="18"/>
                <w:szCs w:val="18"/>
              </w:rPr>
            </w:pPr>
            <w:r w:rsidRPr="00835A89">
              <w:rPr>
                <w:sz w:val="18"/>
                <w:szCs w:val="18"/>
              </w:rPr>
              <w:t>1.66 (1.19, 2.34)</w:t>
            </w:r>
          </w:p>
        </w:tc>
        <w:tc>
          <w:tcPr>
            <w:tcW w:w="2267" w:type="dxa"/>
            <w:shd w:val="clear" w:color="auto" w:fill="auto"/>
            <w:hideMark/>
          </w:tcPr>
          <w:p w14:paraId="29B8CDB4" w14:textId="77777777" w:rsidR="005F5258" w:rsidRPr="00835A89" w:rsidRDefault="005F5258" w:rsidP="00AF632F">
            <w:pPr>
              <w:pStyle w:val="NormalWeb"/>
              <w:jc w:val="center"/>
              <w:rPr>
                <w:sz w:val="18"/>
                <w:szCs w:val="18"/>
              </w:rPr>
            </w:pPr>
            <w:r w:rsidRPr="00835A89">
              <w:rPr>
                <w:sz w:val="18"/>
                <w:szCs w:val="18"/>
              </w:rPr>
              <w:t>1.68 (1.19, 2.36)</w:t>
            </w:r>
          </w:p>
        </w:tc>
      </w:tr>
      <w:tr w:rsidR="005F5258" w:rsidRPr="00835A89" w14:paraId="08B8CD58"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auto"/>
            </w:tcBorders>
            <w:shd w:val="clear" w:color="auto" w:fill="auto"/>
            <w:vAlign w:val="center"/>
            <w:hideMark/>
          </w:tcPr>
          <w:p w14:paraId="0240B3ED"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074339C8" w14:textId="77777777" w:rsidR="005F5258" w:rsidRPr="00835A89" w:rsidRDefault="005F5258" w:rsidP="00AF632F">
            <w:pPr>
              <w:pStyle w:val="NormalWeb"/>
              <w:rPr>
                <w:sz w:val="18"/>
                <w:szCs w:val="18"/>
              </w:rPr>
            </w:pPr>
            <w:r w:rsidRPr="00835A89">
              <w:rPr>
                <w:sz w:val="18"/>
                <w:szCs w:val="18"/>
              </w:rPr>
              <w:t>75+</w:t>
            </w:r>
          </w:p>
        </w:tc>
        <w:tc>
          <w:tcPr>
            <w:tcW w:w="1780" w:type="dxa"/>
            <w:tcBorders>
              <w:bottom w:val="single" w:sz="2" w:space="0" w:color="auto"/>
            </w:tcBorders>
            <w:shd w:val="clear" w:color="auto" w:fill="auto"/>
            <w:hideMark/>
          </w:tcPr>
          <w:p w14:paraId="390C675B" w14:textId="77777777" w:rsidR="005F5258" w:rsidRPr="00835A89" w:rsidRDefault="005F5258" w:rsidP="00AF632F">
            <w:pPr>
              <w:pStyle w:val="NormalWeb"/>
              <w:jc w:val="center"/>
              <w:rPr>
                <w:sz w:val="18"/>
                <w:szCs w:val="18"/>
              </w:rPr>
            </w:pPr>
            <w:r w:rsidRPr="00835A89">
              <w:rPr>
                <w:sz w:val="18"/>
                <w:szCs w:val="18"/>
              </w:rPr>
              <w:t>21/ 61 (34.4)</w:t>
            </w:r>
          </w:p>
        </w:tc>
        <w:tc>
          <w:tcPr>
            <w:tcW w:w="1780" w:type="dxa"/>
            <w:tcBorders>
              <w:bottom w:val="single" w:sz="2" w:space="0" w:color="auto"/>
            </w:tcBorders>
            <w:shd w:val="clear" w:color="auto" w:fill="auto"/>
            <w:hideMark/>
          </w:tcPr>
          <w:p w14:paraId="2BE5D349" w14:textId="77777777" w:rsidR="005F5258" w:rsidRPr="00835A89" w:rsidRDefault="005F5258" w:rsidP="00AF632F">
            <w:pPr>
              <w:pStyle w:val="NormalWeb"/>
              <w:jc w:val="center"/>
              <w:rPr>
                <w:sz w:val="18"/>
                <w:szCs w:val="18"/>
              </w:rPr>
            </w:pPr>
            <w:r w:rsidRPr="00835A89">
              <w:rPr>
                <w:sz w:val="18"/>
                <w:szCs w:val="18"/>
              </w:rPr>
              <w:t xml:space="preserve">2.17 (1.32, </w:t>
            </w:r>
            <w:proofErr w:type="gramStart"/>
            <w:r w:rsidRPr="00835A89">
              <w:rPr>
                <w:sz w:val="18"/>
                <w:szCs w:val="18"/>
              </w:rPr>
              <w:t>3.56)</w:t>
            </w:r>
            <w:r w:rsidRPr="00835A89">
              <w:rPr>
                <w:sz w:val="18"/>
                <w:szCs w:val="18"/>
                <w:vertAlign w:val="superscript"/>
              </w:rPr>
              <w:t>c</w:t>
            </w:r>
            <w:proofErr w:type="gramEnd"/>
          </w:p>
        </w:tc>
        <w:tc>
          <w:tcPr>
            <w:tcW w:w="2267" w:type="dxa"/>
            <w:tcBorders>
              <w:bottom w:val="single" w:sz="2" w:space="0" w:color="auto"/>
            </w:tcBorders>
            <w:shd w:val="clear" w:color="auto" w:fill="auto"/>
            <w:hideMark/>
          </w:tcPr>
          <w:p w14:paraId="2AE75BC8" w14:textId="77777777" w:rsidR="005F5258" w:rsidRPr="00835A89" w:rsidRDefault="005F5258" w:rsidP="00AF632F">
            <w:pPr>
              <w:pStyle w:val="NormalWeb"/>
              <w:jc w:val="center"/>
              <w:rPr>
                <w:sz w:val="18"/>
                <w:szCs w:val="18"/>
              </w:rPr>
            </w:pPr>
            <w:r w:rsidRPr="00835A89">
              <w:rPr>
                <w:sz w:val="18"/>
                <w:szCs w:val="18"/>
              </w:rPr>
              <w:t xml:space="preserve">2.20 (1.34, </w:t>
            </w:r>
            <w:proofErr w:type="gramStart"/>
            <w:r w:rsidRPr="00835A89">
              <w:rPr>
                <w:sz w:val="18"/>
                <w:szCs w:val="18"/>
              </w:rPr>
              <w:t>3.63)</w:t>
            </w:r>
            <w:r w:rsidRPr="00835A89">
              <w:rPr>
                <w:sz w:val="18"/>
                <w:szCs w:val="18"/>
                <w:vertAlign w:val="superscript"/>
              </w:rPr>
              <w:t>c</w:t>
            </w:r>
            <w:proofErr w:type="gramEnd"/>
          </w:p>
        </w:tc>
      </w:tr>
      <w:tr w:rsidR="005F5258" w:rsidRPr="00835A89" w14:paraId="4345541A" w14:textId="77777777" w:rsidTr="00835A89">
        <w:tc>
          <w:tcPr>
            <w:tcW w:w="0" w:type="auto"/>
            <w:vMerge w:val="restart"/>
            <w:tcBorders>
              <w:top w:val="single" w:sz="2" w:space="0" w:color="auto"/>
            </w:tcBorders>
            <w:shd w:val="clear" w:color="auto" w:fill="auto"/>
            <w:vAlign w:val="center"/>
            <w:hideMark/>
          </w:tcPr>
          <w:p w14:paraId="34AA5999" w14:textId="77777777" w:rsidR="005F5258" w:rsidRPr="00835A89" w:rsidRDefault="005F5258" w:rsidP="00AF632F">
            <w:pPr>
              <w:pStyle w:val="NormalWeb"/>
              <w:rPr>
                <w:sz w:val="18"/>
                <w:szCs w:val="18"/>
              </w:rPr>
            </w:pPr>
            <w:proofErr w:type="spellStart"/>
            <w:r w:rsidRPr="00835A89">
              <w:rPr>
                <w:sz w:val="18"/>
                <w:szCs w:val="18"/>
              </w:rPr>
              <w:t>Sex</w:t>
            </w:r>
            <w:r w:rsidRPr="00835A89">
              <w:rPr>
                <w:sz w:val="18"/>
                <w:szCs w:val="18"/>
                <w:vertAlign w:val="superscript"/>
              </w:rPr>
              <w:t>b</w:t>
            </w:r>
            <w:proofErr w:type="spellEnd"/>
          </w:p>
        </w:tc>
        <w:tc>
          <w:tcPr>
            <w:tcW w:w="0" w:type="auto"/>
            <w:tcBorders>
              <w:top w:val="single" w:sz="2" w:space="0" w:color="auto"/>
            </w:tcBorders>
            <w:shd w:val="clear" w:color="auto" w:fill="auto"/>
            <w:hideMark/>
          </w:tcPr>
          <w:p w14:paraId="063C1801" w14:textId="77777777" w:rsidR="005F5258" w:rsidRPr="00835A89" w:rsidRDefault="005F5258" w:rsidP="00AF632F">
            <w:pPr>
              <w:pStyle w:val="NormalWeb"/>
              <w:rPr>
                <w:sz w:val="18"/>
                <w:szCs w:val="18"/>
              </w:rPr>
            </w:pPr>
            <w:r w:rsidRPr="00835A89">
              <w:rPr>
                <w:sz w:val="18"/>
                <w:szCs w:val="18"/>
              </w:rPr>
              <w:t>Male</w:t>
            </w:r>
          </w:p>
        </w:tc>
        <w:tc>
          <w:tcPr>
            <w:tcW w:w="1780" w:type="dxa"/>
            <w:tcBorders>
              <w:top w:val="single" w:sz="2" w:space="0" w:color="auto"/>
            </w:tcBorders>
            <w:shd w:val="clear" w:color="auto" w:fill="auto"/>
            <w:hideMark/>
          </w:tcPr>
          <w:p w14:paraId="4A719489" w14:textId="77777777" w:rsidR="005F5258" w:rsidRPr="00835A89" w:rsidRDefault="005F5258" w:rsidP="00AF632F">
            <w:pPr>
              <w:pStyle w:val="NormalWeb"/>
              <w:jc w:val="center"/>
              <w:rPr>
                <w:sz w:val="18"/>
                <w:szCs w:val="18"/>
              </w:rPr>
            </w:pPr>
            <w:r w:rsidRPr="00835A89">
              <w:rPr>
                <w:sz w:val="18"/>
                <w:szCs w:val="18"/>
              </w:rPr>
              <w:t>124/566 (21.9)</w:t>
            </w:r>
          </w:p>
        </w:tc>
        <w:tc>
          <w:tcPr>
            <w:tcW w:w="1780" w:type="dxa"/>
            <w:tcBorders>
              <w:top w:val="single" w:sz="2" w:space="0" w:color="auto"/>
            </w:tcBorders>
            <w:shd w:val="clear" w:color="auto" w:fill="auto"/>
            <w:hideMark/>
          </w:tcPr>
          <w:p w14:paraId="025C3220" w14:textId="77777777" w:rsidR="005F5258" w:rsidRPr="00835A89" w:rsidRDefault="005F5258" w:rsidP="00AF632F">
            <w:pPr>
              <w:pStyle w:val="NormalWeb"/>
              <w:jc w:val="center"/>
              <w:rPr>
                <w:sz w:val="18"/>
                <w:szCs w:val="18"/>
              </w:rPr>
            </w:pPr>
            <w:r w:rsidRPr="00835A89">
              <w:rPr>
                <w:sz w:val="18"/>
                <w:szCs w:val="18"/>
              </w:rPr>
              <w:t>1.00</w:t>
            </w:r>
          </w:p>
        </w:tc>
        <w:tc>
          <w:tcPr>
            <w:tcW w:w="2267" w:type="dxa"/>
            <w:tcBorders>
              <w:top w:val="single" w:sz="2" w:space="0" w:color="auto"/>
            </w:tcBorders>
            <w:shd w:val="clear" w:color="auto" w:fill="auto"/>
            <w:hideMark/>
          </w:tcPr>
          <w:p w14:paraId="25FBADC0" w14:textId="77777777" w:rsidR="005F5258" w:rsidRPr="00835A89" w:rsidRDefault="005F5258" w:rsidP="00AF632F">
            <w:pPr>
              <w:pStyle w:val="NormalWeb"/>
              <w:jc w:val="center"/>
              <w:rPr>
                <w:sz w:val="18"/>
                <w:szCs w:val="18"/>
              </w:rPr>
            </w:pPr>
            <w:r w:rsidRPr="00835A89">
              <w:rPr>
                <w:sz w:val="18"/>
                <w:szCs w:val="18"/>
              </w:rPr>
              <w:t>1.00</w:t>
            </w:r>
          </w:p>
        </w:tc>
      </w:tr>
      <w:tr w:rsidR="005F5258" w:rsidRPr="00835A89" w14:paraId="5832300C"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auto"/>
            </w:tcBorders>
            <w:shd w:val="clear" w:color="auto" w:fill="auto"/>
            <w:vAlign w:val="center"/>
            <w:hideMark/>
          </w:tcPr>
          <w:p w14:paraId="55B84083"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188FBDFB" w14:textId="77777777" w:rsidR="005F5258" w:rsidRPr="00835A89" w:rsidRDefault="005F5258" w:rsidP="00AF632F">
            <w:pPr>
              <w:pStyle w:val="NormalWeb"/>
              <w:rPr>
                <w:sz w:val="18"/>
                <w:szCs w:val="18"/>
              </w:rPr>
            </w:pPr>
            <w:r w:rsidRPr="00835A89">
              <w:rPr>
                <w:sz w:val="18"/>
                <w:szCs w:val="18"/>
              </w:rPr>
              <w:t>Female</w:t>
            </w:r>
          </w:p>
        </w:tc>
        <w:tc>
          <w:tcPr>
            <w:tcW w:w="1780" w:type="dxa"/>
            <w:tcBorders>
              <w:bottom w:val="single" w:sz="2" w:space="0" w:color="auto"/>
            </w:tcBorders>
            <w:shd w:val="clear" w:color="auto" w:fill="auto"/>
            <w:hideMark/>
          </w:tcPr>
          <w:p w14:paraId="5D77F83C" w14:textId="77777777" w:rsidR="005F5258" w:rsidRPr="00835A89" w:rsidRDefault="005F5258" w:rsidP="00AF632F">
            <w:pPr>
              <w:pStyle w:val="NormalWeb"/>
              <w:jc w:val="center"/>
              <w:rPr>
                <w:sz w:val="18"/>
                <w:szCs w:val="18"/>
              </w:rPr>
            </w:pPr>
            <w:r w:rsidRPr="00835A89">
              <w:rPr>
                <w:sz w:val="18"/>
                <w:szCs w:val="18"/>
              </w:rPr>
              <w:t>103/582 (17.7)</w:t>
            </w:r>
          </w:p>
        </w:tc>
        <w:tc>
          <w:tcPr>
            <w:tcW w:w="1780" w:type="dxa"/>
            <w:tcBorders>
              <w:bottom w:val="single" w:sz="2" w:space="0" w:color="auto"/>
            </w:tcBorders>
            <w:shd w:val="clear" w:color="auto" w:fill="auto"/>
            <w:hideMark/>
          </w:tcPr>
          <w:p w14:paraId="5E7AFC86" w14:textId="77777777" w:rsidR="005F5258" w:rsidRPr="00835A89" w:rsidRDefault="005F5258" w:rsidP="00AF632F">
            <w:pPr>
              <w:pStyle w:val="NormalWeb"/>
              <w:jc w:val="center"/>
              <w:rPr>
                <w:sz w:val="18"/>
                <w:szCs w:val="18"/>
              </w:rPr>
            </w:pPr>
            <w:r w:rsidRPr="00835A89">
              <w:rPr>
                <w:sz w:val="18"/>
                <w:szCs w:val="18"/>
              </w:rPr>
              <w:t>0.85 (0.65, 1.10)</w:t>
            </w:r>
          </w:p>
        </w:tc>
        <w:tc>
          <w:tcPr>
            <w:tcW w:w="2267" w:type="dxa"/>
            <w:tcBorders>
              <w:bottom w:val="single" w:sz="2" w:space="0" w:color="auto"/>
            </w:tcBorders>
            <w:shd w:val="clear" w:color="auto" w:fill="auto"/>
            <w:hideMark/>
          </w:tcPr>
          <w:p w14:paraId="2F367BA5" w14:textId="77777777" w:rsidR="005F5258" w:rsidRPr="00835A89" w:rsidRDefault="005F5258" w:rsidP="00AF632F">
            <w:pPr>
              <w:pStyle w:val="NormalWeb"/>
              <w:jc w:val="center"/>
              <w:rPr>
                <w:sz w:val="18"/>
                <w:szCs w:val="18"/>
              </w:rPr>
            </w:pPr>
            <w:r w:rsidRPr="00835A89">
              <w:rPr>
                <w:sz w:val="18"/>
                <w:szCs w:val="18"/>
              </w:rPr>
              <w:t>0.86 (0.66, 1.11)</w:t>
            </w:r>
          </w:p>
        </w:tc>
      </w:tr>
      <w:tr w:rsidR="005F5258" w:rsidRPr="00835A89" w14:paraId="7EA26729" w14:textId="77777777" w:rsidTr="00835A89">
        <w:tc>
          <w:tcPr>
            <w:tcW w:w="0" w:type="auto"/>
            <w:vMerge w:val="restart"/>
            <w:tcBorders>
              <w:top w:val="single" w:sz="2" w:space="0" w:color="auto"/>
            </w:tcBorders>
            <w:shd w:val="clear" w:color="auto" w:fill="auto"/>
            <w:vAlign w:val="center"/>
            <w:hideMark/>
          </w:tcPr>
          <w:p w14:paraId="186A24AA" w14:textId="77777777" w:rsidR="005F5258" w:rsidRPr="00835A89" w:rsidRDefault="005F5258" w:rsidP="00AF632F">
            <w:pPr>
              <w:pStyle w:val="NormalWeb"/>
              <w:rPr>
                <w:sz w:val="18"/>
                <w:szCs w:val="18"/>
              </w:rPr>
            </w:pPr>
            <w:proofErr w:type="spellStart"/>
            <w:r w:rsidRPr="00835A89">
              <w:rPr>
                <w:sz w:val="18"/>
                <w:szCs w:val="18"/>
              </w:rPr>
              <w:t>ARIA+</w:t>
            </w:r>
            <w:r w:rsidRPr="00835A89">
              <w:rPr>
                <w:sz w:val="18"/>
                <w:szCs w:val="18"/>
                <w:vertAlign w:val="superscript"/>
              </w:rPr>
              <w:t>d</w:t>
            </w:r>
            <w:proofErr w:type="spellEnd"/>
          </w:p>
        </w:tc>
        <w:tc>
          <w:tcPr>
            <w:tcW w:w="0" w:type="auto"/>
            <w:tcBorders>
              <w:top w:val="single" w:sz="2" w:space="0" w:color="auto"/>
            </w:tcBorders>
            <w:shd w:val="clear" w:color="auto" w:fill="auto"/>
            <w:hideMark/>
          </w:tcPr>
          <w:p w14:paraId="3B0D3B3D" w14:textId="77777777" w:rsidR="005F5258" w:rsidRPr="00835A89" w:rsidRDefault="005F5258" w:rsidP="00AF632F">
            <w:pPr>
              <w:pStyle w:val="NormalWeb"/>
              <w:rPr>
                <w:sz w:val="18"/>
                <w:szCs w:val="18"/>
              </w:rPr>
            </w:pPr>
            <w:r w:rsidRPr="00835A89">
              <w:rPr>
                <w:sz w:val="18"/>
                <w:szCs w:val="18"/>
              </w:rPr>
              <w:t>Major cities</w:t>
            </w:r>
          </w:p>
        </w:tc>
        <w:tc>
          <w:tcPr>
            <w:tcW w:w="1780" w:type="dxa"/>
            <w:tcBorders>
              <w:top w:val="single" w:sz="2" w:space="0" w:color="auto"/>
            </w:tcBorders>
            <w:shd w:val="clear" w:color="auto" w:fill="auto"/>
            <w:hideMark/>
          </w:tcPr>
          <w:p w14:paraId="05A676D2" w14:textId="77777777" w:rsidR="005F5258" w:rsidRPr="00835A89" w:rsidRDefault="005F5258" w:rsidP="00AF632F">
            <w:pPr>
              <w:pStyle w:val="NormalWeb"/>
              <w:jc w:val="center"/>
              <w:rPr>
                <w:sz w:val="18"/>
                <w:szCs w:val="18"/>
              </w:rPr>
            </w:pPr>
            <w:r w:rsidRPr="00835A89">
              <w:rPr>
                <w:sz w:val="18"/>
                <w:szCs w:val="18"/>
              </w:rPr>
              <w:t>171/935 (18.3)</w:t>
            </w:r>
          </w:p>
        </w:tc>
        <w:tc>
          <w:tcPr>
            <w:tcW w:w="1780" w:type="dxa"/>
            <w:tcBorders>
              <w:top w:val="single" w:sz="2" w:space="0" w:color="auto"/>
            </w:tcBorders>
            <w:shd w:val="clear" w:color="auto" w:fill="auto"/>
            <w:hideMark/>
          </w:tcPr>
          <w:p w14:paraId="5E28F9BB" w14:textId="77777777" w:rsidR="005F5258" w:rsidRPr="00835A89" w:rsidRDefault="005F5258" w:rsidP="00AF632F">
            <w:pPr>
              <w:pStyle w:val="NormalWeb"/>
              <w:jc w:val="center"/>
              <w:rPr>
                <w:sz w:val="18"/>
                <w:szCs w:val="18"/>
              </w:rPr>
            </w:pPr>
            <w:r w:rsidRPr="00835A89">
              <w:rPr>
                <w:sz w:val="18"/>
                <w:szCs w:val="18"/>
              </w:rPr>
              <w:t>1.00</w:t>
            </w:r>
          </w:p>
        </w:tc>
        <w:tc>
          <w:tcPr>
            <w:tcW w:w="2267" w:type="dxa"/>
            <w:tcBorders>
              <w:top w:val="single" w:sz="2" w:space="0" w:color="auto"/>
            </w:tcBorders>
            <w:shd w:val="clear" w:color="auto" w:fill="auto"/>
            <w:hideMark/>
          </w:tcPr>
          <w:p w14:paraId="6501518C" w14:textId="77777777" w:rsidR="005F5258" w:rsidRPr="00835A89" w:rsidRDefault="005F5258" w:rsidP="00AF632F">
            <w:pPr>
              <w:pStyle w:val="NormalWeb"/>
              <w:jc w:val="center"/>
              <w:rPr>
                <w:sz w:val="18"/>
                <w:szCs w:val="18"/>
              </w:rPr>
            </w:pPr>
            <w:r w:rsidRPr="00835A89">
              <w:rPr>
                <w:sz w:val="18"/>
                <w:szCs w:val="18"/>
              </w:rPr>
              <w:t>–</w:t>
            </w:r>
          </w:p>
        </w:tc>
      </w:tr>
      <w:tr w:rsidR="00835A89" w:rsidRPr="00835A89" w14:paraId="7361B29F"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375C810A" w14:textId="77777777" w:rsidR="005F5258" w:rsidRPr="00835A89" w:rsidRDefault="005F5258" w:rsidP="00AF632F">
            <w:pPr>
              <w:rPr>
                <w:sz w:val="18"/>
                <w:szCs w:val="18"/>
              </w:rPr>
            </w:pPr>
          </w:p>
        </w:tc>
        <w:tc>
          <w:tcPr>
            <w:tcW w:w="0" w:type="auto"/>
            <w:shd w:val="clear" w:color="auto" w:fill="auto"/>
            <w:hideMark/>
          </w:tcPr>
          <w:p w14:paraId="72CF1AE5" w14:textId="77777777" w:rsidR="005F5258" w:rsidRPr="00835A89" w:rsidRDefault="005F5258" w:rsidP="00AF632F">
            <w:pPr>
              <w:pStyle w:val="NormalWeb"/>
              <w:rPr>
                <w:sz w:val="18"/>
                <w:szCs w:val="18"/>
              </w:rPr>
            </w:pPr>
            <w:r w:rsidRPr="00835A89">
              <w:rPr>
                <w:sz w:val="18"/>
                <w:szCs w:val="18"/>
              </w:rPr>
              <w:t>Inner regional</w:t>
            </w:r>
          </w:p>
        </w:tc>
        <w:tc>
          <w:tcPr>
            <w:tcW w:w="1780" w:type="dxa"/>
            <w:shd w:val="clear" w:color="auto" w:fill="auto"/>
            <w:hideMark/>
          </w:tcPr>
          <w:p w14:paraId="0E47C139" w14:textId="77777777" w:rsidR="005F5258" w:rsidRPr="00835A89" w:rsidRDefault="005F5258" w:rsidP="00AF632F">
            <w:pPr>
              <w:pStyle w:val="NormalWeb"/>
              <w:jc w:val="center"/>
              <w:rPr>
                <w:sz w:val="18"/>
                <w:szCs w:val="18"/>
              </w:rPr>
            </w:pPr>
            <w:r w:rsidRPr="00835A89">
              <w:rPr>
                <w:sz w:val="18"/>
                <w:szCs w:val="18"/>
              </w:rPr>
              <w:t>28/127 (22)</w:t>
            </w:r>
          </w:p>
        </w:tc>
        <w:tc>
          <w:tcPr>
            <w:tcW w:w="1780" w:type="dxa"/>
            <w:shd w:val="clear" w:color="auto" w:fill="auto"/>
            <w:hideMark/>
          </w:tcPr>
          <w:p w14:paraId="71CC6F43" w14:textId="77777777" w:rsidR="005F5258" w:rsidRPr="00835A89" w:rsidRDefault="005F5258" w:rsidP="00AF632F">
            <w:pPr>
              <w:pStyle w:val="NormalWeb"/>
              <w:jc w:val="center"/>
              <w:rPr>
                <w:sz w:val="18"/>
                <w:szCs w:val="18"/>
              </w:rPr>
            </w:pPr>
            <w:r w:rsidRPr="00835A89">
              <w:rPr>
                <w:sz w:val="18"/>
                <w:szCs w:val="18"/>
              </w:rPr>
              <w:t>1.08 (0.72, 1.62)</w:t>
            </w:r>
          </w:p>
        </w:tc>
        <w:tc>
          <w:tcPr>
            <w:tcW w:w="2267" w:type="dxa"/>
            <w:shd w:val="clear" w:color="auto" w:fill="auto"/>
            <w:hideMark/>
          </w:tcPr>
          <w:p w14:paraId="4AD54916" w14:textId="77777777" w:rsidR="005F5258" w:rsidRPr="00835A89" w:rsidRDefault="005F5258" w:rsidP="00AF632F">
            <w:pPr>
              <w:pStyle w:val="NormalWeb"/>
              <w:jc w:val="center"/>
              <w:rPr>
                <w:sz w:val="18"/>
                <w:szCs w:val="18"/>
              </w:rPr>
            </w:pPr>
            <w:r w:rsidRPr="00835A89">
              <w:rPr>
                <w:sz w:val="18"/>
                <w:szCs w:val="18"/>
              </w:rPr>
              <w:t>–</w:t>
            </w:r>
          </w:p>
        </w:tc>
      </w:tr>
      <w:tr w:rsidR="005F5258" w:rsidRPr="00835A89" w14:paraId="320F59A1" w14:textId="77777777" w:rsidTr="00835A89">
        <w:tc>
          <w:tcPr>
            <w:tcW w:w="0" w:type="auto"/>
            <w:vMerge/>
            <w:tcBorders>
              <w:bottom w:val="single" w:sz="2" w:space="0" w:color="auto"/>
            </w:tcBorders>
            <w:shd w:val="clear" w:color="auto" w:fill="auto"/>
            <w:vAlign w:val="center"/>
            <w:hideMark/>
          </w:tcPr>
          <w:p w14:paraId="060E719B"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7328F3E3" w14:textId="77777777" w:rsidR="005F5258" w:rsidRPr="00835A89" w:rsidRDefault="005F5258" w:rsidP="00AF632F">
            <w:pPr>
              <w:pStyle w:val="NormalWeb"/>
              <w:rPr>
                <w:sz w:val="18"/>
                <w:szCs w:val="18"/>
              </w:rPr>
            </w:pPr>
            <w:r w:rsidRPr="00835A89">
              <w:rPr>
                <w:sz w:val="18"/>
                <w:szCs w:val="18"/>
              </w:rPr>
              <w:t>Outer regional / remote / very remote</w:t>
            </w:r>
          </w:p>
        </w:tc>
        <w:tc>
          <w:tcPr>
            <w:tcW w:w="1780" w:type="dxa"/>
            <w:tcBorders>
              <w:bottom w:val="single" w:sz="2" w:space="0" w:color="auto"/>
            </w:tcBorders>
            <w:shd w:val="clear" w:color="auto" w:fill="auto"/>
            <w:hideMark/>
          </w:tcPr>
          <w:p w14:paraId="05214E98" w14:textId="77777777" w:rsidR="005F5258" w:rsidRPr="00835A89" w:rsidRDefault="005F5258" w:rsidP="00AF632F">
            <w:pPr>
              <w:pStyle w:val="NormalWeb"/>
              <w:jc w:val="center"/>
              <w:rPr>
                <w:sz w:val="18"/>
                <w:szCs w:val="18"/>
              </w:rPr>
            </w:pPr>
            <w:r w:rsidRPr="00835A89">
              <w:rPr>
                <w:sz w:val="18"/>
                <w:szCs w:val="18"/>
              </w:rPr>
              <w:t>28/85 (32.9)</w:t>
            </w:r>
          </w:p>
        </w:tc>
        <w:tc>
          <w:tcPr>
            <w:tcW w:w="1780" w:type="dxa"/>
            <w:tcBorders>
              <w:bottom w:val="single" w:sz="2" w:space="0" w:color="auto"/>
            </w:tcBorders>
            <w:shd w:val="clear" w:color="auto" w:fill="auto"/>
            <w:hideMark/>
          </w:tcPr>
          <w:p w14:paraId="69D0CBE6" w14:textId="77777777" w:rsidR="005F5258" w:rsidRPr="00835A89" w:rsidRDefault="005F5258" w:rsidP="00AF632F">
            <w:pPr>
              <w:pStyle w:val="NormalWeb"/>
              <w:jc w:val="center"/>
              <w:rPr>
                <w:sz w:val="18"/>
                <w:szCs w:val="18"/>
              </w:rPr>
            </w:pPr>
            <w:r w:rsidRPr="00835A89">
              <w:rPr>
                <w:sz w:val="18"/>
                <w:szCs w:val="18"/>
              </w:rPr>
              <w:t xml:space="preserve">1.83 (1.22, </w:t>
            </w:r>
            <w:proofErr w:type="gramStart"/>
            <w:r w:rsidRPr="00835A89">
              <w:rPr>
                <w:sz w:val="18"/>
                <w:szCs w:val="18"/>
              </w:rPr>
              <w:t>2.73)</w:t>
            </w:r>
            <w:r w:rsidRPr="00835A89">
              <w:rPr>
                <w:sz w:val="18"/>
                <w:szCs w:val="18"/>
                <w:vertAlign w:val="superscript"/>
              </w:rPr>
              <w:t>e</w:t>
            </w:r>
            <w:proofErr w:type="gramEnd"/>
          </w:p>
        </w:tc>
        <w:tc>
          <w:tcPr>
            <w:tcW w:w="2267" w:type="dxa"/>
            <w:tcBorders>
              <w:bottom w:val="single" w:sz="2" w:space="0" w:color="auto"/>
            </w:tcBorders>
            <w:shd w:val="clear" w:color="auto" w:fill="auto"/>
            <w:hideMark/>
          </w:tcPr>
          <w:p w14:paraId="0A2B169E" w14:textId="77777777" w:rsidR="005F5258" w:rsidRPr="00835A89" w:rsidRDefault="005F5258" w:rsidP="00AF632F">
            <w:pPr>
              <w:pStyle w:val="NormalWeb"/>
              <w:jc w:val="center"/>
              <w:rPr>
                <w:sz w:val="18"/>
                <w:szCs w:val="18"/>
              </w:rPr>
            </w:pPr>
            <w:r w:rsidRPr="00835A89">
              <w:rPr>
                <w:sz w:val="18"/>
                <w:szCs w:val="18"/>
              </w:rPr>
              <w:t>–</w:t>
            </w:r>
          </w:p>
        </w:tc>
      </w:tr>
      <w:tr w:rsidR="005F5258" w:rsidRPr="00835A89" w14:paraId="0BA99518"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auto"/>
            </w:tcBorders>
            <w:shd w:val="clear" w:color="auto" w:fill="auto"/>
            <w:vAlign w:val="center"/>
            <w:hideMark/>
          </w:tcPr>
          <w:p w14:paraId="11EE521A" w14:textId="77777777" w:rsidR="005F5258" w:rsidRPr="00835A89" w:rsidRDefault="005F5258" w:rsidP="00AF632F">
            <w:pPr>
              <w:pStyle w:val="NormalWeb"/>
              <w:rPr>
                <w:sz w:val="18"/>
                <w:szCs w:val="18"/>
              </w:rPr>
            </w:pPr>
            <w:r w:rsidRPr="00835A89">
              <w:rPr>
                <w:sz w:val="18"/>
                <w:szCs w:val="18"/>
              </w:rPr>
              <w:t xml:space="preserve">SEIFA </w:t>
            </w:r>
            <w:proofErr w:type="spellStart"/>
            <w:r w:rsidRPr="00835A89">
              <w:rPr>
                <w:sz w:val="18"/>
                <w:szCs w:val="18"/>
              </w:rPr>
              <w:t>IRSD</w:t>
            </w:r>
            <w:r w:rsidRPr="00835A89">
              <w:rPr>
                <w:sz w:val="18"/>
                <w:szCs w:val="18"/>
                <w:vertAlign w:val="superscript"/>
              </w:rPr>
              <w:t>f</w:t>
            </w:r>
            <w:proofErr w:type="spellEnd"/>
          </w:p>
        </w:tc>
        <w:tc>
          <w:tcPr>
            <w:tcW w:w="0" w:type="auto"/>
            <w:tcBorders>
              <w:top w:val="single" w:sz="2" w:space="0" w:color="auto"/>
            </w:tcBorders>
            <w:shd w:val="clear" w:color="auto" w:fill="auto"/>
            <w:hideMark/>
          </w:tcPr>
          <w:p w14:paraId="7ED07666" w14:textId="77777777" w:rsidR="005F5258" w:rsidRPr="00835A89" w:rsidRDefault="005F5258" w:rsidP="00AF632F">
            <w:pPr>
              <w:pStyle w:val="NormalWeb"/>
              <w:rPr>
                <w:sz w:val="18"/>
                <w:szCs w:val="18"/>
              </w:rPr>
            </w:pPr>
            <w:r w:rsidRPr="00835A89">
              <w:rPr>
                <w:sz w:val="18"/>
                <w:szCs w:val="18"/>
              </w:rPr>
              <w:t>Most disadvantaged quintile</w:t>
            </w:r>
          </w:p>
        </w:tc>
        <w:tc>
          <w:tcPr>
            <w:tcW w:w="1780" w:type="dxa"/>
            <w:tcBorders>
              <w:top w:val="single" w:sz="2" w:space="0" w:color="auto"/>
            </w:tcBorders>
            <w:shd w:val="clear" w:color="auto" w:fill="auto"/>
            <w:hideMark/>
          </w:tcPr>
          <w:p w14:paraId="1E5B27C9" w14:textId="77777777" w:rsidR="005F5258" w:rsidRPr="00835A89" w:rsidRDefault="005F5258" w:rsidP="00AF632F">
            <w:pPr>
              <w:pStyle w:val="NormalWeb"/>
              <w:jc w:val="center"/>
              <w:rPr>
                <w:sz w:val="18"/>
                <w:szCs w:val="18"/>
              </w:rPr>
            </w:pPr>
            <w:r w:rsidRPr="00835A89">
              <w:rPr>
                <w:sz w:val="18"/>
                <w:szCs w:val="18"/>
              </w:rPr>
              <w:t>45/127 (35.4)</w:t>
            </w:r>
          </w:p>
        </w:tc>
        <w:tc>
          <w:tcPr>
            <w:tcW w:w="1780" w:type="dxa"/>
            <w:tcBorders>
              <w:top w:val="single" w:sz="2" w:space="0" w:color="auto"/>
            </w:tcBorders>
            <w:shd w:val="clear" w:color="auto" w:fill="auto"/>
            <w:hideMark/>
          </w:tcPr>
          <w:p w14:paraId="2A11FFE5" w14:textId="77777777" w:rsidR="005F5258" w:rsidRPr="00835A89" w:rsidRDefault="005F5258" w:rsidP="00AF632F">
            <w:pPr>
              <w:pStyle w:val="NormalWeb"/>
              <w:jc w:val="center"/>
              <w:rPr>
                <w:sz w:val="18"/>
                <w:szCs w:val="18"/>
              </w:rPr>
            </w:pPr>
            <w:r w:rsidRPr="00835A89">
              <w:rPr>
                <w:sz w:val="18"/>
                <w:szCs w:val="18"/>
              </w:rPr>
              <w:t>1.00</w:t>
            </w:r>
          </w:p>
        </w:tc>
        <w:tc>
          <w:tcPr>
            <w:tcW w:w="2267" w:type="dxa"/>
            <w:tcBorders>
              <w:top w:val="single" w:sz="2" w:space="0" w:color="auto"/>
            </w:tcBorders>
            <w:shd w:val="clear" w:color="auto" w:fill="auto"/>
            <w:hideMark/>
          </w:tcPr>
          <w:p w14:paraId="0F92BEAC" w14:textId="77777777" w:rsidR="005F5258" w:rsidRPr="00835A89" w:rsidRDefault="005F5258" w:rsidP="00AF632F">
            <w:pPr>
              <w:pStyle w:val="NormalWeb"/>
              <w:jc w:val="center"/>
              <w:rPr>
                <w:sz w:val="18"/>
                <w:szCs w:val="18"/>
              </w:rPr>
            </w:pPr>
            <w:r w:rsidRPr="00835A89">
              <w:rPr>
                <w:sz w:val="18"/>
                <w:szCs w:val="18"/>
              </w:rPr>
              <w:t>1.00</w:t>
            </w:r>
          </w:p>
        </w:tc>
      </w:tr>
      <w:tr w:rsidR="005F5258" w:rsidRPr="00835A89" w14:paraId="1F0212D4" w14:textId="77777777" w:rsidTr="00835A89">
        <w:tc>
          <w:tcPr>
            <w:tcW w:w="0" w:type="auto"/>
            <w:vMerge/>
            <w:shd w:val="clear" w:color="auto" w:fill="auto"/>
            <w:vAlign w:val="center"/>
            <w:hideMark/>
          </w:tcPr>
          <w:p w14:paraId="03C96D93" w14:textId="77777777" w:rsidR="005F5258" w:rsidRPr="00835A89" w:rsidRDefault="005F5258" w:rsidP="00AF632F">
            <w:pPr>
              <w:rPr>
                <w:sz w:val="18"/>
                <w:szCs w:val="18"/>
              </w:rPr>
            </w:pPr>
          </w:p>
        </w:tc>
        <w:tc>
          <w:tcPr>
            <w:tcW w:w="0" w:type="auto"/>
            <w:shd w:val="clear" w:color="auto" w:fill="auto"/>
            <w:hideMark/>
          </w:tcPr>
          <w:p w14:paraId="617D4830" w14:textId="77777777" w:rsidR="005F5258" w:rsidRPr="00835A89" w:rsidRDefault="005F5258" w:rsidP="00AF632F">
            <w:pPr>
              <w:pStyle w:val="NormalWeb"/>
              <w:rPr>
                <w:sz w:val="18"/>
                <w:szCs w:val="18"/>
              </w:rPr>
            </w:pPr>
            <w:r w:rsidRPr="00835A89">
              <w:rPr>
                <w:sz w:val="18"/>
                <w:szCs w:val="18"/>
              </w:rPr>
              <w:t>2nd quintile</w:t>
            </w:r>
          </w:p>
        </w:tc>
        <w:tc>
          <w:tcPr>
            <w:tcW w:w="1780" w:type="dxa"/>
            <w:shd w:val="clear" w:color="auto" w:fill="auto"/>
            <w:hideMark/>
          </w:tcPr>
          <w:p w14:paraId="1E474496" w14:textId="77777777" w:rsidR="005F5258" w:rsidRPr="00835A89" w:rsidRDefault="005F5258" w:rsidP="00AF632F">
            <w:pPr>
              <w:pStyle w:val="NormalWeb"/>
              <w:jc w:val="center"/>
              <w:rPr>
                <w:sz w:val="18"/>
                <w:szCs w:val="18"/>
              </w:rPr>
            </w:pPr>
            <w:r w:rsidRPr="00835A89">
              <w:rPr>
                <w:sz w:val="18"/>
                <w:szCs w:val="18"/>
              </w:rPr>
              <w:t>38/141 (27)</w:t>
            </w:r>
          </w:p>
        </w:tc>
        <w:tc>
          <w:tcPr>
            <w:tcW w:w="1780" w:type="dxa"/>
            <w:shd w:val="clear" w:color="auto" w:fill="auto"/>
            <w:hideMark/>
          </w:tcPr>
          <w:p w14:paraId="2F1EFE98" w14:textId="77777777" w:rsidR="005F5258" w:rsidRPr="00835A89" w:rsidRDefault="005F5258" w:rsidP="00AF632F">
            <w:pPr>
              <w:pStyle w:val="NormalWeb"/>
              <w:jc w:val="center"/>
              <w:rPr>
                <w:sz w:val="18"/>
                <w:szCs w:val="18"/>
              </w:rPr>
            </w:pPr>
            <w:r w:rsidRPr="00835A89">
              <w:rPr>
                <w:sz w:val="18"/>
                <w:szCs w:val="18"/>
              </w:rPr>
              <w:t>0.74 (0.48, 1.15)</w:t>
            </w:r>
          </w:p>
        </w:tc>
        <w:tc>
          <w:tcPr>
            <w:tcW w:w="2267" w:type="dxa"/>
            <w:shd w:val="clear" w:color="auto" w:fill="auto"/>
            <w:hideMark/>
          </w:tcPr>
          <w:p w14:paraId="5319C75D" w14:textId="77777777" w:rsidR="005F5258" w:rsidRPr="00835A89" w:rsidRDefault="005F5258" w:rsidP="00AF632F">
            <w:pPr>
              <w:pStyle w:val="NormalWeb"/>
              <w:jc w:val="center"/>
              <w:rPr>
                <w:sz w:val="18"/>
                <w:szCs w:val="18"/>
              </w:rPr>
            </w:pPr>
            <w:r w:rsidRPr="00835A89">
              <w:rPr>
                <w:sz w:val="18"/>
                <w:szCs w:val="18"/>
              </w:rPr>
              <w:t>0.70 (0.45, 1.08)</w:t>
            </w:r>
          </w:p>
        </w:tc>
      </w:tr>
      <w:tr w:rsidR="00835A89" w:rsidRPr="00835A89" w14:paraId="10F7082B"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2D9912E7" w14:textId="77777777" w:rsidR="005F5258" w:rsidRPr="00835A89" w:rsidRDefault="005F5258" w:rsidP="00AF632F">
            <w:pPr>
              <w:rPr>
                <w:sz w:val="18"/>
                <w:szCs w:val="18"/>
              </w:rPr>
            </w:pPr>
          </w:p>
        </w:tc>
        <w:tc>
          <w:tcPr>
            <w:tcW w:w="0" w:type="auto"/>
            <w:shd w:val="clear" w:color="auto" w:fill="auto"/>
            <w:hideMark/>
          </w:tcPr>
          <w:p w14:paraId="6476F11F" w14:textId="77777777" w:rsidR="005F5258" w:rsidRPr="00835A89" w:rsidRDefault="005F5258" w:rsidP="00AF632F">
            <w:pPr>
              <w:pStyle w:val="NormalWeb"/>
              <w:rPr>
                <w:sz w:val="18"/>
                <w:szCs w:val="18"/>
              </w:rPr>
            </w:pPr>
            <w:r w:rsidRPr="00835A89">
              <w:rPr>
                <w:sz w:val="18"/>
                <w:szCs w:val="18"/>
              </w:rPr>
              <w:t>3rd quintile</w:t>
            </w:r>
          </w:p>
        </w:tc>
        <w:tc>
          <w:tcPr>
            <w:tcW w:w="1780" w:type="dxa"/>
            <w:shd w:val="clear" w:color="auto" w:fill="auto"/>
            <w:hideMark/>
          </w:tcPr>
          <w:p w14:paraId="420D1DDC" w14:textId="77777777" w:rsidR="005F5258" w:rsidRPr="00835A89" w:rsidRDefault="005F5258" w:rsidP="00AF632F">
            <w:pPr>
              <w:pStyle w:val="NormalWeb"/>
              <w:jc w:val="center"/>
              <w:rPr>
                <w:sz w:val="18"/>
                <w:szCs w:val="18"/>
              </w:rPr>
            </w:pPr>
            <w:r w:rsidRPr="00835A89">
              <w:rPr>
                <w:sz w:val="18"/>
                <w:szCs w:val="18"/>
              </w:rPr>
              <w:t>46/199 (23.1)</w:t>
            </w:r>
          </w:p>
        </w:tc>
        <w:tc>
          <w:tcPr>
            <w:tcW w:w="1780" w:type="dxa"/>
            <w:shd w:val="clear" w:color="auto" w:fill="auto"/>
            <w:hideMark/>
          </w:tcPr>
          <w:p w14:paraId="0C3F5478" w14:textId="77777777" w:rsidR="005F5258" w:rsidRPr="00835A89" w:rsidRDefault="005F5258" w:rsidP="00AF632F">
            <w:pPr>
              <w:pStyle w:val="NormalWeb"/>
              <w:jc w:val="center"/>
              <w:rPr>
                <w:sz w:val="18"/>
                <w:szCs w:val="18"/>
              </w:rPr>
            </w:pPr>
            <w:r w:rsidRPr="00835A89">
              <w:rPr>
                <w:sz w:val="18"/>
                <w:szCs w:val="18"/>
              </w:rPr>
              <w:t>0.67 (0.45, 1.02)</w:t>
            </w:r>
          </w:p>
        </w:tc>
        <w:tc>
          <w:tcPr>
            <w:tcW w:w="2267" w:type="dxa"/>
            <w:shd w:val="clear" w:color="auto" w:fill="auto"/>
            <w:hideMark/>
          </w:tcPr>
          <w:p w14:paraId="7498475F" w14:textId="77777777" w:rsidR="005F5258" w:rsidRPr="00835A89" w:rsidRDefault="005F5258" w:rsidP="00AF632F">
            <w:pPr>
              <w:pStyle w:val="NormalWeb"/>
              <w:jc w:val="center"/>
              <w:rPr>
                <w:sz w:val="18"/>
                <w:szCs w:val="18"/>
              </w:rPr>
            </w:pPr>
            <w:r w:rsidRPr="00835A89">
              <w:rPr>
                <w:sz w:val="18"/>
                <w:szCs w:val="18"/>
              </w:rPr>
              <w:t>0.60 (0.39, 0.92)</w:t>
            </w:r>
          </w:p>
        </w:tc>
      </w:tr>
      <w:tr w:rsidR="005F5258" w:rsidRPr="00835A89" w14:paraId="7973A6D6" w14:textId="77777777" w:rsidTr="00835A89">
        <w:tc>
          <w:tcPr>
            <w:tcW w:w="0" w:type="auto"/>
            <w:vMerge/>
            <w:shd w:val="clear" w:color="auto" w:fill="auto"/>
            <w:vAlign w:val="center"/>
            <w:hideMark/>
          </w:tcPr>
          <w:p w14:paraId="70010873" w14:textId="77777777" w:rsidR="005F5258" w:rsidRPr="00835A89" w:rsidRDefault="005F5258" w:rsidP="00AF632F">
            <w:pPr>
              <w:rPr>
                <w:sz w:val="18"/>
                <w:szCs w:val="18"/>
              </w:rPr>
            </w:pPr>
          </w:p>
        </w:tc>
        <w:tc>
          <w:tcPr>
            <w:tcW w:w="0" w:type="auto"/>
            <w:shd w:val="clear" w:color="auto" w:fill="auto"/>
            <w:hideMark/>
          </w:tcPr>
          <w:p w14:paraId="72AE11C5" w14:textId="77777777" w:rsidR="005F5258" w:rsidRPr="00835A89" w:rsidRDefault="005F5258" w:rsidP="00AF632F">
            <w:pPr>
              <w:pStyle w:val="NormalWeb"/>
              <w:rPr>
                <w:sz w:val="18"/>
                <w:szCs w:val="18"/>
              </w:rPr>
            </w:pPr>
            <w:r w:rsidRPr="00835A89">
              <w:rPr>
                <w:sz w:val="18"/>
                <w:szCs w:val="18"/>
              </w:rPr>
              <w:t>4th quintile</w:t>
            </w:r>
          </w:p>
        </w:tc>
        <w:tc>
          <w:tcPr>
            <w:tcW w:w="1780" w:type="dxa"/>
            <w:shd w:val="clear" w:color="auto" w:fill="auto"/>
            <w:hideMark/>
          </w:tcPr>
          <w:p w14:paraId="1AECA549" w14:textId="77777777" w:rsidR="005F5258" w:rsidRPr="00835A89" w:rsidRDefault="005F5258" w:rsidP="00AF632F">
            <w:pPr>
              <w:pStyle w:val="NormalWeb"/>
              <w:jc w:val="center"/>
              <w:rPr>
                <w:sz w:val="18"/>
                <w:szCs w:val="18"/>
              </w:rPr>
            </w:pPr>
            <w:r w:rsidRPr="00835A89">
              <w:rPr>
                <w:sz w:val="18"/>
                <w:szCs w:val="18"/>
              </w:rPr>
              <w:t>56/277 (20.2)</w:t>
            </w:r>
          </w:p>
        </w:tc>
        <w:tc>
          <w:tcPr>
            <w:tcW w:w="1780" w:type="dxa"/>
            <w:shd w:val="clear" w:color="auto" w:fill="auto"/>
            <w:hideMark/>
          </w:tcPr>
          <w:p w14:paraId="038D9899" w14:textId="77777777" w:rsidR="005F5258" w:rsidRPr="00835A89" w:rsidRDefault="005F5258" w:rsidP="00AF632F">
            <w:pPr>
              <w:pStyle w:val="NormalWeb"/>
              <w:jc w:val="center"/>
              <w:rPr>
                <w:sz w:val="18"/>
                <w:szCs w:val="18"/>
              </w:rPr>
            </w:pPr>
            <w:r w:rsidRPr="00835A89">
              <w:rPr>
                <w:sz w:val="18"/>
                <w:szCs w:val="18"/>
              </w:rPr>
              <w:t>0.60 (0.40, 0.89)</w:t>
            </w:r>
          </w:p>
        </w:tc>
        <w:tc>
          <w:tcPr>
            <w:tcW w:w="2267" w:type="dxa"/>
            <w:shd w:val="clear" w:color="auto" w:fill="auto"/>
            <w:hideMark/>
          </w:tcPr>
          <w:p w14:paraId="6A23C619" w14:textId="77777777" w:rsidR="005F5258" w:rsidRPr="00835A89" w:rsidRDefault="005F5258" w:rsidP="00AF632F">
            <w:pPr>
              <w:pStyle w:val="NormalWeb"/>
              <w:jc w:val="center"/>
              <w:rPr>
                <w:sz w:val="18"/>
                <w:szCs w:val="18"/>
              </w:rPr>
            </w:pPr>
            <w:r w:rsidRPr="00835A89">
              <w:rPr>
                <w:sz w:val="18"/>
                <w:szCs w:val="18"/>
              </w:rPr>
              <w:t>0.55 (0.36, 0.83)</w:t>
            </w:r>
          </w:p>
        </w:tc>
      </w:tr>
      <w:tr w:rsidR="005F5258" w:rsidRPr="00835A89" w14:paraId="5EDEB717"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2" w:space="0" w:color="auto"/>
            </w:tcBorders>
            <w:shd w:val="clear" w:color="auto" w:fill="auto"/>
            <w:vAlign w:val="center"/>
            <w:hideMark/>
          </w:tcPr>
          <w:p w14:paraId="64D46650"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4365ED98" w14:textId="77777777" w:rsidR="005F5258" w:rsidRPr="00835A89" w:rsidRDefault="005F5258" w:rsidP="00AF632F">
            <w:pPr>
              <w:pStyle w:val="NormalWeb"/>
              <w:rPr>
                <w:sz w:val="18"/>
                <w:szCs w:val="18"/>
              </w:rPr>
            </w:pPr>
            <w:r w:rsidRPr="00835A89">
              <w:rPr>
                <w:sz w:val="18"/>
                <w:szCs w:val="18"/>
              </w:rPr>
              <w:t>Least disadvantaged quintile</w:t>
            </w:r>
          </w:p>
        </w:tc>
        <w:tc>
          <w:tcPr>
            <w:tcW w:w="1780" w:type="dxa"/>
            <w:tcBorders>
              <w:bottom w:val="single" w:sz="2" w:space="0" w:color="auto"/>
            </w:tcBorders>
            <w:shd w:val="clear" w:color="auto" w:fill="auto"/>
            <w:hideMark/>
          </w:tcPr>
          <w:p w14:paraId="3858B497" w14:textId="77777777" w:rsidR="005F5258" w:rsidRPr="00835A89" w:rsidRDefault="005F5258" w:rsidP="00AF632F">
            <w:pPr>
              <w:pStyle w:val="NormalWeb"/>
              <w:jc w:val="center"/>
              <w:rPr>
                <w:sz w:val="18"/>
                <w:szCs w:val="18"/>
              </w:rPr>
            </w:pPr>
            <w:r w:rsidRPr="00835A89">
              <w:rPr>
                <w:sz w:val="18"/>
                <w:szCs w:val="18"/>
              </w:rPr>
              <w:t>42/403 (10.4)</w:t>
            </w:r>
          </w:p>
        </w:tc>
        <w:tc>
          <w:tcPr>
            <w:tcW w:w="1780" w:type="dxa"/>
            <w:tcBorders>
              <w:bottom w:val="single" w:sz="2" w:space="0" w:color="auto"/>
            </w:tcBorders>
            <w:shd w:val="clear" w:color="auto" w:fill="auto"/>
            <w:hideMark/>
          </w:tcPr>
          <w:p w14:paraId="3E14CC90" w14:textId="77777777" w:rsidR="005F5258" w:rsidRPr="00835A89" w:rsidRDefault="005F5258" w:rsidP="00AF632F">
            <w:pPr>
              <w:pStyle w:val="NormalWeb"/>
              <w:jc w:val="center"/>
              <w:rPr>
                <w:sz w:val="18"/>
                <w:szCs w:val="18"/>
              </w:rPr>
            </w:pPr>
            <w:r w:rsidRPr="00835A89">
              <w:rPr>
                <w:sz w:val="18"/>
                <w:szCs w:val="18"/>
              </w:rPr>
              <w:t xml:space="preserve">0.32 (0.21, </w:t>
            </w:r>
            <w:proofErr w:type="gramStart"/>
            <w:r w:rsidRPr="00835A89">
              <w:rPr>
                <w:sz w:val="18"/>
                <w:szCs w:val="18"/>
              </w:rPr>
              <w:t>0.48)</w:t>
            </w:r>
            <w:r w:rsidRPr="00835A89">
              <w:rPr>
                <w:sz w:val="18"/>
                <w:szCs w:val="18"/>
                <w:vertAlign w:val="superscript"/>
              </w:rPr>
              <w:t>c</w:t>
            </w:r>
            <w:proofErr w:type="gramEnd"/>
          </w:p>
        </w:tc>
        <w:tc>
          <w:tcPr>
            <w:tcW w:w="2267" w:type="dxa"/>
            <w:tcBorders>
              <w:bottom w:val="single" w:sz="2" w:space="0" w:color="auto"/>
            </w:tcBorders>
            <w:shd w:val="clear" w:color="auto" w:fill="auto"/>
            <w:hideMark/>
          </w:tcPr>
          <w:p w14:paraId="3EF883A2" w14:textId="77777777" w:rsidR="005F5258" w:rsidRPr="00835A89" w:rsidRDefault="005F5258" w:rsidP="00AF632F">
            <w:pPr>
              <w:pStyle w:val="NormalWeb"/>
              <w:jc w:val="center"/>
              <w:rPr>
                <w:sz w:val="18"/>
                <w:szCs w:val="18"/>
              </w:rPr>
            </w:pPr>
            <w:r w:rsidRPr="00835A89">
              <w:rPr>
                <w:sz w:val="18"/>
                <w:szCs w:val="18"/>
              </w:rPr>
              <w:t xml:space="preserve">0.30 (0.19, </w:t>
            </w:r>
            <w:proofErr w:type="gramStart"/>
            <w:r w:rsidRPr="00835A89">
              <w:rPr>
                <w:sz w:val="18"/>
                <w:szCs w:val="18"/>
              </w:rPr>
              <w:t>0.46)</w:t>
            </w:r>
            <w:r w:rsidRPr="00835A89">
              <w:rPr>
                <w:sz w:val="18"/>
                <w:szCs w:val="18"/>
                <w:vertAlign w:val="superscript"/>
              </w:rPr>
              <w:t>c</w:t>
            </w:r>
            <w:proofErr w:type="gramEnd"/>
          </w:p>
        </w:tc>
      </w:tr>
      <w:tr w:rsidR="005F5258" w:rsidRPr="00835A89" w14:paraId="0721C74D" w14:textId="77777777" w:rsidTr="00835A89">
        <w:tc>
          <w:tcPr>
            <w:tcW w:w="0" w:type="auto"/>
            <w:vMerge w:val="restart"/>
            <w:tcBorders>
              <w:top w:val="single" w:sz="2" w:space="0" w:color="auto"/>
            </w:tcBorders>
            <w:shd w:val="clear" w:color="auto" w:fill="auto"/>
            <w:vAlign w:val="center"/>
            <w:hideMark/>
          </w:tcPr>
          <w:p w14:paraId="2122D402" w14:textId="0FDD92C2" w:rsidR="005F5258" w:rsidRPr="00835A89" w:rsidRDefault="005F5258" w:rsidP="00AF632F">
            <w:pPr>
              <w:pStyle w:val="NormalWeb"/>
              <w:rPr>
                <w:sz w:val="18"/>
                <w:szCs w:val="18"/>
              </w:rPr>
            </w:pPr>
            <w:r w:rsidRPr="00835A89">
              <w:rPr>
                <w:sz w:val="18"/>
                <w:szCs w:val="18"/>
              </w:rPr>
              <w:t>Smoking</w:t>
            </w:r>
            <w:r w:rsidR="0008659E">
              <w:rPr>
                <w:sz w:val="18"/>
                <w:szCs w:val="18"/>
              </w:rPr>
              <w:t xml:space="preserve"> </w:t>
            </w:r>
            <w:r w:rsidRPr="00835A89">
              <w:rPr>
                <w:sz w:val="18"/>
                <w:szCs w:val="18"/>
              </w:rPr>
              <w:t>status</w:t>
            </w:r>
          </w:p>
        </w:tc>
        <w:tc>
          <w:tcPr>
            <w:tcW w:w="0" w:type="auto"/>
            <w:tcBorders>
              <w:top w:val="single" w:sz="2" w:space="0" w:color="auto"/>
            </w:tcBorders>
            <w:shd w:val="clear" w:color="auto" w:fill="auto"/>
            <w:hideMark/>
          </w:tcPr>
          <w:p w14:paraId="502C24B8" w14:textId="77777777" w:rsidR="005F5258" w:rsidRPr="00835A89" w:rsidRDefault="005F5258" w:rsidP="00AF632F">
            <w:pPr>
              <w:pStyle w:val="NormalWeb"/>
              <w:rPr>
                <w:sz w:val="18"/>
                <w:szCs w:val="18"/>
              </w:rPr>
            </w:pPr>
            <w:r w:rsidRPr="00835A89">
              <w:rPr>
                <w:sz w:val="18"/>
                <w:szCs w:val="18"/>
              </w:rPr>
              <w:t>Non-smoker</w:t>
            </w:r>
          </w:p>
        </w:tc>
        <w:tc>
          <w:tcPr>
            <w:tcW w:w="1780" w:type="dxa"/>
            <w:tcBorders>
              <w:top w:val="single" w:sz="2" w:space="0" w:color="auto"/>
            </w:tcBorders>
            <w:shd w:val="clear" w:color="auto" w:fill="auto"/>
            <w:hideMark/>
          </w:tcPr>
          <w:p w14:paraId="4889986F" w14:textId="77777777" w:rsidR="005F5258" w:rsidRPr="00835A89" w:rsidRDefault="005F5258" w:rsidP="00AF632F">
            <w:pPr>
              <w:pStyle w:val="NormalWeb"/>
              <w:jc w:val="center"/>
              <w:rPr>
                <w:sz w:val="18"/>
                <w:szCs w:val="18"/>
              </w:rPr>
            </w:pPr>
            <w:r w:rsidRPr="00835A89">
              <w:rPr>
                <w:sz w:val="18"/>
                <w:szCs w:val="18"/>
              </w:rPr>
              <w:t>171/613 (27.9)</w:t>
            </w:r>
          </w:p>
        </w:tc>
        <w:tc>
          <w:tcPr>
            <w:tcW w:w="1780" w:type="dxa"/>
            <w:tcBorders>
              <w:top w:val="single" w:sz="2" w:space="0" w:color="auto"/>
            </w:tcBorders>
            <w:shd w:val="clear" w:color="auto" w:fill="auto"/>
            <w:hideMark/>
          </w:tcPr>
          <w:p w14:paraId="61A9C23F" w14:textId="77777777" w:rsidR="005F5258" w:rsidRPr="00835A89" w:rsidRDefault="005F5258" w:rsidP="00AF632F">
            <w:pPr>
              <w:pStyle w:val="NormalWeb"/>
              <w:jc w:val="center"/>
              <w:rPr>
                <w:sz w:val="18"/>
                <w:szCs w:val="18"/>
              </w:rPr>
            </w:pPr>
            <w:r w:rsidRPr="00835A89">
              <w:rPr>
                <w:sz w:val="18"/>
                <w:szCs w:val="18"/>
              </w:rPr>
              <w:t>1.00</w:t>
            </w:r>
          </w:p>
        </w:tc>
        <w:tc>
          <w:tcPr>
            <w:tcW w:w="2267" w:type="dxa"/>
            <w:tcBorders>
              <w:top w:val="single" w:sz="2" w:space="0" w:color="auto"/>
            </w:tcBorders>
            <w:shd w:val="clear" w:color="auto" w:fill="auto"/>
            <w:hideMark/>
          </w:tcPr>
          <w:p w14:paraId="488DE89E" w14:textId="77777777" w:rsidR="005F5258" w:rsidRPr="00835A89" w:rsidRDefault="005F5258" w:rsidP="00AF632F">
            <w:pPr>
              <w:pStyle w:val="NormalWeb"/>
              <w:jc w:val="center"/>
              <w:rPr>
                <w:sz w:val="18"/>
                <w:szCs w:val="18"/>
              </w:rPr>
            </w:pPr>
            <w:r w:rsidRPr="00835A89">
              <w:rPr>
                <w:sz w:val="18"/>
                <w:szCs w:val="18"/>
              </w:rPr>
              <w:t>1.00</w:t>
            </w:r>
          </w:p>
        </w:tc>
      </w:tr>
      <w:tr w:rsidR="00835A89" w:rsidRPr="00835A89" w14:paraId="269B44D5"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35E7768B" w14:textId="77777777" w:rsidR="005F5258" w:rsidRPr="00835A89" w:rsidRDefault="005F5258" w:rsidP="00AF632F">
            <w:pPr>
              <w:rPr>
                <w:sz w:val="18"/>
                <w:szCs w:val="18"/>
              </w:rPr>
            </w:pPr>
          </w:p>
        </w:tc>
        <w:tc>
          <w:tcPr>
            <w:tcW w:w="0" w:type="auto"/>
            <w:shd w:val="clear" w:color="auto" w:fill="auto"/>
            <w:hideMark/>
          </w:tcPr>
          <w:p w14:paraId="0BBB745D" w14:textId="77777777" w:rsidR="005F5258" w:rsidRPr="00835A89" w:rsidRDefault="005F5258" w:rsidP="00AF632F">
            <w:pPr>
              <w:pStyle w:val="NormalWeb"/>
              <w:rPr>
                <w:sz w:val="18"/>
                <w:szCs w:val="18"/>
              </w:rPr>
            </w:pPr>
            <w:r w:rsidRPr="00835A89">
              <w:rPr>
                <w:sz w:val="18"/>
                <w:szCs w:val="18"/>
              </w:rPr>
              <w:t>Current / recent smoker</w:t>
            </w:r>
          </w:p>
        </w:tc>
        <w:tc>
          <w:tcPr>
            <w:tcW w:w="1780" w:type="dxa"/>
            <w:shd w:val="clear" w:color="auto" w:fill="auto"/>
            <w:hideMark/>
          </w:tcPr>
          <w:p w14:paraId="316BBA4D" w14:textId="77777777" w:rsidR="005F5258" w:rsidRPr="00835A89" w:rsidRDefault="005F5258" w:rsidP="00AF632F">
            <w:pPr>
              <w:pStyle w:val="NormalWeb"/>
              <w:jc w:val="center"/>
              <w:rPr>
                <w:sz w:val="18"/>
                <w:szCs w:val="18"/>
              </w:rPr>
            </w:pPr>
            <w:r w:rsidRPr="00835A89">
              <w:rPr>
                <w:sz w:val="18"/>
                <w:szCs w:val="18"/>
              </w:rPr>
              <w:t>19/45 (42.2)</w:t>
            </w:r>
          </w:p>
        </w:tc>
        <w:tc>
          <w:tcPr>
            <w:tcW w:w="1780" w:type="dxa"/>
            <w:shd w:val="clear" w:color="auto" w:fill="auto"/>
            <w:hideMark/>
          </w:tcPr>
          <w:p w14:paraId="0CD6DD63" w14:textId="77777777" w:rsidR="005F5258" w:rsidRPr="00835A89" w:rsidRDefault="005F5258" w:rsidP="00AF632F">
            <w:pPr>
              <w:pStyle w:val="NormalWeb"/>
              <w:jc w:val="center"/>
              <w:rPr>
                <w:sz w:val="18"/>
                <w:szCs w:val="18"/>
              </w:rPr>
            </w:pPr>
            <w:r w:rsidRPr="00835A89">
              <w:rPr>
                <w:sz w:val="18"/>
                <w:szCs w:val="18"/>
              </w:rPr>
              <w:t>1.62 (1.00, 2.61)</w:t>
            </w:r>
          </w:p>
        </w:tc>
        <w:tc>
          <w:tcPr>
            <w:tcW w:w="2267" w:type="dxa"/>
            <w:shd w:val="clear" w:color="auto" w:fill="auto"/>
            <w:hideMark/>
          </w:tcPr>
          <w:p w14:paraId="29F7E865" w14:textId="77777777" w:rsidR="005F5258" w:rsidRPr="00835A89" w:rsidRDefault="005F5258" w:rsidP="00AF632F">
            <w:pPr>
              <w:pStyle w:val="NormalWeb"/>
              <w:jc w:val="center"/>
              <w:rPr>
                <w:sz w:val="18"/>
                <w:szCs w:val="18"/>
              </w:rPr>
            </w:pPr>
            <w:r w:rsidRPr="00835A89">
              <w:rPr>
                <w:sz w:val="18"/>
                <w:szCs w:val="18"/>
              </w:rPr>
              <w:t>1.61 (1.00, 2.61)</w:t>
            </w:r>
          </w:p>
        </w:tc>
      </w:tr>
      <w:tr w:rsidR="005F5258" w:rsidRPr="00835A89" w14:paraId="7FA63A24" w14:textId="77777777" w:rsidTr="00835A89">
        <w:tc>
          <w:tcPr>
            <w:tcW w:w="0" w:type="auto"/>
            <w:vMerge/>
            <w:tcBorders>
              <w:bottom w:val="single" w:sz="2" w:space="0" w:color="auto"/>
            </w:tcBorders>
            <w:shd w:val="clear" w:color="auto" w:fill="auto"/>
            <w:vAlign w:val="center"/>
            <w:hideMark/>
          </w:tcPr>
          <w:p w14:paraId="2DAC6690"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49E76B38" w14:textId="77777777" w:rsidR="005F5258" w:rsidRPr="00835A89" w:rsidRDefault="005F5258" w:rsidP="00AF632F">
            <w:pPr>
              <w:pStyle w:val="NormalWeb"/>
              <w:rPr>
                <w:sz w:val="18"/>
                <w:szCs w:val="18"/>
              </w:rPr>
            </w:pPr>
            <w:r w:rsidRPr="00835A89">
              <w:rPr>
                <w:sz w:val="18"/>
                <w:szCs w:val="18"/>
              </w:rPr>
              <w:t>Missing</w:t>
            </w:r>
          </w:p>
        </w:tc>
        <w:tc>
          <w:tcPr>
            <w:tcW w:w="1780" w:type="dxa"/>
            <w:tcBorders>
              <w:bottom w:val="single" w:sz="2" w:space="0" w:color="auto"/>
            </w:tcBorders>
            <w:shd w:val="clear" w:color="auto" w:fill="auto"/>
            <w:hideMark/>
          </w:tcPr>
          <w:p w14:paraId="4E091311" w14:textId="77777777" w:rsidR="005F5258" w:rsidRPr="00835A89" w:rsidRDefault="005F5258" w:rsidP="00AF632F">
            <w:pPr>
              <w:pStyle w:val="NormalWeb"/>
              <w:jc w:val="center"/>
              <w:rPr>
                <w:sz w:val="18"/>
                <w:szCs w:val="18"/>
              </w:rPr>
            </w:pPr>
            <w:r w:rsidRPr="00835A89">
              <w:rPr>
                <w:sz w:val="18"/>
                <w:szCs w:val="18"/>
              </w:rPr>
              <w:t>37/490 (7.6)</w:t>
            </w:r>
          </w:p>
        </w:tc>
        <w:tc>
          <w:tcPr>
            <w:tcW w:w="1780" w:type="dxa"/>
            <w:tcBorders>
              <w:bottom w:val="single" w:sz="2" w:space="0" w:color="auto"/>
            </w:tcBorders>
            <w:shd w:val="clear" w:color="auto" w:fill="auto"/>
            <w:hideMark/>
          </w:tcPr>
          <w:p w14:paraId="4D2D5734" w14:textId="77777777" w:rsidR="005F5258" w:rsidRPr="00835A89" w:rsidRDefault="005F5258" w:rsidP="00AF632F">
            <w:pPr>
              <w:pStyle w:val="NormalWeb"/>
              <w:jc w:val="center"/>
              <w:rPr>
                <w:sz w:val="18"/>
                <w:szCs w:val="18"/>
              </w:rPr>
            </w:pPr>
            <w:r w:rsidRPr="00835A89">
              <w:rPr>
                <w:sz w:val="18"/>
                <w:szCs w:val="18"/>
              </w:rPr>
              <w:t>0.27 (0.19, 0.39)</w:t>
            </w:r>
          </w:p>
        </w:tc>
        <w:tc>
          <w:tcPr>
            <w:tcW w:w="2267" w:type="dxa"/>
            <w:tcBorders>
              <w:bottom w:val="single" w:sz="2" w:space="0" w:color="auto"/>
            </w:tcBorders>
            <w:shd w:val="clear" w:color="auto" w:fill="auto"/>
            <w:hideMark/>
          </w:tcPr>
          <w:p w14:paraId="5F775289" w14:textId="77777777" w:rsidR="005F5258" w:rsidRPr="00835A89" w:rsidRDefault="005F5258" w:rsidP="00AF632F">
            <w:pPr>
              <w:pStyle w:val="NormalWeb"/>
              <w:jc w:val="center"/>
              <w:rPr>
                <w:sz w:val="18"/>
                <w:szCs w:val="18"/>
              </w:rPr>
            </w:pPr>
            <w:r w:rsidRPr="00835A89">
              <w:rPr>
                <w:sz w:val="18"/>
                <w:szCs w:val="18"/>
              </w:rPr>
              <w:t>0.28 (0.19, 0.40)</w:t>
            </w:r>
          </w:p>
        </w:tc>
      </w:tr>
      <w:tr w:rsidR="005F5258" w:rsidRPr="00835A89" w14:paraId="6441A871"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auto"/>
            </w:tcBorders>
            <w:shd w:val="clear" w:color="auto" w:fill="auto"/>
            <w:vAlign w:val="center"/>
            <w:hideMark/>
          </w:tcPr>
          <w:p w14:paraId="27117842" w14:textId="2706D6AA" w:rsidR="005F5258" w:rsidRPr="00835A89" w:rsidRDefault="005F5258" w:rsidP="00AF632F">
            <w:pPr>
              <w:pStyle w:val="NormalWeb"/>
              <w:rPr>
                <w:sz w:val="18"/>
                <w:szCs w:val="18"/>
              </w:rPr>
            </w:pPr>
            <w:proofErr w:type="spellStart"/>
            <w:r w:rsidRPr="00835A89">
              <w:rPr>
                <w:sz w:val="18"/>
                <w:szCs w:val="18"/>
              </w:rPr>
              <w:t>Elixhauser</w:t>
            </w:r>
            <w:proofErr w:type="spellEnd"/>
            <w:r w:rsidRPr="00835A89">
              <w:rPr>
                <w:sz w:val="18"/>
                <w:szCs w:val="18"/>
              </w:rPr>
              <w:br/>
              <w:t>comorbidity</w:t>
            </w:r>
            <w:r w:rsidR="0008659E">
              <w:rPr>
                <w:sz w:val="18"/>
                <w:szCs w:val="18"/>
              </w:rPr>
              <w:t xml:space="preserve"> </w:t>
            </w:r>
            <w:r w:rsidRPr="00835A89">
              <w:rPr>
                <w:sz w:val="18"/>
                <w:szCs w:val="18"/>
              </w:rPr>
              <w:t>index</w:t>
            </w:r>
          </w:p>
        </w:tc>
        <w:tc>
          <w:tcPr>
            <w:tcW w:w="0" w:type="auto"/>
            <w:tcBorders>
              <w:top w:val="single" w:sz="2" w:space="0" w:color="auto"/>
            </w:tcBorders>
            <w:shd w:val="clear" w:color="auto" w:fill="auto"/>
            <w:hideMark/>
          </w:tcPr>
          <w:p w14:paraId="643F3525" w14:textId="77777777" w:rsidR="005F5258" w:rsidRPr="00835A89" w:rsidRDefault="005F5258" w:rsidP="00AF632F">
            <w:pPr>
              <w:pStyle w:val="NormalWeb"/>
              <w:rPr>
                <w:sz w:val="18"/>
                <w:szCs w:val="18"/>
              </w:rPr>
            </w:pPr>
            <w:r w:rsidRPr="00835A89">
              <w:rPr>
                <w:sz w:val="18"/>
                <w:szCs w:val="18"/>
              </w:rPr>
              <w:t>0</w:t>
            </w:r>
          </w:p>
        </w:tc>
        <w:tc>
          <w:tcPr>
            <w:tcW w:w="1780" w:type="dxa"/>
            <w:tcBorders>
              <w:top w:val="single" w:sz="2" w:space="0" w:color="auto"/>
            </w:tcBorders>
            <w:shd w:val="clear" w:color="auto" w:fill="auto"/>
            <w:hideMark/>
          </w:tcPr>
          <w:p w14:paraId="67E6BCFB" w14:textId="77777777" w:rsidR="005F5258" w:rsidRPr="00835A89" w:rsidRDefault="005F5258" w:rsidP="00AF632F">
            <w:pPr>
              <w:pStyle w:val="NormalWeb"/>
              <w:jc w:val="center"/>
              <w:rPr>
                <w:sz w:val="18"/>
                <w:szCs w:val="18"/>
              </w:rPr>
            </w:pPr>
            <w:r w:rsidRPr="00835A89">
              <w:rPr>
                <w:sz w:val="18"/>
                <w:szCs w:val="18"/>
              </w:rPr>
              <w:t>115/612 (18.8)</w:t>
            </w:r>
          </w:p>
        </w:tc>
        <w:tc>
          <w:tcPr>
            <w:tcW w:w="1780" w:type="dxa"/>
            <w:tcBorders>
              <w:top w:val="single" w:sz="2" w:space="0" w:color="auto"/>
            </w:tcBorders>
            <w:shd w:val="clear" w:color="auto" w:fill="auto"/>
            <w:hideMark/>
          </w:tcPr>
          <w:p w14:paraId="19ECE2A5" w14:textId="77777777" w:rsidR="005F5258" w:rsidRPr="00835A89" w:rsidRDefault="005F5258" w:rsidP="00AF632F">
            <w:pPr>
              <w:pStyle w:val="NormalWeb"/>
              <w:jc w:val="center"/>
              <w:rPr>
                <w:sz w:val="18"/>
                <w:szCs w:val="18"/>
              </w:rPr>
            </w:pPr>
            <w:r w:rsidRPr="00835A89">
              <w:rPr>
                <w:sz w:val="18"/>
                <w:szCs w:val="18"/>
              </w:rPr>
              <w:t>1.00</w:t>
            </w:r>
          </w:p>
        </w:tc>
        <w:tc>
          <w:tcPr>
            <w:tcW w:w="2267" w:type="dxa"/>
            <w:tcBorders>
              <w:top w:val="single" w:sz="2" w:space="0" w:color="auto"/>
            </w:tcBorders>
            <w:shd w:val="clear" w:color="auto" w:fill="auto"/>
            <w:hideMark/>
          </w:tcPr>
          <w:p w14:paraId="2FBF9847" w14:textId="77777777" w:rsidR="005F5258" w:rsidRPr="00835A89" w:rsidRDefault="005F5258" w:rsidP="00AF632F">
            <w:pPr>
              <w:pStyle w:val="NormalWeb"/>
              <w:jc w:val="center"/>
              <w:rPr>
                <w:sz w:val="18"/>
                <w:szCs w:val="18"/>
              </w:rPr>
            </w:pPr>
            <w:r w:rsidRPr="00835A89">
              <w:rPr>
                <w:sz w:val="18"/>
                <w:szCs w:val="18"/>
              </w:rPr>
              <w:t>1.00</w:t>
            </w:r>
          </w:p>
        </w:tc>
      </w:tr>
      <w:tr w:rsidR="005F5258" w:rsidRPr="00835A89" w14:paraId="30B749E2" w14:textId="77777777" w:rsidTr="00835A89">
        <w:tc>
          <w:tcPr>
            <w:tcW w:w="0" w:type="auto"/>
            <w:vMerge/>
            <w:shd w:val="clear" w:color="auto" w:fill="auto"/>
            <w:vAlign w:val="center"/>
            <w:hideMark/>
          </w:tcPr>
          <w:p w14:paraId="45E7F049" w14:textId="77777777" w:rsidR="005F5258" w:rsidRPr="00835A89" w:rsidRDefault="005F5258" w:rsidP="00AF632F">
            <w:pPr>
              <w:rPr>
                <w:sz w:val="18"/>
                <w:szCs w:val="18"/>
              </w:rPr>
            </w:pPr>
          </w:p>
        </w:tc>
        <w:tc>
          <w:tcPr>
            <w:tcW w:w="0" w:type="auto"/>
            <w:shd w:val="clear" w:color="auto" w:fill="auto"/>
            <w:hideMark/>
          </w:tcPr>
          <w:p w14:paraId="6DF9F64F" w14:textId="77777777" w:rsidR="005F5258" w:rsidRPr="00835A89" w:rsidRDefault="005F5258" w:rsidP="00AF632F">
            <w:pPr>
              <w:pStyle w:val="NormalWeb"/>
              <w:rPr>
                <w:sz w:val="18"/>
                <w:szCs w:val="18"/>
              </w:rPr>
            </w:pPr>
            <w:r w:rsidRPr="00835A89">
              <w:rPr>
                <w:sz w:val="18"/>
                <w:szCs w:val="18"/>
              </w:rPr>
              <w:t>1</w:t>
            </w:r>
          </w:p>
        </w:tc>
        <w:tc>
          <w:tcPr>
            <w:tcW w:w="1780" w:type="dxa"/>
            <w:shd w:val="clear" w:color="auto" w:fill="auto"/>
            <w:hideMark/>
          </w:tcPr>
          <w:p w14:paraId="296B3414" w14:textId="77777777" w:rsidR="005F5258" w:rsidRPr="00835A89" w:rsidRDefault="005F5258" w:rsidP="00AF632F">
            <w:pPr>
              <w:pStyle w:val="NormalWeb"/>
              <w:jc w:val="center"/>
              <w:rPr>
                <w:sz w:val="18"/>
                <w:szCs w:val="18"/>
              </w:rPr>
            </w:pPr>
            <w:r w:rsidRPr="00835A89">
              <w:rPr>
                <w:sz w:val="18"/>
                <w:szCs w:val="18"/>
              </w:rPr>
              <w:t>30/113 (26.5)</w:t>
            </w:r>
          </w:p>
        </w:tc>
        <w:tc>
          <w:tcPr>
            <w:tcW w:w="1780" w:type="dxa"/>
            <w:shd w:val="clear" w:color="auto" w:fill="auto"/>
            <w:hideMark/>
          </w:tcPr>
          <w:p w14:paraId="10B9B504" w14:textId="77777777" w:rsidR="005F5258" w:rsidRPr="00835A89" w:rsidRDefault="005F5258" w:rsidP="00AF632F">
            <w:pPr>
              <w:pStyle w:val="NormalWeb"/>
              <w:jc w:val="center"/>
              <w:rPr>
                <w:sz w:val="18"/>
                <w:szCs w:val="18"/>
              </w:rPr>
            </w:pPr>
            <w:r w:rsidRPr="00835A89">
              <w:rPr>
                <w:sz w:val="18"/>
                <w:szCs w:val="18"/>
              </w:rPr>
              <w:t>1.22 (0.81, 1.84)</w:t>
            </w:r>
          </w:p>
        </w:tc>
        <w:tc>
          <w:tcPr>
            <w:tcW w:w="2267" w:type="dxa"/>
            <w:shd w:val="clear" w:color="auto" w:fill="auto"/>
            <w:hideMark/>
          </w:tcPr>
          <w:p w14:paraId="3F621473" w14:textId="77777777" w:rsidR="005F5258" w:rsidRPr="00835A89" w:rsidRDefault="005F5258" w:rsidP="00AF632F">
            <w:pPr>
              <w:pStyle w:val="NormalWeb"/>
              <w:jc w:val="center"/>
              <w:rPr>
                <w:sz w:val="18"/>
                <w:szCs w:val="18"/>
              </w:rPr>
            </w:pPr>
            <w:r w:rsidRPr="00835A89">
              <w:rPr>
                <w:sz w:val="18"/>
                <w:szCs w:val="18"/>
              </w:rPr>
              <w:t>1.21 (0.80, 1.82)</w:t>
            </w:r>
          </w:p>
        </w:tc>
      </w:tr>
      <w:tr w:rsidR="00835A89" w:rsidRPr="00835A89" w14:paraId="1352EE91"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029A2F3C" w14:textId="77777777" w:rsidR="005F5258" w:rsidRPr="00835A89" w:rsidRDefault="005F5258" w:rsidP="00AF632F">
            <w:pPr>
              <w:rPr>
                <w:sz w:val="18"/>
                <w:szCs w:val="18"/>
              </w:rPr>
            </w:pPr>
          </w:p>
        </w:tc>
        <w:tc>
          <w:tcPr>
            <w:tcW w:w="0" w:type="auto"/>
            <w:shd w:val="clear" w:color="auto" w:fill="auto"/>
            <w:hideMark/>
          </w:tcPr>
          <w:p w14:paraId="7012B2E3" w14:textId="77777777" w:rsidR="005F5258" w:rsidRPr="00835A89" w:rsidRDefault="005F5258" w:rsidP="00AF632F">
            <w:pPr>
              <w:pStyle w:val="NormalWeb"/>
              <w:rPr>
                <w:sz w:val="18"/>
                <w:szCs w:val="18"/>
              </w:rPr>
            </w:pPr>
            <w:r w:rsidRPr="00835A89">
              <w:rPr>
                <w:sz w:val="18"/>
                <w:szCs w:val="18"/>
              </w:rPr>
              <w:t>2+</w:t>
            </w:r>
          </w:p>
        </w:tc>
        <w:tc>
          <w:tcPr>
            <w:tcW w:w="1780" w:type="dxa"/>
            <w:shd w:val="clear" w:color="auto" w:fill="auto"/>
            <w:hideMark/>
          </w:tcPr>
          <w:p w14:paraId="1865A11C" w14:textId="77777777" w:rsidR="005F5258" w:rsidRPr="00835A89" w:rsidRDefault="005F5258" w:rsidP="00AF632F">
            <w:pPr>
              <w:pStyle w:val="NormalWeb"/>
              <w:jc w:val="center"/>
              <w:rPr>
                <w:sz w:val="18"/>
                <w:szCs w:val="18"/>
              </w:rPr>
            </w:pPr>
            <w:r w:rsidRPr="00835A89">
              <w:rPr>
                <w:sz w:val="18"/>
                <w:szCs w:val="18"/>
              </w:rPr>
              <w:t>15/54 (27.8)</w:t>
            </w:r>
          </w:p>
        </w:tc>
        <w:tc>
          <w:tcPr>
            <w:tcW w:w="1780" w:type="dxa"/>
            <w:shd w:val="clear" w:color="auto" w:fill="auto"/>
            <w:hideMark/>
          </w:tcPr>
          <w:p w14:paraId="0DE27648" w14:textId="77777777" w:rsidR="005F5258" w:rsidRPr="00835A89" w:rsidRDefault="005F5258" w:rsidP="00AF632F">
            <w:pPr>
              <w:pStyle w:val="NormalWeb"/>
              <w:jc w:val="center"/>
              <w:rPr>
                <w:sz w:val="18"/>
                <w:szCs w:val="18"/>
              </w:rPr>
            </w:pPr>
            <w:r w:rsidRPr="00835A89">
              <w:rPr>
                <w:sz w:val="18"/>
                <w:szCs w:val="18"/>
              </w:rPr>
              <w:t>1.21 (0.70, 2.10)</w:t>
            </w:r>
          </w:p>
        </w:tc>
        <w:tc>
          <w:tcPr>
            <w:tcW w:w="2267" w:type="dxa"/>
            <w:shd w:val="clear" w:color="auto" w:fill="auto"/>
            <w:hideMark/>
          </w:tcPr>
          <w:p w14:paraId="43E06A18" w14:textId="77777777" w:rsidR="005F5258" w:rsidRPr="00835A89" w:rsidRDefault="005F5258" w:rsidP="00AF632F">
            <w:pPr>
              <w:pStyle w:val="NormalWeb"/>
              <w:jc w:val="center"/>
              <w:rPr>
                <w:sz w:val="18"/>
                <w:szCs w:val="18"/>
              </w:rPr>
            </w:pPr>
            <w:r w:rsidRPr="00835A89">
              <w:rPr>
                <w:sz w:val="18"/>
                <w:szCs w:val="18"/>
              </w:rPr>
              <w:t>1.20 (0.69, 2.08)</w:t>
            </w:r>
          </w:p>
        </w:tc>
      </w:tr>
      <w:tr w:rsidR="005F5258" w:rsidRPr="00835A89" w14:paraId="04BC5E23" w14:textId="77777777" w:rsidTr="00835A89">
        <w:tc>
          <w:tcPr>
            <w:tcW w:w="0" w:type="auto"/>
            <w:vMerge/>
            <w:tcBorders>
              <w:bottom w:val="single" w:sz="2" w:space="0" w:color="auto"/>
            </w:tcBorders>
            <w:shd w:val="clear" w:color="auto" w:fill="auto"/>
            <w:vAlign w:val="center"/>
            <w:hideMark/>
          </w:tcPr>
          <w:p w14:paraId="6F96EDF7"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0C340CE7" w14:textId="77777777" w:rsidR="005F5258" w:rsidRPr="00835A89" w:rsidRDefault="005F5258" w:rsidP="00AF632F">
            <w:pPr>
              <w:pStyle w:val="NormalWeb"/>
              <w:rPr>
                <w:sz w:val="18"/>
                <w:szCs w:val="18"/>
              </w:rPr>
            </w:pPr>
            <w:r w:rsidRPr="00835A89">
              <w:rPr>
                <w:sz w:val="18"/>
                <w:szCs w:val="18"/>
              </w:rPr>
              <w:t>No hospital record prior to infection</w:t>
            </w:r>
          </w:p>
        </w:tc>
        <w:tc>
          <w:tcPr>
            <w:tcW w:w="1780" w:type="dxa"/>
            <w:tcBorders>
              <w:bottom w:val="single" w:sz="2" w:space="0" w:color="auto"/>
            </w:tcBorders>
            <w:shd w:val="clear" w:color="auto" w:fill="auto"/>
            <w:hideMark/>
          </w:tcPr>
          <w:p w14:paraId="43DFAA3F" w14:textId="77777777" w:rsidR="005F5258" w:rsidRPr="00835A89" w:rsidRDefault="005F5258" w:rsidP="00AF632F">
            <w:pPr>
              <w:pStyle w:val="NormalWeb"/>
              <w:jc w:val="center"/>
              <w:rPr>
                <w:sz w:val="18"/>
                <w:szCs w:val="18"/>
              </w:rPr>
            </w:pPr>
            <w:r w:rsidRPr="00835A89">
              <w:rPr>
                <w:sz w:val="18"/>
                <w:szCs w:val="18"/>
              </w:rPr>
              <w:t>67/369 (18.2)</w:t>
            </w:r>
          </w:p>
        </w:tc>
        <w:tc>
          <w:tcPr>
            <w:tcW w:w="1780" w:type="dxa"/>
            <w:tcBorders>
              <w:bottom w:val="single" w:sz="2" w:space="0" w:color="auto"/>
            </w:tcBorders>
            <w:shd w:val="clear" w:color="auto" w:fill="auto"/>
            <w:hideMark/>
          </w:tcPr>
          <w:p w14:paraId="769312CB" w14:textId="77777777" w:rsidR="005F5258" w:rsidRPr="00835A89" w:rsidRDefault="005F5258" w:rsidP="00AF632F">
            <w:pPr>
              <w:pStyle w:val="NormalWeb"/>
              <w:jc w:val="center"/>
              <w:rPr>
                <w:sz w:val="18"/>
                <w:szCs w:val="18"/>
              </w:rPr>
            </w:pPr>
            <w:r w:rsidRPr="00835A89">
              <w:rPr>
                <w:sz w:val="18"/>
                <w:szCs w:val="18"/>
              </w:rPr>
              <w:t>1.03 (0.76, 1.41)</w:t>
            </w:r>
          </w:p>
        </w:tc>
        <w:tc>
          <w:tcPr>
            <w:tcW w:w="2267" w:type="dxa"/>
            <w:tcBorders>
              <w:bottom w:val="single" w:sz="2" w:space="0" w:color="auto"/>
            </w:tcBorders>
            <w:shd w:val="clear" w:color="auto" w:fill="auto"/>
            <w:hideMark/>
          </w:tcPr>
          <w:p w14:paraId="0344E2C5" w14:textId="77777777" w:rsidR="005F5258" w:rsidRPr="00835A89" w:rsidRDefault="005F5258" w:rsidP="00AF632F">
            <w:pPr>
              <w:pStyle w:val="NormalWeb"/>
              <w:jc w:val="center"/>
              <w:rPr>
                <w:sz w:val="18"/>
                <w:szCs w:val="18"/>
              </w:rPr>
            </w:pPr>
            <w:r w:rsidRPr="00835A89">
              <w:rPr>
                <w:sz w:val="18"/>
                <w:szCs w:val="18"/>
              </w:rPr>
              <w:t>1.03 (0.76, 1.41)</w:t>
            </w:r>
          </w:p>
        </w:tc>
      </w:tr>
      <w:tr w:rsidR="005F5258" w:rsidRPr="00835A89" w14:paraId="573D7834"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auto"/>
            </w:tcBorders>
            <w:shd w:val="clear" w:color="auto" w:fill="auto"/>
            <w:vAlign w:val="center"/>
            <w:hideMark/>
          </w:tcPr>
          <w:p w14:paraId="49740B88" w14:textId="77777777" w:rsidR="005F5258" w:rsidRPr="00835A89" w:rsidRDefault="005F5258" w:rsidP="00AF632F">
            <w:pPr>
              <w:pStyle w:val="NormalWeb"/>
              <w:rPr>
                <w:sz w:val="18"/>
                <w:szCs w:val="18"/>
              </w:rPr>
            </w:pPr>
            <w:r w:rsidRPr="00835A89">
              <w:rPr>
                <w:sz w:val="18"/>
                <w:szCs w:val="18"/>
              </w:rPr>
              <w:t xml:space="preserve">Comorbid </w:t>
            </w:r>
            <w:proofErr w:type="spellStart"/>
            <w:r w:rsidRPr="00835A89">
              <w:rPr>
                <w:sz w:val="18"/>
                <w:szCs w:val="18"/>
              </w:rPr>
              <w:t>conditions</w:t>
            </w:r>
            <w:r w:rsidRPr="00835A89">
              <w:rPr>
                <w:sz w:val="18"/>
                <w:szCs w:val="18"/>
                <w:vertAlign w:val="superscript"/>
              </w:rPr>
              <w:t>g</w:t>
            </w:r>
            <w:proofErr w:type="spellEnd"/>
          </w:p>
        </w:tc>
        <w:tc>
          <w:tcPr>
            <w:tcW w:w="0" w:type="auto"/>
            <w:tcBorders>
              <w:top w:val="single" w:sz="2" w:space="0" w:color="auto"/>
            </w:tcBorders>
            <w:shd w:val="clear" w:color="auto" w:fill="auto"/>
            <w:hideMark/>
          </w:tcPr>
          <w:p w14:paraId="03EB2E54" w14:textId="77777777" w:rsidR="005F5258" w:rsidRPr="00835A89" w:rsidRDefault="005F5258" w:rsidP="00AF632F">
            <w:pPr>
              <w:pStyle w:val="NormalWeb"/>
              <w:rPr>
                <w:sz w:val="18"/>
                <w:szCs w:val="18"/>
              </w:rPr>
            </w:pPr>
            <w:r w:rsidRPr="00835A89">
              <w:rPr>
                <w:sz w:val="18"/>
                <w:szCs w:val="18"/>
              </w:rPr>
              <w:t>Asthma</w:t>
            </w:r>
          </w:p>
        </w:tc>
        <w:tc>
          <w:tcPr>
            <w:tcW w:w="1780" w:type="dxa"/>
            <w:tcBorders>
              <w:top w:val="single" w:sz="2" w:space="0" w:color="auto"/>
            </w:tcBorders>
            <w:shd w:val="clear" w:color="auto" w:fill="auto"/>
            <w:hideMark/>
          </w:tcPr>
          <w:p w14:paraId="705CED1B" w14:textId="77777777" w:rsidR="005F5258" w:rsidRPr="00835A89" w:rsidRDefault="005F5258" w:rsidP="00AF632F">
            <w:pPr>
              <w:pStyle w:val="NormalWeb"/>
              <w:jc w:val="center"/>
              <w:rPr>
                <w:sz w:val="18"/>
                <w:szCs w:val="18"/>
              </w:rPr>
            </w:pPr>
            <w:r w:rsidRPr="00835A89">
              <w:rPr>
                <w:sz w:val="18"/>
                <w:szCs w:val="18"/>
              </w:rPr>
              <w:t>&lt; 5/12 (&lt; 42.0)</w:t>
            </w:r>
          </w:p>
        </w:tc>
        <w:tc>
          <w:tcPr>
            <w:tcW w:w="1780" w:type="dxa"/>
            <w:tcBorders>
              <w:top w:val="single" w:sz="2" w:space="0" w:color="auto"/>
            </w:tcBorders>
            <w:shd w:val="clear" w:color="auto" w:fill="auto"/>
            <w:hideMark/>
          </w:tcPr>
          <w:p w14:paraId="38012589" w14:textId="77777777" w:rsidR="005F5258" w:rsidRPr="00835A89" w:rsidRDefault="005F5258" w:rsidP="00AF632F">
            <w:pPr>
              <w:pStyle w:val="NormalWeb"/>
              <w:jc w:val="center"/>
              <w:rPr>
                <w:sz w:val="18"/>
                <w:szCs w:val="18"/>
              </w:rPr>
            </w:pPr>
            <w:r w:rsidRPr="00835A89">
              <w:rPr>
                <w:sz w:val="18"/>
                <w:szCs w:val="18"/>
              </w:rPr>
              <w:t>1.15 (0.37, 3.63)</w:t>
            </w:r>
          </w:p>
        </w:tc>
        <w:tc>
          <w:tcPr>
            <w:tcW w:w="2267" w:type="dxa"/>
            <w:tcBorders>
              <w:top w:val="single" w:sz="2" w:space="0" w:color="auto"/>
            </w:tcBorders>
            <w:shd w:val="clear" w:color="auto" w:fill="auto"/>
            <w:hideMark/>
          </w:tcPr>
          <w:p w14:paraId="1F09D502" w14:textId="77777777" w:rsidR="005F5258" w:rsidRPr="00835A89" w:rsidRDefault="005F5258" w:rsidP="00AF632F">
            <w:pPr>
              <w:pStyle w:val="NormalWeb"/>
              <w:jc w:val="center"/>
              <w:rPr>
                <w:sz w:val="18"/>
                <w:szCs w:val="18"/>
              </w:rPr>
            </w:pPr>
            <w:r w:rsidRPr="00835A89">
              <w:rPr>
                <w:sz w:val="18"/>
                <w:szCs w:val="18"/>
              </w:rPr>
              <w:t>1.22 (0.39, 3.84)</w:t>
            </w:r>
          </w:p>
        </w:tc>
      </w:tr>
      <w:tr w:rsidR="005F5258" w:rsidRPr="00835A89" w14:paraId="07F8AB23" w14:textId="77777777" w:rsidTr="00835A89">
        <w:tc>
          <w:tcPr>
            <w:tcW w:w="0" w:type="auto"/>
            <w:vMerge/>
            <w:shd w:val="clear" w:color="auto" w:fill="auto"/>
            <w:hideMark/>
          </w:tcPr>
          <w:p w14:paraId="6C3951DB" w14:textId="77777777" w:rsidR="005F5258" w:rsidRPr="00835A89" w:rsidRDefault="005F5258" w:rsidP="00AF632F">
            <w:pPr>
              <w:rPr>
                <w:sz w:val="18"/>
                <w:szCs w:val="18"/>
              </w:rPr>
            </w:pPr>
          </w:p>
        </w:tc>
        <w:tc>
          <w:tcPr>
            <w:tcW w:w="0" w:type="auto"/>
            <w:shd w:val="clear" w:color="auto" w:fill="auto"/>
            <w:hideMark/>
          </w:tcPr>
          <w:p w14:paraId="6E063F22" w14:textId="77777777" w:rsidR="005F5258" w:rsidRPr="00835A89" w:rsidRDefault="005F5258" w:rsidP="00AF632F">
            <w:pPr>
              <w:pStyle w:val="NormalWeb"/>
              <w:rPr>
                <w:sz w:val="18"/>
                <w:szCs w:val="18"/>
              </w:rPr>
            </w:pPr>
            <w:r w:rsidRPr="00835A89">
              <w:rPr>
                <w:sz w:val="18"/>
                <w:szCs w:val="18"/>
              </w:rPr>
              <w:t>Chronic lower respiratory disease</w:t>
            </w:r>
          </w:p>
        </w:tc>
        <w:tc>
          <w:tcPr>
            <w:tcW w:w="1780" w:type="dxa"/>
            <w:shd w:val="clear" w:color="auto" w:fill="auto"/>
            <w:hideMark/>
          </w:tcPr>
          <w:p w14:paraId="00B0EFDF" w14:textId="77777777" w:rsidR="005F5258" w:rsidRPr="00835A89" w:rsidRDefault="005F5258" w:rsidP="00AF632F">
            <w:pPr>
              <w:pStyle w:val="NormalWeb"/>
              <w:jc w:val="center"/>
              <w:rPr>
                <w:sz w:val="18"/>
                <w:szCs w:val="18"/>
              </w:rPr>
            </w:pPr>
            <w:r w:rsidRPr="00835A89">
              <w:rPr>
                <w:sz w:val="18"/>
                <w:szCs w:val="18"/>
              </w:rPr>
              <w:t>5/13 (38.5)</w:t>
            </w:r>
          </w:p>
        </w:tc>
        <w:tc>
          <w:tcPr>
            <w:tcW w:w="1780" w:type="dxa"/>
            <w:shd w:val="clear" w:color="auto" w:fill="auto"/>
            <w:hideMark/>
          </w:tcPr>
          <w:p w14:paraId="1EEEDC83" w14:textId="77777777" w:rsidR="005F5258" w:rsidRPr="00835A89" w:rsidRDefault="005F5258" w:rsidP="00AF632F">
            <w:pPr>
              <w:pStyle w:val="NormalWeb"/>
              <w:jc w:val="center"/>
              <w:rPr>
                <w:sz w:val="18"/>
                <w:szCs w:val="18"/>
              </w:rPr>
            </w:pPr>
            <w:r w:rsidRPr="00835A89">
              <w:rPr>
                <w:sz w:val="18"/>
                <w:szCs w:val="18"/>
              </w:rPr>
              <w:t>1.47 (0.59, 3.66)</w:t>
            </w:r>
          </w:p>
        </w:tc>
        <w:tc>
          <w:tcPr>
            <w:tcW w:w="2267" w:type="dxa"/>
            <w:shd w:val="clear" w:color="auto" w:fill="auto"/>
            <w:hideMark/>
          </w:tcPr>
          <w:p w14:paraId="4C8E3E4B" w14:textId="77777777" w:rsidR="005F5258" w:rsidRPr="00835A89" w:rsidRDefault="005F5258" w:rsidP="00AF632F">
            <w:pPr>
              <w:pStyle w:val="NormalWeb"/>
              <w:jc w:val="center"/>
              <w:rPr>
                <w:sz w:val="18"/>
                <w:szCs w:val="18"/>
              </w:rPr>
            </w:pPr>
            <w:r w:rsidRPr="00835A89">
              <w:rPr>
                <w:sz w:val="18"/>
                <w:szCs w:val="18"/>
              </w:rPr>
              <w:t>1.54 (0.62, 3.85)</w:t>
            </w:r>
          </w:p>
        </w:tc>
      </w:tr>
      <w:tr w:rsidR="00835A89" w:rsidRPr="00835A89" w14:paraId="61101DCE"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69CA1E73" w14:textId="77777777" w:rsidR="005F5258" w:rsidRPr="00835A89" w:rsidRDefault="005F5258" w:rsidP="00AF632F">
            <w:pPr>
              <w:rPr>
                <w:sz w:val="18"/>
                <w:szCs w:val="18"/>
              </w:rPr>
            </w:pPr>
          </w:p>
        </w:tc>
        <w:tc>
          <w:tcPr>
            <w:tcW w:w="0" w:type="auto"/>
            <w:shd w:val="clear" w:color="auto" w:fill="auto"/>
            <w:hideMark/>
          </w:tcPr>
          <w:p w14:paraId="09FF1F96" w14:textId="77777777" w:rsidR="005F5258" w:rsidRPr="00835A89" w:rsidRDefault="005F5258" w:rsidP="00AF632F">
            <w:pPr>
              <w:pStyle w:val="NormalWeb"/>
              <w:rPr>
                <w:sz w:val="18"/>
                <w:szCs w:val="18"/>
              </w:rPr>
            </w:pPr>
            <w:r w:rsidRPr="00835A89">
              <w:rPr>
                <w:sz w:val="18"/>
                <w:szCs w:val="18"/>
              </w:rPr>
              <w:t>Diabetes</w:t>
            </w:r>
          </w:p>
        </w:tc>
        <w:tc>
          <w:tcPr>
            <w:tcW w:w="1780" w:type="dxa"/>
            <w:shd w:val="clear" w:color="auto" w:fill="auto"/>
            <w:hideMark/>
          </w:tcPr>
          <w:p w14:paraId="1B6B6FFF" w14:textId="77777777" w:rsidR="005F5258" w:rsidRPr="00835A89" w:rsidRDefault="005F5258" w:rsidP="00AF632F">
            <w:pPr>
              <w:pStyle w:val="NormalWeb"/>
              <w:jc w:val="center"/>
              <w:rPr>
                <w:sz w:val="18"/>
                <w:szCs w:val="18"/>
              </w:rPr>
            </w:pPr>
            <w:r w:rsidRPr="00835A89">
              <w:rPr>
                <w:sz w:val="18"/>
                <w:szCs w:val="18"/>
              </w:rPr>
              <w:t>16/52 (30.8)</w:t>
            </w:r>
          </w:p>
        </w:tc>
        <w:tc>
          <w:tcPr>
            <w:tcW w:w="1780" w:type="dxa"/>
            <w:shd w:val="clear" w:color="auto" w:fill="auto"/>
            <w:hideMark/>
          </w:tcPr>
          <w:p w14:paraId="03B44D73" w14:textId="77777777" w:rsidR="005F5258" w:rsidRPr="00835A89" w:rsidRDefault="005F5258" w:rsidP="00AF632F">
            <w:pPr>
              <w:pStyle w:val="NormalWeb"/>
              <w:jc w:val="center"/>
              <w:rPr>
                <w:sz w:val="18"/>
                <w:szCs w:val="18"/>
              </w:rPr>
            </w:pPr>
            <w:r w:rsidRPr="00835A89">
              <w:rPr>
                <w:sz w:val="18"/>
                <w:szCs w:val="18"/>
              </w:rPr>
              <w:t>1.18 (0.69, 2.01)</w:t>
            </w:r>
          </w:p>
        </w:tc>
        <w:tc>
          <w:tcPr>
            <w:tcW w:w="2267" w:type="dxa"/>
            <w:shd w:val="clear" w:color="auto" w:fill="auto"/>
            <w:hideMark/>
          </w:tcPr>
          <w:p w14:paraId="370BF704" w14:textId="77777777" w:rsidR="005F5258" w:rsidRPr="00835A89" w:rsidRDefault="005F5258" w:rsidP="00AF632F">
            <w:pPr>
              <w:pStyle w:val="NormalWeb"/>
              <w:jc w:val="center"/>
              <w:rPr>
                <w:sz w:val="18"/>
                <w:szCs w:val="18"/>
              </w:rPr>
            </w:pPr>
            <w:r w:rsidRPr="00835A89">
              <w:rPr>
                <w:sz w:val="18"/>
                <w:szCs w:val="18"/>
              </w:rPr>
              <w:t>1.23 (0.66, 1.94)</w:t>
            </w:r>
          </w:p>
        </w:tc>
      </w:tr>
      <w:tr w:rsidR="005F5258" w:rsidRPr="00835A89" w14:paraId="57265B97" w14:textId="77777777" w:rsidTr="00835A89">
        <w:tc>
          <w:tcPr>
            <w:tcW w:w="0" w:type="auto"/>
            <w:vMerge/>
            <w:shd w:val="clear" w:color="auto" w:fill="auto"/>
            <w:hideMark/>
          </w:tcPr>
          <w:p w14:paraId="4254615F" w14:textId="77777777" w:rsidR="005F5258" w:rsidRPr="00835A89" w:rsidRDefault="005F5258" w:rsidP="00AF632F">
            <w:pPr>
              <w:rPr>
                <w:sz w:val="18"/>
                <w:szCs w:val="18"/>
              </w:rPr>
            </w:pPr>
          </w:p>
        </w:tc>
        <w:tc>
          <w:tcPr>
            <w:tcW w:w="0" w:type="auto"/>
            <w:shd w:val="clear" w:color="auto" w:fill="auto"/>
            <w:hideMark/>
          </w:tcPr>
          <w:p w14:paraId="3A2844D1" w14:textId="77777777" w:rsidR="005F5258" w:rsidRPr="00835A89" w:rsidRDefault="005F5258" w:rsidP="00AF632F">
            <w:pPr>
              <w:pStyle w:val="NormalWeb"/>
              <w:rPr>
                <w:sz w:val="18"/>
                <w:szCs w:val="18"/>
              </w:rPr>
            </w:pPr>
            <w:r w:rsidRPr="00835A89">
              <w:rPr>
                <w:sz w:val="18"/>
                <w:szCs w:val="18"/>
              </w:rPr>
              <w:t>Renal failure</w:t>
            </w:r>
          </w:p>
        </w:tc>
        <w:tc>
          <w:tcPr>
            <w:tcW w:w="1780" w:type="dxa"/>
            <w:shd w:val="clear" w:color="auto" w:fill="auto"/>
            <w:hideMark/>
          </w:tcPr>
          <w:p w14:paraId="35E4CE75" w14:textId="77777777" w:rsidR="005F5258" w:rsidRPr="00835A89" w:rsidRDefault="005F5258" w:rsidP="00AF632F">
            <w:pPr>
              <w:pStyle w:val="NormalWeb"/>
              <w:jc w:val="center"/>
              <w:rPr>
                <w:sz w:val="18"/>
                <w:szCs w:val="18"/>
              </w:rPr>
            </w:pPr>
            <w:r w:rsidRPr="00835A89">
              <w:rPr>
                <w:sz w:val="18"/>
                <w:szCs w:val="18"/>
              </w:rPr>
              <w:t>5/19 (26.3)</w:t>
            </w:r>
          </w:p>
        </w:tc>
        <w:tc>
          <w:tcPr>
            <w:tcW w:w="1780" w:type="dxa"/>
            <w:shd w:val="clear" w:color="auto" w:fill="auto"/>
            <w:hideMark/>
          </w:tcPr>
          <w:p w14:paraId="25D131C0" w14:textId="77777777" w:rsidR="005F5258" w:rsidRPr="00835A89" w:rsidRDefault="005F5258" w:rsidP="00AF632F">
            <w:pPr>
              <w:pStyle w:val="NormalWeb"/>
              <w:jc w:val="center"/>
              <w:rPr>
                <w:sz w:val="18"/>
                <w:szCs w:val="18"/>
              </w:rPr>
            </w:pPr>
            <w:r w:rsidRPr="00835A89">
              <w:rPr>
                <w:sz w:val="18"/>
                <w:szCs w:val="18"/>
              </w:rPr>
              <w:t>1.00 (0.41, 2.46)</w:t>
            </w:r>
          </w:p>
        </w:tc>
        <w:tc>
          <w:tcPr>
            <w:tcW w:w="2267" w:type="dxa"/>
            <w:shd w:val="clear" w:color="auto" w:fill="auto"/>
            <w:hideMark/>
          </w:tcPr>
          <w:p w14:paraId="656E6505" w14:textId="77777777" w:rsidR="005F5258" w:rsidRPr="00835A89" w:rsidRDefault="005F5258" w:rsidP="00AF632F">
            <w:pPr>
              <w:pStyle w:val="NormalWeb"/>
              <w:jc w:val="center"/>
              <w:rPr>
                <w:sz w:val="18"/>
                <w:szCs w:val="18"/>
              </w:rPr>
            </w:pPr>
            <w:r w:rsidRPr="00835A89">
              <w:rPr>
                <w:sz w:val="18"/>
                <w:szCs w:val="18"/>
              </w:rPr>
              <w:t>1.04 (0.42, 2.57)</w:t>
            </w:r>
          </w:p>
        </w:tc>
      </w:tr>
      <w:tr w:rsidR="00835A89" w:rsidRPr="00835A89" w14:paraId="201EC5D7" w14:textId="77777777" w:rsidTr="00835A89">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75948379" w14:textId="77777777" w:rsidR="005F5258" w:rsidRPr="00835A89" w:rsidRDefault="005F5258" w:rsidP="00AF632F">
            <w:pPr>
              <w:rPr>
                <w:sz w:val="18"/>
                <w:szCs w:val="18"/>
              </w:rPr>
            </w:pPr>
          </w:p>
        </w:tc>
        <w:tc>
          <w:tcPr>
            <w:tcW w:w="0" w:type="auto"/>
            <w:shd w:val="clear" w:color="auto" w:fill="auto"/>
            <w:hideMark/>
          </w:tcPr>
          <w:p w14:paraId="5D84AE12" w14:textId="77777777" w:rsidR="005F5258" w:rsidRPr="00835A89" w:rsidRDefault="005F5258" w:rsidP="00AF632F">
            <w:pPr>
              <w:pStyle w:val="NormalWeb"/>
              <w:rPr>
                <w:sz w:val="18"/>
                <w:szCs w:val="18"/>
              </w:rPr>
            </w:pPr>
            <w:r w:rsidRPr="00835A89">
              <w:rPr>
                <w:sz w:val="18"/>
                <w:szCs w:val="18"/>
              </w:rPr>
              <w:t>Cancer</w:t>
            </w:r>
          </w:p>
        </w:tc>
        <w:tc>
          <w:tcPr>
            <w:tcW w:w="1780" w:type="dxa"/>
            <w:shd w:val="clear" w:color="auto" w:fill="auto"/>
            <w:hideMark/>
          </w:tcPr>
          <w:p w14:paraId="4616BEC8" w14:textId="77777777" w:rsidR="005F5258" w:rsidRPr="00835A89" w:rsidRDefault="005F5258" w:rsidP="00AF632F">
            <w:pPr>
              <w:pStyle w:val="NormalWeb"/>
              <w:jc w:val="center"/>
              <w:rPr>
                <w:sz w:val="18"/>
                <w:szCs w:val="18"/>
              </w:rPr>
            </w:pPr>
            <w:r w:rsidRPr="00835A89">
              <w:rPr>
                <w:sz w:val="18"/>
                <w:szCs w:val="18"/>
              </w:rPr>
              <w:t>20/73 (27.4)</w:t>
            </w:r>
          </w:p>
        </w:tc>
        <w:tc>
          <w:tcPr>
            <w:tcW w:w="1780" w:type="dxa"/>
            <w:shd w:val="clear" w:color="auto" w:fill="auto"/>
            <w:hideMark/>
          </w:tcPr>
          <w:p w14:paraId="71A1DB1D" w14:textId="77777777" w:rsidR="005F5258" w:rsidRPr="00835A89" w:rsidRDefault="005F5258" w:rsidP="00AF632F">
            <w:pPr>
              <w:pStyle w:val="NormalWeb"/>
              <w:jc w:val="center"/>
              <w:rPr>
                <w:sz w:val="18"/>
                <w:szCs w:val="18"/>
              </w:rPr>
            </w:pPr>
            <w:r w:rsidRPr="00835A89">
              <w:rPr>
                <w:sz w:val="18"/>
                <w:szCs w:val="18"/>
              </w:rPr>
              <w:t>1.07 (0.66, 1.75)</w:t>
            </w:r>
          </w:p>
        </w:tc>
        <w:tc>
          <w:tcPr>
            <w:tcW w:w="2267" w:type="dxa"/>
            <w:shd w:val="clear" w:color="auto" w:fill="auto"/>
            <w:hideMark/>
          </w:tcPr>
          <w:p w14:paraId="695FED48" w14:textId="77777777" w:rsidR="005F5258" w:rsidRPr="00835A89" w:rsidRDefault="005F5258" w:rsidP="00AF632F">
            <w:pPr>
              <w:pStyle w:val="NormalWeb"/>
              <w:jc w:val="center"/>
              <w:rPr>
                <w:sz w:val="18"/>
                <w:szCs w:val="18"/>
              </w:rPr>
            </w:pPr>
            <w:r w:rsidRPr="00835A89">
              <w:rPr>
                <w:sz w:val="18"/>
                <w:szCs w:val="18"/>
              </w:rPr>
              <w:t>1.08 (0.66, 1.77)</w:t>
            </w:r>
          </w:p>
        </w:tc>
      </w:tr>
      <w:tr w:rsidR="005F5258" w:rsidRPr="00835A89" w14:paraId="686E3F5F" w14:textId="77777777" w:rsidTr="00835A89">
        <w:tc>
          <w:tcPr>
            <w:tcW w:w="0" w:type="auto"/>
            <w:vMerge/>
            <w:tcBorders>
              <w:bottom w:val="single" w:sz="2" w:space="0" w:color="auto"/>
            </w:tcBorders>
            <w:shd w:val="clear" w:color="auto" w:fill="auto"/>
            <w:hideMark/>
          </w:tcPr>
          <w:p w14:paraId="5798850C" w14:textId="77777777" w:rsidR="005F5258" w:rsidRPr="00835A89" w:rsidRDefault="005F5258" w:rsidP="00AF632F">
            <w:pPr>
              <w:rPr>
                <w:sz w:val="18"/>
                <w:szCs w:val="18"/>
              </w:rPr>
            </w:pPr>
          </w:p>
        </w:tc>
        <w:tc>
          <w:tcPr>
            <w:tcW w:w="0" w:type="auto"/>
            <w:tcBorders>
              <w:bottom w:val="single" w:sz="2" w:space="0" w:color="auto"/>
            </w:tcBorders>
            <w:shd w:val="clear" w:color="auto" w:fill="auto"/>
            <w:hideMark/>
          </w:tcPr>
          <w:p w14:paraId="11350331" w14:textId="77777777" w:rsidR="005F5258" w:rsidRPr="00835A89" w:rsidRDefault="005F5258" w:rsidP="00AF632F">
            <w:pPr>
              <w:pStyle w:val="NormalWeb"/>
              <w:rPr>
                <w:sz w:val="18"/>
                <w:szCs w:val="18"/>
              </w:rPr>
            </w:pPr>
            <w:r w:rsidRPr="00835A89">
              <w:rPr>
                <w:sz w:val="18"/>
                <w:szCs w:val="18"/>
              </w:rPr>
              <w:t>Cardiovascular disease</w:t>
            </w:r>
          </w:p>
        </w:tc>
        <w:tc>
          <w:tcPr>
            <w:tcW w:w="1780" w:type="dxa"/>
            <w:tcBorders>
              <w:bottom w:val="single" w:sz="2" w:space="0" w:color="auto"/>
            </w:tcBorders>
            <w:shd w:val="clear" w:color="auto" w:fill="auto"/>
            <w:hideMark/>
          </w:tcPr>
          <w:p w14:paraId="39C81C82" w14:textId="77777777" w:rsidR="005F5258" w:rsidRPr="00835A89" w:rsidRDefault="005F5258" w:rsidP="00AF632F">
            <w:pPr>
              <w:pStyle w:val="NormalWeb"/>
              <w:jc w:val="center"/>
              <w:rPr>
                <w:sz w:val="18"/>
                <w:szCs w:val="18"/>
              </w:rPr>
            </w:pPr>
            <w:r w:rsidRPr="00835A89">
              <w:rPr>
                <w:sz w:val="18"/>
                <w:szCs w:val="18"/>
              </w:rPr>
              <w:t>28/97 (28.9)</w:t>
            </w:r>
          </w:p>
        </w:tc>
        <w:tc>
          <w:tcPr>
            <w:tcW w:w="1780" w:type="dxa"/>
            <w:tcBorders>
              <w:bottom w:val="single" w:sz="2" w:space="0" w:color="auto"/>
            </w:tcBorders>
            <w:shd w:val="clear" w:color="auto" w:fill="auto"/>
            <w:hideMark/>
          </w:tcPr>
          <w:p w14:paraId="4CFA796C" w14:textId="77777777" w:rsidR="005F5258" w:rsidRPr="00835A89" w:rsidRDefault="005F5258" w:rsidP="00AF632F">
            <w:pPr>
              <w:pStyle w:val="NormalWeb"/>
              <w:jc w:val="center"/>
              <w:rPr>
                <w:sz w:val="18"/>
                <w:szCs w:val="18"/>
              </w:rPr>
            </w:pPr>
            <w:r w:rsidRPr="00835A89">
              <w:rPr>
                <w:sz w:val="18"/>
                <w:szCs w:val="18"/>
              </w:rPr>
              <w:t>1.13 (0.74, 1.75)</w:t>
            </w:r>
          </w:p>
        </w:tc>
        <w:tc>
          <w:tcPr>
            <w:tcW w:w="2267" w:type="dxa"/>
            <w:tcBorders>
              <w:bottom w:val="single" w:sz="2" w:space="0" w:color="auto"/>
            </w:tcBorders>
            <w:shd w:val="clear" w:color="auto" w:fill="auto"/>
            <w:hideMark/>
          </w:tcPr>
          <w:p w14:paraId="4011080A" w14:textId="77777777" w:rsidR="005F5258" w:rsidRPr="00835A89" w:rsidRDefault="005F5258" w:rsidP="00AF632F">
            <w:pPr>
              <w:pStyle w:val="NormalWeb"/>
              <w:jc w:val="center"/>
              <w:rPr>
                <w:sz w:val="18"/>
                <w:szCs w:val="18"/>
              </w:rPr>
            </w:pPr>
            <w:r w:rsidRPr="00835A89">
              <w:rPr>
                <w:sz w:val="18"/>
                <w:szCs w:val="18"/>
              </w:rPr>
              <w:t>1.12 (0.73, 1.73)</w:t>
            </w:r>
          </w:p>
        </w:tc>
      </w:tr>
    </w:tbl>
    <w:p w14:paraId="6882143F" w14:textId="77777777" w:rsidR="005F5258" w:rsidRDefault="005F5258" w:rsidP="005F5258">
      <w:pPr>
        <w:pStyle w:val="CDIfootnotes"/>
        <w:rPr>
          <w:lang w:val="en-GB"/>
        </w:rPr>
      </w:pPr>
      <w:proofErr w:type="spellStart"/>
      <w:proofErr w:type="gramStart"/>
      <w:r>
        <w:rPr>
          <w:lang w:val="en-GB"/>
        </w:rPr>
        <w:t>a</w:t>
      </w:r>
      <w:proofErr w:type="spellEnd"/>
      <w:proofErr w:type="gramEnd"/>
      <w:r>
        <w:rPr>
          <w:lang w:val="en-GB"/>
        </w:rPr>
        <w:tab/>
        <w:t xml:space="preserve">Estimates are based on 1,148 people who were residents of Queensland with an onset date before 1 November 2020 and 227 inpatient hospital admissions, measured with QHAPDC data. Model 1 is adjusted for age and sex. Model 2 is adjusted for age, </w:t>
      </w:r>
      <w:proofErr w:type="gramStart"/>
      <w:r>
        <w:rPr>
          <w:lang w:val="en-GB"/>
        </w:rPr>
        <w:t>sex</w:t>
      </w:r>
      <w:proofErr w:type="gramEnd"/>
      <w:r>
        <w:rPr>
          <w:lang w:val="en-GB"/>
        </w:rPr>
        <w:t xml:space="preserve"> and remoteness, measured with ARIA+. Age, sex, </w:t>
      </w:r>
      <w:proofErr w:type="gramStart"/>
      <w:r>
        <w:rPr>
          <w:lang w:val="en-GB"/>
        </w:rPr>
        <w:t>remoteness</w:t>
      </w:r>
      <w:proofErr w:type="gramEnd"/>
      <w:r>
        <w:rPr>
          <w:lang w:val="en-GB"/>
        </w:rPr>
        <w:t xml:space="preserve"> and SEIFA IRSD are measured with or derived from </w:t>
      </w:r>
      <w:proofErr w:type="spellStart"/>
      <w:r>
        <w:rPr>
          <w:lang w:val="en-GB"/>
        </w:rPr>
        <w:t>NoCS</w:t>
      </w:r>
      <w:proofErr w:type="spellEnd"/>
      <w:r>
        <w:rPr>
          <w:lang w:val="en-GB"/>
        </w:rPr>
        <w:t xml:space="preserve"> data. Smoking status and comorbidities are measured with hospital data prior to onset date. SEIFA IRSD is measured in population-based quintiles.</w:t>
      </w:r>
    </w:p>
    <w:p w14:paraId="614FB4F0" w14:textId="77777777" w:rsidR="005F5258" w:rsidRDefault="005F5258" w:rsidP="005F5258">
      <w:pPr>
        <w:pStyle w:val="CDIfootnotes"/>
        <w:rPr>
          <w:lang w:val="en-GB"/>
        </w:rPr>
      </w:pPr>
      <w:r>
        <w:rPr>
          <w:lang w:val="en-GB"/>
        </w:rPr>
        <w:t>b</w:t>
      </w:r>
      <w:r>
        <w:rPr>
          <w:lang w:val="en-GB"/>
        </w:rPr>
        <w:tab/>
        <w:t>Where age is the primary exposure variable, Model 1 is adjusted only for sex. Where sex is the primary exposure variable, Model 1 is adjusted for only age. QHAPDC data is yet to be finalised and results should be considered preliminary.</w:t>
      </w:r>
    </w:p>
    <w:p w14:paraId="49DD4549" w14:textId="77777777" w:rsidR="005F5258" w:rsidRDefault="005F5258" w:rsidP="005F5258">
      <w:pPr>
        <w:pStyle w:val="CDIfootnotes"/>
        <w:rPr>
          <w:lang w:val="en-GB"/>
        </w:rPr>
      </w:pPr>
      <w:r>
        <w:rPr>
          <w:lang w:val="en-GB"/>
        </w:rPr>
        <w:t>c</w:t>
      </w:r>
      <w:r>
        <w:rPr>
          <w:lang w:val="en-GB"/>
        </w:rPr>
        <w:tab/>
        <w:t xml:space="preserve">Indicates that the test for linear trend was significant, </w:t>
      </w:r>
      <w:r w:rsidRPr="002D346F">
        <w:rPr>
          <w:i/>
          <w:iCs/>
          <w:lang w:val="en-GB"/>
        </w:rPr>
        <w:t>p</w:t>
      </w:r>
      <w:r>
        <w:rPr>
          <w:lang w:val="en-GB"/>
        </w:rPr>
        <w:t xml:space="preserve"> &lt; 0.001.</w:t>
      </w:r>
    </w:p>
    <w:p w14:paraId="48B7E327" w14:textId="77777777" w:rsidR="005F5258" w:rsidRDefault="005F5258" w:rsidP="005F5258">
      <w:pPr>
        <w:pStyle w:val="CDIfootnotes"/>
        <w:rPr>
          <w:lang w:val="en-GB"/>
        </w:rPr>
      </w:pPr>
      <w:r>
        <w:rPr>
          <w:lang w:val="en-GB"/>
        </w:rPr>
        <w:t>d</w:t>
      </w:r>
      <w:r>
        <w:rPr>
          <w:lang w:val="en-GB"/>
        </w:rPr>
        <w:tab/>
        <w:t>Accessibility and Remoteness Index of Australia.</w:t>
      </w:r>
    </w:p>
    <w:p w14:paraId="51921CA5" w14:textId="77777777" w:rsidR="005F5258" w:rsidRDefault="005F5258" w:rsidP="005F5258">
      <w:pPr>
        <w:pStyle w:val="CDIfootnotes"/>
        <w:rPr>
          <w:lang w:val="en-GB"/>
        </w:rPr>
      </w:pPr>
      <w:r>
        <w:rPr>
          <w:lang w:val="en-GB"/>
        </w:rPr>
        <w:t>e</w:t>
      </w:r>
      <w:r>
        <w:rPr>
          <w:lang w:val="en-GB"/>
        </w:rPr>
        <w:tab/>
        <w:t xml:space="preserve">Indicates that the test for linear trend was significant, </w:t>
      </w:r>
      <w:r w:rsidRPr="002D346F">
        <w:rPr>
          <w:i/>
          <w:iCs/>
          <w:lang w:val="en-GB"/>
        </w:rPr>
        <w:t>p</w:t>
      </w:r>
      <w:r>
        <w:rPr>
          <w:lang w:val="en-GB"/>
        </w:rPr>
        <w:t xml:space="preserve"> &lt; 0.01.</w:t>
      </w:r>
    </w:p>
    <w:p w14:paraId="6D61B8BC" w14:textId="77777777" w:rsidR="005F5258" w:rsidRDefault="005F5258" w:rsidP="005F5258">
      <w:pPr>
        <w:pStyle w:val="CDIfootnotes"/>
        <w:rPr>
          <w:lang w:val="en-GB"/>
        </w:rPr>
      </w:pPr>
      <w:r>
        <w:rPr>
          <w:lang w:val="en-GB"/>
        </w:rPr>
        <w:t>f</w:t>
      </w:r>
      <w:r>
        <w:rPr>
          <w:lang w:val="en-GB"/>
        </w:rPr>
        <w:tab/>
        <w:t>Socio-Economic Indexes for Areas, Index of Relative Socio-Economic Disadvantage.</w:t>
      </w:r>
    </w:p>
    <w:p w14:paraId="2136CAAD" w14:textId="0D7DC329" w:rsidR="005F5258" w:rsidRPr="00835A89" w:rsidRDefault="005F5258" w:rsidP="00835A89">
      <w:pPr>
        <w:pStyle w:val="CDIfootnotes"/>
        <w:rPr>
          <w:lang w:val="en-GB"/>
        </w:rPr>
      </w:pPr>
      <w:r>
        <w:rPr>
          <w:lang w:val="en-GB"/>
        </w:rPr>
        <w:t>g</w:t>
      </w:r>
      <w:r>
        <w:rPr>
          <w:lang w:val="en-GB"/>
        </w:rPr>
        <w:tab/>
        <w:t>Risks associated with comorbid conditions are estimated for each condition separately, using those with a hospital record but without the condition as the reference category.</w:t>
      </w:r>
    </w:p>
    <w:p w14:paraId="4EF92A30" w14:textId="77777777" w:rsidR="00D6062B" w:rsidRPr="00D6062B" w:rsidRDefault="00D6062B" w:rsidP="00D6062B">
      <w:pPr>
        <w:pStyle w:val="Heading2"/>
      </w:pPr>
      <w:r w:rsidRPr="00D6062B">
        <w:lastRenderedPageBreak/>
        <w:t xml:space="preserve">Sensitivity analyses </w:t>
      </w:r>
    </w:p>
    <w:p w14:paraId="47D44A0E" w14:textId="77777777" w:rsidR="00D6062B" w:rsidRDefault="00D6062B" w:rsidP="00324A83">
      <w:r>
        <w:t xml:space="preserve">When comorbidities were measured using </w:t>
      </w:r>
      <w:proofErr w:type="spellStart"/>
      <w:r>
        <w:t>hopsitalisation</w:t>
      </w:r>
      <w:proofErr w:type="spellEnd"/>
      <w:r>
        <w:t xml:space="preserve"> records both before and after COVID-19 symptom onset, the proportions of cases with each of the comorbid health conditions increased slightly (see Appendix A, Table A.7). Associations between comorbid health conditions and presentation to emergency (Appendix A, Table A.8) were substantially unchanged. Associations between comorbid health conditions and inpatient hospital admissions did not change materially, except that those with renal failure had higher risk of hospital admission compared to those without (age-sex adjusted RR= 1.75; 95% CI: 1.07, 2.86; Appendix A, Table A.9). Some caution should be applied when interpreting these results, as health conditions measured at the time or after onset may be the outcome of COVID-19 rather than a pre-existing condition. Similarly, associations between comorbid conditions and outcomes were materially unchanged when assuming those without a hospital record prior to onset date had none of the measured comorbidities (Appendix A, Tables A.10 and A.11). </w:t>
      </w:r>
    </w:p>
    <w:p w14:paraId="3629D407" w14:textId="77777777" w:rsidR="00D6062B" w:rsidRPr="00324A83" w:rsidRDefault="00D6062B" w:rsidP="00324A83">
      <w:pPr>
        <w:pStyle w:val="Heading1"/>
      </w:pPr>
      <w:r w:rsidRPr="00324A83">
        <w:t xml:space="preserve">Discussion </w:t>
      </w:r>
    </w:p>
    <w:p w14:paraId="7DB7DB51" w14:textId="3FA060A3" w:rsidR="00D6062B" w:rsidRDefault="00D6062B" w:rsidP="00324A83">
      <w:r>
        <w:t xml:space="preserve">By linking administrative data, we described the characteristics, hospital-based </w:t>
      </w:r>
      <w:proofErr w:type="gramStart"/>
      <w:r>
        <w:t>outcomes</w:t>
      </w:r>
      <w:proofErr w:type="gramEnd"/>
      <w:r>
        <w:t xml:space="preserve"> and deaths for all confirmed COVID-19 cases in Queensland, and the utility of using linked data for ongoing surveillance purposes as the pandemic continues. Over half of people diagnosed had at least one ED presentation; one in five had an inpatient hospital admission (median length of stay 11 days), 1.4% were admitted to ICU (majority requiring ventilation) and six died. Increasing age and being a smoker were associated with higher risk of admission, while those in </w:t>
      </w:r>
      <w:r w:rsidR="00E2143B">
        <w:t>less-disadvantaged</w:t>
      </w:r>
      <w:r>
        <w:t xml:space="preserve"> areas had lower risk of admission. There was some evidence that people with chronic health conditions had an elevated risk of being admitted; however, small numbers limited the precision of our</w:t>
      </w:r>
      <w:r w:rsidR="00C8112F">
        <w:t> </w:t>
      </w:r>
      <w:r>
        <w:t xml:space="preserve">estimates. </w:t>
      </w:r>
    </w:p>
    <w:p w14:paraId="1165BD45" w14:textId="77777777" w:rsidR="00D6062B" w:rsidRDefault="00D6062B" w:rsidP="00324A83">
      <w:r>
        <w:t>Our finding that presentations to an ED were relatively common is consistent with Queensland policies regarding testing location during the pandemic. The majority of those diagnosed with COVID-19 in Queensland acquired the virus overseas and were likely in quarantine when symptoms became apparent.</w:t>
      </w:r>
      <w:r>
        <w:rPr>
          <w:vertAlign w:val="superscript"/>
        </w:rPr>
        <w:t>11</w:t>
      </w:r>
      <w:r>
        <w:t xml:space="preserve"> Emergency Departments were the first point of contact for these people. Even those not in quarantine were discouraged from entering GP clinics if they reported any COVID-19 related symptoms, and were instead referred to their nearest ED. This policy remained in place even after State and Commonwealth Governments established fever clinics which would have reduced the number of patients presenting to an ED. The only characteristic we examined that was associated with lower risk of presenting to an ED was living in an outer regional area, likely reflecting reduced access to an ED.</w:t>
      </w:r>
    </w:p>
    <w:p w14:paraId="071AC9E0" w14:textId="77777777" w:rsidR="00D6062B" w:rsidRDefault="00D6062B" w:rsidP="00324A83">
      <w:r>
        <w:t xml:space="preserve">Proportions of people diagnosed with COVID-19 experiencing adverse outcomes are likely to be dependent on </w:t>
      </w:r>
      <w:proofErr w:type="gramStart"/>
      <w:r>
        <w:t>a number of</w:t>
      </w:r>
      <w:proofErr w:type="gramEnd"/>
      <w:r>
        <w:t xml:space="preserve"> region-specific factors, including population profile, health system factors and the public health actions taken by individuals and Government. Furthermore, international comparisons with people diagnosed with COVID-19 in Queensland are difficult, given that most previous research examines outcomes among ED presentations and hospitalised COVID-19 patients and/or expresses outcomes as rates (rather than proportions).</w:t>
      </w:r>
      <w:r>
        <w:rPr>
          <w:vertAlign w:val="superscript"/>
        </w:rPr>
        <w:t>12,13</w:t>
      </w:r>
      <w:r>
        <w:t xml:space="preserve"> </w:t>
      </w:r>
    </w:p>
    <w:p w14:paraId="29BF46A1" w14:textId="77777777" w:rsidR="00D6062B" w:rsidRDefault="00D6062B" w:rsidP="00324A83">
      <w:r>
        <w:t>The associations between person characteristics and inpatient hospital admissions in the Queensland COVID-19 cohort were consistent with what is already known about adverse outcomes in people diagnosed with COVID-19. Previous research has found that increasing age, being a smoker and area-level deprivation are associated with adverse outcomes in people diagnosed with COVID-19 compared to other members of the population, as are chronic health conditions such as respiratory disease (excluding asthma), cardiovascular disease, diabetes, recent cancer and reduced kidney function.</w:t>
      </w:r>
      <w:r>
        <w:rPr>
          <w:vertAlign w:val="superscript"/>
        </w:rPr>
        <w:t>14,15</w:t>
      </w:r>
      <w:r>
        <w:t xml:space="preserve"> </w:t>
      </w:r>
    </w:p>
    <w:p w14:paraId="2A05676E" w14:textId="0B1F8CE1" w:rsidR="00D6062B" w:rsidRDefault="00D6062B" w:rsidP="00324A83">
      <w:r>
        <w:t xml:space="preserve">This project demonstrates the value of data linkage across health services to monitor outcomes and contribute to the international evidence on COVID-19. </w:t>
      </w:r>
      <w:proofErr w:type="spellStart"/>
      <w:r>
        <w:t>NoCS</w:t>
      </w:r>
      <w:proofErr w:type="spellEnd"/>
      <w:r>
        <w:t xml:space="preserve"> data, whilst valuable, is limited by incomplete data records, by the </w:t>
      </w:r>
      <w:r>
        <w:lastRenderedPageBreak/>
        <w:t xml:space="preserve">impracticability of collecting extra information such as comorbidities, and by the time needed for long-term follow-up. Queensland Health already has a wide array of established data sets which contain valuable and additional health care information. Linking </w:t>
      </w:r>
      <w:proofErr w:type="spellStart"/>
      <w:r>
        <w:t>NoCS</w:t>
      </w:r>
      <w:proofErr w:type="spellEnd"/>
      <w:r>
        <w:t xml:space="preserve"> data to additional data sources – </w:t>
      </w:r>
      <w:proofErr w:type="spellStart"/>
      <w:r>
        <w:t>hopsitalisations</w:t>
      </w:r>
      <w:proofErr w:type="spellEnd"/>
      <w:r>
        <w:t xml:space="preserve">, emergency department and death data – has enabled additional and complementary data for people with COVID-19 (including more complete outcome data), ultimately increasing the value of the </w:t>
      </w:r>
      <w:proofErr w:type="spellStart"/>
      <w:r>
        <w:t>NoCS</w:t>
      </w:r>
      <w:proofErr w:type="spellEnd"/>
      <w:r>
        <w:t xml:space="preserve"> data collected from case report forms. Furthermore, it has allowed for ascertainment of hospital-based and death outcomes for all people diagnosed with COVID-19, which has been limited in many international settings to only those admitted to hospital. Having established the resource, the ATHENA COVID-19 Study can now also be used a platform for monitoring longer-term outcomes. </w:t>
      </w:r>
      <w:proofErr w:type="gramStart"/>
      <w:r>
        <w:t>In order to</w:t>
      </w:r>
      <w:proofErr w:type="gramEnd"/>
      <w:r>
        <w:t xml:space="preserve"> both strengthen and increase the utility of existing notifiable disease surveillance systems against future pandemics, it would seem prudent to routinely establish the linkage capabilities between these different databases. </w:t>
      </w:r>
    </w:p>
    <w:p w14:paraId="2C5DB1BE" w14:textId="7604D665" w:rsidR="00D6062B" w:rsidRDefault="00D6062B" w:rsidP="00324A83">
      <w:r>
        <w:t xml:space="preserve">Nonetheless, our findings, particularly those regarding associations between pre-existing conditions and hospital outcomes, should be interpreted with data limitations in mind. Hospital data were limited to Queensland public hospitals. There were no Queensland COVID-19-related admissions to private hospitals in Queensland or to hospitals outside the state, and hence, ascertainment of hospital outcomes is likely complete. However, our measure of comorbidities based on hospital data (in the ten years prior to COVID-19 diagnosis) is likely incomplete, given some cohort members may have been admitted to private hospital or to a hospital outside Queensland in the relevant period. There may also be missing data due to linkage error. Consequently, prevalence of these conditions will be underestimated, which may or may not have affected RR estimates of the associations between chronic conditions and inpatient hospital admission. The sociodemographic and health characteristics included were limited to the data that were available; other information, including more detail on health conditions and information on medications, would have been useful. Discrepancies between the </w:t>
      </w:r>
      <w:proofErr w:type="spellStart"/>
      <w:r>
        <w:t>NoCS</w:t>
      </w:r>
      <w:proofErr w:type="spellEnd"/>
      <w:r>
        <w:t xml:space="preserve"> and QHAPDC data most likely reflect a combination of non-recorded data (</w:t>
      </w:r>
      <w:proofErr w:type="spellStart"/>
      <w:r>
        <w:t>NoCS</w:t>
      </w:r>
      <w:proofErr w:type="spellEnd"/>
      <w:r>
        <w:t>) and no hospital record available (QHAPDC). That 93%, rather than 100%, of COVID-19 patients had data linked to QHAPDC is likely due to the delay in virtual wards being set up. During this period, those patients who were asymptomatic or mildly ill would not have required admission to hospital and therefore would not have evidence of admitted data. Finally, reflecting the success that Queensland showed in curbing the pandemic, there were small numbers of COVID-19 cases in this study. This resulted in considerable uncertainty in estimates of association between characteristics and outcomes, limiting our ability to examine factors predicting hospital-based</w:t>
      </w:r>
      <w:r w:rsidR="006C720A">
        <w:t> </w:t>
      </w:r>
      <w:r>
        <w:t xml:space="preserve">outcomes. </w:t>
      </w:r>
    </w:p>
    <w:p w14:paraId="21788424" w14:textId="77777777" w:rsidR="00D6062B" w:rsidRDefault="00D6062B" w:rsidP="00324A83">
      <w:r>
        <w:t xml:space="preserve">The ATHENA COVID-19 Study is now an established resource. While Australia’s success managing the pandemic has ensured cases have remained low since the peak of the pandemic in Queensland in late March 2020, the ATHENA COVID-19 Study can be used for monitoring of COVID-19 outcomes should there be another wave or increased community transmission, as well as longer-term follow-up. Furthermore, the data could be aggregated with similar data from other Australian states and territories to increase their analytical power. </w:t>
      </w:r>
    </w:p>
    <w:p w14:paraId="277222CF" w14:textId="77777777" w:rsidR="00D6062B" w:rsidRPr="00324A83" w:rsidRDefault="00D6062B" w:rsidP="00324A83">
      <w:pPr>
        <w:pStyle w:val="Heading1"/>
      </w:pPr>
      <w:r w:rsidRPr="00324A83">
        <w:t xml:space="preserve">Acknowledgements </w:t>
      </w:r>
    </w:p>
    <w:p w14:paraId="60AE2ED9" w14:textId="77777777" w:rsidR="00D6062B" w:rsidRDefault="00D6062B" w:rsidP="00324A83">
      <w:r>
        <w:t xml:space="preserve">The ATHENA (Australians Together Health </w:t>
      </w:r>
      <w:proofErr w:type="spellStart"/>
      <w:r>
        <w:t>INitiAtive</w:t>
      </w:r>
      <w:proofErr w:type="spellEnd"/>
      <w:r>
        <w:t xml:space="preserve">) COVID-19 Project Team also includes (in alphabetical order): Emily Banks, Aaron Davies, Melissa Hagan, Amanda King, Brendan Neill, and Karen Thompson. We would also like to thank the Queensland Health Statistical Services Branch, and staff of the Epidemiology and Research Unit, Communicable Diseases Branch, Queensland Health for their invaluable assistance. </w:t>
      </w:r>
    </w:p>
    <w:p w14:paraId="69245C88" w14:textId="77777777" w:rsidR="00FD7EAA" w:rsidRDefault="00FD7EAA">
      <w:pPr>
        <w:rPr>
          <w:rFonts w:asciiTheme="majorHAnsi" w:eastAsiaTheme="majorEastAsia" w:hAnsiTheme="majorHAnsi" w:cstheme="majorBidi"/>
          <w:b/>
          <w:bCs/>
          <w:sz w:val="32"/>
          <w:szCs w:val="28"/>
        </w:rPr>
      </w:pPr>
      <w:r>
        <w:br w:type="page"/>
      </w:r>
    </w:p>
    <w:p w14:paraId="154817E5" w14:textId="3B989F4F" w:rsidR="00D6062B" w:rsidRPr="00324A83" w:rsidRDefault="00D6062B" w:rsidP="00324A83">
      <w:pPr>
        <w:pStyle w:val="Heading1"/>
      </w:pPr>
      <w:r w:rsidRPr="00324A83">
        <w:lastRenderedPageBreak/>
        <w:t xml:space="preserve">Funding </w:t>
      </w:r>
    </w:p>
    <w:p w14:paraId="09C97699" w14:textId="77777777" w:rsidR="00D6062B" w:rsidRDefault="00D6062B" w:rsidP="00324A83">
      <w:r>
        <w:t xml:space="preserve">This project was funded by Health Innovation, Investment and Research Office (HIIRO), Queensland Health. </w:t>
      </w:r>
    </w:p>
    <w:p w14:paraId="10D78D39" w14:textId="77777777" w:rsidR="00D6062B" w:rsidRPr="00324A83" w:rsidRDefault="00D6062B" w:rsidP="00324A83">
      <w:pPr>
        <w:pStyle w:val="Heading1"/>
      </w:pPr>
      <w:r w:rsidRPr="00324A83">
        <w:t xml:space="preserve">Author details </w:t>
      </w:r>
    </w:p>
    <w:p w14:paraId="38517BAE" w14:textId="3560DC12" w:rsidR="00D6062B" w:rsidRDefault="00D6062B" w:rsidP="00324A83">
      <w:r>
        <w:t>Dr Jennifer Welsh,</w:t>
      </w:r>
      <w:r>
        <w:rPr>
          <w:vertAlign w:val="superscript"/>
        </w:rPr>
        <w:t xml:space="preserve">1 </w:t>
      </w:r>
      <w:r w:rsidR="002D346F">
        <w:rPr>
          <w:vertAlign w:val="superscript"/>
        </w:rPr>
        <w:br/>
      </w:r>
      <w:r>
        <w:t>A/Prof. Rosemary J Korda,</w:t>
      </w:r>
      <w:r>
        <w:rPr>
          <w:vertAlign w:val="superscript"/>
        </w:rPr>
        <w:t xml:space="preserve">2 </w:t>
      </w:r>
      <w:r w:rsidR="002D346F">
        <w:rPr>
          <w:vertAlign w:val="superscript"/>
        </w:rPr>
        <w:br/>
      </w:r>
      <w:r>
        <w:t>Dr Ellie Paige,</w:t>
      </w:r>
      <w:r>
        <w:rPr>
          <w:vertAlign w:val="superscript"/>
        </w:rPr>
        <w:t xml:space="preserve">1 </w:t>
      </w:r>
      <w:r w:rsidR="002D346F">
        <w:rPr>
          <w:vertAlign w:val="superscript"/>
        </w:rPr>
        <w:br/>
      </w:r>
      <w:r>
        <w:t>Prof. Mark A Morgan,</w:t>
      </w:r>
      <w:r>
        <w:rPr>
          <w:vertAlign w:val="superscript"/>
        </w:rPr>
        <w:t>3</w:t>
      </w:r>
      <w:r>
        <w:t xml:space="preserve"> </w:t>
      </w:r>
      <w:r w:rsidR="002D346F">
        <w:br/>
      </w:r>
      <w:r>
        <w:t xml:space="preserve">Ms </w:t>
      </w:r>
      <w:proofErr w:type="spellStart"/>
      <w:r>
        <w:t>Hsei</w:t>
      </w:r>
      <w:proofErr w:type="spellEnd"/>
      <w:r>
        <w:t>-Di Law,</w:t>
      </w:r>
      <w:r>
        <w:rPr>
          <w:vertAlign w:val="superscript"/>
        </w:rPr>
        <w:t xml:space="preserve">1 </w:t>
      </w:r>
      <w:r w:rsidR="002D346F">
        <w:rPr>
          <w:vertAlign w:val="superscript"/>
        </w:rPr>
        <w:br/>
      </w:r>
      <w:r>
        <w:t>Prof. Tony Stanton,</w:t>
      </w:r>
      <w:r>
        <w:rPr>
          <w:vertAlign w:val="superscript"/>
        </w:rPr>
        <w:t xml:space="preserve">4 </w:t>
      </w:r>
      <w:r w:rsidR="002D346F">
        <w:rPr>
          <w:vertAlign w:val="superscript"/>
        </w:rPr>
        <w:br/>
      </w:r>
      <w:r>
        <w:t>Dr Zoltan MJ Bourne,</w:t>
      </w:r>
      <w:r>
        <w:rPr>
          <w:vertAlign w:val="superscript"/>
        </w:rPr>
        <w:t xml:space="preserve">5 </w:t>
      </w:r>
      <w:r w:rsidR="002D346F">
        <w:rPr>
          <w:vertAlign w:val="superscript"/>
        </w:rPr>
        <w:br/>
      </w:r>
      <w:r>
        <w:t>Dr M Ximena Tolosa,</w:t>
      </w:r>
      <w:r>
        <w:rPr>
          <w:vertAlign w:val="superscript"/>
        </w:rPr>
        <w:t xml:space="preserve">6 </w:t>
      </w:r>
      <w:r w:rsidR="002D346F">
        <w:rPr>
          <w:vertAlign w:val="superscript"/>
        </w:rPr>
        <w:br/>
      </w:r>
      <w:r>
        <w:t>Prof. Kim Greaves,</w:t>
      </w:r>
      <w:r>
        <w:rPr>
          <w:vertAlign w:val="superscript"/>
        </w:rPr>
        <w:t xml:space="preserve">2,7 </w:t>
      </w:r>
    </w:p>
    <w:p w14:paraId="29028FFD"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Research Fellow, Research School of Population Health, Australian National University, Canberra, Australian Capital Territory </w:t>
      </w:r>
    </w:p>
    <w:p w14:paraId="625AA537"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Senior Fellow, Research School of Population Health, Australian National University, Canberra, Australian Capital Territory </w:t>
      </w:r>
    </w:p>
    <w:p w14:paraId="4A8113AF"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Associate Dean, Professor of General Practice, Faculty of Science &amp; Medicine, Bond University, Robina, Gold Coast, Queensland </w:t>
      </w:r>
    </w:p>
    <w:p w14:paraId="54DCFF35"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Senior Staff Specialist, Cardiology, Sunshine Coast University Hospital, Queensland Health, Birtinya, Queensland </w:t>
      </w:r>
    </w:p>
    <w:p w14:paraId="3D377DE7"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Director, Medicine on Maple, Maleny, Queensland </w:t>
      </w:r>
    </w:p>
    <w:p w14:paraId="14E5E51B"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Senior Epidemiologist, Department of Health, Brisbane, Queensland </w:t>
      </w:r>
    </w:p>
    <w:p w14:paraId="5292FCA6" w14:textId="77777777" w:rsidR="00D6062B" w:rsidRPr="00324A83" w:rsidRDefault="00D6062B" w:rsidP="00324A83">
      <w:pPr>
        <w:pStyle w:val="ListParagraph"/>
        <w:numPr>
          <w:ilvl w:val="0"/>
          <w:numId w:val="9"/>
        </w:numPr>
        <w:rPr>
          <w:rFonts w:eastAsia="Times New Roman"/>
        </w:rPr>
      </w:pPr>
      <w:r w:rsidRPr="00324A83">
        <w:rPr>
          <w:rFonts w:eastAsia="Times New Roman"/>
        </w:rPr>
        <w:t xml:space="preserve">Senior Staff Specialist, Cardiologist, Principal Project Lead: The ATHENA COVID-19 Study, Sunshine Coast University Hospital, Birtinya, Queensland </w:t>
      </w:r>
    </w:p>
    <w:p w14:paraId="6BF33CDA" w14:textId="4D099F8E" w:rsidR="00D6062B" w:rsidRPr="00324A83" w:rsidRDefault="00D6062B" w:rsidP="00324A83">
      <w:pPr>
        <w:pStyle w:val="Heading1"/>
      </w:pPr>
      <w:r w:rsidRPr="00324A83">
        <w:t xml:space="preserve">Corresponding author </w:t>
      </w:r>
    </w:p>
    <w:p w14:paraId="6D725B26" w14:textId="4F01D2E7" w:rsidR="00D6062B" w:rsidRDefault="00D6062B" w:rsidP="00324A83">
      <w:r>
        <w:t xml:space="preserve">Professor Kim Greaves </w:t>
      </w:r>
      <w:r w:rsidR="002D346F">
        <w:br/>
      </w:r>
      <w:r>
        <w:t>Senior Staff Specialist, Cardiologist, Principal Project Lead: The ATHENA COVID-19 Study, Sunshine Coast University Hospital, Birtinya, Queensland</w:t>
      </w:r>
      <w:r w:rsidR="00783B9C">
        <w:br/>
        <w:t>Phone:</w:t>
      </w:r>
      <w:r>
        <w:t xml:space="preserve"> 07 52021063 </w:t>
      </w:r>
      <w:r w:rsidR="002D346F">
        <w:br/>
      </w:r>
      <w:r>
        <w:t>kim.greaves@health.qld.gov.au</w:t>
      </w:r>
    </w:p>
    <w:p w14:paraId="033C3026" w14:textId="77777777" w:rsidR="00ED5264" w:rsidRDefault="00ED5264">
      <w:pPr>
        <w:rPr>
          <w:rFonts w:asciiTheme="majorHAnsi" w:eastAsiaTheme="majorEastAsia" w:hAnsiTheme="majorHAnsi" w:cstheme="majorBidi"/>
          <w:b/>
          <w:bCs/>
          <w:sz w:val="32"/>
          <w:szCs w:val="28"/>
        </w:rPr>
      </w:pPr>
      <w:r>
        <w:br w:type="page"/>
      </w:r>
    </w:p>
    <w:p w14:paraId="571FA6A2" w14:textId="7EF47512" w:rsidR="00D6062B" w:rsidRPr="00A83E4D" w:rsidRDefault="00D6062B" w:rsidP="00A83E4D">
      <w:pPr>
        <w:pStyle w:val="Heading1"/>
      </w:pPr>
      <w:r w:rsidRPr="00A83E4D">
        <w:lastRenderedPageBreak/>
        <w:t xml:space="preserve">References </w:t>
      </w:r>
    </w:p>
    <w:p w14:paraId="744868FE"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Johns Hopkins Coronavirus Resource </w:t>
      </w:r>
      <w:proofErr w:type="spellStart"/>
      <w:r w:rsidRPr="00324A83">
        <w:rPr>
          <w:rFonts w:eastAsia="Times New Roman"/>
        </w:rPr>
        <w:t>Center</w:t>
      </w:r>
      <w:proofErr w:type="spellEnd"/>
      <w:r w:rsidRPr="00324A83">
        <w:rPr>
          <w:rFonts w:eastAsia="Times New Roman"/>
        </w:rPr>
        <w:t xml:space="preserve">. COVID-19 Dashboard by the </w:t>
      </w:r>
      <w:proofErr w:type="spellStart"/>
      <w:r w:rsidRPr="00324A83">
        <w:rPr>
          <w:rFonts w:eastAsia="Times New Roman"/>
        </w:rPr>
        <w:t>Center</w:t>
      </w:r>
      <w:proofErr w:type="spellEnd"/>
      <w:r w:rsidRPr="00324A83">
        <w:rPr>
          <w:rFonts w:eastAsia="Times New Roman"/>
        </w:rPr>
        <w:t xml:space="preserve"> for Systems Science and Engineering (CSSE) at Johns Hopkins University (JHU). [Website.] Baltimore: Johns Hopkins University; 2021. Available from: https://coronavirus.jhu.edu/map.html. </w:t>
      </w:r>
    </w:p>
    <w:p w14:paraId="18F0D7CE"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Australian Government Department of Health. Coronavirus (COVID-19) health alert. [Internet.] Canberra: Australian Government Department of Health; 2020. Available from: https://www.health.gov.au/news/health-alerts/novel-coronavirus-2019-ncov-health-alert. </w:t>
      </w:r>
    </w:p>
    <w:p w14:paraId="6A93B34E"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Park HY, Lee JH, Lim NK, Lim DS, Hong SO, Park MJ et al. Presenting characteristics and clinical outcome of patients with COVID-19 in South Korea: a nationwide retrospective observational study. </w:t>
      </w:r>
      <w:r w:rsidRPr="00222AE1">
        <w:rPr>
          <w:rStyle w:val="Emphasis"/>
          <w:rFonts w:eastAsia="Times New Roman"/>
          <w:b w:val="0"/>
          <w:bCs w:val="0"/>
        </w:rPr>
        <w:t>Lancet Reg Health West Pac</w:t>
      </w:r>
      <w:r w:rsidRPr="00324A83">
        <w:rPr>
          <w:rFonts w:eastAsia="Times New Roman"/>
        </w:rPr>
        <w:t xml:space="preserve">. 2020;5. </w:t>
      </w:r>
      <w:proofErr w:type="spellStart"/>
      <w:r w:rsidRPr="00324A83">
        <w:rPr>
          <w:rFonts w:eastAsia="Times New Roman"/>
        </w:rPr>
        <w:t>doi</w:t>
      </w:r>
      <w:proofErr w:type="spellEnd"/>
      <w:r w:rsidRPr="00324A83">
        <w:rPr>
          <w:rFonts w:eastAsia="Times New Roman"/>
        </w:rPr>
        <w:t xml:space="preserve">: https://doi.org/10.1016/j.lanwpc.2020.100061. </w:t>
      </w:r>
    </w:p>
    <w:p w14:paraId="3F529D63"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Burrell AJC, Pellegrini B, </w:t>
      </w:r>
      <w:proofErr w:type="spellStart"/>
      <w:r w:rsidRPr="00324A83">
        <w:rPr>
          <w:rFonts w:eastAsia="Times New Roman"/>
        </w:rPr>
        <w:t>Salimi</w:t>
      </w:r>
      <w:proofErr w:type="spellEnd"/>
      <w:r w:rsidRPr="00324A83">
        <w:rPr>
          <w:rFonts w:eastAsia="Times New Roman"/>
        </w:rPr>
        <w:t xml:space="preserve"> F, Begum H, </w:t>
      </w:r>
      <w:proofErr w:type="spellStart"/>
      <w:r w:rsidRPr="00324A83">
        <w:rPr>
          <w:rFonts w:eastAsia="Times New Roman"/>
        </w:rPr>
        <w:t>Broadley</w:t>
      </w:r>
      <w:proofErr w:type="spellEnd"/>
      <w:r w:rsidRPr="00324A83">
        <w:rPr>
          <w:rFonts w:eastAsia="Times New Roman"/>
        </w:rPr>
        <w:t xml:space="preserve"> T, Campbell LT et al. Outcomes for patients with COVID-19 admitted to Australian intensive care units during the first four months of the pandemic. </w:t>
      </w:r>
      <w:r w:rsidRPr="00222AE1">
        <w:rPr>
          <w:rStyle w:val="Emphasis"/>
          <w:rFonts w:eastAsia="Times New Roman"/>
          <w:b w:val="0"/>
          <w:bCs w:val="0"/>
        </w:rPr>
        <w:t>MJA</w:t>
      </w:r>
      <w:r w:rsidRPr="00324A83">
        <w:rPr>
          <w:rFonts w:eastAsia="Times New Roman"/>
        </w:rPr>
        <w:t xml:space="preserve">. 2021;214(1):23–30. </w:t>
      </w:r>
      <w:proofErr w:type="spellStart"/>
      <w:r w:rsidRPr="00324A83">
        <w:rPr>
          <w:rFonts w:eastAsia="Times New Roman"/>
        </w:rPr>
        <w:t>doi</w:t>
      </w:r>
      <w:proofErr w:type="spellEnd"/>
      <w:r w:rsidRPr="00324A83">
        <w:rPr>
          <w:rFonts w:eastAsia="Times New Roman"/>
        </w:rPr>
        <w:t xml:space="preserve">: https://doi.org/10.5694/mja2.50883. </w:t>
      </w:r>
    </w:p>
    <w:p w14:paraId="5F6CC7F0"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Liu B, Spokes P, Alfaro-Ramirez M, Ward K, Kaldor JM. Hospital outcomes after a COVID-19 diagnosis from January to May 2020 in New South Wales Australia. </w:t>
      </w:r>
      <w:proofErr w:type="spellStart"/>
      <w:r w:rsidRPr="00222AE1">
        <w:rPr>
          <w:rStyle w:val="Emphasis"/>
          <w:rFonts w:eastAsia="Times New Roman"/>
          <w:b w:val="0"/>
          <w:bCs w:val="0"/>
        </w:rPr>
        <w:t>Commun</w:t>
      </w:r>
      <w:proofErr w:type="spellEnd"/>
      <w:r w:rsidRPr="00222AE1">
        <w:rPr>
          <w:rStyle w:val="Emphasis"/>
          <w:rFonts w:eastAsia="Times New Roman"/>
          <w:b w:val="0"/>
          <w:bCs w:val="0"/>
        </w:rPr>
        <w:t xml:space="preserve"> Dis </w:t>
      </w:r>
      <w:proofErr w:type="spellStart"/>
      <w:r w:rsidRPr="00222AE1">
        <w:rPr>
          <w:rStyle w:val="Emphasis"/>
          <w:rFonts w:eastAsia="Times New Roman"/>
          <w:b w:val="0"/>
          <w:bCs w:val="0"/>
        </w:rPr>
        <w:t>Intell</w:t>
      </w:r>
      <w:proofErr w:type="spellEnd"/>
      <w:r w:rsidRPr="00222AE1">
        <w:rPr>
          <w:rStyle w:val="Emphasis"/>
          <w:rFonts w:eastAsia="Times New Roman"/>
          <w:b w:val="0"/>
          <w:bCs w:val="0"/>
        </w:rPr>
        <w:t xml:space="preserve"> (2018)</w:t>
      </w:r>
      <w:r w:rsidRPr="00324A83">
        <w:rPr>
          <w:rFonts w:eastAsia="Times New Roman"/>
        </w:rPr>
        <w:t xml:space="preserve">. 2020;44. </w:t>
      </w:r>
      <w:proofErr w:type="spellStart"/>
      <w:r w:rsidRPr="00324A83">
        <w:rPr>
          <w:rFonts w:eastAsia="Times New Roman"/>
        </w:rPr>
        <w:t>doi</w:t>
      </w:r>
      <w:proofErr w:type="spellEnd"/>
      <w:r w:rsidRPr="00324A83">
        <w:rPr>
          <w:rFonts w:eastAsia="Times New Roman"/>
        </w:rPr>
        <w:t xml:space="preserve">: http://doi.org/10.33321/cdi.2020.44.97. </w:t>
      </w:r>
    </w:p>
    <w:p w14:paraId="6B3F2E62"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Queensland Government Department of Health. </w:t>
      </w:r>
      <w:r w:rsidRPr="00222AE1">
        <w:rPr>
          <w:rStyle w:val="Emphasis"/>
          <w:rFonts w:eastAsia="Times New Roman"/>
          <w:b w:val="0"/>
          <w:bCs w:val="0"/>
        </w:rPr>
        <w:t>Queensland Data Linkage Framework</w:t>
      </w:r>
      <w:r w:rsidRPr="00324A83">
        <w:rPr>
          <w:rFonts w:eastAsia="Times New Roman"/>
        </w:rPr>
        <w:t xml:space="preserve">. Brisbane: Queensland Government Department of Health; 2017. Available from: https://www.health.qld.gov.au/__data/assets/pdf_file/0030/150798/qlddatalinkframework.pdf. </w:t>
      </w:r>
    </w:p>
    <w:p w14:paraId="71E34A87"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Australian Government Department of Health. Accessibility Remoteness Index of Australia (ARIA) Review Analysis of Areas of Concern–Final Report. [Internet.] Canberra: Australian Government Department of Health; 7 November 2011. Available from: https://www1.health.gov.au/internet/publications/publishing.nsf/Content/ARIA-Review-Report-2011. </w:t>
      </w:r>
    </w:p>
    <w:p w14:paraId="37AF10A8"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Australian Bureau of Statistics. 2033.0.55.001 – Census of Population and Housing: Socio-Economic Indexes for Areas (SEIFA), Australia, 2016. [Internet.] Canberra: Australian Bureau of Statistics; 27 March 2018. Available from: https://www.abs.gov.au/ausstats/abs@.nsf/mf/2033.0.55.001. </w:t>
      </w:r>
    </w:p>
    <w:p w14:paraId="521EE15C" w14:textId="77777777" w:rsidR="00D6062B" w:rsidRPr="00324A83" w:rsidRDefault="00D6062B" w:rsidP="00324A83">
      <w:pPr>
        <w:pStyle w:val="ListParagraph"/>
        <w:numPr>
          <w:ilvl w:val="0"/>
          <w:numId w:val="10"/>
        </w:numPr>
        <w:rPr>
          <w:rFonts w:eastAsia="Times New Roman"/>
        </w:rPr>
      </w:pPr>
      <w:proofErr w:type="spellStart"/>
      <w:r w:rsidRPr="00324A83">
        <w:rPr>
          <w:rFonts w:eastAsia="Times New Roman"/>
        </w:rPr>
        <w:t>Elixhauser</w:t>
      </w:r>
      <w:proofErr w:type="spellEnd"/>
      <w:r w:rsidRPr="00324A83">
        <w:rPr>
          <w:rFonts w:eastAsia="Times New Roman"/>
        </w:rPr>
        <w:t xml:space="preserve"> A, Steiner C, Harris DR, Coffey RM. Comorbidity measures for use with administrative data. </w:t>
      </w:r>
      <w:r w:rsidRPr="00222AE1">
        <w:rPr>
          <w:rStyle w:val="Emphasis"/>
          <w:rFonts w:eastAsia="Times New Roman"/>
          <w:b w:val="0"/>
          <w:bCs w:val="0"/>
        </w:rPr>
        <w:t>Med Care</w:t>
      </w:r>
      <w:r w:rsidRPr="00324A83">
        <w:rPr>
          <w:rFonts w:eastAsia="Times New Roman"/>
        </w:rPr>
        <w:t xml:space="preserve">. 1998;36(1):8–27. </w:t>
      </w:r>
    </w:p>
    <w:p w14:paraId="05B86895" w14:textId="77777777" w:rsidR="00D6062B" w:rsidRPr="00324A83" w:rsidRDefault="00D6062B" w:rsidP="00324A83">
      <w:pPr>
        <w:pStyle w:val="ListParagraph"/>
        <w:numPr>
          <w:ilvl w:val="0"/>
          <w:numId w:val="10"/>
        </w:numPr>
        <w:rPr>
          <w:rFonts w:eastAsia="Times New Roman"/>
        </w:rPr>
      </w:pPr>
      <w:proofErr w:type="spellStart"/>
      <w:r w:rsidRPr="00324A83">
        <w:rPr>
          <w:rFonts w:eastAsia="Times New Roman"/>
        </w:rPr>
        <w:t>Joshy</w:t>
      </w:r>
      <w:proofErr w:type="spellEnd"/>
      <w:r w:rsidRPr="00324A83">
        <w:rPr>
          <w:rFonts w:eastAsia="Times New Roman"/>
        </w:rPr>
        <w:t xml:space="preserve"> G, </w:t>
      </w:r>
      <w:proofErr w:type="spellStart"/>
      <w:r w:rsidRPr="00324A83">
        <w:rPr>
          <w:rFonts w:eastAsia="Times New Roman"/>
        </w:rPr>
        <w:t>Korda</w:t>
      </w:r>
      <w:proofErr w:type="spellEnd"/>
      <w:r w:rsidRPr="00324A83">
        <w:rPr>
          <w:rFonts w:eastAsia="Times New Roman"/>
        </w:rPr>
        <w:t xml:space="preserve"> RJ, </w:t>
      </w:r>
      <w:proofErr w:type="spellStart"/>
      <w:r w:rsidRPr="00324A83">
        <w:rPr>
          <w:rFonts w:eastAsia="Times New Roman"/>
        </w:rPr>
        <w:t>Abhayaratna</w:t>
      </w:r>
      <w:proofErr w:type="spellEnd"/>
      <w:r w:rsidRPr="00324A83">
        <w:rPr>
          <w:rFonts w:eastAsia="Times New Roman"/>
        </w:rPr>
        <w:t xml:space="preserve"> WP, Soga K, Banks E. Categorising major cardiovascular disease hospitalisations from routinely collected data. </w:t>
      </w:r>
      <w:r w:rsidRPr="00222AE1">
        <w:rPr>
          <w:rStyle w:val="Emphasis"/>
          <w:rFonts w:eastAsia="Times New Roman"/>
          <w:b w:val="0"/>
          <w:bCs w:val="0"/>
        </w:rPr>
        <w:t xml:space="preserve">Public Health Res </w:t>
      </w:r>
      <w:proofErr w:type="spellStart"/>
      <w:r w:rsidRPr="00222AE1">
        <w:rPr>
          <w:rStyle w:val="Emphasis"/>
          <w:rFonts w:eastAsia="Times New Roman"/>
          <w:b w:val="0"/>
          <w:bCs w:val="0"/>
        </w:rPr>
        <w:t>Pract</w:t>
      </w:r>
      <w:proofErr w:type="spellEnd"/>
      <w:r w:rsidRPr="00324A83">
        <w:rPr>
          <w:rFonts w:eastAsia="Times New Roman"/>
        </w:rPr>
        <w:t>. 2015;25(3</w:t>
      </w:r>
      <w:proofErr w:type="gramStart"/>
      <w:r w:rsidRPr="00324A83">
        <w:rPr>
          <w:rFonts w:eastAsia="Times New Roman"/>
        </w:rPr>
        <w:t>):e</w:t>
      </w:r>
      <w:proofErr w:type="gramEnd"/>
      <w:r w:rsidRPr="00324A83">
        <w:rPr>
          <w:rFonts w:eastAsia="Times New Roman"/>
        </w:rPr>
        <w:t xml:space="preserve">2531532. </w:t>
      </w:r>
      <w:proofErr w:type="spellStart"/>
      <w:r w:rsidRPr="00324A83">
        <w:rPr>
          <w:rFonts w:eastAsia="Times New Roman"/>
        </w:rPr>
        <w:t>doi</w:t>
      </w:r>
      <w:proofErr w:type="spellEnd"/>
      <w:r w:rsidRPr="00324A83">
        <w:rPr>
          <w:rFonts w:eastAsia="Times New Roman"/>
        </w:rPr>
        <w:t xml:space="preserve">: http://dx.doi.org/10.17061/phrp2531532. </w:t>
      </w:r>
    </w:p>
    <w:p w14:paraId="0E90CDA9"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Queensland Government. Queensland COVID-19 statistics: likely source of infection. [Internet.] Brisbane: Queensland Government; 2020. [Accessed on 30 October 2020.] Available from: https://www.qld.gov.au/health/conditions/health-alerts/coronavirus-covid-19/current-status/statistics#casebysource. </w:t>
      </w:r>
    </w:p>
    <w:p w14:paraId="642E8257"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European Centre for Disease Prevention and Control (ECDC). Risk factors and risk groups. [Internet.] Solna: ECDC; 16 November 2020. Available from: https://www.ecdc.europa.eu/en/covid-19/latest-evidence/epidemiology. </w:t>
      </w:r>
    </w:p>
    <w:p w14:paraId="674B3B6A" w14:textId="77777777" w:rsidR="00D6062B" w:rsidRPr="00324A83" w:rsidRDefault="00D6062B" w:rsidP="00324A83">
      <w:pPr>
        <w:pStyle w:val="ListParagraph"/>
        <w:numPr>
          <w:ilvl w:val="0"/>
          <w:numId w:val="10"/>
        </w:numPr>
        <w:rPr>
          <w:rFonts w:eastAsia="Times New Roman"/>
        </w:rPr>
      </w:pPr>
      <w:proofErr w:type="spellStart"/>
      <w:r w:rsidRPr="00324A83">
        <w:rPr>
          <w:rFonts w:eastAsia="Times New Roman"/>
        </w:rPr>
        <w:t>Centers</w:t>
      </w:r>
      <w:proofErr w:type="spellEnd"/>
      <w:r w:rsidRPr="00324A83">
        <w:rPr>
          <w:rFonts w:eastAsia="Times New Roman"/>
        </w:rPr>
        <w:t xml:space="preserve"> for Disease Control and Prevention (CDC). Key Updates for Week 49, ending December 5, 2020. [Internet.] Atlanta: United States Government Department of Health and Human Services, CDC; 11 December 2020. Available from: https://www.cdc.gov/coronavirus/2019-ncov/covid-data/covidview/past-reports/12112020.html. </w:t>
      </w:r>
    </w:p>
    <w:p w14:paraId="4C333C5B" w14:textId="77777777" w:rsidR="00D6062B" w:rsidRPr="00324A83" w:rsidRDefault="00D6062B" w:rsidP="00324A83">
      <w:pPr>
        <w:pStyle w:val="ListParagraph"/>
        <w:numPr>
          <w:ilvl w:val="0"/>
          <w:numId w:val="10"/>
        </w:numPr>
        <w:rPr>
          <w:rFonts w:eastAsia="Times New Roman"/>
        </w:rPr>
      </w:pPr>
      <w:r w:rsidRPr="00324A83">
        <w:rPr>
          <w:rFonts w:eastAsia="Times New Roman"/>
        </w:rPr>
        <w:t xml:space="preserve">Williamson EJ, Walker AJ, </w:t>
      </w:r>
      <w:proofErr w:type="spellStart"/>
      <w:r w:rsidRPr="00324A83">
        <w:rPr>
          <w:rFonts w:eastAsia="Times New Roman"/>
        </w:rPr>
        <w:t>Bhaskaran</w:t>
      </w:r>
      <w:proofErr w:type="spellEnd"/>
      <w:r w:rsidRPr="00324A83">
        <w:rPr>
          <w:rFonts w:eastAsia="Times New Roman"/>
        </w:rPr>
        <w:t xml:space="preserve"> K, Bacon S, Bates C, Morton CE et al. Factors associated with COVID-19-related death using </w:t>
      </w:r>
      <w:proofErr w:type="spellStart"/>
      <w:r w:rsidRPr="00324A83">
        <w:rPr>
          <w:rFonts w:eastAsia="Times New Roman"/>
        </w:rPr>
        <w:t>OpenSAFELY</w:t>
      </w:r>
      <w:proofErr w:type="spellEnd"/>
      <w:r w:rsidRPr="00324A83">
        <w:rPr>
          <w:rFonts w:eastAsia="Times New Roman"/>
        </w:rPr>
        <w:t xml:space="preserve">. </w:t>
      </w:r>
      <w:r w:rsidRPr="00222AE1">
        <w:rPr>
          <w:rStyle w:val="Emphasis"/>
          <w:rFonts w:eastAsia="Times New Roman"/>
          <w:b w:val="0"/>
          <w:bCs w:val="0"/>
        </w:rPr>
        <w:t>Nature</w:t>
      </w:r>
      <w:r w:rsidRPr="00324A83">
        <w:rPr>
          <w:rFonts w:eastAsia="Times New Roman"/>
        </w:rPr>
        <w:t xml:space="preserve">. 2020;584(7821):430–6. </w:t>
      </w:r>
      <w:proofErr w:type="spellStart"/>
      <w:r w:rsidRPr="00324A83">
        <w:rPr>
          <w:rFonts w:eastAsia="Times New Roman"/>
        </w:rPr>
        <w:t>doi</w:t>
      </w:r>
      <w:proofErr w:type="spellEnd"/>
      <w:r w:rsidRPr="00324A83">
        <w:rPr>
          <w:rFonts w:eastAsia="Times New Roman"/>
        </w:rPr>
        <w:t xml:space="preserve">: https://doi.org/10.1038/s41586-020-2521-4. </w:t>
      </w:r>
    </w:p>
    <w:p w14:paraId="649F49A5" w14:textId="77777777" w:rsidR="00D6062B" w:rsidRPr="00324A83" w:rsidRDefault="00D6062B" w:rsidP="00324A83">
      <w:pPr>
        <w:pStyle w:val="ListParagraph"/>
        <w:numPr>
          <w:ilvl w:val="0"/>
          <w:numId w:val="10"/>
        </w:numPr>
        <w:rPr>
          <w:rFonts w:eastAsia="Times New Roman"/>
        </w:rPr>
      </w:pPr>
      <w:r w:rsidRPr="00324A83">
        <w:rPr>
          <w:rFonts w:eastAsia="Times New Roman"/>
        </w:rPr>
        <w:lastRenderedPageBreak/>
        <w:t>Harrison SL, Fazio-</w:t>
      </w:r>
      <w:proofErr w:type="spellStart"/>
      <w:r w:rsidRPr="00324A83">
        <w:rPr>
          <w:rFonts w:eastAsia="Times New Roman"/>
        </w:rPr>
        <w:t>Eynullayeva</w:t>
      </w:r>
      <w:proofErr w:type="spellEnd"/>
      <w:r w:rsidRPr="00324A83">
        <w:rPr>
          <w:rFonts w:eastAsia="Times New Roman"/>
        </w:rPr>
        <w:t xml:space="preserve"> E, Lane DA, Underhill P, Lip GYH. Comorbidities associated with mortality in 31,461 adults with COVID-19 in the United States: A federated electronic medical record analysis. </w:t>
      </w:r>
      <w:proofErr w:type="spellStart"/>
      <w:r w:rsidRPr="00222AE1">
        <w:rPr>
          <w:rStyle w:val="Emphasis"/>
          <w:rFonts w:eastAsia="Times New Roman"/>
          <w:b w:val="0"/>
          <w:bCs w:val="0"/>
        </w:rPr>
        <w:t>PLoS</w:t>
      </w:r>
      <w:proofErr w:type="spellEnd"/>
      <w:r w:rsidRPr="00222AE1">
        <w:rPr>
          <w:rStyle w:val="Emphasis"/>
          <w:rFonts w:eastAsia="Times New Roman"/>
          <w:b w:val="0"/>
          <w:bCs w:val="0"/>
        </w:rPr>
        <w:t xml:space="preserve"> Med</w:t>
      </w:r>
      <w:r w:rsidRPr="00324A83">
        <w:rPr>
          <w:rFonts w:eastAsia="Times New Roman"/>
        </w:rPr>
        <w:t>. 2020;17(9</w:t>
      </w:r>
      <w:proofErr w:type="gramStart"/>
      <w:r w:rsidRPr="00324A83">
        <w:rPr>
          <w:rFonts w:eastAsia="Times New Roman"/>
        </w:rPr>
        <w:t>):e</w:t>
      </w:r>
      <w:proofErr w:type="gramEnd"/>
      <w:r w:rsidRPr="00324A83">
        <w:rPr>
          <w:rFonts w:eastAsia="Times New Roman"/>
        </w:rPr>
        <w:t xml:space="preserve">1003321. </w:t>
      </w:r>
      <w:proofErr w:type="spellStart"/>
      <w:r w:rsidRPr="00324A83">
        <w:rPr>
          <w:rFonts w:eastAsia="Times New Roman"/>
        </w:rPr>
        <w:t>doi</w:t>
      </w:r>
      <w:proofErr w:type="spellEnd"/>
      <w:r w:rsidRPr="00324A83">
        <w:rPr>
          <w:rFonts w:eastAsia="Times New Roman"/>
        </w:rPr>
        <w:t>: https://doi.org/10.1371/journal.pmed.1003321.</w:t>
      </w:r>
    </w:p>
    <w:p w14:paraId="5599DF98" w14:textId="1404BA7E" w:rsidR="00FA40A3" w:rsidRDefault="00D6062B" w:rsidP="00324A83">
      <w:pPr>
        <w:pStyle w:val="Heading1"/>
      </w:pPr>
      <w:r w:rsidRPr="00324A83">
        <w:t>Appendix A: Supplementary tables</w:t>
      </w:r>
    </w:p>
    <w:p w14:paraId="0B23BEE3" w14:textId="77777777" w:rsidR="00FA40A3" w:rsidRPr="00A54AB2" w:rsidRDefault="00FA40A3" w:rsidP="00FA40A3">
      <w:pPr>
        <w:pStyle w:val="CDIFigures"/>
      </w:pPr>
      <w:r w:rsidRPr="00A54AB2">
        <w:rPr>
          <w:rStyle w:val="Strong"/>
          <w:b/>
          <w:bCs w:val="0"/>
        </w:rPr>
        <w:t>Table A.1: Number of cases with onset date before 1 November 2020 reported as being hospitalised in the Notifiable Conditions System data (</w:t>
      </w:r>
      <w:proofErr w:type="spellStart"/>
      <w:r w:rsidRPr="00A54AB2">
        <w:rPr>
          <w:rStyle w:val="Strong"/>
          <w:b/>
          <w:bCs w:val="0"/>
        </w:rPr>
        <w:t>NoCS</w:t>
      </w:r>
      <w:proofErr w:type="spellEnd"/>
      <w:r w:rsidRPr="00A54AB2">
        <w:rPr>
          <w:rStyle w:val="Strong"/>
          <w:b/>
          <w:bCs w:val="0"/>
        </w:rPr>
        <w:t xml:space="preserve">) and the linked data from Queensland Health Admitted Patient Data Collection (QHAPDC)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For the 1182 cases with an onset date between 1st Jan - 1st Nov 2020, 714 had a home-based hospital admission and 250 had an inpatient hospital admission recorded in the QHAPDC data. In the NoCs data, 337 cases were recorded as being hospitalized."/>
      </w:tblPr>
      <w:tblGrid>
        <w:gridCol w:w="1041"/>
        <w:gridCol w:w="1571"/>
        <w:gridCol w:w="1957"/>
        <w:gridCol w:w="1957"/>
        <w:gridCol w:w="1957"/>
        <w:gridCol w:w="1957"/>
      </w:tblGrid>
      <w:tr w:rsidR="00FA40A3" w:rsidRPr="005F0420" w14:paraId="45BF55EA"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55EB6D2" w14:textId="77777777" w:rsidR="00FA40A3" w:rsidRPr="005F0420" w:rsidRDefault="00FA40A3" w:rsidP="00AF632F">
            <w:pPr>
              <w:rPr>
                <w:color w:val="FFFFFF" w:themeColor="background1"/>
                <w:lang w:val="en-GB"/>
              </w:rPr>
            </w:pPr>
          </w:p>
        </w:tc>
        <w:tc>
          <w:tcPr>
            <w:tcW w:w="0" w:type="auto"/>
            <w:tcBorders>
              <w:right w:val="single" w:sz="2" w:space="0" w:color="FFFFFF" w:themeColor="background1"/>
            </w:tcBorders>
            <w:hideMark/>
          </w:tcPr>
          <w:p w14:paraId="4D988482" w14:textId="77777777" w:rsidR="00FA40A3" w:rsidRPr="005F0420" w:rsidRDefault="00FA40A3" w:rsidP="00AF632F">
            <w:pPr>
              <w:jc w:val="center"/>
              <w:rPr>
                <w:rFonts w:eastAsia="Times New Roman"/>
                <w:color w:val="FFFFFF" w:themeColor="background1"/>
                <w:sz w:val="20"/>
                <w:szCs w:val="20"/>
              </w:rPr>
            </w:pPr>
          </w:p>
        </w:tc>
        <w:tc>
          <w:tcPr>
            <w:tcW w:w="7828" w:type="dxa"/>
            <w:gridSpan w:val="4"/>
            <w:tcBorders>
              <w:left w:val="single" w:sz="2" w:space="0" w:color="FFFFFF" w:themeColor="background1"/>
              <w:bottom w:val="single" w:sz="2" w:space="0" w:color="FFFFFF" w:themeColor="background1"/>
            </w:tcBorders>
            <w:hideMark/>
          </w:tcPr>
          <w:p w14:paraId="6F20508E" w14:textId="77777777" w:rsidR="00FA40A3" w:rsidRPr="005F0420" w:rsidRDefault="00FA40A3" w:rsidP="00AF632F">
            <w:pPr>
              <w:pStyle w:val="NormalWeb"/>
              <w:jc w:val="center"/>
              <w:rPr>
                <w:color w:val="FFFFFF" w:themeColor="background1"/>
                <w:sz w:val="24"/>
                <w:szCs w:val="24"/>
              </w:rPr>
            </w:pPr>
            <w:r w:rsidRPr="005F0420">
              <w:rPr>
                <w:color w:val="FFFFFF" w:themeColor="background1"/>
              </w:rPr>
              <w:t>QHAPDC data</w:t>
            </w:r>
          </w:p>
        </w:tc>
      </w:tr>
      <w:tr w:rsidR="00FA40A3" w:rsidRPr="005F0420" w14:paraId="7F5B5434"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auto"/>
            </w:tcBorders>
            <w:hideMark/>
          </w:tcPr>
          <w:p w14:paraId="584FD570" w14:textId="77777777" w:rsidR="00FA40A3" w:rsidRPr="005F0420" w:rsidRDefault="00FA40A3" w:rsidP="00AF632F">
            <w:pPr>
              <w:rPr>
                <w:color w:val="FFFFFF" w:themeColor="background1"/>
              </w:rPr>
            </w:pPr>
          </w:p>
        </w:tc>
        <w:tc>
          <w:tcPr>
            <w:tcW w:w="0" w:type="auto"/>
            <w:tcBorders>
              <w:bottom w:val="single" w:sz="2" w:space="0" w:color="auto"/>
              <w:right w:val="single" w:sz="2" w:space="0" w:color="FFFFFF" w:themeColor="background1"/>
            </w:tcBorders>
            <w:hideMark/>
          </w:tcPr>
          <w:p w14:paraId="09BC04F4" w14:textId="77777777" w:rsidR="00FA40A3" w:rsidRPr="005F0420" w:rsidRDefault="00FA40A3" w:rsidP="00AF632F">
            <w:pPr>
              <w:jc w:val="center"/>
              <w:rPr>
                <w:rFonts w:eastAsia="Times New Roman"/>
                <w:color w:val="FFFFFF" w:themeColor="background1"/>
                <w:sz w:val="20"/>
                <w:szCs w:val="20"/>
              </w:rPr>
            </w:pPr>
          </w:p>
        </w:tc>
        <w:tc>
          <w:tcPr>
            <w:tcW w:w="1957" w:type="dxa"/>
            <w:tcBorders>
              <w:top w:val="single" w:sz="2" w:space="0" w:color="FFFFFF" w:themeColor="background1"/>
              <w:left w:val="single" w:sz="2" w:space="0" w:color="FFFFFF" w:themeColor="background1"/>
              <w:bottom w:val="single" w:sz="2" w:space="0" w:color="auto"/>
            </w:tcBorders>
            <w:hideMark/>
          </w:tcPr>
          <w:p w14:paraId="0D16C143" w14:textId="77777777" w:rsidR="00FA40A3" w:rsidRPr="005F0420" w:rsidRDefault="00FA40A3" w:rsidP="00AF632F">
            <w:pPr>
              <w:pStyle w:val="NormalWeb"/>
              <w:jc w:val="center"/>
              <w:rPr>
                <w:color w:val="FFFFFF" w:themeColor="background1"/>
                <w:sz w:val="24"/>
                <w:szCs w:val="24"/>
              </w:rPr>
            </w:pPr>
            <w:r w:rsidRPr="005F0420">
              <w:rPr>
                <w:color w:val="FFFFFF" w:themeColor="background1"/>
              </w:rPr>
              <w:t>No hospital record</w:t>
            </w:r>
          </w:p>
        </w:tc>
        <w:tc>
          <w:tcPr>
            <w:tcW w:w="1957" w:type="dxa"/>
            <w:tcBorders>
              <w:top w:val="single" w:sz="2" w:space="0" w:color="FFFFFF" w:themeColor="background1"/>
              <w:bottom w:val="single" w:sz="2" w:space="0" w:color="auto"/>
            </w:tcBorders>
            <w:hideMark/>
          </w:tcPr>
          <w:p w14:paraId="3D00D8CB" w14:textId="77777777" w:rsidR="00FA40A3" w:rsidRPr="005F0420" w:rsidRDefault="00FA40A3" w:rsidP="00AF632F">
            <w:pPr>
              <w:pStyle w:val="NormalWeb"/>
              <w:jc w:val="center"/>
              <w:rPr>
                <w:color w:val="FFFFFF" w:themeColor="background1"/>
              </w:rPr>
            </w:pPr>
            <w:r w:rsidRPr="005F0420">
              <w:rPr>
                <w:color w:val="FFFFFF" w:themeColor="background1"/>
              </w:rPr>
              <w:t>Home-based admission</w:t>
            </w:r>
          </w:p>
        </w:tc>
        <w:tc>
          <w:tcPr>
            <w:tcW w:w="1957" w:type="dxa"/>
            <w:tcBorders>
              <w:top w:val="single" w:sz="2" w:space="0" w:color="FFFFFF" w:themeColor="background1"/>
              <w:bottom w:val="single" w:sz="2" w:space="0" w:color="auto"/>
            </w:tcBorders>
            <w:hideMark/>
          </w:tcPr>
          <w:p w14:paraId="6489B916" w14:textId="77777777" w:rsidR="00FA40A3" w:rsidRPr="005F0420" w:rsidRDefault="00FA40A3" w:rsidP="00AF632F">
            <w:pPr>
              <w:pStyle w:val="NormalWeb"/>
              <w:jc w:val="center"/>
              <w:rPr>
                <w:color w:val="FFFFFF" w:themeColor="background1"/>
              </w:rPr>
            </w:pPr>
            <w:r w:rsidRPr="005F0420">
              <w:rPr>
                <w:color w:val="FFFFFF" w:themeColor="background1"/>
              </w:rPr>
              <w:t>Inpatient hospital admission</w:t>
            </w:r>
          </w:p>
        </w:tc>
        <w:tc>
          <w:tcPr>
            <w:tcW w:w="1957" w:type="dxa"/>
            <w:tcBorders>
              <w:top w:val="single" w:sz="2" w:space="0" w:color="FFFFFF" w:themeColor="background1"/>
              <w:bottom w:val="single" w:sz="2" w:space="0" w:color="auto"/>
            </w:tcBorders>
            <w:hideMark/>
          </w:tcPr>
          <w:p w14:paraId="128E7CED" w14:textId="77777777" w:rsidR="00FA40A3" w:rsidRPr="005F0420" w:rsidRDefault="00FA40A3" w:rsidP="00AF632F">
            <w:pPr>
              <w:pStyle w:val="NormalWeb"/>
              <w:jc w:val="center"/>
              <w:rPr>
                <w:color w:val="FFFFFF" w:themeColor="background1"/>
              </w:rPr>
            </w:pPr>
            <w:r w:rsidRPr="005F0420">
              <w:rPr>
                <w:color w:val="FFFFFF" w:themeColor="background1"/>
              </w:rPr>
              <w:t>Total</w:t>
            </w:r>
          </w:p>
        </w:tc>
      </w:tr>
      <w:tr w:rsidR="00FA40A3" w14:paraId="68FFE1C3" w14:textId="77777777" w:rsidTr="00AF632F">
        <w:tc>
          <w:tcPr>
            <w:tcW w:w="0" w:type="auto"/>
            <w:vMerge w:val="restart"/>
            <w:tcBorders>
              <w:top w:val="single" w:sz="2" w:space="0" w:color="auto"/>
              <w:left w:val="single" w:sz="2" w:space="0" w:color="808080" w:themeColor="background1" w:themeShade="80"/>
              <w:right w:val="single" w:sz="2" w:space="0" w:color="808080" w:themeColor="background1" w:themeShade="80"/>
            </w:tcBorders>
            <w:shd w:val="clear" w:color="auto" w:fill="auto"/>
            <w:vAlign w:val="center"/>
            <w:hideMark/>
          </w:tcPr>
          <w:p w14:paraId="6DBA535D" w14:textId="77777777" w:rsidR="00FA40A3" w:rsidRDefault="00FA40A3" w:rsidP="00AF632F">
            <w:pPr>
              <w:pStyle w:val="NormalWeb"/>
            </w:pPr>
            <w:proofErr w:type="spellStart"/>
            <w:r>
              <w:t>NoCS</w:t>
            </w:r>
            <w:proofErr w:type="spellEnd"/>
            <w:r>
              <w:t xml:space="preserve"> data</w:t>
            </w:r>
          </w:p>
        </w:tc>
        <w:tc>
          <w:tcPr>
            <w:tcW w:w="0" w:type="auto"/>
            <w:tcBorders>
              <w:top w:val="single" w:sz="2" w:space="0" w:color="auto"/>
              <w:left w:val="single" w:sz="2" w:space="0" w:color="808080" w:themeColor="background1" w:themeShade="80"/>
            </w:tcBorders>
            <w:shd w:val="clear" w:color="auto" w:fill="auto"/>
            <w:hideMark/>
          </w:tcPr>
          <w:p w14:paraId="201CF605" w14:textId="77777777" w:rsidR="00FA40A3" w:rsidRDefault="00FA40A3" w:rsidP="00AF632F">
            <w:pPr>
              <w:pStyle w:val="NormalWeb"/>
              <w:jc w:val="center"/>
            </w:pPr>
            <w:r>
              <w:t>Not hospitalised</w:t>
            </w:r>
          </w:p>
        </w:tc>
        <w:tc>
          <w:tcPr>
            <w:tcW w:w="1957" w:type="dxa"/>
            <w:tcBorders>
              <w:top w:val="single" w:sz="2" w:space="0" w:color="auto"/>
            </w:tcBorders>
            <w:shd w:val="clear" w:color="auto" w:fill="auto"/>
            <w:hideMark/>
          </w:tcPr>
          <w:p w14:paraId="1216F290" w14:textId="77777777" w:rsidR="00FA40A3" w:rsidRDefault="00FA40A3" w:rsidP="00AF632F">
            <w:pPr>
              <w:pStyle w:val="NormalWeb"/>
              <w:jc w:val="center"/>
            </w:pPr>
            <w:r>
              <w:t>194</w:t>
            </w:r>
          </w:p>
        </w:tc>
        <w:tc>
          <w:tcPr>
            <w:tcW w:w="1957" w:type="dxa"/>
            <w:tcBorders>
              <w:top w:val="single" w:sz="2" w:space="0" w:color="auto"/>
            </w:tcBorders>
            <w:shd w:val="clear" w:color="auto" w:fill="auto"/>
            <w:hideMark/>
          </w:tcPr>
          <w:p w14:paraId="15644280" w14:textId="77777777" w:rsidR="00FA40A3" w:rsidRDefault="00FA40A3" w:rsidP="00AF632F">
            <w:pPr>
              <w:pStyle w:val="NormalWeb"/>
              <w:jc w:val="center"/>
            </w:pPr>
            <w:r>
              <w:t>500</w:t>
            </w:r>
          </w:p>
        </w:tc>
        <w:tc>
          <w:tcPr>
            <w:tcW w:w="1957" w:type="dxa"/>
            <w:tcBorders>
              <w:top w:val="single" w:sz="2" w:space="0" w:color="auto"/>
            </w:tcBorders>
            <w:shd w:val="clear" w:color="auto" w:fill="auto"/>
            <w:hideMark/>
          </w:tcPr>
          <w:p w14:paraId="4257E737" w14:textId="77777777" w:rsidR="00FA40A3" w:rsidRDefault="00FA40A3" w:rsidP="00AF632F">
            <w:pPr>
              <w:pStyle w:val="NormalWeb"/>
              <w:jc w:val="center"/>
            </w:pPr>
            <w:r>
              <w:t>58</w:t>
            </w:r>
          </w:p>
        </w:tc>
        <w:tc>
          <w:tcPr>
            <w:tcW w:w="1957" w:type="dxa"/>
            <w:tcBorders>
              <w:top w:val="single" w:sz="2" w:space="0" w:color="auto"/>
              <w:right w:val="single" w:sz="2" w:space="0" w:color="808080" w:themeColor="background1" w:themeShade="80"/>
            </w:tcBorders>
            <w:shd w:val="clear" w:color="auto" w:fill="auto"/>
            <w:hideMark/>
          </w:tcPr>
          <w:p w14:paraId="414E0418" w14:textId="77777777" w:rsidR="00FA40A3" w:rsidRDefault="00FA40A3" w:rsidP="00AF632F">
            <w:pPr>
              <w:pStyle w:val="NormalWeb"/>
              <w:jc w:val="center"/>
            </w:pPr>
            <w:r>
              <w:t>752</w:t>
            </w:r>
          </w:p>
        </w:tc>
      </w:tr>
      <w:tr w:rsidR="00FA40A3" w14:paraId="59A8FD0E"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808080" w:themeColor="background1" w:themeShade="80"/>
              <w:right w:val="single" w:sz="2" w:space="0" w:color="808080" w:themeColor="background1" w:themeShade="80"/>
            </w:tcBorders>
            <w:shd w:val="clear" w:color="auto" w:fill="auto"/>
            <w:hideMark/>
          </w:tcPr>
          <w:p w14:paraId="3B84D5E6" w14:textId="77777777" w:rsidR="00FA40A3" w:rsidRDefault="00FA40A3" w:rsidP="00AF632F">
            <w:pPr>
              <w:rPr>
                <w:sz w:val="24"/>
                <w:szCs w:val="24"/>
              </w:rPr>
            </w:pPr>
          </w:p>
        </w:tc>
        <w:tc>
          <w:tcPr>
            <w:tcW w:w="0" w:type="auto"/>
            <w:tcBorders>
              <w:left w:val="single" w:sz="2" w:space="0" w:color="808080" w:themeColor="background1" w:themeShade="80"/>
            </w:tcBorders>
            <w:shd w:val="clear" w:color="auto" w:fill="auto"/>
            <w:hideMark/>
          </w:tcPr>
          <w:p w14:paraId="720EAD25" w14:textId="77777777" w:rsidR="00FA40A3" w:rsidRDefault="00FA40A3" w:rsidP="00AF632F">
            <w:pPr>
              <w:pStyle w:val="NormalWeb"/>
              <w:jc w:val="center"/>
            </w:pPr>
            <w:r>
              <w:t>Hospitalised</w:t>
            </w:r>
          </w:p>
        </w:tc>
        <w:tc>
          <w:tcPr>
            <w:tcW w:w="1957" w:type="dxa"/>
            <w:shd w:val="clear" w:color="auto" w:fill="auto"/>
            <w:hideMark/>
          </w:tcPr>
          <w:p w14:paraId="3815676B" w14:textId="77777777" w:rsidR="00FA40A3" w:rsidRDefault="00FA40A3" w:rsidP="00AF632F">
            <w:pPr>
              <w:pStyle w:val="NormalWeb"/>
              <w:jc w:val="center"/>
            </w:pPr>
            <w:r>
              <w:t>14</w:t>
            </w:r>
          </w:p>
        </w:tc>
        <w:tc>
          <w:tcPr>
            <w:tcW w:w="1957" w:type="dxa"/>
            <w:shd w:val="clear" w:color="auto" w:fill="auto"/>
            <w:hideMark/>
          </w:tcPr>
          <w:p w14:paraId="282D3AD4" w14:textId="77777777" w:rsidR="00FA40A3" w:rsidRDefault="00FA40A3" w:rsidP="00AF632F">
            <w:pPr>
              <w:pStyle w:val="NormalWeb"/>
              <w:jc w:val="center"/>
            </w:pPr>
            <w:r>
              <w:t>146</w:t>
            </w:r>
          </w:p>
        </w:tc>
        <w:tc>
          <w:tcPr>
            <w:tcW w:w="1957" w:type="dxa"/>
            <w:shd w:val="clear" w:color="auto" w:fill="auto"/>
            <w:hideMark/>
          </w:tcPr>
          <w:p w14:paraId="6A36B160" w14:textId="77777777" w:rsidR="00FA40A3" w:rsidRDefault="00FA40A3" w:rsidP="00AF632F">
            <w:pPr>
              <w:pStyle w:val="NormalWeb"/>
              <w:jc w:val="center"/>
            </w:pPr>
            <w:r>
              <w:t>177</w:t>
            </w:r>
          </w:p>
        </w:tc>
        <w:tc>
          <w:tcPr>
            <w:tcW w:w="1957" w:type="dxa"/>
            <w:tcBorders>
              <w:right w:val="single" w:sz="2" w:space="0" w:color="808080" w:themeColor="background1" w:themeShade="80"/>
            </w:tcBorders>
            <w:shd w:val="clear" w:color="auto" w:fill="auto"/>
            <w:hideMark/>
          </w:tcPr>
          <w:p w14:paraId="4F3FB253" w14:textId="77777777" w:rsidR="00FA40A3" w:rsidRDefault="00FA40A3" w:rsidP="00AF632F">
            <w:pPr>
              <w:pStyle w:val="NormalWeb"/>
              <w:jc w:val="center"/>
            </w:pPr>
            <w:r>
              <w:t>337</w:t>
            </w:r>
          </w:p>
        </w:tc>
      </w:tr>
      <w:tr w:rsidR="00FA40A3" w14:paraId="7F804F15" w14:textId="77777777" w:rsidTr="00AF632F">
        <w:tc>
          <w:tcPr>
            <w:tcW w:w="0" w:type="auto"/>
            <w:vMerge/>
            <w:tcBorders>
              <w:left w:val="single" w:sz="2" w:space="0" w:color="808080" w:themeColor="background1" w:themeShade="80"/>
              <w:right w:val="single" w:sz="2" w:space="0" w:color="808080" w:themeColor="background1" w:themeShade="80"/>
            </w:tcBorders>
            <w:shd w:val="clear" w:color="auto" w:fill="auto"/>
            <w:hideMark/>
          </w:tcPr>
          <w:p w14:paraId="4300F94C" w14:textId="77777777" w:rsidR="00FA40A3" w:rsidRDefault="00FA40A3" w:rsidP="00AF632F">
            <w:pPr>
              <w:rPr>
                <w:sz w:val="24"/>
                <w:szCs w:val="24"/>
              </w:rPr>
            </w:pPr>
          </w:p>
        </w:tc>
        <w:tc>
          <w:tcPr>
            <w:tcW w:w="0" w:type="auto"/>
            <w:tcBorders>
              <w:left w:val="single" w:sz="2" w:space="0" w:color="808080" w:themeColor="background1" w:themeShade="80"/>
            </w:tcBorders>
            <w:shd w:val="clear" w:color="auto" w:fill="auto"/>
            <w:hideMark/>
          </w:tcPr>
          <w:p w14:paraId="1768B214" w14:textId="77777777" w:rsidR="00FA40A3" w:rsidRDefault="00FA40A3" w:rsidP="00AF632F">
            <w:pPr>
              <w:pStyle w:val="NormalWeb"/>
              <w:jc w:val="center"/>
            </w:pPr>
            <w:r>
              <w:t>Not recorded</w:t>
            </w:r>
          </w:p>
        </w:tc>
        <w:tc>
          <w:tcPr>
            <w:tcW w:w="1957" w:type="dxa"/>
            <w:shd w:val="clear" w:color="auto" w:fill="auto"/>
            <w:hideMark/>
          </w:tcPr>
          <w:p w14:paraId="26845819" w14:textId="77777777" w:rsidR="00FA40A3" w:rsidRDefault="00FA40A3" w:rsidP="00AF632F">
            <w:pPr>
              <w:pStyle w:val="NormalWeb"/>
              <w:jc w:val="center"/>
            </w:pPr>
            <w:r>
              <w:t>10</w:t>
            </w:r>
          </w:p>
        </w:tc>
        <w:tc>
          <w:tcPr>
            <w:tcW w:w="1957" w:type="dxa"/>
            <w:shd w:val="clear" w:color="auto" w:fill="auto"/>
            <w:hideMark/>
          </w:tcPr>
          <w:p w14:paraId="3E347EB7" w14:textId="77777777" w:rsidR="00FA40A3" w:rsidRDefault="00FA40A3" w:rsidP="00AF632F">
            <w:pPr>
              <w:pStyle w:val="NormalWeb"/>
              <w:jc w:val="center"/>
            </w:pPr>
            <w:r>
              <w:t>68</w:t>
            </w:r>
          </w:p>
        </w:tc>
        <w:tc>
          <w:tcPr>
            <w:tcW w:w="1957" w:type="dxa"/>
            <w:shd w:val="clear" w:color="auto" w:fill="auto"/>
            <w:hideMark/>
          </w:tcPr>
          <w:p w14:paraId="7EEDFED4" w14:textId="77777777" w:rsidR="00FA40A3" w:rsidRDefault="00FA40A3" w:rsidP="00AF632F">
            <w:pPr>
              <w:pStyle w:val="NormalWeb"/>
              <w:jc w:val="center"/>
            </w:pPr>
            <w:r>
              <w:t>15</w:t>
            </w:r>
          </w:p>
        </w:tc>
        <w:tc>
          <w:tcPr>
            <w:tcW w:w="1957" w:type="dxa"/>
            <w:tcBorders>
              <w:right w:val="single" w:sz="2" w:space="0" w:color="808080" w:themeColor="background1" w:themeShade="80"/>
            </w:tcBorders>
            <w:shd w:val="clear" w:color="auto" w:fill="auto"/>
            <w:hideMark/>
          </w:tcPr>
          <w:p w14:paraId="0B560EBE" w14:textId="77777777" w:rsidR="00FA40A3" w:rsidRDefault="00FA40A3" w:rsidP="00AF632F">
            <w:pPr>
              <w:pStyle w:val="NormalWeb"/>
              <w:jc w:val="center"/>
            </w:pPr>
            <w:r>
              <w:t>93</w:t>
            </w:r>
          </w:p>
        </w:tc>
      </w:tr>
      <w:tr w:rsidR="00FA40A3" w:rsidRPr="0092330D" w14:paraId="7F6B3647"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66E471" w14:textId="77777777" w:rsidR="00FA40A3" w:rsidRDefault="00FA40A3" w:rsidP="00AF632F">
            <w:pPr>
              <w:rPr>
                <w:sz w:val="24"/>
                <w:szCs w:val="24"/>
              </w:rPr>
            </w:pPr>
          </w:p>
        </w:tc>
        <w:tc>
          <w:tcPr>
            <w:tcW w:w="0" w:type="auto"/>
            <w:tcBorders>
              <w:left w:val="single" w:sz="2" w:space="0" w:color="808080" w:themeColor="background1" w:themeShade="80"/>
              <w:bottom w:val="single" w:sz="2" w:space="0" w:color="808080" w:themeColor="background1" w:themeShade="80"/>
            </w:tcBorders>
            <w:shd w:val="clear" w:color="auto" w:fill="FDE9D9" w:themeFill="accent6" w:themeFillTint="33"/>
            <w:hideMark/>
          </w:tcPr>
          <w:p w14:paraId="1E56C128" w14:textId="77777777" w:rsidR="00FA40A3" w:rsidRPr="0092330D" w:rsidRDefault="00FA40A3" w:rsidP="00AF632F">
            <w:pPr>
              <w:pStyle w:val="NormalWeb"/>
              <w:jc w:val="center"/>
              <w:rPr>
                <w:b/>
                <w:bCs/>
              </w:rPr>
            </w:pPr>
            <w:r w:rsidRPr="0092330D">
              <w:rPr>
                <w:b/>
                <w:bCs/>
              </w:rPr>
              <w:t>Total</w:t>
            </w:r>
          </w:p>
        </w:tc>
        <w:tc>
          <w:tcPr>
            <w:tcW w:w="1957" w:type="dxa"/>
            <w:tcBorders>
              <w:bottom w:val="single" w:sz="2" w:space="0" w:color="808080" w:themeColor="background1" w:themeShade="80"/>
            </w:tcBorders>
            <w:shd w:val="clear" w:color="auto" w:fill="FDE9D9" w:themeFill="accent6" w:themeFillTint="33"/>
            <w:hideMark/>
          </w:tcPr>
          <w:p w14:paraId="013CE9FC" w14:textId="77777777" w:rsidR="00FA40A3" w:rsidRPr="0092330D" w:rsidRDefault="00FA40A3" w:rsidP="00AF632F">
            <w:pPr>
              <w:pStyle w:val="NormalWeb"/>
              <w:jc w:val="center"/>
              <w:rPr>
                <w:b/>
                <w:bCs/>
              </w:rPr>
            </w:pPr>
            <w:r w:rsidRPr="0092330D">
              <w:rPr>
                <w:b/>
                <w:bCs/>
              </w:rPr>
              <w:t>218</w:t>
            </w:r>
          </w:p>
        </w:tc>
        <w:tc>
          <w:tcPr>
            <w:tcW w:w="1957" w:type="dxa"/>
            <w:tcBorders>
              <w:bottom w:val="single" w:sz="2" w:space="0" w:color="808080" w:themeColor="background1" w:themeShade="80"/>
            </w:tcBorders>
            <w:shd w:val="clear" w:color="auto" w:fill="FDE9D9" w:themeFill="accent6" w:themeFillTint="33"/>
            <w:hideMark/>
          </w:tcPr>
          <w:p w14:paraId="18E922D8" w14:textId="77777777" w:rsidR="00FA40A3" w:rsidRPr="0092330D" w:rsidRDefault="00FA40A3" w:rsidP="00AF632F">
            <w:pPr>
              <w:pStyle w:val="NormalWeb"/>
              <w:jc w:val="center"/>
              <w:rPr>
                <w:b/>
                <w:bCs/>
              </w:rPr>
            </w:pPr>
            <w:r w:rsidRPr="0092330D">
              <w:rPr>
                <w:b/>
                <w:bCs/>
              </w:rPr>
              <w:t>714</w:t>
            </w:r>
          </w:p>
        </w:tc>
        <w:tc>
          <w:tcPr>
            <w:tcW w:w="1957" w:type="dxa"/>
            <w:tcBorders>
              <w:bottom w:val="single" w:sz="2" w:space="0" w:color="808080" w:themeColor="background1" w:themeShade="80"/>
            </w:tcBorders>
            <w:shd w:val="clear" w:color="auto" w:fill="FDE9D9" w:themeFill="accent6" w:themeFillTint="33"/>
            <w:hideMark/>
          </w:tcPr>
          <w:p w14:paraId="42EA7816" w14:textId="77777777" w:rsidR="00FA40A3" w:rsidRPr="0092330D" w:rsidRDefault="00FA40A3" w:rsidP="00AF632F">
            <w:pPr>
              <w:pStyle w:val="NormalWeb"/>
              <w:jc w:val="center"/>
              <w:rPr>
                <w:b/>
                <w:bCs/>
              </w:rPr>
            </w:pPr>
            <w:r w:rsidRPr="0092330D">
              <w:rPr>
                <w:b/>
                <w:bCs/>
              </w:rPr>
              <w:t>250</w:t>
            </w:r>
          </w:p>
        </w:tc>
        <w:tc>
          <w:tcPr>
            <w:tcW w:w="1957" w:type="dxa"/>
            <w:tcBorders>
              <w:bottom w:val="single" w:sz="2" w:space="0" w:color="808080" w:themeColor="background1" w:themeShade="80"/>
              <w:right w:val="single" w:sz="2" w:space="0" w:color="808080" w:themeColor="background1" w:themeShade="80"/>
            </w:tcBorders>
            <w:shd w:val="clear" w:color="auto" w:fill="FDE9D9" w:themeFill="accent6" w:themeFillTint="33"/>
            <w:hideMark/>
          </w:tcPr>
          <w:p w14:paraId="380DAB23" w14:textId="77777777" w:rsidR="00FA40A3" w:rsidRPr="0092330D" w:rsidRDefault="00FA40A3" w:rsidP="00AF632F">
            <w:pPr>
              <w:pStyle w:val="NormalWeb"/>
              <w:jc w:val="center"/>
              <w:rPr>
                <w:b/>
                <w:bCs/>
              </w:rPr>
            </w:pPr>
            <w:r w:rsidRPr="0092330D">
              <w:rPr>
                <w:b/>
                <w:bCs/>
              </w:rPr>
              <w:t>1,182</w:t>
            </w:r>
          </w:p>
        </w:tc>
      </w:tr>
    </w:tbl>
    <w:p w14:paraId="6F4BF94C" w14:textId="032191AD" w:rsidR="00FA40A3" w:rsidRDefault="00FA40A3" w:rsidP="00FA40A3">
      <w:pPr>
        <w:pStyle w:val="NormalWeb"/>
        <w:rPr>
          <w:lang w:val="en-GB"/>
        </w:rPr>
      </w:pPr>
      <w:r>
        <w:rPr>
          <w:rStyle w:val="Strong"/>
          <w:lang w:val="en-GB"/>
        </w:rPr>
        <w:t xml:space="preserve">Table A.2: Number of cases with onset date before 1 November 2020 reported as requiring ventilation in the </w:t>
      </w:r>
      <w:proofErr w:type="spellStart"/>
      <w:r>
        <w:rPr>
          <w:rStyle w:val="Strong"/>
          <w:lang w:val="en-GB"/>
        </w:rPr>
        <w:t>NoCS</w:t>
      </w:r>
      <w:proofErr w:type="spellEnd"/>
      <w:r>
        <w:rPr>
          <w:rStyle w:val="Strong"/>
          <w:lang w:val="en-GB"/>
        </w:rPr>
        <w:t xml:space="preserve"> data and the linked data from QHAPDC</w:t>
      </w:r>
      <w:r>
        <w:rPr>
          <w:lang w:val="en-GB"/>
        </w:rPr>
        <w:t xml:space="preserve">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For the 1182 cases with an onset date between 1st Jan-1st Nov 2020, 14 cases were recorded as requiring continuous ventilatory support in the QHAPDC data compared to 12 patients who were recorded as having required ventilator support on the NoCS data."/>
      </w:tblPr>
      <w:tblGrid>
        <w:gridCol w:w="1041"/>
        <w:gridCol w:w="1937"/>
        <w:gridCol w:w="1865"/>
        <w:gridCol w:w="1866"/>
        <w:gridCol w:w="1865"/>
        <w:gridCol w:w="1866"/>
      </w:tblGrid>
      <w:tr w:rsidR="00FA40A3" w:rsidRPr="000432A5" w14:paraId="1974E9DC"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0A7CDCC" w14:textId="77777777" w:rsidR="00FA40A3" w:rsidRPr="000432A5" w:rsidRDefault="00FA40A3" w:rsidP="00AF632F">
            <w:pPr>
              <w:rPr>
                <w:color w:val="FFFFFF" w:themeColor="background1"/>
                <w:lang w:val="en-GB"/>
              </w:rPr>
            </w:pPr>
          </w:p>
        </w:tc>
        <w:tc>
          <w:tcPr>
            <w:tcW w:w="0" w:type="auto"/>
            <w:tcBorders>
              <w:right w:val="single" w:sz="2" w:space="0" w:color="FFFFFF" w:themeColor="background1"/>
            </w:tcBorders>
            <w:hideMark/>
          </w:tcPr>
          <w:p w14:paraId="508EE83F" w14:textId="77777777" w:rsidR="00FA40A3" w:rsidRPr="000432A5" w:rsidRDefault="00FA40A3" w:rsidP="00AF632F">
            <w:pPr>
              <w:jc w:val="center"/>
              <w:rPr>
                <w:rFonts w:eastAsia="Times New Roman"/>
                <w:color w:val="FFFFFF" w:themeColor="background1"/>
                <w:sz w:val="20"/>
                <w:szCs w:val="20"/>
              </w:rPr>
            </w:pPr>
          </w:p>
        </w:tc>
        <w:tc>
          <w:tcPr>
            <w:tcW w:w="7462" w:type="dxa"/>
            <w:gridSpan w:val="4"/>
            <w:tcBorders>
              <w:left w:val="single" w:sz="2" w:space="0" w:color="FFFFFF" w:themeColor="background1"/>
              <w:bottom w:val="single" w:sz="2" w:space="0" w:color="FFFFFF" w:themeColor="background1"/>
            </w:tcBorders>
            <w:hideMark/>
          </w:tcPr>
          <w:p w14:paraId="15708A43" w14:textId="77777777" w:rsidR="00FA40A3" w:rsidRPr="000432A5" w:rsidRDefault="00FA40A3" w:rsidP="00AF632F">
            <w:pPr>
              <w:pStyle w:val="NormalWeb"/>
              <w:jc w:val="center"/>
              <w:rPr>
                <w:color w:val="FFFFFF" w:themeColor="background1"/>
                <w:sz w:val="24"/>
                <w:szCs w:val="24"/>
              </w:rPr>
            </w:pPr>
            <w:r w:rsidRPr="000432A5">
              <w:rPr>
                <w:color w:val="FFFFFF" w:themeColor="background1"/>
              </w:rPr>
              <w:t>QHAPDC data</w:t>
            </w:r>
          </w:p>
        </w:tc>
      </w:tr>
      <w:tr w:rsidR="00FA40A3" w:rsidRPr="000432A5" w14:paraId="2D4C8C3F"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53C5545" w14:textId="77777777" w:rsidR="00FA40A3" w:rsidRPr="000432A5" w:rsidRDefault="00FA40A3" w:rsidP="00AF632F">
            <w:pPr>
              <w:rPr>
                <w:color w:val="FFFFFF" w:themeColor="background1"/>
              </w:rPr>
            </w:pPr>
          </w:p>
        </w:tc>
        <w:tc>
          <w:tcPr>
            <w:tcW w:w="0" w:type="auto"/>
            <w:tcBorders>
              <w:right w:val="single" w:sz="2" w:space="0" w:color="FFFFFF" w:themeColor="background1"/>
            </w:tcBorders>
            <w:hideMark/>
          </w:tcPr>
          <w:p w14:paraId="66A00251" w14:textId="77777777" w:rsidR="00FA40A3" w:rsidRPr="000432A5" w:rsidRDefault="00FA40A3" w:rsidP="00AF632F">
            <w:pPr>
              <w:jc w:val="center"/>
              <w:rPr>
                <w:rFonts w:eastAsia="Times New Roman"/>
                <w:color w:val="FFFFFF" w:themeColor="background1"/>
                <w:sz w:val="20"/>
                <w:szCs w:val="20"/>
              </w:rPr>
            </w:pPr>
          </w:p>
        </w:tc>
        <w:tc>
          <w:tcPr>
            <w:tcW w:w="1865" w:type="dxa"/>
            <w:tcBorders>
              <w:top w:val="single" w:sz="2" w:space="0" w:color="FFFFFF" w:themeColor="background1"/>
              <w:left w:val="single" w:sz="2" w:space="0" w:color="FFFFFF" w:themeColor="background1"/>
              <w:right w:val="single" w:sz="2" w:space="0" w:color="FFFFFF" w:themeColor="background1"/>
            </w:tcBorders>
            <w:hideMark/>
          </w:tcPr>
          <w:p w14:paraId="2385DDDB" w14:textId="77777777" w:rsidR="00FA40A3" w:rsidRPr="000432A5" w:rsidRDefault="00FA40A3" w:rsidP="00AF632F">
            <w:pPr>
              <w:pStyle w:val="NormalWeb"/>
              <w:jc w:val="center"/>
              <w:rPr>
                <w:color w:val="FFFFFF" w:themeColor="background1"/>
                <w:sz w:val="24"/>
                <w:szCs w:val="24"/>
              </w:rPr>
            </w:pPr>
            <w:r w:rsidRPr="000432A5">
              <w:rPr>
                <w:color w:val="FFFFFF" w:themeColor="background1"/>
              </w:rPr>
              <w:t>No hospital record</w:t>
            </w:r>
          </w:p>
        </w:tc>
        <w:tc>
          <w:tcPr>
            <w:tcW w:w="1866" w:type="dxa"/>
            <w:tcBorders>
              <w:top w:val="single" w:sz="2" w:space="0" w:color="FFFFFF" w:themeColor="background1"/>
              <w:left w:val="single" w:sz="2" w:space="0" w:color="FFFFFF" w:themeColor="background1"/>
              <w:right w:val="single" w:sz="2" w:space="0" w:color="FFFFFF" w:themeColor="background1"/>
            </w:tcBorders>
            <w:hideMark/>
          </w:tcPr>
          <w:p w14:paraId="619CDAC5" w14:textId="77777777" w:rsidR="00FA40A3" w:rsidRPr="000432A5" w:rsidRDefault="00FA40A3" w:rsidP="00AF632F">
            <w:pPr>
              <w:pStyle w:val="NormalWeb"/>
              <w:jc w:val="center"/>
              <w:rPr>
                <w:color w:val="FFFFFF" w:themeColor="background1"/>
              </w:rPr>
            </w:pPr>
            <w:r w:rsidRPr="000432A5">
              <w:rPr>
                <w:color w:val="FFFFFF" w:themeColor="background1"/>
              </w:rPr>
              <w:t>Not ventilated</w:t>
            </w:r>
          </w:p>
        </w:tc>
        <w:tc>
          <w:tcPr>
            <w:tcW w:w="1865" w:type="dxa"/>
            <w:tcBorders>
              <w:top w:val="single" w:sz="2" w:space="0" w:color="FFFFFF" w:themeColor="background1"/>
              <w:left w:val="single" w:sz="2" w:space="0" w:color="FFFFFF" w:themeColor="background1"/>
              <w:right w:val="single" w:sz="2" w:space="0" w:color="FFFFFF" w:themeColor="background1"/>
            </w:tcBorders>
            <w:hideMark/>
          </w:tcPr>
          <w:p w14:paraId="5981AAF4" w14:textId="77777777" w:rsidR="00FA40A3" w:rsidRPr="000432A5" w:rsidRDefault="00FA40A3" w:rsidP="00AF632F">
            <w:pPr>
              <w:pStyle w:val="NormalWeb"/>
              <w:jc w:val="center"/>
              <w:rPr>
                <w:color w:val="FFFFFF" w:themeColor="background1"/>
              </w:rPr>
            </w:pPr>
            <w:r w:rsidRPr="000432A5">
              <w:rPr>
                <w:color w:val="FFFFFF" w:themeColor="background1"/>
              </w:rPr>
              <w:t>Required ventilation</w:t>
            </w:r>
          </w:p>
        </w:tc>
        <w:tc>
          <w:tcPr>
            <w:tcW w:w="1866" w:type="dxa"/>
            <w:tcBorders>
              <w:top w:val="single" w:sz="2" w:space="0" w:color="FFFFFF" w:themeColor="background1"/>
              <w:left w:val="single" w:sz="2" w:space="0" w:color="FFFFFF" w:themeColor="background1"/>
            </w:tcBorders>
            <w:hideMark/>
          </w:tcPr>
          <w:p w14:paraId="5E88485A" w14:textId="77777777" w:rsidR="00FA40A3" w:rsidRPr="000432A5" w:rsidRDefault="00FA40A3" w:rsidP="00AF632F">
            <w:pPr>
              <w:pStyle w:val="NormalWeb"/>
              <w:jc w:val="center"/>
              <w:rPr>
                <w:color w:val="FFFFFF" w:themeColor="background1"/>
              </w:rPr>
            </w:pPr>
            <w:proofErr w:type="spellStart"/>
            <w:r w:rsidRPr="000432A5">
              <w:rPr>
                <w:color w:val="FFFFFF" w:themeColor="background1"/>
              </w:rPr>
              <w:t>Total</w:t>
            </w:r>
            <w:r w:rsidRPr="000432A5">
              <w:rPr>
                <w:color w:val="FFFFFF" w:themeColor="background1"/>
                <w:vertAlign w:val="superscript"/>
              </w:rPr>
              <w:t>a</w:t>
            </w:r>
            <w:proofErr w:type="spellEnd"/>
          </w:p>
        </w:tc>
      </w:tr>
      <w:tr w:rsidR="00FA40A3" w14:paraId="09F77293" w14:textId="77777777" w:rsidTr="00AF632F">
        <w:tc>
          <w:tcPr>
            <w:tcW w:w="0" w:type="auto"/>
            <w:vMerge w:val="restart"/>
            <w:tcBorders>
              <w:left w:val="single" w:sz="2" w:space="0" w:color="000000" w:themeColor="text1"/>
              <w:bottom w:val="single" w:sz="2" w:space="0" w:color="000000" w:themeColor="text1"/>
              <w:right w:val="single" w:sz="2" w:space="0" w:color="000000" w:themeColor="text1"/>
            </w:tcBorders>
            <w:shd w:val="clear" w:color="auto" w:fill="auto"/>
            <w:vAlign w:val="center"/>
            <w:hideMark/>
          </w:tcPr>
          <w:p w14:paraId="6CAD27C6" w14:textId="77777777" w:rsidR="00FA40A3" w:rsidRDefault="00FA40A3" w:rsidP="00AF632F">
            <w:pPr>
              <w:pStyle w:val="NormalWeb"/>
            </w:pPr>
            <w:proofErr w:type="spellStart"/>
            <w:r>
              <w:t>NoCS</w:t>
            </w:r>
            <w:proofErr w:type="spellEnd"/>
            <w:r>
              <w:t xml:space="preserve"> data</w:t>
            </w:r>
          </w:p>
        </w:tc>
        <w:tc>
          <w:tcPr>
            <w:tcW w:w="0" w:type="auto"/>
            <w:tcBorders>
              <w:left w:val="single" w:sz="2" w:space="0" w:color="000000" w:themeColor="text1"/>
            </w:tcBorders>
            <w:shd w:val="clear" w:color="auto" w:fill="auto"/>
            <w:hideMark/>
          </w:tcPr>
          <w:p w14:paraId="49DBBD6E" w14:textId="77777777" w:rsidR="00FA40A3" w:rsidRDefault="00FA40A3" w:rsidP="00AF632F">
            <w:pPr>
              <w:pStyle w:val="NormalWeb"/>
              <w:jc w:val="center"/>
            </w:pPr>
            <w:r>
              <w:t>Not ventilated</w:t>
            </w:r>
          </w:p>
        </w:tc>
        <w:tc>
          <w:tcPr>
            <w:tcW w:w="1865" w:type="dxa"/>
            <w:shd w:val="clear" w:color="auto" w:fill="auto"/>
            <w:hideMark/>
          </w:tcPr>
          <w:p w14:paraId="0DFF1163" w14:textId="77777777" w:rsidR="00FA40A3" w:rsidRDefault="00FA40A3" w:rsidP="00AF632F">
            <w:pPr>
              <w:pStyle w:val="NormalWeb"/>
              <w:jc w:val="center"/>
            </w:pPr>
            <w:r>
              <w:t>40</w:t>
            </w:r>
          </w:p>
        </w:tc>
        <w:tc>
          <w:tcPr>
            <w:tcW w:w="1866" w:type="dxa"/>
            <w:shd w:val="clear" w:color="auto" w:fill="auto"/>
            <w:hideMark/>
          </w:tcPr>
          <w:p w14:paraId="0D4AB013" w14:textId="77777777" w:rsidR="00FA40A3" w:rsidRDefault="00FA40A3" w:rsidP="00AF632F">
            <w:pPr>
              <w:pStyle w:val="NormalWeb"/>
              <w:jc w:val="center"/>
            </w:pPr>
            <w:r>
              <w:t>217</w:t>
            </w:r>
          </w:p>
        </w:tc>
        <w:tc>
          <w:tcPr>
            <w:tcW w:w="1865" w:type="dxa"/>
            <w:shd w:val="clear" w:color="auto" w:fill="auto"/>
            <w:hideMark/>
          </w:tcPr>
          <w:p w14:paraId="055189B8" w14:textId="77777777" w:rsidR="00FA40A3" w:rsidRDefault="00FA40A3" w:rsidP="00AF632F">
            <w:pPr>
              <w:pStyle w:val="NormalWeb"/>
              <w:jc w:val="center"/>
            </w:pPr>
            <w:r>
              <w:t>&lt; 5</w:t>
            </w:r>
          </w:p>
        </w:tc>
        <w:tc>
          <w:tcPr>
            <w:tcW w:w="1866" w:type="dxa"/>
            <w:tcBorders>
              <w:right w:val="single" w:sz="2" w:space="0" w:color="000000" w:themeColor="text1"/>
            </w:tcBorders>
            <w:shd w:val="clear" w:color="auto" w:fill="auto"/>
            <w:hideMark/>
          </w:tcPr>
          <w:p w14:paraId="241D0FE4" w14:textId="77777777" w:rsidR="00FA40A3" w:rsidRDefault="00FA40A3" w:rsidP="00AF632F">
            <w:pPr>
              <w:pStyle w:val="NormalWeb"/>
              <w:jc w:val="center"/>
            </w:pPr>
            <w:r>
              <w:t>XXXX</w:t>
            </w:r>
          </w:p>
        </w:tc>
      </w:tr>
      <w:tr w:rsidR="00FA40A3" w14:paraId="5821AC08"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000000" w:themeColor="text1"/>
              <w:bottom w:val="single" w:sz="2" w:space="0" w:color="000000" w:themeColor="text1"/>
              <w:right w:val="single" w:sz="2" w:space="0" w:color="000000" w:themeColor="text1"/>
            </w:tcBorders>
            <w:shd w:val="clear" w:color="auto" w:fill="auto"/>
            <w:hideMark/>
          </w:tcPr>
          <w:p w14:paraId="74F33596" w14:textId="77777777" w:rsidR="00FA40A3" w:rsidRDefault="00FA40A3" w:rsidP="00AF632F">
            <w:pPr>
              <w:rPr>
                <w:sz w:val="24"/>
                <w:szCs w:val="24"/>
              </w:rPr>
            </w:pPr>
          </w:p>
        </w:tc>
        <w:tc>
          <w:tcPr>
            <w:tcW w:w="0" w:type="auto"/>
            <w:tcBorders>
              <w:left w:val="single" w:sz="2" w:space="0" w:color="000000" w:themeColor="text1"/>
            </w:tcBorders>
            <w:shd w:val="clear" w:color="auto" w:fill="auto"/>
            <w:hideMark/>
          </w:tcPr>
          <w:p w14:paraId="315BA092" w14:textId="77777777" w:rsidR="00FA40A3" w:rsidRDefault="00FA40A3" w:rsidP="00AF632F">
            <w:pPr>
              <w:pStyle w:val="NormalWeb"/>
              <w:jc w:val="center"/>
            </w:pPr>
            <w:r>
              <w:t>Required ventilation</w:t>
            </w:r>
          </w:p>
        </w:tc>
        <w:tc>
          <w:tcPr>
            <w:tcW w:w="1865" w:type="dxa"/>
            <w:shd w:val="clear" w:color="auto" w:fill="auto"/>
            <w:hideMark/>
          </w:tcPr>
          <w:p w14:paraId="232BDC3B" w14:textId="77777777" w:rsidR="00FA40A3" w:rsidRDefault="00FA40A3" w:rsidP="00AF632F">
            <w:pPr>
              <w:pStyle w:val="NormalWeb"/>
              <w:jc w:val="center"/>
            </w:pPr>
            <w:r>
              <w:t>&lt; 5</w:t>
            </w:r>
          </w:p>
        </w:tc>
        <w:tc>
          <w:tcPr>
            <w:tcW w:w="1866" w:type="dxa"/>
            <w:shd w:val="clear" w:color="auto" w:fill="auto"/>
            <w:hideMark/>
          </w:tcPr>
          <w:p w14:paraId="64AC7915" w14:textId="77777777" w:rsidR="00FA40A3" w:rsidRDefault="00FA40A3" w:rsidP="00AF632F">
            <w:pPr>
              <w:pStyle w:val="NormalWeb"/>
              <w:jc w:val="center"/>
            </w:pPr>
            <w:r>
              <w:t>&lt; 5</w:t>
            </w:r>
          </w:p>
        </w:tc>
        <w:tc>
          <w:tcPr>
            <w:tcW w:w="1865" w:type="dxa"/>
            <w:shd w:val="clear" w:color="auto" w:fill="auto"/>
            <w:hideMark/>
          </w:tcPr>
          <w:p w14:paraId="47ADF691" w14:textId="77777777" w:rsidR="00FA40A3" w:rsidRDefault="00FA40A3" w:rsidP="00AF632F">
            <w:pPr>
              <w:pStyle w:val="NormalWeb"/>
              <w:jc w:val="center"/>
            </w:pPr>
            <w:r>
              <w:t>&lt; 5</w:t>
            </w:r>
          </w:p>
        </w:tc>
        <w:tc>
          <w:tcPr>
            <w:tcW w:w="1866" w:type="dxa"/>
            <w:tcBorders>
              <w:right w:val="single" w:sz="2" w:space="0" w:color="000000" w:themeColor="text1"/>
            </w:tcBorders>
            <w:shd w:val="clear" w:color="auto" w:fill="auto"/>
            <w:hideMark/>
          </w:tcPr>
          <w:p w14:paraId="77D8EDA4" w14:textId="77777777" w:rsidR="00FA40A3" w:rsidRDefault="00FA40A3" w:rsidP="00AF632F">
            <w:pPr>
              <w:pStyle w:val="NormalWeb"/>
              <w:jc w:val="center"/>
            </w:pPr>
            <w:r>
              <w:t>12</w:t>
            </w:r>
          </w:p>
        </w:tc>
      </w:tr>
      <w:tr w:rsidR="00FA40A3" w14:paraId="4E09E484" w14:textId="77777777" w:rsidTr="00AF632F">
        <w:tc>
          <w:tcPr>
            <w:tcW w:w="0" w:type="auto"/>
            <w:vMerge/>
            <w:tcBorders>
              <w:left w:val="single" w:sz="2" w:space="0" w:color="000000" w:themeColor="text1"/>
              <w:bottom w:val="single" w:sz="2" w:space="0" w:color="000000" w:themeColor="text1"/>
              <w:right w:val="single" w:sz="2" w:space="0" w:color="000000" w:themeColor="text1"/>
            </w:tcBorders>
            <w:shd w:val="clear" w:color="auto" w:fill="auto"/>
            <w:hideMark/>
          </w:tcPr>
          <w:p w14:paraId="1ED187B3" w14:textId="77777777" w:rsidR="00FA40A3" w:rsidRDefault="00FA40A3" w:rsidP="00AF632F">
            <w:pPr>
              <w:rPr>
                <w:sz w:val="24"/>
                <w:szCs w:val="24"/>
              </w:rPr>
            </w:pPr>
          </w:p>
        </w:tc>
        <w:tc>
          <w:tcPr>
            <w:tcW w:w="0" w:type="auto"/>
            <w:tcBorders>
              <w:left w:val="single" w:sz="2" w:space="0" w:color="000000" w:themeColor="text1"/>
            </w:tcBorders>
            <w:shd w:val="clear" w:color="auto" w:fill="auto"/>
            <w:hideMark/>
          </w:tcPr>
          <w:p w14:paraId="674F9ADE" w14:textId="77777777" w:rsidR="00FA40A3" w:rsidRDefault="00FA40A3" w:rsidP="00AF632F">
            <w:pPr>
              <w:pStyle w:val="NormalWeb"/>
              <w:jc w:val="center"/>
            </w:pPr>
            <w:r>
              <w:t>Not recorded</w:t>
            </w:r>
          </w:p>
        </w:tc>
        <w:tc>
          <w:tcPr>
            <w:tcW w:w="1865" w:type="dxa"/>
            <w:shd w:val="clear" w:color="auto" w:fill="auto"/>
            <w:hideMark/>
          </w:tcPr>
          <w:p w14:paraId="73F5235E" w14:textId="77777777" w:rsidR="00FA40A3" w:rsidRDefault="00FA40A3" w:rsidP="00AF632F">
            <w:pPr>
              <w:pStyle w:val="NormalWeb"/>
              <w:jc w:val="center"/>
            </w:pPr>
            <w:r>
              <w:t>177</w:t>
            </w:r>
          </w:p>
        </w:tc>
        <w:tc>
          <w:tcPr>
            <w:tcW w:w="1866" w:type="dxa"/>
            <w:shd w:val="clear" w:color="auto" w:fill="auto"/>
            <w:hideMark/>
          </w:tcPr>
          <w:p w14:paraId="1E5ABC7F" w14:textId="77777777" w:rsidR="00FA40A3" w:rsidRDefault="00FA40A3" w:rsidP="00AF632F">
            <w:pPr>
              <w:pStyle w:val="NormalWeb"/>
              <w:jc w:val="center"/>
            </w:pPr>
            <w:r>
              <w:t>733</w:t>
            </w:r>
          </w:p>
        </w:tc>
        <w:tc>
          <w:tcPr>
            <w:tcW w:w="1865" w:type="dxa"/>
            <w:shd w:val="clear" w:color="auto" w:fill="auto"/>
            <w:hideMark/>
          </w:tcPr>
          <w:p w14:paraId="19FE049E" w14:textId="77777777" w:rsidR="00FA40A3" w:rsidRDefault="00FA40A3" w:rsidP="00AF632F">
            <w:pPr>
              <w:pStyle w:val="NormalWeb"/>
              <w:jc w:val="center"/>
            </w:pPr>
            <w:r>
              <w:t>&lt; 5</w:t>
            </w:r>
          </w:p>
        </w:tc>
        <w:tc>
          <w:tcPr>
            <w:tcW w:w="1866" w:type="dxa"/>
            <w:tcBorders>
              <w:right w:val="single" w:sz="2" w:space="0" w:color="000000" w:themeColor="text1"/>
            </w:tcBorders>
            <w:shd w:val="clear" w:color="auto" w:fill="auto"/>
            <w:hideMark/>
          </w:tcPr>
          <w:p w14:paraId="4103E8E1" w14:textId="77777777" w:rsidR="00FA40A3" w:rsidRDefault="00FA40A3" w:rsidP="00AF632F">
            <w:pPr>
              <w:pStyle w:val="NormalWeb"/>
              <w:jc w:val="center"/>
            </w:pPr>
            <w:r>
              <w:t>XXXX</w:t>
            </w:r>
          </w:p>
        </w:tc>
      </w:tr>
      <w:tr w:rsidR="00FA40A3" w14:paraId="21C738A3"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000000" w:themeColor="text1"/>
              <w:bottom w:val="single" w:sz="2" w:space="0" w:color="000000" w:themeColor="text1"/>
              <w:right w:val="single" w:sz="2" w:space="0" w:color="000000" w:themeColor="text1"/>
            </w:tcBorders>
            <w:shd w:val="clear" w:color="auto" w:fill="auto"/>
            <w:hideMark/>
          </w:tcPr>
          <w:p w14:paraId="6C90818E" w14:textId="77777777" w:rsidR="00FA40A3" w:rsidRDefault="00FA40A3" w:rsidP="00AF632F">
            <w:pPr>
              <w:rPr>
                <w:sz w:val="24"/>
                <w:szCs w:val="24"/>
              </w:rPr>
            </w:pPr>
          </w:p>
        </w:tc>
        <w:tc>
          <w:tcPr>
            <w:tcW w:w="0" w:type="auto"/>
            <w:tcBorders>
              <w:left w:val="single" w:sz="2" w:space="0" w:color="000000" w:themeColor="text1"/>
              <w:bottom w:val="single" w:sz="2" w:space="0" w:color="000000" w:themeColor="text1"/>
            </w:tcBorders>
            <w:shd w:val="clear" w:color="auto" w:fill="FDE9D9" w:themeFill="accent6" w:themeFillTint="33"/>
            <w:hideMark/>
          </w:tcPr>
          <w:p w14:paraId="7EC70A1C" w14:textId="77777777" w:rsidR="00FA40A3" w:rsidRPr="0044632C" w:rsidRDefault="00FA40A3" w:rsidP="00AF632F">
            <w:pPr>
              <w:pStyle w:val="NormalWeb"/>
              <w:jc w:val="center"/>
              <w:rPr>
                <w:b/>
                <w:bCs/>
              </w:rPr>
            </w:pPr>
            <w:proofErr w:type="spellStart"/>
            <w:r w:rsidRPr="0044632C">
              <w:rPr>
                <w:b/>
                <w:bCs/>
              </w:rPr>
              <w:t>Total</w:t>
            </w:r>
            <w:r w:rsidRPr="0044632C">
              <w:rPr>
                <w:b/>
                <w:bCs/>
                <w:vertAlign w:val="superscript"/>
              </w:rPr>
              <w:t>a</w:t>
            </w:r>
            <w:proofErr w:type="spellEnd"/>
          </w:p>
        </w:tc>
        <w:tc>
          <w:tcPr>
            <w:tcW w:w="1865" w:type="dxa"/>
            <w:tcBorders>
              <w:bottom w:val="single" w:sz="2" w:space="0" w:color="000000" w:themeColor="text1"/>
            </w:tcBorders>
            <w:shd w:val="clear" w:color="auto" w:fill="FDE9D9" w:themeFill="accent6" w:themeFillTint="33"/>
            <w:hideMark/>
          </w:tcPr>
          <w:p w14:paraId="34DBD92C" w14:textId="77777777" w:rsidR="00FA40A3" w:rsidRPr="0044632C" w:rsidRDefault="00FA40A3" w:rsidP="00AF632F">
            <w:pPr>
              <w:pStyle w:val="NormalWeb"/>
              <w:jc w:val="center"/>
              <w:rPr>
                <w:b/>
                <w:bCs/>
              </w:rPr>
            </w:pPr>
            <w:r w:rsidRPr="0044632C">
              <w:rPr>
                <w:b/>
                <w:bCs/>
              </w:rPr>
              <w:t>XXXX</w:t>
            </w:r>
          </w:p>
        </w:tc>
        <w:tc>
          <w:tcPr>
            <w:tcW w:w="1866" w:type="dxa"/>
            <w:tcBorders>
              <w:bottom w:val="single" w:sz="2" w:space="0" w:color="000000" w:themeColor="text1"/>
            </w:tcBorders>
            <w:shd w:val="clear" w:color="auto" w:fill="FDE9D9" w:themeFill="accent6" w:themeFillTint="33"/>
            <w:hideMark/>
          </w:tcPr>
          <w:p w14:paraId="71273058" w14:textId="77777777" w:rsidR="00FA40A3" w:rsidRPr="0044632C" w:rsidRDefault="00FA40A3" w:rsidP="00AF632F">
            <w:pPr>
              <w:pStyle w:val="NormalWeb"/>
              <w:jc w:val="center"/>
              <w:rPr>
                <w:b/>
                <w:bCs/>
              </w:rPr>
            </w:pPr>
            <w:r w:rsidRPr="0044632C">
              <w:rPr>
                <w:b/>
                <w:bCs/>
              </w:rPr>
              <w:t>XXXX</w:t>
            </w:r>
          </w:p>
        </w:tc>
        <w:tc>
          <w:tcPr>
            <w:tcW w:w="1865" w:type="dxa"/>
            <w:tcBorders>
              <w:bottom w:val="single" w:sz="2" w:space="0" w:color="000000" w:themeColor="text1"/>
            </w:tcBorders>
            <w:shd w:val="clear" w:color="auto" w:fill="FDE9D9" w:themeFill="accent6" w:themeFillTint="33"/>
            <w:hideMark/>
          </w:tcPr>
          <w:p w14:paraId="07768520" w14:textId="77777777" w:rsidR="00FA40A3" w:rsidRPr="0044632C" w:rsidRDefault="00FA40A3" w:rsidP="00AF632F">
            <w:pPr>
              <w:pStyle w:val="NormalWeb"/>
              <w:jc w:val="center"/>
              <w:rPr>
                <w:b/>
                <w:bCs/>
              </w:rPr>
            </w:pPr>
            <w:r w:rsidRPr="0044632C">
              <w:rPr>
                <w:b/>
                <w:bCs/>
              </w:rPr>
              <w:t>14</w:t>
            </w:r>
          </w:p>
        </w:tc>
        <w:tc>
          <w:tcPr>
            <w:tcW w:w="1866" w:type="dxa"/>
            <w:tcBorders>
              <w:bottom w:val="single" w:sz="2" w:space="0" w:color="000000" w:themeColor="text1"/>
              <w:right w:val="single" w:sz="2" w:space="0" w:color="000000" w:themeColor="text1"/>
            </w:tcBorders>
            <w:shd w:val="clear" w:color="auto" w:fill="FDE9D9" w:themeFill="accent6" w:themeFillTint="33"/>
            <w:hideMark/>
          </w:tcPr>
          <w:p w14:paraId="68DDD87E" w14:textId="77777777" w:rsidR="00FA40A3" w:rsidRPr="0044632C" w:rsidRDefault="00FA40A3" w:rsidP="00AF632F">
            <w:pPr>
              <w:pStyle w:val="NormalWeb"/>
              <w:jc w:val="center"/>
              <w:rPr>
                <w:b/>
                <w:bCs/>
              </w:rPr>
            </w:pPr>
            <w:r w:rsidRPr="0044632C">
              <w:rPr>
                <w:b/>
                <w:bCs/>
              </w:rPr>
              <w:t>1,182</w:t>
            </w:r>
          </w:p>
        </w:tc>
      </w:tr>
    </w:tbl>
    <w:p w14:paraId="6BFE745D" w14:textId="0614BFBB" w:rsidR="007D5B45" w:rsidRPr="00A83E4D" w:rsidRDefault="00FA40A3" w:rsidP="00A83E4D">
      <w:pPr>
        <w:pStyle w:val="CDIfootnotes"/>
        <w:rPr>
          <w:rStyle w:val="Strong"/>
          <w:b w:val="0"/>
          <w:bCs w:val="0"/>
          <w:lang w:val="en-GB"/>
        </w:rPr>
      </w:pPr>
      <w:r>
        <w:rPr>
          <w:lang w:val="en-GB"/>
        </w:rPr>
        <w:t xml:space="preserve">a ‘XXXX’ indicates that the number has been suppressed. </w:t>
      </w:r>
    </w:p>
    <w:p w14:paraId="5BE7B2D1" w14:textId="40E6A96C" w:rsidR="00FA40A3" w:rsidRDefault="00FA40A3" w:rsidP="00FA40A3">
      <w:pPr>
        <w:pStyle w:val="NormalWeb"/>
        <w:rPr>
          <w:lang w:val="en-GB"/>
        </w:rPr>
      </w:pPr>
      <w:r>
        <w:rPr>
          <w:rStyle w:val="Strong"/>
          <w:lang w:val="en-GB"/>
        </w:rPr>
        <w:t xml:space="preserve">Table A.3: Number of cases with onset date before 1 November 2020 reported as being admitted to an Intensive Care Unit (ICU) in the </w:t>
      </w:r>
      <w:proofErr w:type="spellStart"/>
      <w:r>
        <w:rPr>
          <w:rStyle w:val="Strong"/>
          <w:lang w:val="en-GB"/>
        </w:rPr>
        <w:t>NoCS</w:t>
      </w:r>
      <w:proofErr w:type="spellEnd"/>
      <w:r>
        <w:rPr>
          <w:rStyle w:val="Strong"/>
          <w:lang w:val="en-GB"/>
        </w:rPr>
        <w:t xml:space="preserve"> data and the linked data from QHAPDC</w:t>
      </w:r>
      <w:r>
        <w:rPr>
          <w:lang w:val="en-GB"/>
        </w:rPr>
        <w:t xml:space="preserve">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For the 1182 cases with an onset date between 1st Jan-1st Nov 2020, 17 cases were recorded as having an admission to an Intensive Care Unit using QHAPDC data compared to 16 patients who were recorded has being admitted to an Intensive Care Unit in the NoCS data."/>
      </w:tblPr>
      <w:tblGrid>
        <w:gridCol w:w="1041"/>
        <w:gridCol w:w="1919"/>
        <w:gridCol w:w="1870"/>
        <w:gridCol w:w="1870"/>
        <w:gridCol w:w="1870"/>
        <w:gridCol w:w="1870"/>
      </w:tblGrid>
      <w:tr w:rsidR="00FA40A3" w:rsidRPr="00330C31" w14:paraId="7535ECEC"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62C3E340" w14:textId="77777777" w:rsidR="00FA40A3" w:rsidRPr="00330C31" w:rsidRDefault="00FA40A3" w:rsidP="00AF632F">
            <w:pPr>
              <w:rPr>
                <w:color w:val="FFFFFF" w:themeColor="background1"/>
                <w:lang w:val="en-GB"/>
              </w:rPr>
            </w:pPr>
          </w:p>
        </w:tc>
        <w:tc>
          <w:tcPr>
            <w:tcW w:w="0" w:type="auto"/>
            <w:tcBorders>
              <w:right w:val="single" w:sz="2" w:space="0" w:color="FFFFFF" w:themeColor="background1"/>
            </w:tcBorders>
            <w:hideMark/>
          </w:tcPr>
          <w:p w14:paraId="0FF1FA99" w14:textId="77777777" w:rsidR="00FA40A3" w:rsidRPr="00330C31" w:rsidRDefault="00FA40A3" w:rsidP="00AF632F">
            <w:pPr>
              <w:jc w:val="center"/>
              <w:rPr>
                <w:rFonts w:eastAsia="Times New Roman"/>
                <w:color w:val="FFFFFF" w:themeColor="background1"/>
                <w:sz w:val="20"/>
                <w:szCs w:val="20"/>
              </w:rPr>
            </w:pPr>
          </w:p>
        </w:tc>
        <w:tc>
          <w:tcPr>
            <w:tcW w:w="7480" w:type="dxa"/>
            <w:gridSpan w:val="4"/>
            <w:tcBorders>
              <w:left w:val="single" w:sz="2" w:space="0" w:color="FFFFFF" w:themeColor="background1"/>
              <w:bottom w:val="single" w:sz="2" w:space="0" w:color="FFFFFF" w:themeColor="background1"/>
            </w:tcBorders>
            <w:hideMark/>
          </w:tcPr>
          <w:p w14:paraId="51278C15" w14:textId="77777777" w:rsidR="00FA40A3" w:rsidRPr="00330C31" w:rsidRDefault="00FA40A3" w:rsidP="00AF632F">
            <w:pPr>
              <w:pStyle w:val="NormalWeb"/>
              <w:jc w:val="center"/>
              <w:rPr>
                <w:color w:val="FFFFFF" w:themeColor="background1"/>
                <w:sz w:val="24"/>
                <w:szCs w:val="24"/>
              </w:rPr>
            </w:pPr>
            <w:r w:rsidRPr="00330C31">
              <w:rPr>
                <w:color w:val="FFFFFF" w:themeColor="background1"/>
              </w:rPr>
              <w:t>QHAPDC data</w:t>
            </w:r>
          </w:p>
        </w:tc>
      </w:tr>
      <w:tr w:rsidR="00FA40A3" w:rsidRPr="00330C31" w14:paraId="23BFDC51"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0CF1E22" w14:textId="77777777" w:rsidR="00FA40A3" w:rsidRPr="00330C31" w:rsidRDefault="00FA40A3" w:rsidP="00AF632F">
            <w:pPr>
              <w:rPr>
                <w:color w:val="FFFFFF" w:themeColor="background1"/>
              </w:rPr>
            </w:pPr>
          </w:p>
        </w:tc>
        <w:tc>
          <w:tcPr>
            <w:tcW w:w="0" w:type="auto"/>
            <w:tcBorders>
              <w:right w:val="single" w:sz="2" w:space="0" w:color="FFFFFF" w:themeColor="background1"/>
            </w:tcBorders>
            <w:hideMark/>
          </w:tcPr>
          <w:p w14:paraId="14C3D6B2" w14:textId="77777777" w:rsidR="00FA40A3" w:rsidRPr="00330C31" w:rsidRDefault="00FA40A3" w:rsidP="00AF632F">
            <w:pPr>
              <w:jc w:val="center"/>
              <w:rPr>
                <w:rFonts w:eastAsia="Times New Roman"/>
                <w:color w:val="FFFFFF" w:themeColor="background1"/>
                <w:sz w:val="20"/>
                <w:szCs w:val="20"/>
              </w:rPr>
            </w:pPr>
          </w:p>
        </w:tc>
        <w:tc>
          <w:tcPr>
            <w:tcW w:w="1870" w:type="dxa"/>
            <w:tcBorders>
              <w:top w:val="single" w:sz="2" w:space="0" w:color="FFFFFF" w:themeColor="background1"/>
              <w:left w:val="single" w:sz="2" w:space="0" w:color="FFFFFF" w:themeColor="background1"/>
              <w:right w:val="single" w:sz="2" w:space="0" w:color="FFFFFF" w:themeColor="background1"/>
            </w:tcBorders>
            <w:hideMark/>
          </w:tcPr>
          <w:p w14:paraId="3810240F" w14:textId="77777777" w:rsidR="00FA40A3" w:rsidRPr="00330C31" w:rsidRDefault="00FA40A3" w:rsidP="00AF632F">
            <w:pPr>
              <w:pStyle w:val="NormalWeb"/>
              <w:jc w:val="center"/>
              <w:rPr>
                <w:color w:val="FFFFFF" w:themeColor="background1"/>
                <w:sz w:val="24"/>
                <w:szCs w:val="24"/>
              </w:rPr>
            </w:pPr>
            <w:r w:rsidRPr="00330C31">
              <w:rPr>
                <w:color w:val="FFFFFF" w:themeColor="background1"/>
              </w:rPr>
              <w:t>No hospital record</w:t>
            </w:r>
          </w:p>
        </w:tc>
        <w:tc>
          <w:tcPr>
            <w:tcW w:w="1870" w:type="dxa"/>
            <w:tcBorders>
              <w:top w:val="single" w:sz="2" w:space="0" w:color="FFFFFF" w:themeColor="background1"/>
              <w:left w:val="single" w:sz="2" w:space="0" w:color="FFFFFF" w:themeColor="background1"/>
              <w:right w:val="single" w:sz="2" w:space="0" w:color="FFFFFF" w:themeColor="background1"/>
            </w:tcBorders>
            <w:hideMark/>
          </w:tcPr>
          <w:p w14:paraId="5E443288" w14:textId="77777777" w:rsidR="00FA40A3" w:rsidRPr="00330C31" w:rsidRDefault="00FA40A3" w:rsidP="00AF632F">
            <w:pPr>
              <w:pStyle w:val="NormalWeb"/>
              <w:jc w:val="center"/>
              <w:rPr>
                <w:color w:val="FFFFFF" w:themeColor="background1"/>
              </w:rPr>
            </w:pPr>
            <w:r w:rsidRPr="00330C31">
              <w:rPr>
                <w:color w:val="FFFFFF" w:themeColor="background1"/>
              </w:rPr>
              <w:t xml:space="preserve">Not admitted to </w:t>
            </w:r>
            <w:proofErr w:type="spellStart"/>
            <w:r w:rsidRPr="00330C31">
              <w:rPr>
                <w:color w:val="FFFFFF" w:themeColor="background1"/>
              </w:rPr>
              <w:t>ICU</w:t>
            </w:r>
            <w:r w:rsidRPr="00330C31">
              <w:rPr>
                <w:color w:val="FFFFFF" w:themeColor="background1"/>
                <w:vertAlign w:val="superscript"/>
              </w:rPr>
              <w:t>a</w:t>
            </w:r>
            <w:proofErr w:type="spellEnd"/>
          </w:p>
        </w:tc>
        <w:tc>
          <w:tcPr>
            <w:tcW w:w="1870" w:type="dxa"/>
            <w:tcBorders>
              <w:top w:val="single" w:sz="2" w:space="0" w:color="FFFFFF" w:themeColor="background1"/>
              <w:left w:val="single" w:sz="2" w:space="0" w:color="FFFFFF" w:themeColor="background1"/>
              <w:right w:val="single" w:sz="2" w:space="0" w:color="FFFFFF" w:themeColor="background1"/>
            </w:tcBorders>
            <w:hideMark/>
          </w:tcPr>
          <w:p w14:paraId="79537880" w14:textId="77777777" w:rsidR="00FA40A3" w:rsidRPr="00330C31" w:rsidRDefault="00FA40A3" w:rsidP="00AF632F">
            <w:pPr>
              <w:pStyle w:val="NormalWeb"/>
              <w:jc w:val="center"/>
              <w:rPr>
                <w:color w:val="FFFFFF" w:themeColor="background1"/>
              </w:rPr>
            </w:pPr>
            <w:r w:rsidRPr="00330C31">
              <w:rPr>
                <w:color w:val="FFFFFF" w:themeColor="background1"/>
              </w:rPr>
              <w:t>Admitted to ICU</w:t>
            </w:r>
          </w:p>
        </w:tc>
        <w:tc>
          <w:tcPr>
            <w:tcW w:w="1870" w:type="dxa"/>
            <w:tcBorders>
              <w:top w:val="single" w:sz="2" w:space="0" w:color="FFFFFF" w:themeColor="background1"/>
              <w:left w:val="single" w:sz="2" w:space="0" w:color="FFFFFF" w:themeColor="background1"/>
            </w:tcBorders>
            <w:hideMark/>
          </w:tcPr>
          <w:p w14:paraId="1242B253" w14:textId="77777777" w:rsidR="00FA40A3" w:rsidRPr="00330C31" w:rsidRDefault="00FA40A3" w:rsidP="00AF632F">
            <w:pPr>
              <w:pStyle w:val="NormalWeb"/>
              <w:jc w:val="center"/>
              <w:rPr>
                <w:color w:val="FFFFFF" w:themeColor="background1"/>
              </w:rPr>
            </w:pPr>
            <w:proofErr w:type="spellStart"/>
            <w:r w:rsidRPr="00330C31">
              <w:rPr>
                <w:color w:val="FFFFFF" w:themeColor="background1"/>
              </w:rPr>
              <w:t>Total</w:t>
            </w:r>
            <w:r w:rsidRPr="00330C31">
              <w:rPr>
                <w:color w:val="FFFFFF" w:themeColor="background1"/>
                <w:vertAlign w:val="superscript"/>
              </w:rPr>
              <w:t>a</w:t>
            </w:r>
            <w:proofErr w:type="spellEnd"/>
          </w:p>
        </w:tc>
      </w:tr>
      <w:tr w:rsidR="00FA40A3" w14:paraId="2DB6F471" w14:textId="77777777" w:rsidTr="00AF632F">
        <w:tc>
          <w:tcPr>
            <w:tcW w:w="0" w:type="auto"/>
            <w:vMerge w:val="restart"/>
            <w:tcBorders>
              <w:left w:val="single" w:sz="2" w:space="0" w:color="auto"/>
              <w:bottom w:val="single" w:sz="2" w:space="0" w:color="auto"/>
              <w:right w:val="single" w:sz="2" w:space="0" w:color="auto"/>
            </w:tcBorders>
            <w:vAlign w:val="center"/>
            <w:hideMark/>
          </w:tcPr>
          <w:p w14:paraId="1273D1D1" w14:textId="77777777" w:rsidR="00FA40A3" w:rsidRDefault="00FA40A3" w:rsidP="00AF632F">
            <w:pPr>
              <w:pStyle w:val="NormalWeb"/>
            </w:pPr>
            <w:proofErr w:type="spellStart"/>
            <w:r>
              <w:t>NoCS</w:t>
            </w:r>
            <w:proofErr w:type="spellEnd"/>
            <w:r>
              <w:t xml:space="preserve"> data</w:t>
            </w:r>
          </w:p>
        </w:tc>
        <w:tc>
          <w:tcPr>
            <w:tcW w:w="0" w:type="auto"/>
            <w:tcBorders>
              <w:left w:val="single" w:sz="2" w:space="0" w:color="auto"/>
            </w:tcBorders>
            <w:hideMark/>
          </w:tcPr>
          <w:p w14:paraId="0044EFDC" w14:textId="77777777" w:rsidR="00FA40A3" w:rsidRDefault="00FA40A3" w:rsidP="00AF632F">
            <w:pPr>
              <w:pStyle w:val="NormalWeb"/>
              <w:jc w:val="center"/>
            </w:pPr>
            <w:r>
              <w:t>Not admitted to ICU</w:t>
            </w:r>
          </w:p>
        </w:tc>
        <w:tc>
          <w:tcPr>
            <w:tcW w:w="1870" w:type="dxa"/>
            <w:hideMark/>
          </w:tcPr>
          <w:p w14:paraId="6FB26F7C" w14:textId="77777777" w:rsidR="00FA40A3" w:rsidRDefault="00FA40A3" w:rsidP="00AF632F">
            <w:pPr>
              <w:pStyle w:val="NormalWeb"/>
              <w:jc w:val="center"/>
            </w:pPr>
            <w:r>
              <w:t>156</w:t>
            </w:r>
          </w:p>
        </w:tc>
        <w:tc>
          <w:tcPr>
            <w:tcW w:w="1870" w:type="dxa"/>
            <w:hideMark/>
          </w:tcPr>
          <w:p w14:paraId="2B6BDA77" w14:textId="77777777" w:rsidR="00FA40A3" w:rsidRDefault="00FA40A3" w:rsidP="00AF632F">
            <w:pPr>
              <w:pStyle w:val="NormalWeb"/>
              <w:jc w:val="center"/>
            </w:pPr>
            <w:r>
              <w:t>649</w:t>
            </w:r>
          </w:p>
        </w:tc>
        <w:tc>
          <w:tcPr>
            <w:tcW w:w="1870" w:type="dxa"/>
            <w:hideMark/>
          </w:tcPr>
          <w:p w14:paraId="63A8D72D" w14:textId="77777777" w:rsidR="00FA40A3" w:rsidRDefault="00FA40A3" w:rsidP="00AF632F">
            <w:pPr>
              <w:pStyle w:val="NormalWeb"/>
              <w:jc w:val="center"/>
            </w:pPr>
            <w:r>
              <w:t>&lt; 5</w:t>
            </w:r>
          </w:p>
        </w:tc>
        <w:tc>
          <w:tcPr>
            <w:tcW w:w="1870" w:type="dxa"/>
            <w:tcBorders>
              <w:right w:val="single" w:sz="2" w:space="0" w:color="auto"/>
            </w:tcBorders>
            <w:hideMark/>
          </w:tcPr>
          <w:p w14:paraId="5F53D248" w14:textId="77777777" w:rsidR="00FA40A3" w:rsidRDefault="00FA40A3" w:rsidP="00AF632F">
            <w:pPr>
              <w:pStyle w:val="NormalWeb"/>
              <w:jc w:val="center"/>
            </w:pPr>
            <w:r>
              <w:t>XXXX</w:t>
            </w:r>
          </w:p>
        </w:tc>
      </w:tr>
      <w:tr w:rsidR="00FA40A3" w14:paraId="1B277BB7"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auto"/>
              <w:bottom w:val="single" w:sz="2" w:space="0" w:color="auto"/>
              <w:right w:val="single" w:sz="2" w:space="0" w:color="auto"/>
            </w:tcBorders>
            <w:hideMark/>
          </w:tcPr>
          <w:p w14:paraId="5ECC562F" w14:textId="77777777" w:rsidR="00FA40A3" w:rsidRDefault="00FA40A3" w:rsidP="00AF632F">
            <w:pPr>
              <w:rPr>
                <w:sz w:val="24"/>
                <w:szCs w:val="24"/>
              </w:rPr>
            </w:pPr>
          </w:p>
        </w:tc>
        <w:tc>
          <w:tcPr>
            <w:tcW w:w="0" w:type="auto"/>
            <w:tcBorders>
              <w:left w:val="single" w:sz="2" w:space="0" w:color="auto"/>
            </w:tcBorders>
            <w:hideMark/>
          </w:tcPr>
          <w:p w14:paraId="60133FAF" w14:textId="77777777" w:rsidR="00FA40A3" w:rsidRDefault="00FA40A3" w:rsidP="00AF632F">
            <w:pPr>
              <w:pStyle w:val="NormalWeb"/>
              <w:jc w:val="center"/>
            </w:pPr>
            <w:r>
              <w:t>Admitted to ICU</w:t>
            </w:r>
          </w:p>
        </w:tc>
        <w:tc>
          <w:tcPr>
            <w:tcW w:w="1870" w:type="dxa"/>
            <w:hideMark/>
          </w:tcPr>
          <w:p w14:paraId="5D7F0B04" w14:textId="77777777" w:rsidR="00FA40A3" w:rsidRDefault="00FA40A3" w:rsidP="00AF632F">
            <w:pPr>
              <w:pStyle w:val="NormalWeb"/>
              <w:jc w:val="center"/>
            </w:pPr>
            <w:r>
              <w:t>&lt; 5</w:t>
            </w:r>
          </w:p>
        </w:tc>
        <w:tc>
          <w:tcPr>
            <w:tcW w:w="1870" w:type="dxa"/>
            <w:hideMark/>
          </w:tcPr>
          <w:p w14:paraId="6DD68E9D" w14:textId="77777777" w:rsidR="00FA40A3" w:rsidRDefault="00FA40A3" w:rsidP="00AF632F">
            <w:pPr>
              <w:pStyle w:val="NormalWeb"/>
              <w:jc w:val="center"/>
            </w:pPr>
            <w:r>
              <w:t>XXXX</w:t>
            </w:r>
          </w:p>
        </w:tc>
        <w:tc>
          <w:tcPr>
            <w:tcW w:w="1870" w:type="dxa"/>
            <w:hideMark/>
          </w:tcPr>
          <w:p w14:paraId="5B2A0808" w14:textId="77777777" w:rsidR="00FA40A3" w:rsidRDefault="00FA40A3" w:rsidP="00AF632F">
            <w:pPr>
              <w:pStyle w:val="NormalWeb"/>
              <w:jc w:val="center"/>
            </w:pPr>
            <w:r>
              <w:t>&lt; 5</w:t>
            </w:r>
          </w:p>
        </w:tc>
        <w:tc>
          <w:tcPr>
            <w:tcW w:w="1870" w:type="dxa"/>
            <w:tcBorders>
              <w:right w:val="single" w:sz="2" w:space="0" w:color="auto"/>
            </w:tcBorders>
            <w:hideMark/>
          </w:tcPr>
          <w:p w14:paraId="7683036E" w14:textId="77777777" w:rsidR="00FA40A3" w:rsidRDefault="00FA40A3" w:rsidP="00AF632F">
            <w:pPr>
              <w:pStyle w:val="NormalWeb"/>
              <w:jc w:val="center"/>
            </w:pPr>
            <w:r>
              <w:t>16</w:t>
            </w:r>
          </w:p>
        </w:tc>
      </w:tr>
      <w:tr w:rsidR="00FA40A3" w14:paraId="4998493A" w14:textId="77777777" w:rsidTr="00AF632F">
        <w:tc>
          <w:tcPr>
            <w:tcW w:w="0" w:type="auto"/>
            <w:vMerge/>
            <w:tcBorders>
              <w:left w:val="single" w:sz="2" w:space="0" w:color="auto"/>
              <w:bottom w:val="single" w:sz="2" w:space="0" w:color="auto"/>
              <w:right w:val="single" w:sz="2" w:space="0" w:color="auto"/>
            </w:tcBorders>
            <w:hideMark/>
          </w:tcPr>
          <w:p w14:paraId="54C1CC8F" w14:textId="77777777" w:rsidR="00FA40A3" w:rsidRDefault="00FA40A3" w:rsidP="00AF632F">
            <w:pPr>
              <w:rPr>
                <w:sz w:val="24"/>
                <w:szCs w:val="24"/>
              </w:rPr>
            </w:pPr>
          </w:p>
        </w:tc>
        <w:tc>
          <w:tcPr>
            <w:tcW w:w="0" w:type="auto"/>
            <w:tcBorders>
              <w:left w:val="single" w:sz="2" w:space="0" w:color="auto"/>
            </w:tcBorders>
            <w:hideMark/>
          </w:tcPr>
          <w:p w14:paraId="29D162D1" w14:textId="77777777" w:rsidR="00FA40A3" w:rsidRDefault="00FA40A3" w:rsidP="00AF632F">
            <w:pPr>
              <w:pStyle w:val="NormalWeb"/>
              <w:jc w:val="center"/>
            </w:pPr>
            <w:r>
              <w:t>Not recorded</w:t>
            </w:r>
          </w:p>
        </w:tc>
        <w:tc>
          <w:tcPr>
            <w:tcW w:w="1870" w:type="dxa"/>
            <w:hideMark/>
          </w:tcPr>
          <w:p w14:paraId="60C8AFBC" w14:textId="77777777" w:rsidR="00FA40A3" w:rsidRDefault="00FA40A3" w:rsidP="00AF632F">
            <w:pPr>
              <w:pStyle w:val="NormalWeb"/>
              <w:jc w:val="center"/>
            </w:pPr>
            <w:r>
              <w:t>59</w:t>
            </w:r>
          </w:p>
        </w:tc>
        <w:tc>
          <w:tcPr>
            <w:tcW w:w="1870" w:type="dxa"/>
            <w:hideMark/>
          </w:tcPr>
          <w:p w14:paraId="0E0AA7E6" w14:textId="77777777" w:rsidR="00FA40A3" w:rsidRDefault="00FA40A3" w:rsidP="00AF632F">
            <w:pPr>
              <w:pStyle w:val="NormalWeb"/>
              <w:jc w:val="center"/>
            </w:pPr>
            <w:r>
              <w:t>298</w:t>
            </w:r>
          </w:p>
        </w:tc>
        <w:tc>
          <w:tcPr>
            <w:tcW w:w="1870" w:type="dxa"/>
            <w:hideMark/>
          </w:tcPr>
          <w:p w14:paraId="49D7EBE9" w14:textId="77777777" w:rsidR="00FA40A3" w:rsidRDefault="00FA40A3" w:rsidP="00AF632F">
            <w:pPr>
              <w:pStyle w:val="NormalWeb"/>
              <w:jc w:val="center"/>
            </w:pPr>
            <w:r>
              <w:t>&lt; 5</w:t>
            </w:r>
          </w:p>
        </w:tc>
        <w:tc>
          <w:tcPr>
            <w:tcW w:w="1870" w:type="dxa"/>
            <w:tcBorders>
              <w:right w:val="single" w:sz="2" w:space="0" w:color="auto"/>
            </w:tcBorders>
            <w:hideMark/>
          </w:tcPr>
          <w:p w14:paraId="7B821CD0" w14:textId="77777777" w:rsidR="00FA40A3" w:rsidRDefault="00FA40A3" w:rsidP="00AF632F">
            <w:pPr>
              <w:pStyle w:val="NormalWeb"/>
              <w:jc w:val="center"/>
            </w:pPr>
            <w:r>
              <w:t>XXXX</w:t>
            </w:r>
          </w:p>
        </w:tc>
      </w:tr>
      <w:tr w:rsidR="00FA40A3" w14:paraId="45B8918E"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auto"/>
              <w:bottom w:val="single" w:sz="2" w:space="0" w:color="auto"/>
              <w:right w:val="single" w:sz="2" w:space="0" w:color="auto"/>
            </w:tcBorders>
            <w:hideMark/>
          </w:tcPr>
          <w:p w14:paraId="723E2509" w14:textId="77777777" w:rsidR="00FA40A3" w:rsidRDefault="00FA40A3" w:rsidP="00AF632F">
            <w:pPr>
              <w:rPr>
                <w:sz w:val="24"/>
                <w:szCs w:val="24"/>
              </w:rPr>
            </w:pPr>
          </w:p>
        </w:tc>
        <w:tc>
          <w:tcPr>
            <w:tcW w:w="0" w:type="auto"/>
            <w:tcBorders>
              <w:left w:val="single" w:sz="2" w:space="0" w:color="auto"/>
              <w:bottom w:val="single" w:sz="2" w:space="0" w:color="auto"/>
            </w:tcBorders>
            <w:shd w:val="clear" w:color="auto" w:fill="FDE9D9" w:themeFill="accent6" w:themeFillTint="33"/>
            <w:hideMark/>
          </w:tcPr>
          <w:p w14:paraId="551FCAD8" w14:textId="77777777" w:rsidR="00FA40A3" w:rsidRPr="00497F78" w:rsidRDefault="00FA40A3" w:rsidP="00AF632F">
            <w:pPr>
              <w:pStyle w:val="NormalWeb"/>
              <w:jc w:val="center"/>
              <w:rPr>
                <w:b/>
                <w:bCs/>
              </w:rPr>
            </w:pPr>
            <w:proofErr w:type="spellStart"/>
            <w:r w:rsidRPr="00497F78">
              <w:rPr>
                <w:b/>
                <w:bCs/>
              </w:rPr>
              <w:t>Total</w:t>
            </w:r>
            <w:r w:rsidRPr="00497F78">
              <w:rPr>
                <w:b/>
                <w:bCs/>
                <w:vertAlign w:val="superscript"/>
              </w:rPr>
              <w:t>a</w:t>
            </w:r>
            <w:proofErr w:type="spellEnd"/>
          </w:p>
        </w:tc>
        <w:tc>
          <w:tcPr>
            <w:tcW w:w="1870" w:type="dxa"/>
            <w:tcBorders>
              <w:bottom w:val="single" w:sz="2" w:space="0" w:color="auto"/>
            </w:tcBorders>
            <w:shd w:val="clear" w:color="auto" w:fill="FDE9D9" w:themeFill="accent6" w:themeFillTint="33"/>
            <w:hideMark/>
          </w:tcPr>
          <w:p w14:paraId="3FB5B4FC" w14:textId="77777777" w:rsidR="00FA40A3" w:rsidRPr="00497F78" w:rsidRDefault="00FA40A3" w:rsidP="00AF632F">
            <w:pPr>
              <w:pStyle w:val="NormalWeb"/>
              <w:jc w:val="center"/>
              <w:rPr>
                <w:b/>
                <w:bCs/>
              </w:rPr>
            </w:pPr>
            <w:r w:rsidRPr="00497F78">
              <w:rPr>
                <w:b/>
                <w:bCs/>
              </w:rPr>
              <w:t>XXXX</w:t>
            </w:r>
          </w:p>
        </w:tc>
        <w:tc>
          <w:tcPr>
            <w:tcW w:w="1870" w:type="dxa"/>
            <w:tcBorders>
              <w:bottom w:val="single" w:sz="2" w:space="0" w:color="auto"/>
            </w:tcBorders>
            <w:shd w:val="clear" w:color="auto" w:fill="FDE9D9" w:themeFill="accent6" w:themeFillTint="33"/>
            <w:hideMark/>
          </w:tcPr>
          <w:p w14:paraId="38ECEC55" w14:textId="77777777" w:rsidR="00FA40A3" w:rsidRPr="00497F78" w:rsidRDefault="00FA40A3" w:rsidP="00AF632F">
            <w:pPr>
              <w:pStyle w:val="NormalWeb"/>
              <w:jc w:val="center"/>
              <w:rPr>
                <w:b/>
                <w:bCs/>
              </w:rPr>
            </w:pPr>
            <w:r w:rsidRPr="00497F78">
              <w:rPr>
                <w:b/>
                <w:bCs/>
              </w:rPr>
              <w:t>XXXX</w:t>
            </w:r>
          </w:p>
        </w:tc>
        <w:tc>
          <w:tcPr>
            <w:tcW w:w="1870" w:type="dxa"/>
            <w:tcBorders>
              <w:bottom w:val="single" w:sz="2" w:space="0" w:color="auto"/>
            </w:tcBorders>
            <w:shd w:val="clear" w:color="auto" w:fill="FDE9D9" w:themeFill="accent6" w:themeFillTint="33"/>
            <w:hideMark/>
          </w:tcPr>
          <w:p w14:paraId="743348F9" w14:textId="77777777" w:rsidR="00FA40A3" w:rsidRPr="00497F78" w:rsidRDefault="00FA40A3" w:rsidP="00AF632F">
            <w:pPr>
              <w:pStyle w:val="NormalWeb"/>
              <w:jc w:val="center"/>
              <w:rPr>
                <w:b/>
                <w:bCs/>
              </w:rPr>
            </w:pPr>
            <w:r w:rsidRPr="00497F78">
              <w:rPr>
                <w:b/>
                <w:bCs/>
              </w:rPr>
              <w:t>17</w:t>
            </w:r>
          </w:p>
        </w:tc>
        <w:tc>
          <w:tcPr>
            <w:tcW w:w="1870" w:type="dxa"/>
            <w:tcBorders>
              <w:bottom w:val="single" w:sz="2" w:space="0" w:color="auto"/>
              <w:right w:val="single" w:sz="2" w:space="0" w:color="auto"/>
            </w:tcBorders>
            <w:shd w:val="clear" w:color="auto" w:fill="FDE9D9" w:themeFill="accent6" w:themeFillTint="33"/>
            <w:hideMark/>
          </w:tcPr>
          <w:p w14:paraId="6E837F53" w14:textId="77777777" w:rsidR="00FA40A3" w:rsidRPr="00497F78" w:rsidRDefault="00FA40A3" w:rsidP="00AF632F">
            <w:pPr>
              <w:pStyle w:val="NormalWeb"/>
              <w:jc w:val="center"/>
              <w:rPr>
                <w:b/>
                <w:bCs/>
              </w:rPr>
            </w:pPr>
            <w:r w:rsidRPr="00497F78">
              <w:rPr>
                <w:b/>
                <w:bCs/>
              </w:rPr>
              <w:t>1,182</w:t>
            </w:r>
          </w:p>
        </w:tc>
      </w:tr>
    </w:tbl>
    <w:p w14:paraId="54B4DEE9" w14:textId="77777777" w:rsidR="00FA40A3" w:rsidRDefault="00FA40A3" w:rsidP="00FA40A3">
      <w:pPr>
        <w:pStyle w:val="CDIfootnotes"/>
        <w:rPr>
          <w:lang w:val="en-GB"/>
        </w:rPr>
      </w:pPr>
      <w:r>
        <w:rPr>
          <w:lang w:val="en-GB"/>
        </w:rPr>
        <w:t xml:space="preserve">a ‘XXXX’ indicates that the number has been suppressed. </w:t>
      </w:r>
    </w:p>
    <w:p w14:paraId="39D860D2" w14:textId="77777777" w:rsidR="00FA40A3" w:rsidRDefault="00FA40A3" w:rsidP="00FA40A3">
      <w:pPr>
        <w:pStyle w:val="NormalWeb"/>
        <w:rPr>
          <w:lang w:val="en-GB"/>
        </w:rPr>
      </w:pPr>
      <w:r>
        <w:rPr>
          <w:rStyle w:val="Strong"/>
          <w:lang w:val="en-GB"/>
        </w:rPr>
        <w:lastRenderedPageBreak/>
        <w:t xml:space="preserve">Table A.4: Number of cases with onset date before 1 November 2020 reported as having died in the </w:t>
      </w:r>
      <w:proofErr w:type="spellStart"/>
      <w:r>
        <w:rPr>
          <w:rStyle w:val="Strong"/>
          <w:lang w:val="en-GB"/>
        </w:rPr>
        <w:t>NoCS</w:t>
      </w:r>
      <w:proofErr w:type="spellEnd"/>
      <w:r>
        <w:rPr>
          <w:rStyle w:val="Strong"/>
          <w:lang w:val="en-GB"/>
        </w:rPr>
        <w:t xml:space="preserve"> data and the linked Death Registrations data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For the 1182 cases with an onset date between 1st Jan-1st Nov 2020, 6 cases were recorded as having died in both the QLD Death Registrations Data and the NoCS data. "/>
      </w:tblPr>
      <w:tblGrid>
        <w:gridCol w:w="1041"/>
        <w:gridCol w:w="2630"/>
        <w:gridCol w:w="2256"/>
        <w:gridCol w:w="2256"/>
        <w:gridCol w:w="2257"/>
      </w:tblGrid>
      <w:tr w:rsidR="00FA40A3" w:rsidRPr="00AA7918" w14:paraId="434E9B55"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D071967" w14:textId="77777777" w:rsidR="00FA40A3" w:rsidRPr="00AA7918" w:rsidRDefault="00FA40A3" w:rsidP="00AF632F">
            <w:pPr>
              <w:rPr>
                <w:color w:val="FFFFFF" w:themeColor="background1"/>
                <w:lang w:val="en-GB"/>
              </w:rPr>
            </w:pPr>
          </w:p>
        </w:tc>
        <w:tc>
          <w:tcPr>
            <w:tcW w:w="0" w:type="auto"/>
            <w:tcBorders>
              <w:right w:val="single" w:sz="2" w:space="0" w:color="FFFFFF" w:themeColor="background1"/>
            </w:tcBorders>
            <w:hideMark/>
          </w:tcPr>
          <w:p w14:paraId="54665856" w14:textId="77777777" w:rsidR="00FA40A3" w:rsidRPr="00AA7918" w:rsidRDefault="00FA40A3" w:rsidP="00AF632F">
            <w:pPr>
              <w:jc w:val="center"/>
              <w:rPr>
                <w:rFonts w:eastAsia="Times New Roman"/>
                <w:color w:val="FFFFFF" w:themeColor="background1"/>
                <w:sz w:val="20"/>
                <w:szCs w:val="20"/>
              </w:rPr>
            </w:pPr>
          </w:p>
        </w:tc>
        <w:tc>
          <w:tcPr>
            <w:tcW w:w="6769" w:type="dxa"/>
            <w:gridSpan w:val="3"/>
            <w:tcBorders>
              <w:left w:val="single" w:sz="2" w:space="0" w:color="FFFFFF" w:themeColor="background1"/>
              <w:bottom w:val="single" w:sz="2" w:space="0" w:color="FFFFFF" w:themeColor="background1"/>
            </w:tcBorders>
            <w:hideMark/>
          </w:tcPr>
          <w:p w14:paraId="7557C5DD" w14:textId="77777777" w:rsidR="00FA40A3" w:rsidRPr="00AA7918" w:rsidRDefault="00FA40A3" w:rsidP="00AF632F">
            <w:pPr>
              <w:pStyle w:val="NormalWeb"/>
              <w:jc w:val="center"/>
              <w:rPr>
                <w:color w:val="FFFFFF" w:themeColor="background1"/>
                <w:sz w:val="24"/>
                <w:szCs w:val="24"/>
              </w:rPr>
            </w:pPr>
            <w:r w:rsidRPr="00AA7918">
              <w:rPr>
                <w:color w:val="FFFFFF" w:themeColor="background1"/>
              </w:rPr>
              <w:t>Death Registrations data</w:t>
            </w:r>
          </w:p>
        </w:tc>
      </w:tr>
      <w:tr w:rsidR="00FA40A3" w:rsidRPr="00AA7918" w14:paraId="310757B8"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9A9E305" w14:textId="77777777" w:rsidR="00FA40A3" w:rsidRPr="00AA7918" w:rsidRDefault="00FA40A3" w:rsidP="00AF632F">
            <w:pPr>
              <w:rPr>
                <w:color w:val="FFFFFF" w:themeColor="background1"/>
              </w:rPr>
            </w:pPr>
          </w:p>
        </w:tc>
        <w:tc>
          <w:tcPr>
            <w:tcW w:w="0" w:type="auto"/>
            <w:tcBorders>
              <w:right w:val="single" w:sz="2" w:space="0" w:color="FFFFFF" w:themeColor="background1"/>
            </w:tcBorders>
            <w:hideMark/>
          </w:tcPr>
          <w:p w14:paraId="45771A2C" w14:textId="77777777" w:rsidR="00FA40A3" w:rsidRPr="00AA7918" w:rsidRDefault="00FA40A3" w:rsidP="00AF632F">
            <w:pPr>
              <w:jc w:val="center"/>
              <w:rPr>
                <w:rFonts w:eastAsia="Times New Roman"/>
                <w:color w:val="FFFFFF" w:themeColor="background1"/>
                <w:sz w:val="20"/>
                <w:szCs w:val="20"/>
              </w:rPr>
            </w:pPr>
          </w:p>
        </w:tc>
        <w:tc>
          <w:tcPr>
            <w:tcW w:w="2256" w:type="dxa"/>
            <w:tcBorders>
              <w:top w:val="single" w:sz="2" w:space="0" w:color="FFFFFF" w:themeColor="background1"/>
              <w:left w:val="single" w:sz="2" w:space="0" w:color="FFFFFF" w:themeColor="background1"/>
              <w:right w:val="single" w:sz="2" w:space="0" w:color="FFFFFF" w:themeColor="background1"/>
            </w:tcBorders>
            <w:hideMark/>
          </w:tcPr>
          <w:p w14:paraId="0533DE48" w14:textId="77777777" w:rsidR="00FA40A3" w:rsidRPr="00AA7918" w:rsidRDefault="00FA40A3" w:rsidP="00AF632F">
            <w:pPr>
              <w:pStyle w:val="NormalWeb"/>
              <w:jc w:val="center"/>
              <w:rPr>
                <w:color w:val="FFFFFF" w:themeColor="background1"/>
                <w:sz w:val="24"/>
                <w:szCs w:val="24"/>
              </w:rPr>
            </w:pPr>
            <w:r w:rsidRPr="00AA7918">
              <w:rPr>
                <w:color w:val="FFFFFF" w:themeColor="background1"/>
              </w:rPr>
              <w:t>No record</w:t>
            </w:r>
          </w:p>
        </w:tc>
        <w:tc>
          <w:tcPr>
            <w:tcW w:w="2256" w:type="dxa"/>
            <w:tcBorders>
              <w:top w:val="single" w:sz="2" w:space="0" w:color="FFFFFF" w:themeColor="background1"/>
              <w:left w:val="single" w:sz="2" w:space="0" w:color="FFFFFF" w:themeColor="background1"/>
              <w:right w:val="single" w:sz="2" w:space="0" w:color="FFFFFF" w:themeColor="background1"/>
            </w:tcBorders>
            <w:hideMark/>
          </w:tcPr>
          <w:p w14:paraId="31E330E5" w14:textId="77777777" w:rsidR="00FA40A3" w:rsidRPr="00AA7918" w:rsidRDefault="00FA40A3" w:rsidP="00AF632F">
            <w:pPr>
              <w:pStyle w:val="NormalWeb"/>
              <w:jc w:val="center"/>
              <w:rPr>
                <w:color w:val="FFFFFF" w:themeColor="background1"/>
              </w:rPr>
            </w:pPr>
            <w:r w:rsidRPr="00AA7918">
              <w:rPr>
                <w:color w:val="FFFFFF" w:themeColor="background1"/>
              </w:rPr>
              <w:t>Died</w:t>
            </w:r>
          </w:p>
        </w:tc>
        <w:tc>
          <w:tcPr>
            <w:tcW w:w="2257" w:type="dxa"/>
            <w:tcBorders>
              <w:top w:val="single" w:sz="2" w:space="0" w:color="FFFFFF" w:themeColor="background1"/>
              <w:left w:val="single" w:sz="2" w:space="0" w:color="FFFFFF" w:themeColor="background1"/>
            </w:tcBorders>
            <w:hideMark/>
          </w:tcPr>
          <w:p w14:paraId="73D798A1" w14:textId="77777777" w:rsidR="00FA40A3" w:rsidRPr="00AA7918" w:rsidRDefault="00FA40A3" w:rsidP="00AF632F">
            <w:pPr>
              <w:pStyle w:val="NormalWeb"/>
              <w:jc w:val="center"/>
              <w:rPr>
                <w:color w:val="FFFFFF" w:themeColor="background1"/>
              </w:rPr>
            </w:pPr>
            <w:proofErr w:type="spellStart"/>
            <w:r w:rsidRPr="00AA7918">
              <w:rPr>
                <w:color w:val="FFFFFF" w:themeColor="background1"/>
              </w:rPr>
              <w:t>Total</w:t>
            </w:r>
            <w:r w:rsidRPr="00AA7918">
              <w:rPr>
                <w:color w:val="FFFFFF" w:themeColor="background1"/>
                <w:vertAlign w:val="superscript"/>
              </w:rPr>
              <w:t>a</w:t>
            </w:r>
            <w:proofErr w:type="spellEnd"/>
          </w:p>
        </w:tc>
      </w:tr>
      <w:tr w:rsidR="00FA40A3" w14:paraId="1CBF41C6" w14:textId="77777777" w:rsidTr="00AF632F">
        <w:tc>
          <w:tcPr>
            <w:tcW w:w="0" w:type="auto"/>
            <w:vMerge w:val="restart"/>
            <w:tcBorders>
              <w:left w:val="single" w:sz="2" w:space="0" w:color="auto"/>
              <w:bottom w:val="single" w:sz="2" w:space="0" w:color="auto"/>
              <w:right w:val="single" w:sz="2" w:space="0" w:color="auto"/>
            </w:tcBorders>
            <w:vAlign w:val="center"/>
            <w:hideMark/>
          </w:tcPr>
          <w:p w14:paraId="01BCF1CF" w14:textId="77777777" w:rsidR="00FA40A3" w:rsidRDefault="00FA40A3" w:rsidP="00AF632F">
            <w:pPr>
              <w:pStyle w:val="NormalWeb"/>
            </w:pPr>
            <w:proofErr w:type="spellStart"/>
            <w:r>
              <w:t>NoCS</w:t>
            </w:r>
            <w:proofErr w:type="spellEnd"/>
            <w:r>
              <w:t xml:space="preserve"> data</w:t>
            </w:r>
          </w:p>
        </w:tc>
        <w:tc>
          <w:tcPr>
            <w:tcW w:w="0" w:type="auto"/>
            <w:tcBorders>
              <w:left w:val="single" w:sz="2" w:space="0" w:color="auto"/>
            </w:tcBorders>
            <w:hideMark/>
          </w:tcPr>
          <w:p w14:paraId="48953C02" w14:textId="77777777" w:rsidR="00FA40A3" w:rsidRDefault="00FA40A3" w:rsidP="00AF632F">
            <w:pPr>
              <w:pStyle w:val="NormalWeb"/>
              <w:jc w:val="center"/>
            </w:pPr>
            <w:r>
              <w:t>Not recorded as having died</w:t>
            </w:r>
          </w:p>
        </w:tc>
        <w:tc>
          <w:tcPr>
            <w:tcW w:w="2256" w:type="dxa"/>
            <w:hideMark/>
          </w:tcPr>
          <w:p w14:paraId="202C0035" w14:textId="77777777" w:rsidR="00FA40A3" w:rsidRDefault="00FA40A3" w:rsidP="00AF632F">
            <w:pPr>
              <w:pStyle w:val="NormalWeb"/>
              <w:jc w:val="center"/>
            </w:pPr>
            <w:r>
              <w:t>959</w:t>
            </w:r>
          </w:p>
        </w:tc>
        <w:tc>
          <w:tcPr>
            <w:tcW w:w="2256" w:type="dxa"/>
            <w:hideMark/>
          </w:tcPr>
          <w:p w14:paraId="5310B5D0" w14:textId="77777777" w:rsidR="00FA40A3" w:rsidRDefault="00FA40A3" w:rsidP="00AF632F">
            <w:pPr>
              <w:pStyle w:val="NormalWeb"/>
              <w:jc w:val="center"/>
            </w:pPr>
            <w:r>
              <w:t>&lt; 5</w:t>
            </w:r>
          </w:p>
        </w:tc>
        <w:tc>
          <w:tcPr>
            <w:tcW w:w="2257" w:type="dxa"/>
            <w:tcBorders>
              <w:right w:val="single" w:sz="2" w:space="0" w:color="auto"/>
            </w:tcBorders>
            <w:hideMark/>
          </w:tcPr>
          <w:p w14:paraId="431BCE1F" w14:textId="77777777" w:rsidR="00FA40A3" w:rsidRDefault="00FA40A3" w:rsidP="00AF632F">
            <w:pPr>
              <w:pStyle w:val="NormalWeb"/>
              <w:jc w:val="center"/>
            </w:pPr>
            <w:r>
              <w:t>XXXX</w:t>
            </w:r>
          </w:p>
        </w:tc>
      </w:tr>
      <w:tr w:rsidR="00FA40A3" w14:paraId="568C2023"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auto"/>
              <w:bottom w:val="single" w:sz="2" w:space="0" w:color="auto"/>
              <w:right w:val="single" w:sz="2" w:space="0" w:color="auto"/>
            </w:tcBorders>
            <w:hideMark/>
          </w:tcPr>
          <w:p w14:paraId="704AF97B" w14:textId="77777777" w:rsidR="00FA40A3" w:rsidRDefault="00FA40A3" w:rsidP="00AF632F">
            <w:pPr>
              <w:rPr>
                <w:sz w:val="24"/>
                <w:szCs w:val="24"/>
              </w:rPr>
            </w:pPr>
          </w:p>
        </w:tc>
        <w:tc>
          <w:tcPr>
            <w:tcW w:w="0" w:type="auto"/>
            <w:tcBorders>
              <w:left w:val="single" w:sz="2" w:space="0" w:color="auto"/>
            </w:tcBorders>
            <w:hideMark/>
          </w:tcPr>
          <w:p w14:paraId="0751D880" w14:textId="77777777" w:rsidR="00FA40A3" w:rsidRDefault="00FA40A3" w:rsidP="00AF632F">
            <w:pPr>
              <w:pStyle w:val="NormalWeb"/>
              <w:jc w:val="center"/>
            </w:pPr>
            <w:r>
              <w:t>Recorded as having died</w:t>
            </w:r>
          </w:p>
        </w:tc>
        <w:tc>
          <w:tcPr>
            <w:tcW w:w="2256" w:type="dxa"/>
            <w:hideMark/>
          </w:tcPr>
          <w:p w14:paraId="69EB60DE" w14:textId="77777777" w:rsidR="00FA40A3" w:rsidRDefault="00FA40A3" w:rsidP="00AF632F">
            <w:pPr>
              <w:pStyle w:val="NormalWeb"/>
              <w:jc w:val="center"/>
            </w:pPr>
            <w:r>
              <w:t>&lt; 5</w:t>
            </w:r>
          </w:p>
        </w:tc>
        <w:tc>
          <w:tcPr>
            <w:tcW w:w="2256" w:type="dxa"/>
            <w:hideMark/>
          </w:tcPr>
          <w:p w14:paraId="05F01199" w14:textId="77777777" w:rsidR="00FA40A3" w:rsidRDefault="00FA40A3" w:rsidP="00AF632F">
            <w:pPr>
              <w:pStyle w:val="NormalWeb"/>
              <w:jc w:val="center"/>
            </w:pPr>
            <w:r>
              <w:t>&lt; 5</w:t>
            </w:r>
          </w:p>
        </w:tc>
        <w:tc>
          <w:tcPr>
            <w:tcW w:w="2257" w:type="dxa"/>
            <w:tcBorders>
              <w:right w:val="single" w:sz="2" w:space="0" w:color="auto"/>
            </w:tcBorders>
            <w:hideMark/>
          </w:tcPr>
          <w:p w14:paraId="65DFD21A" w14:textId="77777777" w:rsidR="00FA40A3" w:rsidRDefault="00FA40A3" w:rsidP="00AF632F">
            <w:pPr>
              <w:pStyle w:val="NormalWeb"/>
              <w:jc w:val="center"/>
            </w:pPr>
            <w:r>
              <w:t>6</w:t>
            </w:r>
          </w:p>
        </w:tc>
      </w:tr>
      <w:tr w:rsidR="00FA40A3" w14:paraId="09B12F7D" w14:textId="77777777" w:rsidTr="00AF632F">
        <w:tc>
          <w:tcPr>
            <w:tcW w:w="0" w:type="auto"/>
            <w:vMerge/>
            <w:tcBorders>
              <w:left w:val="single" w:sz="2" w:space="0" w:color="auto"/>
              <w:bottom w:val="single" w:sz="2" w:space="0" w:color="auto"/>
              <w:right w:val="single" w:sz="2" w:space="0" w:color="auto"/>
            </w:tcBorders>
            <w:hideMark/>
          </w:tcPr>
          <w:p w14:paraId="58B9BFBF" w14:textId="77777777" w:rsidR="00FA40A3" w:rsidRDefault="00FA40A3" w:rsidP="00AF632F">
            <w:pPr>
              <w:rPr>
                <w:sz w:val="24"/>
                <w:szCs w:val="24"/>
              </w:rPr>
            </w:pPr>
          </w:p>
        </w:tc>
        <w:tc>
          <w:tcPr>
            <w:tcW w:w="0" w:type="auto"/>
            <w:tcBorders>
              <w:left w:val="single" w:sz="2" w:space="0" w:color="auto"/>
            </w:tcBorders>
            <w:hideMark/>
          </w:tcPr>
          <w:p w14:paraId="68FDE4D7" w14:textId="77777777" w:rsidR="00FA40A3" w:rsidRDefault="00FA40A3" w:rsidP="00AF632F">
            <w:pPr>
              <w:pStyle w:val="NormalWeb"/>
              <w:jc w:val="center"/>
            </w:pPr>
            <w:r>
              <w:t>Not recorded</w:t>
            </w:r>
          </w:p>
        </w:tc>
        <w:tc>
          <w:tcPr>
            <w:tcW w:w="2256" w:type="dxa"/>
            <w:hideMark/>
          </w:tcPr>
          <w:p w14:paraId="6F40FFDE" w14:textId="77777777" w:rsidR="00FA40A3" w:rsidRDefault="00FA40A3" w:rsidP="00AF632F">
            <w:pPr>
              <w:pStyle w:val="NormalWeb"/>
              <w:jc w:val="center"/>
            </w:pPr>
            <w:r>
              <w:t>XXXX</w:t>
            </w:r>
          </w:p>
        </w:tc>
        <w:tc>
          <w:tcPr>
            <w:tcW w:w="2256" w:type="dxa"/>
            <w:hideMark/>
          </w:tcPr>
          <w:p w14:paraId="2BA4D9D7" w14:textId="77777777" w:rsidR="00FA40A3" w:rsidRDefault="00FA40A3" w:rsidP="00AF632F">
            <w:pPr>
              <w:pStyle w:val="NormalWeb"/>
              <w:jc w:val="center"/>
            </w:pPr>
            <w:r>
              <w:t>&lt; 5</w:t>
            </w:r>
          </w:p>
        </w:tc>
        <w:tc>
          <w:tcPr>
            <w:tcW w:w="2257" w:type="dxa"/>
            <w:tcBorders>
              <w:right w:val="single" w:sz="2" w:space="0" w:color="auto"/>
            </w:tcBorders>
            <w:hideMark/>
          </w:tcPr>
          <w:p w14:paraId="6E45E00C" w14:textId="77777777" w:rsidR="00FA40A3" w:rsidRDefault="00FA40A3" w:rsidP="00AF632F">
            <w:pPr>
              <w:pStyle w:val="NormalWeb"/>
              <w:jc w:val="center"/>
            </w:pPr>
            <w:r>
              <w:t>XXXX</w:t>
            </w:r>
          </w:p>
        </w:tc>
      </w:tr>
      <w:tr w:rsidR="00FA40A3" w14:paraId="50B3CE8D"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auto"/>
              <w:bottom w:val="single" w:sz="2" w:space="0" w:color="auto"/>
              <w:right w:val="single" w:sz="2" w:space="0" w:color="auto"/>
            </w:tcBorders>
            <w:hideMark/>
          </w:tcPr>
          <w:p w14:paraId="6D777D17" w14:textId="77777777" w:rsidR="00FA40A3" w:rsidRDefault="00FA40A3" w:rsidP="00AF632F">
            <w:pPr>
              <w:rPr>
                <w:sz w:val="24"/>
                <w:szCs w:val="24"/>
              </w:rPr>
            </w:pPr>
          </w:p>
        </w:tc>
        <w:tc>
          <w:tcPr>
            <w:tcW w:w="0" w:type="auto"/>
            <w:tcBorders>
              <w:left w:val="single" w:sz="2" w:space="0" w:color="auto"/>
              <w:bottom w:val="single" w:sz="2" w:space="0" w:color="auto"/>
            </w:tcBorders>
            <w:shd w:val="clear" w:color="auto" w:fill="FDE9D9" w:themeFill="accent6" w:themeFillTint="33"/>
            <w:hideMark/>
          </w:tcPr>
          <w:p w14:paraId="1C06BB6B" w14:textId="77777777" w:rsidR="00FA40A3" w:rsidRPr="001661F6" w:rsidRDefault="00FA40A3" w:rsidP="00AF632F">
            <w:pPr>
              <w:pStyle w:val="NormalWeb"/>
              <w:jc w:val="center"/>
              <w:rPr>
                <w:b/>
                <w:bCs/>
              </w:rPr>
            </w:pPr>
            <w:proofErr w:type="spellStart"/>
            <w:r w:rsidRPr="001661F6">
              <w:rPr>
                <w:b/>
                <w:bCs/>
              </w:rPr>
              <w:t>Total</w:t>
            </w:r>
            <w:r w:rsidRPr="001661F6">
              <w:rPr>
                <w:b/>
                <w:bCs/>
                <w:vertAlign w:val="superscript"/>
              </w:rPr>
              <w:t>a</w:t>
            </w:r>
            <w:proofErr w:type="spellEnd"/>
          </w:p>
        </w:tc>
        <w:tc>
          <w:tcPr>
            <w:tcW w:w="2256" w:type="dxa"/>
            <w:tcBorders>
              <w:bottom w:val="single" w:sz="2" w:space="0" w:color="auto"/>
            </w:tcBorders>
            <w:shd w:val="clear" w:color="auto" w:fill="FDE9D9" w:themeFill="accent6" w:themeFillTint="33"/>
            <w:hideMark/>
          </w:tcPr>
          <w:p w14:paraId="4950A640" w14:textId="77777777" w:rsidR="00FA40A3" w:rsidRPr="001661F6" w:rsidRDefault="00FA40A3" w:rsidP="00AF632F">
            <w:pPr>
              <w:pStyle w:val="NormalWeb"/>
              <w:jc w:val="center"/>
              <w:rPr>
                <w:b/>
                <w:bCs/>
              </w:rPr>
            </w:pPr>
            <w:r w:rsidRPr="001661F6">
              <w:rPr>
                <w:b/>
                <w:bCs/>
              </w:rPr>
              <w:t>1,176</w:t>
            </w:r>
          </w:p>
        </w:tc>
        <w:tc>
          <w:tcPr>
            <w:tcW w:w="2256" w:type="dxa"/>
            <w:tcBorders>
              <w:bottom w:val="single" w:sz="2" w:space="0" w:color="auto"/>
            </w:tcBorders>
            <w:shd w:val="clear" w:color="auto" w:fill="FDE9D9" w:themeFill="accent6" w:themeFillTint="33"/>
            <w:hideMark/>
          </w:tcPr>
          <w:p w14:paraId="3606CFCD" w14:textId="77777777" w:rsidR="00FA40A3" w:rsidRPr="001661F6" w:rsidRDefault="00FA40A3" w:rsidP="00AF632F">
            <w:pPr>
              <w:pStyle w:val="NormalWeb"/>
              <w:jc w:val="center"/>
              <w:rPr>
                <w:b/>
                <w:bCs/>
              </w:rPr>
            </w:pPr>
            <w:r w:rsidRPr="001661F6">
              <w:rPr>
                <w:b/>
                <w:bCs/>
              </w:rPr>
              <w:t>6</w:t>
            </w:r>
          </w:p>
        </w:tc>
        <w:tc>
          <w:tcPr>
            <w:tcW w:w="2257" w:type="dxa"/>
            <w:tcBorders>
              <w:bottom w:val="single" w:sz="2" w:space="0" w:color="auto"/>
              <w:right w:val="single" w:sz="2" w:space="0" w:color="auto"/>
            </w:tcBorders>
            <w:shd w:val="clear" w:color="auto" w:fill="FDE9D9" w:themeFill="accent6" w:themeFillTint="33"/>
            <w:hideMark/>
          </w:tcPr>
          <w:p w14:paraId="3E5EAA30" w14:textId="77777777" w:rsidR="00FA40A3" w:rsidRPr="001661F6" w:rsidRDefault="00FA40A3" w:rsidP="00AF632F">
            <w:pPr>
              <w:pStyle w:val="NormalWeb"/>
              <w:jc w:val="center"/>
              <w:rPr>
                <w:b/>
                <w:bCs/>
              </w:rPr>
            </w:pPr>
            <w:r w:rsidRPr="001661F6">
              <w:rPr>
                <w:b/>
                <w:bCs/>
              </w:rPr>
              <w:t>1,182</w:t>
            </w:r>
          </w:p>
        </w:tc>
      </w:tr>
    </w:tbl>
    <w:p w14:paraId="1D07CC45" w14:textId="77777777" w:rsidR="00FA40A3" w:rsidRDefault="00FA40A3" w:rsidP="00FA40A3">
      <w:pPr>
        <w:pStyle w:val="CDIfootnotes"/>
        <w:rPr>
          <w:lang w:val="en-GB"/>
        </w:rPr>
      </w:pPr>
      <w:r>
        <w:rPr>
          <w:lang w:val="en-GB"/>
        </w:rPr>
        <w:t xml:space="preserve">a ‘XXXX’ indicates that the number has been suppressed. </w:t>
      </w:r>
    </w:p>
    <w:p w14:paraId="4F342CC3" w14:textId="77777777" w:rsidR="00FA40A3" w:rsidRPr="00AA7918" w:rsidRDefault="00FA40A3" w:rsidP="00FA40A3">
      <w:pPr>
        <w:pStyle w:val="CDIFigures"/>
      </w:pPr>
      <w:r w:rsidRPr="00AA7918">
        <w:rPr>
          <w:rStyle w:val="Strong"/>
          <w:b/>
          <w:bCs w:val="0"/>
        </w:rPr>
        <w:t xml:space="preserve">Table A.5: Top 10 principal diagnosis codes among COVID-19 patients presenting to an emergency department in Queensland within two weeks of recorded symptom onset </w:t>
      </w:r>
      <w:proofErr w:type="spellStart"/>
      <w:r w:rsidRPr="00AA7918">
        <w:rPr>
          <w:rStyle w:val="Strong"/>
          <w:b/>
          <w:bCs w:val="0"/>
        </w:rPr>
        <w:t>date</w:t>
      </w:r>
      <w:r w:rsidRPr="00AA7918">
        <w:rPr>
          <w:rStyle w:val="Strong"/>
          <w:b/>
          <w:bCs w:val="0"/>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Of the 740 presentations among 922 cases, the most common principal diagnosis codes for those presenting to an emergency department within two weeks of symptom onset related to viral infections, including viral infection, emergency use of U07.1, screening for viral diseases, upper respiratory infection, coronavirus infection, pneumonia and influenza. The top 10 diagnoses accounted for 92% of all diagnoses at emergency departments among these cases."/>
      </w:tblPr>
      <w:tblGrid>
        <w:gridCol w:w="529"/>
        <w:gridCol w:w="1465"/>
        <w:gridCol w:w="5589"/>
        <w:gridCol w:w="419"/>
        <w:gridCol w:w="469"/>
        <w:gridCol w:w="1969"/>
      </w:tblGrid>
      <w:tr w:rsidR="00FA40A3" w:rsidRPr="00B80D89" w14:paraId="2C3E205C"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1FA60970" w14:textId="77777777" w:rsidR="00FA40A3" w:rsidRPr="00B80D89" w:rsidRDefault="00FA40A3" w:rsidP="00AF632F">
            <w:pPr>
              <w:pStyle w:val="NormalWeb"/>
              <w:rPr>
                <w:color w:val="FFFFFF" w:themeColor="background1"/>
                <w:sz w:val="20"/>
                <w:szCs w:val="20"/>
              </w:rPr>
            </w:pPr>
            <w:r w:rsidRPr="00B80D89">
              <w:rPr>
                <w:color w:val="FFFFFF" w:themeColor="background1"/>
                <w:sz w:val="20"/>
                <w:szCs w:val="20"/>
              </w:rPr>
              <w:t>Rank</w:t>
            </w:r>
          </w:p>
        </w:tc>
        <w:tc>
          <w:tcPr>
            <w:tcW w:w="0" w:type="auto"/>
            <w:tcBorders>
              <w:left w:val="single" w:sz="2" w:space="0" w:color="FFFFFF" w:themeColor="background1"/>
              <w:right w:val="single" w:sz="2" w:space="0" w:color="FFFFFF" w:themeColor="background1"/>
            </w:tcBorders>
            <w:hideMark/>
          </w:tcPr>
          <w:p w14:paraId="3FC4C3F0" w14:textId="77777777" w:rsidR="00FA40A3" w:rsidRPr="00B80D89" w:rsidRDefault="00FA40A3" w:rsidP="00AF632F">
            <w:pPr>
              <w:pStyle w:val="NormalWeb"/>
              <w:jc w:val="center"/>
              <w:rPr>
                <w:color w:val="FFFFFF" w:themeColor="background1"/>
                <w:sz w:val="20"/>
                <w:szCs w:val="20"/>
              </w:rPr>
            </w:pPr>
            <w:r w:rsidRPr="00B80D89">
              <w:rPr>
                <w:color w:val="FFFFFF" w:themeColor="background1"/>
                <w:sz w:val="20"/>
                <w:szCs w:val="20"/>
              </w:rPr>
              <w:t>ICD-10-AM code</w:t>
            </w:r>
          </w:p>
        </w:tc>
        <w:tc>
          <w:tcPr>
            <w:tcW w:w="0" w:type="auto"/>
            <w:tcBorders>
              <w:left w:val="single" w:sz="2" w:space="0" w:color="FFFFFF" w:themeColor="background1"/>
              <w:right w:val="single" w:sz="2" w:space="0" w:color="FFFFFF" w:themeColor="background1"/>
            </w:tcBorders>
            <w:hideMark/>
          </w:tcPr>
          <w:p w14:paraId="7A9D9524" w14:textId="77777777" w:rsidR="00FA40A3" w:rsidRPr="00B80D89" w:rsidRDefault="00FA40A3" w:rsidP="00AF632F">
            <w:pPr>
              <w:pStyle w:val="NormalWeb"/>
              <w:rPr>
                <w:color w:val="FFFFFF" w:themeColor="background1"/>
                <w:sz w:val="20"/>
                <w:szCs w:val="20"/>
              </w:rPr>
            </w:pPr>
            <w:r w:rsidRPr="00B80D89">
              <w:rPr>
                <w:color w:val="FFFFFF" w:themeColor="background1"/>
                <w:sz w:val="20"/>
                <w:szCs w:val="20"/>
              </w:rPr>
              <w:t>Definition of ICD-10-AM code</w:t>
            </w:r>
          </w:p>
        </w:tc>
        <w:tc>
          <w:tcPr>
            <w:tcW w:w="0" w:type="auto"/>
            <w:tcBorders>
              <w:left w:val="single" w:sz="2" w:space="0" w:color="FFFFFF" w:themeColor="background1"/>
              <w:right w:val="single" w:sz="2" w:space="0" w:color="FFFFFF" w:themeColor="background1"/>
            </w:tcBorders>
            <w:hideMark/>
          </w:tcPr>
          <w:p w14:paraId="0A6F86CF" w14:textId="77777777" w:rsidR="00FA40A3" w:rsidRPr="00B80D89" w:rsidRDefault="00FA40A3" w:rsidP="00AF632F">
            <w:pPr>
              <w:pStyle w:val="NormalWeb"/>
              <w:jc w:val="center"/>
              <w:rPr>
                <w:color w:val="FFFFFF" w:themeColor="background1"/>
                <w:sz w:val="20"/>
                <w:szCs w:val="20"/>
              </w:rPr>
            </w:pPr>
            <w:r w:rsidRPr="00B80D89">
              <w:rPr>
                <w:color w:val="FFFFFF" w:themeColor="background1"/>
                <w:sz w:val="20"/>
                <w:szCs w:val="20"/>
              </w:rPr>
              <w:t>n</w:t>
            </w:r>
          </w:p>
        </w:tc>
        <w:tc>
          <w:tcPr>
            <w:tcW w:w="0" w:type="auto"/>
            <w:tcBorders>
              <w:left w:val="single" w:sz="2" w:space="0" w:color="FFFFFF" w:themeColor="background1"/>
              <w:right w:val="single" w:sz="2" w:space="0" w:color="FFFFFF" w:themeColor="background1"/>
            </w:tcBorders>
            <w:hideMark/>
          </w:tcPr>
          <w:p w14:paraId="73936912" w14:textId="77777777" w:rsidR="00FA40A3" w:rsidRPr="00B80D89" w:rsidRDefault="00FA40A3" w:rsidP="00AF632F">
            <w:pPr>
              <w:pStyle w:val="NormalWeb"/>
              <w:jc w:val="center"/>
              <w:rPr>
                <w:color w:val="FFFFFF" w:themeColor="background1"/>
                <w:sz w:val="20"/>
                <w:szCs w:val="20"/>
              </w:rPr>
            </w:pPr>
            <w:r w:rsidRPr="00B80D89">
              <w:rPr>
                <w:color w:val="FFFFFF" w:themeColor="background1"/>
                <w:sz w:val="20"/>
                <w:szCs w:val="20"/>
              </w:rPr>
              <w:t>%</w:t>
            </w:r>
          </w:p>
        </w:tc>
        <w:tc>
          <w:tcPr>
            <w:tcW w:w="1969" w:type="dxa"/>
            <w:tcBorders>
              <w:left w:val="single" w:sz="2" w:space="0" w:color="FFFFFF" w:themeColor="background1"/>
            </w:tcBorders>
            <w:hideMark/>
          </w:tcPr>
          <w:p w14:paraId="7932C861" w14:textId="77777777" w:rsidR="00FA40A3" w:rsidRPr="00B80D89" w:rsidRDefault="00FA40A3" w:rsidP="00AF632F">
            <w:pPr>
              <w:pStyle w:val="NormalWeb"/>
              <w:jc w:val="center"/>
              <w:rPr>
                <w:color w:val="FFFFFF" w:themeColor="background1"/>
                <w:sz w:val="20"/>
                <w:szCs w:val="20"/>
              </w:rPr>
            </w:pPr>
            <w:r w:rsidRPr="00B80D89">
              <w:rPr>
                <w:color w:val="FFFFFF" w:themeColor="background1"/>
                <w:sz w:val="20"/>
                <w:szCs w:val="20"/>
              </w:rPr>
              <w:t>Cumulative %</w:t>
            </w:r>
          </w:p>
        </w:tc>
      </w:tr>
      <w:tr w:rsidR="00FA40A3" w:rsidRPr="00B80D89" w14:paraId="1EEAD85D" w14:textId="77777777" w:rsidTr="00AF632F">
        <w:tc>
          <w:tcPr>
            <w:tcW w:w="0" w:type="auto"/>
            <w:hideMark/>
          </w:tcPr>
          <w:p w14:paraId="666C2B48" w14:textId="77777777" w:rsidR="00FA40A3" w:rsidRPr="00B80D89" w:rsidRDefault="00FA40A3" w:rsidP="00AF632F">
            <w:pPr>
              <w:pStyle w:val="NormalWeb"/>
              <w:rPr>
                <w:sz w:val="20"/>
                <w:szCs w:val="20"/>
              </w:rPr>
            </w:pPr>
            <w:r w:rsidRPr="00B80D89">
              <w:rPr>
                <w:sz w:val="20"/>
                <w:szCs w:val="20"/>
              </w:rPr>
              <w:t>1</w:t>
            </w:r>
          </w:p>
        </w:tc>
        <w:tc>
          <w:tcPr>
            <w:tcW w:w="0" w:type="auto"/>
            <w:hideMark/>
          </w:tcPr>
          <w:p w14:paraId="5EC55C65" w14:textId="77777777" w:rsidR="00FA40A3" w:rsidRPr="00B80D89" w:rsidRDefault="00FA40A3" w:rsidP="00AF632F">
            <w:pPr>
              <w:pStyle w:val="NormalWeb"/>
              <w:jc w:val="center"/>
              <w:rPr>
                <w:sz w:val="20"/>
                <w:szCs w:val="20"/>
              </w:rPr>
            </w:pPr>
            <w:r w:rsidRPr="00B80D89">
              <w:rPr>
                <w:sz w:val="20"/>
                <w:szCs w:val="20"/>
              </w:rPr>
              <w:t>B34.9</w:t>
            </w:r>
          </w:p>
        </w:tc>
        <w:tc>
          <w:tcPr>
            <w:tcW w:w="0" w:type="auto"/>
            <w:hideMark/>
          </w:tcPr>
          <w:p w14:paraId="54767677" w14:textId="77777777" w:rsidR="00FA40A3" w:rsidRPr="00B80D89" w:rsidRDefault="00FA40A3" w:rsidP="00AF632F">
            <w:pPr>
              <w:pStyle w:val="NormalWeb"/>
              <w:rPr>
                <w:sz w:val="20"/>
                <w:szCs w:val="20"/>
              </w:rPr>
            </w:pPr>
            <w:r w:rsidRPr="00B80D89">
              <w:rPr>
                <w:sz w:val="20"/>
                <w:szCs w:val="20"/>
              </w:rPr>
              <w:t>Viral infection, unspecified</w:t>
            </w:r>
          </w:p>
        </w:tc>
        <w:tc>
          <w:tcPr>
            <w:tcW w:w="0" w:type="auto"/>
            <w:hideMark/>
          </w:tcPr>
          <w:p w14:paraId="5FABA306" w14:textId="77777777" w:rsidR="00FA40A3" w:rsidRPr="00B80D89" w:rsidRDefault="00FA40A3" w:rsidP="00AF632F">
            <w:pPr>
              <w:pStyle w:val="NormalWeb"/>
              <w:jc w:val="center"/>
              <w:rPr>
                <w:sz w:val="20"/>
                <w:szCs w:val="20"/>
              </w:rPr>
            </w:pPr>
            <w:r w:rsidRPr="00B80D89">
              <w:rPr>
                <w:sz w:val="20"/>
                <w:szCs w:val="20"/>
              </w:rPr>
              <w:t>236</w:t>
            </w:r>
          </w:p>
        </w:tc>
        <w:tc>
          <w:tcPr>
            <w:tcW w:w="0" w:type="auto"/>
            <w:hideMark/>
          </w:tcPr>
          <w:p w14:paraId="5699F751" w14:textId="77777777" w:rsidR="00FA40A3" w:rsidRPr="00B80D89" w:rsidRDefault="00FA40A3" w:rsidP="00AF632F">
            <w:pPr>
              <w:pStyle w:val="NormalWeb"/>
              <w:jc w:val="center"/>
              <w:rPr>
                <w:sz w:val="20"/>
                <w:szCs w:val="20"/>
              </w:rPr>
            </w:pPr>
            <w:r w:rsidRPr="00B80D89">
              <w:rPr>
                <w:sz w:val="20"/>
                <w:szCs w:val="20"/>
              </w:rPr>
              <w:t>31.9</w:t>
            </w:r>
          </w:p>
        </w:tc>
        <w:tc>
          <w:tcPr>
            <w:tcW w:w="1969" w:type="dxa"/>
            <w:hideMark/>
          </w:tcPr>
          <w:p w14:paraId="6BB1CBF8" w14:textId="77777777" w:rsidR="00FA40A3" w:rsidRPr="00B80D89" w:rsidRDefault="00FA40A3" w:rsidP="00AF632F">
            <w:pPr>
              <w:pStyle w:val="NormalWeb"/>
              <w:jc w:val="center"/>
              <w:rPr>
                <w:sz w:val="20"/>
                <w:szCs w:val="20"/>
              </w:rPr>
            </w:pPr>
            <w:r w:rsidRPr="00B80D89">
              <w:rPr>
                <w:sz w:val="20"/>
                <w:szCs w:val="20"/>
              </w:rPr>
              <w:t>31.9</w:t>
            </w:r>
          </w:p>
        </w:tc>
      </w:tr>
      <w:tr w:rsidR="00FA40A3" w:rsidRPr="00B80D89" w14:paraId="6A74BC1E"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327B3796" w14:textId="77777777" w:rsidR="00FA40A3" w:rsidRPr="00B80D89" w:rsidRDefault="00FA40A3" w:rsidP="00AF632F">
            <w:pPr>
              <w:pStyle w:val="NormalWeb"/>
              <w:rPr>
                <w:sz w:val="20"/>
                <w:szCs w:val="20"/>
              </w:rPr>
            </w:pPr>
            <w:r w:rsidRPr="00B80D89">
              <w:rPr>
                <w:sz w:val="20"/>
                <w:szCs w:val="20"/>
              </w:rPr>
              <w:t>2</w:t>
            </w:r>
          </w:p>
        </w:tc>
        <w:tc>
          <w:tcPr>
            <w:tcW w:w="0" w:type="auto"/>
            <w:hideMark/>
          </w:tcPr>
          <w:p w14:paraId="3C103A21" w14:textId="77777777" w:rsidR="00FA40A3" w:rsidRPr="00B80D89" w:rsidRDefault="00FA40A3" w:rsidP="00AF632F">
            <w:pPr>
              <w:pStyle w:val="NormalWeb"/>
              <w:jc w:val="center"/>
              <w:rPr>
                <w:sz w:val="20"/>
                <w:szCs w:val="20"/>
              </w:rPr>
            </w:pPr>
            <w:r w:rsidRPr="00B80D89">
              <w:rPr>
                <w:sz w:val="20"/>
                <w:szCs w:val="20"/>
              </w:rPr>
              <w:t>U07.1</w:t>
            </w:r>
          </w:p>
        </w:tc>
        <w:tc>
          <w:tcPr>
            <w:tcW w:w="0" w:type="auto"/>
            <w:hideMark/>
          </w:tcPr>
          <w:p w14:paraId="5592C626" w14:textId="77777777" w:rsidR="00FA40A3" w:rsidRPr="00B80D89" w:rsidRDefault="00FA40A3" w:rsidP="00AF632F">
            <w:pPr>
              <w:pStyle w:val="NormalWeb"/>
              <w:rPr>
                <w:sz w:val="20"/>
                <w:szCs w:val="20"/>
              </w:rPr>
            </w:pPr>
            <w:r w:rsidRPr="00B80D89">
              <w:rPr>
                <w:sz w:val="20"/>
                <w:szCs w:val="20"/>
              </w:rPr>
              <w:t>Emergency use of U07.1 (COVID-19)</w:t>
            </w:r>
          </w:p>
        </w:tc>
        <w:tc>
          <w:tcPr>
            <w:tcW w:w="0" w:type="auto"/>
            <w:hideMark/>
          </w:tcPr>
          <w:p w14:paraId="7AC8888D" w14:textId="77777777" w:rsidR="00FA40A3" w:rsidRPr="00B80D89" w:rsidRDefault="00FA40A3" w:rsidP="00AF632F">
            <w:pPr>
              <w:pStyle w:val="NormalWeb"/>
              <w:jc w:val="center"/>
              <w:rPr>
                <w:sz w:val="20"/>
                <w:szCs w:val="20"/>
              </w:rPr>
            </w:pPr>
            <w:r w:rsidRPr="00B80D89">
              <w:rPr>
                <w:sz w:val="20"/>
                <w:szCs w:val="20"/>
              </w:rPr>
              <w:t>191</w:t>
            </w:r>
          </w:p>
        </w:tc>
        <w:tc>
          <w:tcPr>
            <w:tcW w:w="0" w:type="auto"/>
            <w:hideMark/>
          </w:tcPr>
          <w:p w14:paraId="7A2B86E0" w14:textId="77777777" w:rsidR="00FA40A3" w:rsidRPr="00B80D89" w:rsidRDefault="00FA40A3" w:rsidP="00AF632F">
            <w:pPr>
              <w:pStyle w:val="NormalWeb"/>
              <w:jc w:val="center"/>
              <w:rPr>
                <w:sz w:val="20"/>
                <w:szCs w:val="20"/>
              </w:rPr>
            </w:pPr>
            <w:r w:rsidRPr="00B80D89">
              <w:rPr>
                <w:sz w:val="20"/>
                <w:szCs w:val="20"/>
              </w:rPr>
              <w:t>25.8</w:t>
            </w:r>
          </w:p>
        </w:tc>
        <w:tc>
          <w:tcPr>
            <w:tcW w:w="1969" w:type="dxa"/>
            <w:hideMark/>
          </w:tcPr>
          <w:p w14:paraId="72E230BD" w14:textId="77777777" w:rsidR="00FA40A3" w:rsidRPr="00B80D89" w:rsidRDefault="00FA40A3" w:rsidP="00AF632F">
            <w:pPr>
              <w:pStyle w:val="NormalWeb"/>
              <w:jc w:val="center"/>
              <w:rPr>
                <w:sz w:val="20"/>
                <w:szCs w:val="20"/>
              </w:rPr>
            </w:pPr>
            <w:r w:rsidRPr="00B80D89">
              <w:rPr>
                <w:sz w:val="20"/>
                <w:szCs w:val="20"/>
              </w:rPr>
              <w:t>57.7</w:t>
            </w:r>
          </w:p>
        </w:tc>
      </w:tr>
      <w:tr w:rsidR="00FA40A3" w:rsidRPr="00B80D89" w14:paraId="08B8519D" w14:textId="77777777" w:rsidTr="00AF632F">
        <w:tc>
          <w:tcPr>
            <w:tcW w:w="0" w:type="auto"/>
            <w:hideMark/>
          </w:tcPr>
          <w:p w14:paraId="1B61B5AC" w14:textId="77777777" w:rsidR="00FA40A3" w:rsidRPr="00B80D89" w:rsidRDefault="00FA40A3" w:rsidP="00AF632F">
            <w:pPr>
              <w:pStyle w:val="NormalWeb"/>
              <w:rPr>
                <w:sz w:val="20"/>
                <w:szCs w:val="20"/>
              </w:rPr>
            </w:pPr>
            <w:r w:rsidRPr="00B80D89">
              <w:rPr>
                <w:sz w:val="20"/>
                <w:szCs w:val="20"/>
              </w:rPr>
              <w:t>3</w:t>
            </w:r>
          </w:p>
        </w:tc>
        <w:tc>
          <w:tcPr>
            <w:tcW w:w="0" w:type="auto"/>
            <w:hideMark/>
          </w:tcPr>
          <w:p w14:paraId="0E835B1C" w14:textId="77777777" w:rsidR="00FA40A3" w:rsidRPr="00B80D89" w:rsidRDefault="00FA40A3" w:rsidP="00AF632F">
            <w:pPr>
              <w:pStyle w:val="NormalWeb"/>
              <w:jc w:val="center"/>
              <w:rPr>
                <w:sz w:val="20"/>
                <w:szCs w:val="20"/>
              </w:rPr>
            </w:pPr>
            <w:r w:rsidRPr="00B80D89">
              <w:rPr>
                <w:sz w:val="20"/>
                <w:szCs w:val="20"/>
              </w:rPr>
              <w:t>Z11.5</w:t>
            </w:r>
          </w:p>
        </w:tc>
        <w:tc>
          <w:tcPr>
            <w:tcW w:w="0" w:type="auto"/>
            <w:hideMark/>
          </w:tcPr>
          <w:p w14:paraId="604AE98E" w14:textId="77777777" w:rsidR="00FA40A3" w:rsidRPr="00B80D89" w:rsidRDefault="00FA40A3" w:rsidP="00AF632F">
            <w:pPr>
              <w:pStyle w:val="NormalWeb"/>
              <w:rPr>
                <w:sz w:val="20"/>
                <w:szCs w:val="20"/>
              </w:rPr>
            </w:pPr>
            <w:r w:rsidRPr="00B80D89">
              <w:rPr>
                <w:sz w:val="20"/>
                <w:szCs w:val="20"/>
              </w:rPr>
              <w:t>Special screening examination for other viral diseases</w:t>
            </w:r>
          </w:p>
        </w:tc>
        <w:tc>
          <w:tcPr>
            <w:tcW w:w="0" w:type="auto"/>
            <w:hideMark/>
          </w:tcPr>
          <w:p w14:paraId="34EEE91E" w14:textId="77777777" w:rsidR="00FA40A3" w:rsidRPr="00B80D89" w:rsidRDefault="00FA40A3" w:rsidP="00AF632F">
            <w:pPr>
              <w:pStyle w:val="NormalWeb"/>
              <w:jc w:val="center"/>
              <w:rPr>
                <w:sz w:val="20"/>
                <w:szCs w:val="20"/>
              </w:rPr>
            </w:pPr>
            <w:r w:rsidRPr="00B80D89">
              <w:rPr>
                <w:sz w:val="20"/>
                <w:szCs w:val="20"/>
              </w:rPr>
              <w:t>167</w:t>
            </w:r>
          </w:p>
        </w:tc>
        <w:tc>
          <w:tcPr>
            <w:tcW w:w="0" w:type="auto"/>
            <w:hideMark/>
          </w:tcPr>
          <w:p w14:paraId="4C71F964" w14:textId="77777777" w:rsidR="00FA40A3" w:rsidRPr="00B80D89" w:rsidRDefault="00FA40A3" w:rsidP="00AF632F">
            <w:pPr>
              <w:pStyle w:val="NormalWeb"/>
              <w:jc w:val="center"/>
              <w:rPr>
                <w:sz w:val="20"/>
                <w:szCs w:val="20"/>
              </w:rPr>
            </w:pPr>
            <w:r w:rsidRPr="00B80D89">
              <w:rPr>
                <w:sz w:val="20"/>
                <w:szCs w:val="20"/>
              </w:rPr>
              <w:t>22.6</w:t>
            </w:r>
          </w:p>
        </w:tc>
        <w:tc>
          <w:tcPr>
            <w:tcW w:w="1969" w:type="dxa"/>
            <w:hideMark/>
          </w:tcPr>
          <w:p w14:paraId="4B7954D5" w14:textId="77777777" w:rsidR="00FA40A3" w:rsidRPr="00B80D89" w:rsidRDefault="00FA40A3" w:rsidP="00AF632F">
            <w:pPr>
              <w:pStyle w:val="NormalWeb"/>
              <w:jc w:val="center"/>
              <w:rPr>
                <w:sz w:val="20"/>
                <w:szCs w:val="20"/>
              </w:rPr>
            </w:pPr>
            <w:r w:rsidRPr="00B80D89">
              <w:rPr>
                <w:sz w:val="20"/>
                <w:szCs w:val="20"/>
              </w:rPr>
              <w:t>80.3</w:t>
            </w:r>
          </w:p>
        </w:tc>
      </w:tr>
      <w:tr w:rsidR="00FA40A3" w:rsidRPr="00B80D89" w14:paraId="5A821E76"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21FAC89" w14:textId="77777777" w:rsidR="00FA40A3" w:rsidRPr="00B80D89" w:rsidRDefault="00FA40A3" w:rsidP="00AF632F">
            <w:pPr>
              <w:pStyle w:val="NormalWeb"/>
              <w:rPr>
                <w:sz w:val="20"/>
                <w:szCs w:val="20"/>
              </w:rPr>
            </w:pPr>
            <w:r w:rsidRPr="00B80D89">
              <w:rPr>
                <w:sz w:val="20"/>
                <w:szCs w:val="20"/>
              </w:rPr>
              <w:t>4</w:t>
            </w:r>
          </w:p>
        </w:tc>
        <w:tc>
          <w:tcPr>
            <w:tcW w:w="0" w:type="auto"/>
            <w:hideMark/>
          </w:tcPr>
          <w:p w14:paraId="342AB599" w14:textId="77777777" w:rsidR="00FA40A3" w:rsidRPr="00B80D89" w:rsidRDefault="00FA40A3" w:rsidP="00AF632F">
            <w:pPr>
              <w:pStyle w:val="NormalWeb"/>
              <w:jc w:val="center"/>
              <w:rPr>
                <w:sz w:val="20"/>
                <w:szCs w:val="20"/>
              </w:rPr>
            </w:pPr>
            <w:r w:rsidRPr="00B80D89">
              <w:rPr>
                <w:sz w:val="20"/>
                <w:szCs w:val="20"/>
              </w:rPr>
              <w:t>J06.9</w:t>
            </w:r>
          </w:p>
        </w:tc>
        <w:tc>
          <w:tcPr>
            <w:tcW w:w="0" w:type="auto"/>
            <w:hideMark/>
          </w:tcPr>
          <w:p w14:paraId="65858067" w14:textId="77777777" w:rsidR="00FA40A3" w:rsidRPr="00B80D89" w:rsidRDefault="00FA40A3" w:rsidP="00AF632F">
            <w:pPr>
              <w:pStyle w:val="NormalWeb"/>
              <w:rPr>
                <w:sz w:val="20"/>
                <w:szCs w:val="20"/>
              </w:rPr>
            </w:pPr>
            <w:r w:rsidRPr="00B80D89">
              <w:rPr>
                <w:sz w:val="20"/>
                <w:szCs w:val="20"/>
              </w:rPr>
              <w:t>Acute upper respiratory infection, unspecified</w:t>
            </w:r>
          </w:p>
        </w:tc>
        <w:tc>
          <w:tcPr>
            <w:tcW w:w="0" w:type="auto"/>
            <w:hideMark/>
          </w:tcPr>
          <w:p w14:paraId="4D9BD6BE" w14:textId="77777777" w:rsidR="00FA40A3" w:rsidRPr="00B80D89" w:rsidRDefault="00FA40A3" w:rsidP="00AF632F">
            <w:pPr>
              <w:pStyle w:val="NormalWeb"/>
              <w:jc w:val="center"/>
              <w:rPr>
                <w:sz w:val="20"/>
                <w:szCs w:val="20"/>
              </w:rPr>
            </w:pPr>
            <w:r w:rsidRPr="00B80D89">
              <w:rPr>
                <w:sz w:val="20"/>
                <w:szCs w:val="20"/>
              </w:rPr>
              <w:t>31</w:t>
            </w:r>
          </w:p>
        </w:tc>
        <w:tc>
          <w:tcPr>
            <w:tcW w:w="0" w:type="auto"/>
            <w:hideMark/>
          </w:tcPr>
          <w:p w14:paraId="6E8A235E" w14:textId="77777777" w:rsidR="00FA40A3" w:rsidRPr="00B80D89" w:rsidRDefault="00FA40A3" w:rsidP="00AF632F">
            <w:pPr>
              <w:pStyle w:val="NormalWeb"/>
              <w:jc w:val="center"/>
              <w:rPr>
                <w:sz w:val="20"/>
                <w:szCs w:val="20"/>
              </w:rPr>
            </w:pPr>
            <w:r w:rsidRPr="00B80D89">
              <w:rPr>
                <w:sz w:val="20"/>
                <w:szCs w:val="20"/>
              </w:rPr>
              <w:t>4.2</w:t>
            </w:r>
          </w:p>
        </w:tc>
        <w:tc>
          <w:tcPr>
            <w:tcW w:w="1969" w:type="dxa"/>
            <w:hideMark/>
          </w:tcPr>
          <w:p w14:paraId="447BC003" w14:textId="77777777" w:rsidR="00FA40A3" w:rsidRPr="00B80D89" w:rsidRDefault="00FA40A3" w:rsidP="00AF632F">
            <w:pPr>
              <w:pStyle w:val="NormalWeb"/>
              <w:jc w:val="center"/>
              <w:rPr>
                <w:sz w:val="20"/>
                <w:szCs w:val="20"/>
              </w:rPr>
            </w:pPr>
            <w:r w:rsidRPr="00B80D89">
              <w:rPr>
                <w:sz w:val="20"/>
                <w:szCs w:val="20"/>
              </w:rPr>
              <w:t>84.5</w:t>
            </w:r>
          </w:p>
        </w:tc>
      </w:tr>
      <w:tr w:rsidR="00FA40A3" w:rsidRPr="00B80D89" w14:paraId="3923CD38" w14:textId="77777777" w:rsidTr="00AF632F">
        <w:tc>
          <w:tcPr>
            <w:tcW w:w="0" w:type="auto"/>
            <w:hideMark/>
          </w:tcPr>
          <w:p w14:paraId="4CD779DF" w14:textId="77777777" w:rsidR="00FA40A3" w:rsidRPr="00B80D89" w:rsidRDefault="00FA40A3" w:rsidP="00AF632F">
            <w:pPr>
              <w:pStyle w:val="NormalWeb"/>
              <w:rPr>
                <w:sz w:val="20"/>
                <w:szCs w:val="20"/>
              </w:rPr>
            </w:pPr>
            <w:r w:rsidRPr="00B80D89">
              <w:rPr>
                <w:sz w:val="20"/>
                <w:szCs w:val="20"/>
              </w:rPr>
              <w:t>5</w:t>
            </w:r>
          </w:p>
        </w:tc>
        <w:tc>
          <w:tcPr>
            <w:tcW w:w="0" w:type="auto"/>
            <w:hideMark/>
          </w:tcPr>
          <w:p w14:paraId="016B3429" w14:textId="77777777" w:rsidR="00FA40A3" w:rsidRPr="00B80D89" w:rsidRDefault="00FA40A3" w:rsidP="00AF632F">
            <w:pPr>
              <w:pStyle w:val="NormalWeb"/>
              <w:jc w:val="center"/>
              <w:rPr>
                <w:sz w:val="20"/>
                <w:szCs w:val="20"/>
              </w:rPr>
            </w:pPr>
            <w:r w:rsidRPr="00B80D89">
              <w:rPr>
                <w:sz w:val="20"/>
                <w:szCs w:val="20"/>
              </w:rPr>
              <w:t>B34.2</w:t>
            </w:r>
          </w:p>
        </w:tc>
        <w:tc>
          <w:tcPr>
            <w:tcW w:w="0" w:type="auto"/>
            <w:hideMark/>
          </w:tcPr>
          <w:p w14:paraId="08BCBBB3" w14:textId="77777777" w:rsidR="00FA40A3" w:rsidRPr="00B80D89" w:rsidRDefault="00FA40A3" w:rsidP="00AF632F">
            <w:pPr>
              <w:pStyle w:val="NormalWeb"/>
              <w:rPr>
                <w:sz w:val="20"/>
                <w:szCs w:val="20"/>
              </w:rPr>
            </w:pPr>
            <w:r w:rsidRPr="00B80D89">
              <w:rPr>
                <w:sz w:val="20"/>
                <w:szCs w:val="20"/>
              </w:rPr>
              <w:t>Coronavirus infection, unspecified site</w:t>
            </w:r>
          </w:p>
        </w:tc>
        <w:tc>
          <w:tcPr>
            <w:tcW w:w="0" w:type="auto"/>
            <w:hideMark/>
          </w:tcPr>
          <w:p w14:paraId="4B797B59" w14:textId="77777777" w:rsidR="00FA40A3" w:rsidRPr="00B80D89" w:rsidRDefault="00FA40A3" w:rsidP="00AF632F">
            <w:pPr>
              <w:pStyle w:val="NormalWeb"/>
              <w:jc w:val="center"/>
              <w:rPr>
                <w:sz w:val="20"/>
                <w:szCs w:val="20"/>
              </w:rPr>
            </w:pPr>
            <w:r w:rsidRPr="00B80D89">
              <w:rPr>
                <w:sz w:val="20"/>
                <w:szCs w:val="20"/>
              </w:rPr>
              <w:t>28</w:t>
            </w:r>
          </w:p>
        </w:tc>
        <w:tc>
          <w:tcPr>
            <w:tcW w:w="0" w:type="auto"/>
            <w:hideMark/>
          </w:tcPr>
          <w:p w14:paraId="0E7DE8F4" w14:textId="77777777" w:rsidR="00FA40A3" w:rsidRPr="00B80D89" w:rsidRDefault="00FA40A3" w:rsidP="00AF632F">
            <w:pPr>
              <w:pStyle w:val="NormalWeb"/>
              <w:jc w:val="center"/>
              <w:rPr>
                <w:sz w:val="20"/>
                <w:szCs w:val="20"/>
              </w:rPr>
            </w:pPr>
            <w:r w:rsidRPr="00B80D89">
              <w:rPr>
                <w:sz w:val="20"/>
                <w:szCs w:val="20"/>
              </w:rPr>
              <w:t>3.8</w:t>
            </w:r>
          </w:p>
        </w:tc>
        <w:tc>
          <w:tcPr>
            <w:tcW w:w="1969" w:type="dxa"/>
            <w:hideMark/>
          </w:tcPr>
          <w:p w14:paraId="0F5E8BBF" w14:textId="77777777" w:rsidR="00FA40A3" w:rsidRPr="00B80D89" w:rsidRDefault="00FA40A3" w:rsidP="00AF632F">
            <w:pPr>
              <w:pStyle w:val="NormalWeb"/>
              <w:jc w:val="center"/>
              <w:rPr>
                <w:sz w:val="20"/>
                <w:szCs w:val="20"/>
              </w:rPr>
            </w:pPr>
            <w:r w:rsidRPr="00B80D89">
              <w:rPr>
                <w:sz w:val="20"/>
                <w:szCs w:val="20"/>
              </w:rPr>
              <w:t>88.2</w:t>
            </w:r>
          </w:p>
        </w:tc>
      </w:tr>
      <w:tr w:rsidR="00FA40A3" w:rsidRPr="00B80D89" w14:paraId="2BA10011"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D84A4FA" w14:textId="77777777" w:rsidR="00FA40A3" w:rsidRPr="00B80D89" w:rsidRDefault="00FA40A3" w:rsidP="00AF632F">
            <w:pPr>
              <w:pStyle w:val="NormalWeb"/>
              <w:rPr>
                <w:sz w:val="20"/>
                <w:szCs w:val="20"/>
              </w:rPr>
            </w:pPr>
            <w:r w:rsidRPr="00B80D89">
              <w:rPr>
                <w:sz w:val="20"/>
                <w:szCs w:val="20"/>
              </w:rPr>
              <w:t>6</w:t>
            </w:r>
          </w:p>
        </w:tc>
        <w:tc>
          <w:tcPr>
            <w:tcW w:w="0" w:type="auto"/>
            <w:hideMark/>
          </w:tcPr>
          <w:p w14:paraId="54B9D72C" w14:textId="77777777" w:rsidR="00FA40A3" w:rsidRPr="00B80D89" w:rsidRDefault="00FA40A3" w:rsidP="00AF632F">
            <w:pPr>
              <w:pStyle w:val="NormalWeb"/>
              <w:jc w:val="center"/>
              <w:rPr>
                <w:sz w:val="20"/>
                <w:szCs w:val="20"/>
              </w:rPr>
            </w:pPr>
            <w:r w:rsidRPr="00B80D89">
              <w:rPr>
                <w:sz w:val="20"/>
                <w:szCs w:val="20"/>
              </w:rPr>
              <w:t>J18.9</w:t>
            </w:r>
          </w:p>
        </w:tc>
        <w:tc>
          <w:tcPr>
            <w:tcW w:w="0" w:type="auto"/>
            <w:hideMark/>
          </w:tcPr>
          <w:p w14:paraId="78809058" w14:textId="77777777" w:rsidR="00FA40A3" w:rsidRPr="00B80D89" w:rsidRDefault="00FA40A3" w:rsidP="00AF632F">
            <w:pPr>
              <w:pStyle w:val="NormalWeb"/>
              <w:rPr>
                <w:sz w:val="20"/>
                <w:szCs w:val="20"/>
              </w:rPr>
            </w:pPr>
            <w:r w:rsidRPr="00B80D89">
              <w:rPr>
                <w:sz w:val="20"/>
                <w:szCs w:val="20"/>
              </w:rPr>
              <w:t>Pneumonia, unspecified</w:t>
            </w:r>
          </w:p>
        </w:tc>
        <w:tc>
          <w:tcPr>
            <w:tcW w:w="0" w:type="auto"/>
            <w:hideMark/>
          </w:tcPr>
          <w:p w14:paraId="772E663E" w14:textId="77777777" w:rsidR="00FA40A3" w:rsidRPr="00B80D89" w:rsidRDefault="00FA40A3" w:rsidP="00AF632F">
            <w:pPr>
              <w:pStyle w:val="NormalWeb"/>
              <w:jc w:val="center"/>
              <w:rPr>
                <w:sz w:val="20"/>
                <w:szCs w:val="20"/>
              </w:rPr>
            </w:pPr>
            <w:r w:rsidRPr="00B80D89">
              <w:rPr>
                <w:sz w:val="20"/>
                <w:szCs w:val="20"/>
              </w:rPr>
              <w:t>7</w:t>
            </w:r>
          </w:p>
        </w:tc>
        <w:tc>
          <w:tcPr>
            <w:tcW w:w="0" w:type="auto"/>
            <w:hideMark/>
          </w:tcPr>
          <w:p w14:paraId="4A15567A" w14:textId="77777777" w:rsidR="00FA40A3" w:rsidRPr="00B80D89" w:rsidRDefault="00FA40A3" w:rsidP="00AF632F">
            <w:pPr>
              <w:pStyle w:val="NormalWeb"/>
              <w:jc w:val="center"/>
              <w:rPr>
                <w:sz w:val="20"/>
                <w:szCs w:val="20"/>
              </w:rPr>
            </w:pPr>
            <w:r w:rsidRPr="00B80D89">
              <w:rPr>
                <w:sz w:val="20"/>
                <w:szCs w:val="20"/>
              </w:rPr>
              <w:t>0.9</w:t>
            </w:r>
          </w:p>
        </w:tc>
        <w:tc>
          <w:tcPr>
            <w:tcW w:w="1969" w:type="dxa"/>
            <w:hideMark/>
          </w:tcPr>
          <w:p w14:paraId="2FA36D33" w14:textId="77777777" w:rsidR="00FA40A3" w:rsidRPr="00B80D89" w:rsidRDefault="00FA40A3" w:rsidP="00AF632F">
            <w:pPr>
              <w:pStyle w:val="NormalWeb"/>
              <w:jc w:val="center"/>
              <w:rPr>
                <w:sz w:val="20"/>
                <w:szCs w:val="20"/>
              </w:rPr>
            </w:pPr>
            <w:r w:rsidRPr="00B80D89">
              <w:rPr>
                <w:sz w:val="20"/>
                <w:szCs w:val="20"/>
              </w:rPr>
              <w:t>89.2</w:t>
            </w:r>
          </w:p>
        </w:tc>
      </w:tr>
      <w:tr w:rsidR="00FA40A3" w:rsidRPr="00B80D89" w14:paraId="3154E6E7" w14:textId="77777777" w:rsidTr="00AF632F">
        <w:tc>
          <w:tcPr>
            <w:tcW w:w="0" w:type="auto"/>
            <w:hideMark/>
          </w:tcPr>
          <w:p w14:paraId="5A8C4B0A" w14:textId="77777777" w:rsidR="00FA40A3" w:rsidRPr="00B80D89" w:rsidRDefault="00FA40A3" w:rsidP="00AF632F">
            <w:pPr>
              <w:pStyle w:val="NormalWeb"/>
              <w:rPr>
                <w:sz w:val="20"/>
                <w:szCs w:val="20"/>
              </w:rPr>
            </w:pPr>
            <w:r w:rsidRPr="00B80D89">
              <w:rPr>
                <w:sz w:val="20"/>
                <w:szCs w:val="20"/>
              </w:rPr>
              <w:t>7</w:t>
            </w:r>
          </w:p>
        </w:tc>
        <w:tc>
          <w:tcPr>
            <w:tcW w:w="0" w:type="auto"/>
            <w:hideMark/>
          </w:tcPr>
          <w:p w14:paraId="5327A7AE" w14:textId="77777777" w:rsidR="00FA40A3" w:rsidRPr="00B80D89" w:rsidRDefault="00FA40A3" w:rsidP="00AF632F">
            <w:pPr>
              <w:pStyle w:val="NormalWeb"/>
              <w:jc w:val="center"/>
              <w:rPr>
                <w:sz w:val="20"/>
                <w:szCs w:val="20"/>
              </w:rPr>
            </w:pPr>
            <w:r w:rsidRPr="00B80D89">
              <w:rPr>
                <w:sz w:val="20"/>
                <w:szCs w:val="20"/>
              </w:rPr>
              <w:t>J11.1</w:t>
            </w:r>
          </w:p>
        </w:tc>
        <w:tc>
          <w:tcPr>
            <w:tcW w:w="0" w:type="auto"/>
            <w:hideMark/>
          </w:tcPr>
          <w:p w14:paraId="3358B160" w14:textId="77777777" w:rsidR="00FA40A3" w:rsidRPr="00B80D89" w:rsidRDefault="00FA40A3" w:rsidP="00AF632F">
            <w:pPr>
              <w:pStyle w:val="NormalWeb"/>
              <w:rPr>
                <w:sz w:val="20"/>
                <w:szCs w:val="20"/>
              </w:rPr>
            </w:pPr>
            <w:r w:rsidRPr="00B80D89">
              <w:rPr>
                <w:sz w:val="20"/>
                <w:szCs w:val="20"/>
              </w:rPr>
              <w:t>Influenza with other respiratory manifestations, virus not identified</w:t>
            </w:r>
          </w:p>
        </w:tc>
        <w:tc>
          <w:tcPr>
            <w:tcW w:w="0" w:type="auto"/>
            <w:hideMark/>
          </w:tcPr>
          <w:p w14:paraId="6C9990AE" w14:textId="77777777" w:rsidR="00FA40A3" w:rsidRPr="00B80D89" w:rsidRDefault="00FA40A3" w:rsidP="00AF632F">
            <w:pPr>
              <w:pStyle w:val="NormalWeb"/>
              <w:jc w:val="center"/>
              <w:rPr>
                <w:sz w:val="20"/>
                <w:szCs w:val="20"/>
              </w:rPr>
            </w:pPr>
            <w:r w:rsidRPr="00B80D89">
              <w:rPr>
                <w:sz w:val="20"/>
                <w:szCs w:val="20"/>
              </w:rPr>
              <w:t>7</w:t>
            </w:r>
          </w:p>
        </w:tc>
        <w:tc>
          <w:tcPr>
            <w:tcW w:w="0" w:type="auto"/>
            <w:hideMark/>
          </w:tcPr>
          <w:p w14:paraId="5A505720" w14:textId="77777777" w:rsidR="00FA40A3" w:rsidRPr="00B80D89" w:rsidRDefault="00FA40A3" w:rsidP="00AF632F">
            <w:pPr>
              <w:pStyle w:val="NormalWeb"/>
              <w:jc w:val="center"/>
              <w:rPr>
                <w:sz w:val="20"/>
                <w:szCs w:val="20"/>
              </w:rPr>
            </w:pPr>
            <w:r w:rsidRPr="00B80D89">
              <w:rPr>
                <w:sz w:val="20"/>
                <w:szCs w:val="20"/>
              </w:rPr>
              <w:t>0.9</w:t>
            </w:r>
          </w:p>
        </w:tc>
        <w:tc>
          <w:tcPr>
            <w:tcW w:w="1969" w:type="dxa"/>
            <w:hideMark/>
          </w:tcPr>
          <w:p w14:paraId="572B4077" w14:textId="77777777" w:rsidR="00FA40A3" w:rsidRPr="00B80D89" w:rsidRDefault="00FA40A3" w:rsidP="00AF632F">
            <w:pPr>
              <w:pStyle w:val="NormalWeb"/>
              <w:jc w:val="center"/>
              <w:rPr>
                <w:sz w:val="20"/>
                <w:szCs w:val="20"/>
              </w:rPr>
            </w:pPr>
            <w:r w:rsidRPr="00B80D89">
              <w:rPr>
                <w:sz w:val="20"/>
                <w:szCs w:val="20"/>
              </w:rPr>
              <w:t>90.1</w:t>
            </w:r>
          </w:p>
        </w:tc>
      </w:tr>
      <w:tr w:rsidR="00FA40A3" w:rsidRPr="00B80D89" w14:paraId="1101B744"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12B054F" w14:textId="77777777" w:rsidR="00FA40A3" w:rsidRPr="00B80D89" w:rsidRDefault="00FA40A3" w:rsidP="00AF632F">
            <w:pPr>
              <w:pStyle w:val="NormalWeb"/>
              <w:rPr>
                <w:sz w:val="20"/>
                <w:szCs w:val="20"/>
              </w:rPr>
            </w:pPr>
            <w:r w:rsidRPr="00B80D89">
              <w:rPr>
                <w:sz w:val="20"/>
                <w:szCs w:val="20"/>
              </w:rPr>
              <w:t>8</w:t>
            </w:r>
          </w:p>
        </w:tc>
        <w:tc>
          <w:tcPr>
            <w:tcW w:w="0" w:type="auto"/>
            <w:hideMark/>
          </w:tcPr>
          <w:p w14:paraId="0A7775EE" w14:textId="77777777" w:rsidR="00FA40A3" w:rsidRPr="00B80D89" w:rsidRDefault="00FA40A3" w:rsidP="00AF632F">
            <w:pPr>
              <w:pStyle w:val="NormalWeb"/>
              <w:jc w:val="center"/>
              <w:rPr>
                <w:sz w:val="20"/>
                <w:szCs w:val="20"/>
              </w:rPr>
            </w:pPr>
            <w:r w:rsidRPr="00B80D89">
              <w:rPr>
                <w:sz w:val="20"/>
                <w:szCs w:val="20"/>
              </w:rPr>
              <w:t>R50.9</w:t>
            </w:r>
          </w:p>
        </w:tc>
        <w:tc>
          <w:tcPr>
            <w:tcW w:w="0" w:type="auto"/>
            <w:hideMark/>
          </w:tcPr>
          <w:p w14:paraId="23F3D0DA" w14:textId="77777777" w:rsidR="00FA40A3" w:rsidRPr="00B80D89" w:rsidRDefault="00FA40A3" w:rsidP="00AF632F">
            <w:pPr>
              <w:pStyle w:val="NormalWeb"/>
              <w:rPr>
                <w:sz w:val="20"/>
                <w:szCs w:val="20"/>
              </w:rPr>
            </w:pPr>
            <w:r w:rsidRPr="00B80D89">
              <w:rPr>
                <w:sz w:val="20"/>
                <w:szCs w:val="20"/>
              </w:rPr>
              <w:t>Fever, unspecified</w:t>
            </w:r>
          </w:p>
        </w:tc>
        <w:tc>
          <w:tcPr>
            <w:tcW w:w="0" w:type="auto"/>
            <w:hideMark/>
          </w:tcPr>
          <w:p w14:paraId="5BA0072C" w14:textId="77777777" w:rsidR="00FA40A3" w:rsidRPr="00B80D89" w:rsidRDefault="00FA40A3" w:rsidP="00AF632F">
            <w:pPr>
              <w:pStyle w:val="NormalWeb"/>
              <w:jc w:val="center"/>
              <w:rPr>
                <w:sz w:val="20"/>
                <w:szCs w:val="20"/>
              </w:rPr>
            </w:pPr>
            <w:r w:rsidRPr="00B80D89">
              <w:rPr>
                <w:sz w:val="20"/>
                <w:szCs w:val="20"/>
              </w:rPr>
              <w:t>7</w:t>
            </w:r>
          </w:p>
        </w:tc>
        <w:tc>
          <w:tcPr>
            <w:tcW w:w="0" w:type="auto"/>
            <w:hideMark/>
          </w:tcPr>
          <w:p w14:paraId="254003DE" w14:textId="77777777" w:rsidR="00FA40A3" w:rsidRPr="00B80D89" w:rsidRDefault="00FA40A3" w:rsidP="00AF632F">
            <w:pPr>
              <w:pStyle w:val="NormalWeb"/>
              <w:jc w:val="center"/>
              <w:rPr>
                <w:sz w:val="20"/>
                <w:szCs w:val="20"/>
              </w:rPr>
            </w:pPr>
            <w:r w:rsidRPr="00B80D89">
              <w:rPr>
                <w:sz w:val="20"/>
                <w:szCs w:val="20"/>
              </w:rPr>
              <w:t>0.9</w:t>
            </w:r>
          </w:p>
        </w:tc>
        <w:tc>
          <w:tcPr>
            <w:tcW w:w="1969" w:type="dxa"/>
            <w:hideMark/>
          </w:tcPr>
          <w:p w14:paraId="23E1302B" w14:textId="77777777" w:rsidR="00FA40A3" w:rsidRPr="00B80D89" w:rsidRDefault="00FA40A3" w:rsidP="00AF632F">
            <w:pPr>
              <w:pStyle w:val="NormalWeb"/>
              <w:jc w:val="center"/>
              <w:rPr>
                <w:sz w:val="20"/>
                <w:szCs w:val="20"/>
              </w:rPr>
            </w:pPr>
            <w:r w:rsidRPr="00B80D89">
              <w:rPr>
                <w:sz w:val="20"/>
                <w:szCs w:val="20"/>
              </w:rPr>
              <w:t>91.1</w:t>
            </w:r>
          </w:p>
        </w:tc>
      </w:tr>
      <w:tr w:rsidR="00FA40A3" w:rsidRPr="00B80D89" w14:paraId="3BF400C6" w14:textId="77777777" w:rsidTr="00AF632F">
        <w:tc>
          <w:tcPr>
            <w:tcW w:w="0" w:type="auto"/>
            <w:hideMark/>
          </w:tcPr>
          <w:p w14:paraId="09E076C9" w14:textId="77777777" w:rsidR="00FA40A3" w:rsidRPr="00B80D89" w:rsidRDefault="00FA40A3" w:rsidP="00AF632F">
            <w:pPr>
              <w:pStyle w:val="NormalWeb"/>
              <w:rPr>
                <w:sz w:val="20"/>
                <w:szCs w:val="20"/>
              </w:rPr>
            </w:pPr>
            <w:r w:rsidRPr="00B80D89">
              <w:rPr>
                <w:sz w:val="20"/>
                <w:szCs w:val="20"/>
              </w:rPr>
              <w:t>9</w:t>
            </w:r>
          </w:p>
        </w:tc>
        <w:tc>
          <w:tcPr>
            <w:tcW w:w="0" w:type="auto"/>
            <w:hideMark/>
          </w:tcPr>
          <w:p w14:paraId="0339B0A6" w14:textId="77777777" w:rsidR="00FA40A3" w:rsidRPr="00B80D89" w:rsidRDefault="00FA40A3" w:rsidP="00AF632F">
            <w:pPr>
              <w:pStyle w:val="NormalWeb"/>
              <w:jc w:val="center"/>
              <w:rPr>
                <w:sz w:val="20"/>
                <w:szCs w:val="20"/>
              </w:rPr>
            </w:pPr>
            <w:r w:rsidRPr="00B80D89">
              <w:rPr>
                <w:sz w:val="20"/>
                <w:szCs w:val="20"/>
              </w:rPr>
              <w:t>R07.4</w:t>
            </w:r>
          </w:p>
        </w:tc>
        <w:tc>
          <w:tcPr>
            <w:tcW w:w="0" w:type="auto"/>
            <w:hideMark/>
          </w:tcPr>
          <w:p w14:paraId="573A898C" w14:textId="77777777" w:rsidR="00FA40A3" w:rsidRPr="00B80D89" w:rsidRDefault="00FA40A3" w:rsidP="00AF632F">
            <w:pPr>
              <w:pStyle w:val="NormalWeb"/>
              <w:rPr>
                <w:sz w:val="20"/>
                <w:szCs w:val="20"/>
              </w:rPr>
            </w:pPr>
            <w:r w:rsidRPr="00B80D89">
              <w:rPr>
                <w:sz w:val="20"/>
                <w:szCs w:val="20"/>
              </w:rPr>
              <w:t>Chest pain, unspecified</w:t>
            </w:r>
          </w:p>
        </w:tc>
        <w:tc>
          <w:tcPr>
            <w:tcW w:w="0" w:type="auto"/>
            <w:hideMark/>
          </w:tcPr>
          <w:p w14:paraId="7BBBB75E" w14:textId="77777777" w:rsidR="00FA40A3" w:rsidRPr="00B80D89" w:rsidRDefault="00FA40A3" w:rsidP="00AF632F">
            <w:pPr>
              <w:pStyle w:val="NormalWeb"/>
              <w:jc w:val="center"/>
              <w:rPr>
                <w:sz w:val="20"/>
                <w:szCs w:val="20"/>
              </w:rPr>
            </w:pPr>
            <w:r w:rsidRPr="00B80D89">
              <w:rPr>
                <w:sz w:val="20"/>
                <w:szCs w:val="20"/>
              </w:rPr>
              <w:t>5</w:t>
            </w:r>
          </w:p>
        </w:tc>
        <w:tc>
          <w:tcPr>
            <w:tcW w:w="0" w:type="auto"/>
            <w:hideMark/>
          </w:tcPr>
          <w:p w14:paraId="6B769D7D" w14:textId="77777777" w:rsidR="00FA40A3" w:rsidRPr="00B80D89" w:rsidRDefault="00FA40A3" w:rsidP="00AF632F">
            <w:pPr>
              <w:pStyle w:val="NormalWeb"/>
              <w:jc w:val="center"/>
              <w:rPr>
                <w:sz w:val="20"/>
                <w:szCs w:val="20"/>
              </w:rPr>
            </w:pPr>
            <w:r w:rsidRPr="00B80D89">
              <w:rPr>
                <w:sz w:val="20"/>
                <w:szCs w:val="20"/>
              </w:rPr>
              <w:t>0.7</w:t>
            </w:r>
          </w:p>
        </w:tc>
        <w:tc>
          <w:tcPr>
            <w:tcW w:w="1969" w:type="dxa"/>
            <w:hideMark/>
          </w:tcPr>
          <w:p w14:paraId="4084A67E" w14:textId="77777777" w:rsidR="00FA40A3" w:rsidRPr="00B80D89" w:rsidRDefault="00FA40A3" w:rsidP="00AF632F">
            <w:pPr>
              <w:pStyle w:val="NormalWeb"/>
              <w:jc w:val="center"/>
              <w:rPr>
                <w:sz w:val="20"/>
                <w:szCs w:val="20"/>
              </w:rPr>
            </w:pPr>
            <w:r w:rsidRPr="00B80D89">
              <w:rPr>
                <w:sz w:val="20"/>
                <w:szCs w:val="20"/>
              </w:rPr>
              <w:t>91.8</w:t>
            </w:r>
          </w:p>
        </w:tc>
      </w:tr>
      <w:tr w:rsidR="00FA40A3" w:rsidRPr="00B80D89" w14:paraId="63149F86"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1ACE6CF8" w14:textId="77777777" w:rsidR="00FA40A3" w:rsidRPr="00B80D89" w:rsidRDefault="00FA40A3" w:rsidP="00AF632F">
            <w:pPr>
              <w:pStyle w:val="NormalWeb"/>
              <w:rPr>
                <w:sz w:val="20"/>
                <w:szCs w:val="20"/>
              </w:rPr>
            </w:pPr>
            <w:r w:rsidRPr="00B80D89">
              <w:rPr>
                <w:sz w:val="20"/>
                <w:szCs w:val="20"/>
              </w:rPr>
              <w:t>10</w:t>
            </w:r>
          </w:p>
        </w:tc>
        <w:tc>
          <w:tcPr>
            <w:tcW w:w="0" w:type="auto"/>
            <w:hideMark/>
          </w:tcPr>
          <w:p w14:paraId="7C37330B" w14:textId="77777777" w:rsidR="00FA40A3" w:rsidRPr="00B80D89" w:rsidRDefault="00FA40A3" w:rsidP="00AF632F">
            <w:pPr>
              <w:pStyle w:val="NormalWeb"/>
              <w:jc w:val="center"/>
              <w:rPr>
                <w:sz w:val="20"/>
                <w:szCs w:val="20"/>
              </w:rPr>
            </w:pPr>
            <w:r w:rsidRPr="00B80D89">
              <w:rPr>
                <w:sz w:val="20"/>
                <w:szCs w:val="20"/>
              </w:rPr>
              <w:t>J22</w:t>
            </w:r>
          </w:p>
        </w:tc>
        <w:tc>
          <w:tcPr>
            <w:tcW w:w="0" w:type="auto"/>
            <w:hideMark/>
          </w:tcPr>
          <w:p w14:paraId="6CAE1BBD" w14:textId="77777777" w:rsidR="00FA40A3" w:rsidRPr="00B80D89" w:rsidRDefault="00FA40A3" w:rsidP="00AF632F">
            <w:pPr>
              <w:pStyle w:val="NormalWeb"/>
              <w:rPr>
                <w:sz w:val="20"/>
                <w:szCs w:val="20"/>
              </w:rPr>
            </w:pPr>
            <w:r w:rsidRPr="00B80D89">
              <w:rPr>
                <w:sz w:val="20"/>
                <w:szCs w:val="20"/>
              </w:rPr>
              <w:t>Unspecified acute lower respiratory infection</w:t>
            </w:r>
          </w:p>
        </w:tc>
        <w:tc>
          <w:tcPr>
            <w:tcW w:w="0" w:type="auto"/>
            <w:hideMark/>
          </w:tcPr>
          <w:p w14:paraId="6E6B0D7B" w14:textId="77777777" w:rsidR="00FA40A3" w:rsidRPr="00B80D89" w:rsidRDefault="00FA40A3" w:rsidP="00AF632F">
            <w:pPr>
              <w:pStyle w:val="NormalWeb"/>
              <w:jc w:val="center"/>
              <w:rPr>
                <w:sz w:val="20"/>
                <w:szCs w:val="20"/>
              </w:rPr>
            </w:pPr>
            <w:r w:rsidRPr="00B80D89">
              <w:rPr>
                <w:sz w:val="20"/>
                <w:szCs w:val="20"/>
              </w:rPr>
              <w:t>5</w:t>
            </w:r>
          </w:p>
        </w:tc>
        <w:tc>
          <w:tcPr>
            <w:tcW w:w="0" w:type="auto"/>
            <w:hideMark/>
          </w:tcPr>
          <w:p w14:paraId="1BF11036" w14:textId="77777777" w:rsidR="00FA40A3" w:rsidRPr="00B80D89" w:rsidRDefault="00FA40A3" w:rsidP="00AF632F">
            <w:pPr>
              <w:pStyle w:val="NormalWeb"/>
              <w:jc w:val="center"/>
              <w:rPr>
                <w:sz w:val="20"/>
                <w:szCs w:val="20"/>
              </w:rPr>
            </w:pPr>
            <w:r w:rsidRPr="00B80D89">
              <w:rPr>
                <w:sz w:val="20"/>
                <w:szCs w:val="20"/>
              </w:rPr>
              <w:t>0.7</w:t>
            </w:r>
          </w:p>
        </w:tc>
        <w:tc>
          <w:tcPr>
            <w:tcW w:w="1969" w:type="dxa"/>
            <w:hideMark/>
          </w:tcPr>
          <w:p w14:paraId="0A07AA15" w14:textId="77777777" w:rsidR="00FA40A3" w:rsidRPr="00B80D89" w:rsidRDefault="00FA40A3" w:rsidP="00AF632F">
            <w:pPr>
              <w:pStyle w:val="NormalWeb"/>
              <w:jc w:val="center"/>
              <w:rPr>
                <w:sz w:val="20"/>
                <w:szCs w:val="20"/>
              </w:rPr>
            </w:pPr>
            <w:r w:rsidRPr="00B80D89">
              <w:rPr>
                <w:sz w:val="20"/>
                <w:szCs w:val="20"/>
              </w:rPr>
              <w:t>92.4</w:t>
            </w:r>
          </w:p>
        </w:tc>
      </w:tr>
    </w:tbl>
    <w:p w14:paraId="2938C4DA"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Estimates are based on 740 presentations among 622 patients. Outcomes are measured with data from the QHAPDC.</w:t>
      </w:r>
    </w:p>
    <w:p w14:paraId="2624BFC2" w14:textId="77777777" w:rsidR="007D5B45" w:rsidRDefault="007D5B45">
      <w:pPr>
        <w:rPr>
          <w:rStyle w:val="Strong"/>
          <w:bCs w:val="0"/>
        </w:rPr>
      </w:pPr>
      <w:r>
        <w:rPr>
          <w:rStyle w:val="Strong"/>
          <w:b w:val="0"/>
          <w:bCs w:val="0"/>
        </w:rPr>
        <w:br w:type="page"/>
      </w:r>
    </w:p>
    <w:p w14:paraId="01E4ABA0" w14:textId="1BC315B7" w:rsidR="00FA40A3" w:rsidRPr="00AA7918" w:rsidRDefault="00FA40A3" w:rsidP="00FA40A3">
      <w:pPr>
        <w:pStyle w:val="CDIFigures"/>
      </w:pPr>
      <w:r w:rsidRPr="00AA7918">
        <w:rPr>
          <w:rStyle w:val="Strong"/>
          <w:b/>
          <w:bCs w:val="0"/>
        </w:rPr>
        <w:lastRenderedPageBreak/>
        <w:t xml:space="preserve">Table A.6: Top 10 principal diagnosis codes among COVID-19 patients within two weeks of recorded symptom onset date requiring inpatient admission to hospital in </w:t>
      </w:r>
      <w:proofErr w:type="spellStart"/>
      <w:r w:rsidRPr="00AA7918">
        <w:rPr>
          <w:rStyle w:val="Strong"/>
          <w:b/>
          <w:bCs w:val="0"/>
        </w:rPr>
        <w:t>Queensland</w:t>
      </w:r>
      <w:r w:rsidRPr="00AA7918">
        <w:rPr>
          <w:rStyle w:val="Strong"/>
          <w:b/>
          <w:bCs w:val="0"/>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Of the 1065 inpatient hospital admissions among 938 patients within two weeks of symptom onset date, the top 10 diagnosis codes related to an admission for coronavirus, including emergency use of U07.1, coronavirus, isolation, or related symptoms including cough, fever, headache and use of tobacco. Together the top 10 diagnoses accounted for less than half (48.1%) of all diagnoses among this sample."/>
      </w:tblPr>
      <w:tblGrid>
        <w:gridCol w:w="529"/>
        <w:gridCol w:w="1465"/>
        <w:gridCol w:w="4176"/>
        <w:gridCol w:w="419"/>
        <w:gridCol w:w="469"/>
        <w:gridCol w:w="3382"/>
      </w:tblGrid>
      <w:tr w:rsidR="00FA40A3" w:rsidRPr="0027494B" w14:paraId="03397F32"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3C98D717" w14:textId="77777777" w:rsidR="00FA40A3" w:rsidRPr="0027494B" w:rsidRDefault="00FA40A3" w:rsidP="00AF632F">
            <w:pPr>
              <w:pStyle w:val="NormalWeb"/>
              <w:rPr>
                <w:color w:val="FFFFFF" w:themeColor="background1"/>
                <w:sz w:val="20"/>
                <w:szCs w:val="20"/>
              </w:rPr>
            </w:pPr>
            <w:r w:rsidRPr="0027494B">
              <w:rPr>
                <w:color w:val="FFFFFF" w:themeColor="background1"/>
                <w:sz w:val="20"/>
                <w:szCs w:val="20"/>
              </w:rPr>
              <w:t>Rank</w:t>
            </w:r>
          </w:p>
        </w:tc>
        <w:tc>
          <w:tcPr>
            <w:tcW w:w="0" w:type="auto"/>
            <w:tcBorders>
              <w:left w:val="single" w:sz="2" w:space="0" w:color="FFFFFF" w:themeColor="background1"/>
              <w:right w:val="single" w:sz="2" w:space="0" w:color="FFFFFF" w:themeColor="background1"/>
            </w:tcBorders>
            <w:hideMark/>
          </w:tcPr>
          <w:p w14:paraId="4E806F83" w14:textId="77777777" w:rsidR="00FA40A3" w:rsidRPr="0027494B" w:rsidRDefault="00FA40A3" w:rsidP="00AF632F">
            <w:pPr>
              <w:pStyle w:val="NormalWeb"/>
              <w:jc w:val="center"/>
              <w:rPr>
                <w:color w:val="FFFFFF" w:themeColor="background1"/>
                <w:sz w:val="20"/>
                <w:szCs w:val="20"/>
              </w:rPr>
            </w:pPr>
            <w:r w:rsidRPr="0027494B">
              <w:rPr>
                <w:color w:val="FFFFFF" w:themeColor="background1"/>
                <w:sz w:val="20"/>
                <w:szCs w:val="20"/>
              </w:rPr>
              <w:t>ICD-10-AM code</w:t>
            </w:r>
          </w:p>
        </w:tc>
        <w:tc>
          <w:tcPr>
            <w:tcW w:w="0" w:type="auto"/>
            <w:tcBorders>
              <w:left w:val="single" w:sz="2" w:space="0" w:color="FFFFFF" w:themeColor="background1"/>
              <w:right w:val="single" w:sz="2" w:space="0" w:color="FFFFFF" w:themeColor="background1"/>
            </w:tcBorders>
            <w:hideMark/>
          </w:tcPr>
          <w:p w14:paraId="3042E37C" w14:textId="77777777" w:rsidR="00FA40A3" w:rsidRPr="0027494B" w:rsidRDefault="00FA40A3" w:rsidP="00AF632F">
            <w:pPr>
              <w:pStyle w:val="NormalWeb"/>
              <w:rPr>
                <w:color w:val="FFFFFF" w:themeColor="background1"/>
                <w:sz w:val="20"/>
                <w:szCs w:val="20"/>
              </w:rPr>
            </w:pPr>
            <w:r w:rsidRPr="0027494B">
              <w:rPr>
                <w:color w:val="FFFFFF" w:themeColor="background1"/>
                <w:sz w:val="20"/>
                <w:szCs w:val="20"/>
              </w:rPr>
              <w:t>Definition of ICD-10-AM code</w:t>
            </w:r>
          </w:p>
        </w:tc>
        <w:tc>
          <w:tcPr>
            <w:tcW w:w="0" w:type="auto"/>
            <w:tcBorders>
              <w:left w:val="single" w:sz="2" w:space="0" w:color="FFFFFF" w:themeColor="background1"/>
              <w:right w:val="single" w:sz="2" w:space="0" w:color="FFFFFF" w:themeColor="background1"/>
            </w:tcBorders>
            <w:hideMark/>
          </w:tcPr>
          <w:p w14:paraId="111DDF4C" w14:textId="77777777" w:rsidR="00FA40A3" w:rsidRPr="0027494B" w:rsidRDefault="00FA40A3" w:rsidP="00AF632F">
            <w:pPr>
              <w:pStyle w:val="NormalWeb"/>
              <w:jc w:val="center"/>
              <w:rPr>
                <w:color w:val="FFFFFF" w:themeColor="background1"/>
                <w:sz w:val="20"/>
                <w:szCs w:val="20"/>
              </w:rPr>
            </w:pPr>
            <w:r w:rsidRPr="0027494B">
              <w:rPr>
                <w:color w:val="FFFFFF" w:themeColor="background1"/>
                <w:sz w:val="20"/>
                <w:szCs w:val="20"/>
              </w:rPr>
              <w:t>n</w:t>
            </w:r>
          </w:p>
        </w:tc>
        <w:tc>
          <w:tcPr>
            <w:tcW w:w="0" w:type="auto"/>
            <w:tcBorders>
              <w:left w:val="single" w:sz="2" w:space="0" w:color="FFFFFF" w:themeColor="background1"/>
              <w:right w:val="single" w:sz="2" w:space="0" w:color="FFFFFF" w:themeColor="background1"/>
            </w:tcBorders>
            <w:hideMark/>
          </w:tcPr>
          <w:p w14:paraId="420C1284" w14:textId="77777777" w:rsidR="00FA40A3" w:rsidRPr="0027494B" w:rsidRDefault="00FA40A3" w:rsidP="00AF632F">
            <w:pPr>
              <w:pStyle w:val="NormalWeb"/>
              <w:jc w:val="center"/>
              <w:rPr>
                <w:color w:val="FFFFFF" w:themeColor="background1"/>
                <w:sz w:val="20"/>
                <w:szCs w:val="20"/>
              </w:rPr>
            </w:pPr>
            <w:r w:rsidRPr="0027494B">
              <w:rPr>
                <w:color w:val="FFFFFF" w:themeColor="background1"/>
                <w:sz w:val="20"/>
                <w:szCs w:val="20"/>
              </w:rPr>
              <w:t>%</w:t>
            </w:r>
          </w:p>
        </w:tc>
        <w:tc>
          <w:tcPr>
            <w:tcW w:w="3382" w:type="dxa"/>
            <w:tcBorders>
              <w:left w:val="single" w:sz="2" w:space="0" w:color="FFFFFF" w:themeColor="background1"/>
            </w:tcBorders>
            <w:hideMark/>
          </w:tcPr>
          <w:p w14:paraId="642F3CB9" w14:textId="77777777" w:rsidR="00FA40A3" w:rsidRPr="0027494B" w:rsidRDefault="00FA40A3" w:rsidP="00AF632F">
            <w:pPr>
              <w:pStyle w:val="NormalWeb"/>
              <w:jc w:val="center"/>
              <w:rPr>
                <w:color w:val="FFFFFF" w:themeColor="background1"/>
                <w:sz w:val="20"/>
                <w:szCs w:val="20"/>
              </w:rPr>
            </w:pPr>
            <w:r w:rsidRPr="0027494B">
              <w:rPr>
                <w:color w:val="FFFFFF" w:themeColor="background1"/>
                <w:sz w:val="20"/>
                <w:szCs w:val="20"/>
              </w:rPr>
              <w:t>Cumulative %</w:t>
            </w:r>
          </w:p>
        </w:tc>
      </w:tr>
      <w:tr w:rsidR="00FA40A3" w:rsidRPr="0027494B" w14:paraId="00267B6E" w14:textId="77777777" w:rsidTr="00AF632F">
        <w:tc>
          <w:tcPr>
            <w:tcW w:w="0" w:type="auto"/>
            <w:hideMark/>
          </w:tcPr>
          <w:p w14:paraId="4FD1498D" w14:textId="77777777" w:rsidR="00FA40A3" w:rsidRPr="0027494B" w:rsidRDefault="00FA40A3" w:rsidP="00AF632F">
            <w:pPr>
              <w:pStyle w:val="NormalWeb"/>
              <w:rPr>
                <w:sz w:val="20"/>
                <w:szCs w:val="20"/>
              </w:rPr>
            </w:pPr>
            <w:r w:rsidRPr="0027494B">
              <w:rPr>
                <w:sz w:val="20"/>
                <w:szCs w:val="20"/>
              </w:rPr>
              <w:t>1</w:t>
            </w:r>
          </w:p>
        </w:tc>
        <w:tc>
          <w:tcPr>
            <w:tcW w:w="0" w:type="auto"/>
            <w:hideMark/>
          </w:tcPr>
          <w:p w14:paraId="2AFF7C65" w14:textId="77777777" w:rsidR="00FA40A3" w:rsidRPr="0027494B" w:rsidRDefault="00FA40A3" w:rsidP="00AF632F">
            <w:pPr>
              <w:pStyle w:val="NormalWeb"/>
              <w:jc w:val="center"/>
              <w:rPr>
                <w:sz w:val="20"/>
                <w:szCs w:val="20"/>
              </w:rPr>
            </w:pPr>
            <w:r w:rsidRPr="0027494B">
              <w:rPr>
                <w:sz w:val="20"/>
                <w:szCs w:val="20"/>
              </w:rPr>
              <w:t>U07.1</w:t>
            </w:r>
          </w:p>
        </w:tc>
        <w:tc>
          <w:tcPr>
            <w:tcW w:w="0" w:type="auto"/>
            <w:hideMark/>
          </w:tcPr>
          <w:p w14:paraId="2653F4D4" w14:textId="77777777" w:rsidR="00FA40A3" w:rsidRPr="0027494B" w:rsidRDefault="00FA40A3" w:rsidP="00AF632F">
            <w:pPr>
              <w:pStyle w:val="NormalWeb"/>
              <w:rPr>
                <w:sz w:val="20"/>
                <w:szCs w:val="20"/>
              </w:rPr>
            </w:pPr>
            <w:r w:rsidRPr="0027494B">
              <w:rPr>
                <w:sz w:val="20"/>
                <w:szCs w:val="20"/>
              </w:rPr>
              <w:t>Emergency use of U07.1 (COVID-19)</w:t>
            </w:r>
          </w:p>
        </w:tc>
        <w:tc>
          <w:tcPr>
            <w:tcW w:w="0" w:type="auto"/>
            <w:hideMark/>
          </w:tcPr>
          <w:p w14:paraId="7DE41D16" w14:textId="77777777" w:rsidR="00FA40A3" w:rsidRPr="0027494B" w:rsidRDefault="00FA40A3" w:rsidP="00AF632F">
            <w:pPr>
              <w:pStyle w:val="NormalWeb"/>
              <w:jc w:val="center"/>
              <w:rPr>
                <w:sz w:val="20"/>
                <w:szCs w:val="20"/>
              </w:rPr>
            </w:pPr>
            <w:r w:rsidRPr="0027494B">
              <w:rPr>
                <w:sz w:val="20"/>
                <w:szCs w:val="20"/>
              </w:rPr>
              <w:t>240</w:t>
            </w:r>
          </w:p>
        </w:tc>
        <w:tc>
          <w:tcPr>
            <w:tcW w:w="0" w:type="auto"/>
            <w:hideMark/>
          </w:tcPr>
          <w:p w14:paraId="333CDE69" w14:textId="77777777" w:rsidR="00FA40A3" w:rsidRPr="0027494B" w:rsidRDefault="00FA40A3" w:rsidP="00AF632F">
            <w:pPr>
              <w:pStyle w:val="NormalWeb"/>
              <w:jc w:val="center"/>
              <w:rPr>
                <w:sz w:val="20"/>
                <w:szCs w:val="20"/>
              </w:rPr>
            </w:pPr>
            <w:r w:rsidRPr="0027494B">
              <w:rPr>
                <w:sz w:val="20"/>
                <w:szCs w:val="20"/>
              </w:rPr>
              <w:t>11.7</w:t>
            </w:r>
          </w:p>
        </w:tc>
        <w:tc>
          <w:tcPr>
            <w:tcW w:w="3382" w:type="dxa"/>
            <w:hideMark/>
          </w:tcPr>
          <w:p w14:paraId="412D4114" w14:textId="77777777" w:rsidR="00FA40A3" w:rsidRPr="0027494B" w:rsidRDefault="00FA40A3" w:rsidP="00AF632F">
            <w:pPr>
              <w:pStyle w:val="NormalWeb"/>
              <w:jc w:val="center"/>
              <w:rPr>
                <w:sz w:val="20"/>
                <w:szCs w:val="20"/>
              </w:rPr>
            </w:pPr>
            <w:r w:rsidRPr="0027494B">
              <w:rPr>
                <w:sz w:val="20"/>
                <w:szCs w:val="20"/>
              </w:rPr>
              <w:t>11.7</w:t>
            </w:r>
          </w:p>
        </w:tc>
      </w:tr>
      <w:tr w:rsidR="00FA40A3" w:rsidRPr="0027494B" w14:paraId="66078EE0"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5F59D24C" w14:textId="77777777" w:rsidR="00FA40A3" w:rsidRPr="0027494B" w:rsidRDefault="00FA40A3" w:rsidP="00AF632F">
            <w:pPr>
              <w:pStyle w:val="NormalWeb"/>
              <w:rPr>
                <w:sz w:val="20"/>
                <w:szCs w:val="20"/>
              </w:rPr>
            </w:pPr>
            <w:r w:rsidRPr="0027494B">
              <w:rPr>
                <w:sz w:val="20"/>
                <w:szCs w:val="20"/>
              </w:rPr>
              <w:t>2</w:t>
            </w:r>
          </w:p>
        </w:tc>
        <w:tc>
          <w:tcPr>
            <w:tcW w:w="0" w:type="auto"/>
            <w:hideMark/>
          </w:tcPr>
          <w:p w14:paraId="13E59551" w14:textId="77777777" w:rsidR="00FA40A3" w:rsidRPr="0027494B" w:rsidRDefault="00FA40A3" w:rsidP="00AF632F">
            <w:pPr>
              <w:pStyle w:val="NormalWeb"/>
              <w:jc w:val="center"/>
              <w:rPr>
                <w:sz w:val="20"/>
                <w:szCs w:val="20"/>
              </w:rPr>
            </w:pPr>
            <w:r w:rsidRPr="0027494B">
              <w:rPr>
                <w:sz w:val="20"/>
                <w:szCs w:val="20"/>
              </w:rPr>
              <w:t>Z29.0</w:t>
            </w:r>
          </w:p>
        </w:tc>
        <w:tc>
          <w:tcPr>
            <w:tcW w:w="0" w:type="auto"/>
            <w:hideMark/>
          </w:tcPr>
          <w:p w14:paraId="699DEEE8" w14:textId="77777777" w:rsidR="00FA40A3" w:rsidRPr="0027494B" w:rsidRDefault="00FA40A3" w:rsidP="00AF632F">
            <w:pPr>
              <w:pStyle w:val="NormalWeb"/>
              <w:rPr>
                <w:sz w:val="20"/>
                <w:szCs w:val="20"/>
              </w:rPr>
            </w:pPr>
            <w:r w:rsidRPr="0027494B">
              <w:rPr>
                <w:sz w:val="20"/>
                <w:szCs w:val="20"/>
              </w:rPr>
              <w:t>Isolation</w:t>
            </w:r>
          </w:p>
        </w:tc>
        <w:tc>
          <w:tcPr>
            <w:tcW w:w="0" w:type="auto"/>
            <w:hideMark/>
          </w:tcPr>
          <w:p w14:paraId="6AE33A1B" w14:textId="77777777" w:rsidR="00FA40A3" w:rsidRPr="0027494B" w:rsidRDefault="00FA40A3" w:rsidP="00AF632F">
            <w:pPr>
              <w:pStyle w:val="NormalWeb"/>
              <w:jc w:val="center"/>
              <w:rPr>
                <w:sz w:val="20"/>
                <w:szCs w:val="20"/>
              </w:rPr>
            </w:pPr>
            <w:r w:rsidRPr="0027494B">
              <w:rPr>
                <w:sz w:val="20"/>
                <w:szCs w:val="20"/>
              </w:rPr>
              <w:t>219</w:t>
            </w:r>
          </w:p>
        </w:tc>
        <w:tc>
          <w:tcPr>
            <w:tcW w:w="0" w:type="auto"/>
            <w:hideMark/>
          </w:tcPr>
          <w:p w14:paraId="2A39195E" w14:textId="77777777" w:rsidR="00FA40A3" w:rsidRPr="0027494B" w:rsidRDefault="00FA40A3" w:rsidP="00AF632F">
            <w:pPr>
              <w:pStyle w:val="NormalWeb"/>
              <w:jc w:val="center"/>
              <w:rPr>
                <w:sz w:val="20"/>
                <w:szCs w:val="20"/>
              </w:rPr>
            </w:pPr>
            <w:r w:rsidRPr="0027494B">
              <w:rPr>
                <w:sz w:val="20"/>
                <w:szCs w:val="20"/>
              </w:rPr>
              <w:t>10.7</w:t>
            </w:r>
          </w:p>
        </w:tc>
        <w:tc>
          <w:tcPr>
            <w:tcW w:w="3382" w:type="dxa"/>
            <w:hideMark/>
          </w:tcPr>
          <w:p w14:paraId="6B8EF2DA" w14:textId="77777777" w:rsidR="00FA40A3" w:rsidRPr="0027494B" w:rsidRDefault="00FA40A3" w:rsidP="00AF632F">
            <w:pPr>
              <w:pStyle w:val="NormalWeb"/>
              <w:jc w:val="center"/>
              <w:rPr>
                <w:sz w:val="20"/>
                <w:szCs w:val="20"/>
              </w:rPr>
            </w:pPr>
            <w:r w:rsidRPr="0027494B">
              <w:rPr>
                <w:sz w:val="20"/>
                <w:szCs w:val="20"/>
              </w:rPr>
              <w:t>22.4</w:t>
            </w:r>
          </w:p>
        </w:tc>
      </w:tr>
      <w:tr w:rsidR="00FA40A3" w:rsidRPr="0027494B" w14:paraId="16562477" w14:textId="77777777" w:rsidTr="00AF632F">
        <w:tc>
          <w:tcPr>
            <w:tcW w:w="0" w:type="auto"/>
            <w:hideMark/>
          </w:tcPr>
          <w:p w14:paraId="4B0126FA" w14:textId="77777777" w:rsidR="00FA40A3" w:rsidRPr="0027494B" w:rsidRDefault="00FA40A3" w:rsidP="00AF632F">
            <w:pPr>
              <w:pStyle w:val="NormalWeb"/>
              <w:rPr>
                <w:sz w:val="20"/>
                <w:szCs w:val="20"/>
              </w:rPr>
            </w:pPr>
            <w:r w:rsidRPr="0027494B">
              <w:rPr>
                <w:sz w:val="20"/>
                <w:szCs w:val="20"/>
              </w:rPr>
              <w:t>3</w:t>
            </w:r>
          </w:p>
        </w:tc>
        <w:tc>
          <w:tcPr>
            <w:tcW w:w="0" w:type="auto"/>
            <w:hideMark/>
          </w:tcPr>
          <w:p w14:paraId="06412B7A" w14:textId="77777777" w:rsidR="00FA40A3" w:rsidRPr="0027494B" w:rsidRDefault="00FA40A3" w:rsidP="00AF632F">
            <w:pPr>
              <w:pStyle w:val="NormalWeb"/>
              <w:jc w:val="center"/>
              <w:rPr>
                <w:sz w:val="20"/>
                <w:szCs w:val="20"/>
              </w:rPr>
            </w:pPr>
            <w:r w:rsidRPr="0027494B">
              <w:rPr>
                <w:sz w:val="20"/>
                <w:szCs w:val="20"/>
              </w:rPr>
              <w:t>B97.2</w:t>
            </w:r>
          </w:p>
        </w:tc>
        <w:tc>
          <w:tcPr>
            <w:tcW w:w="0" w:type="auto"/>
            <w:hideMark/>
          </w:tcPr>
          <w:p w14:paraId="0D2D94F4" w14:textId="77777777" w:rsidR="00FA40A3" w:rsidRPr="0027494B" w:rsidRDefault="00FA40A3" w:rsidP="00AF632F">
            <w:pPr>
              <w:pStyle w:val="NormalWeb"/>
              <w:rPr>
                <w:sz w:val="20"/>
                <w:szCs w:val="20"/>
              </w:rPr>
            </w:pPr>
            <w:r w:rsidRPr="0027494B">
              <w:rPr>
                <w:sz w:val="20"/>
                <w:szCs w:val="20"/>
              </w:rPr>
              <w:t>Coronavirus</w:t>
            </w:r>
          </w:p>
        </w:tc>
        <w:tc>
          <w:tcPr>
            <w:tcW w:w="0" w:type="auto"/>
            <w:hideMark/>
          </w:tcPr>
          <w:p w14:paraId="28B81FDF" w14:textId="77777777" w:rsidR="00FA40A3" w:rsidRPr="0027494B" w:rsidRDefault="00FA40A3" w:rsidP="00AF632F">
            <w:pPr>
              <w:pStyle w:val="NormalWeb"/>
              <w:jc w:val="center"/>
              <w:rPr>
                <w:sz w:val="20"/>
                <w:szCs w:val="20"/>
              </w:rPr>
            </w:pPr>
            <w:r w:rsidRPr="0027494B">
              <w:rPr>
                <w:sz w:val="20"/>
                <w:szCs w:val="20"/>
              </w:rPr>
              <w:t>200</w:t>
            </w:r>
          </w:p>
        </w:tc>
        <w:tc>
          <w:tcPr>
            <w:tcW w:w="0" w:type="auto"/>
            <w:hideMark/>
          </w:tcPr>
          <w:p w14:paraId="3AAB6F93" w14:textId="77777777" w:rsidR="00FA40A3" w:rsidRPr="0027494B" w:rsidRDefault="00FA40A3" w:rsidP="00AF632F">
            <w:pPr>
              <w:pStyle w:val="NormalWeb"/>
              <w:jc w:val="center"/>
              <w:rPr>
                <w:sz w:val="20"/>
                <w:szCs w:val="20"/>
              </w:rPr>
            </w:pPr>
            <w:r w:rsidRPr="0027494B">
              <w:rPr>
                <w:sz w:val="20"/>
                <w:szCs w:val="20"/>
              </w:rPr>
              <w:t>9.7</w:t>
            </w:r>
          </w:p>
        </w:tc>
        <w:tc>
          <w:tcPr>
            <w:tcW w:w="3382" w:type="dxa"/>
            <w:hideMark/>
          </w:tcPr>
          <w:p w14:paraId="5DE431C4" w14:textId="77777777" w:rsidR="00FA40A3" w:rsidRPr="0027494B" w:rsidRDefault="00FA40A3" w:rsidP="00AF632F">
            <w:pPr>
              <w:pStyle w:val="NormalWeb"/>
              <w:jc w:val="center"/>
              <w:rPr>
                <w:sz w:val="20"/>
                <w:szCs w:val="20"/>
              </w:rPr>
            </w:pPr>
            <w:r w:rsidRPr="0027494B">
              <w:rPr>
                <w:sz w:val="20"/>
                <w:szCs w:val="20"/>
              </w:rPr>
              <w:t>32.1</w:t>
            </w:r>
          </w:p>
        </w:tc>
      </w:tr>
      <w:tr w:rsidR="00FA40A3" w:rsidRPr="0027494B" w14:paraId="0608CE9E"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01C1B12A" w14:textId="77777777" w:rsidR="00FA40A3" w:rsidRPr="0027494B" w:rsidRDefault="00FA40A3" w:rsidP="00AF632F">
            <w:pPr>
              <w:pStyle w:val="NormalWeb"/>
              <w:rPr>
                <w:sz w:val="20"/>
                <w:szCs w:val="20"/>
              </w:rPr>
            </w:pPr>
            <w:r w:rsidRPr="0027494B">
              <w:rPr>
                <w:sz w:val="20"/>
                <w:szCs w:val="20"/>
              </w:rPr>
              <w:t>4</w:t>
            </w:r>
          </w:p>
        </w:tc>
        <w:tc>
          <w:tcPr>
            <w:tcW w:w="0" w:type="auto"/>
            <w:hideMark/>
          </w:tcPr>
          <w:p w14:paraId="7EB65A1E" w14:textId="77777777" w:rsidR="00FA40A3" w:rsidRPr="0027494B" w:rsidRDefault="00FA40A3" w:rsidP="00AF632F">
            <w:pPr>
              <w:pStyle w:val="NormalWeb"/>
              <w:jc w:val="center"/>
              <w:rPr>
                <w:sz w:val="20"/>
                <w:szCs w:val="20"/>
              </w:rPr>
            </w:pPr>
            <w:r w:rsidRPr="0027494B">
              <w:rPr>
                <w:sz w:val="20"/>
                <w:szCs w:val="20"/>
              </w:rPr>
              <w:t>R05</w:t>
            </w:r>
          </w:p>
        </w:tc>
        <w:tc>
          <w:tcPr>
            <w:tcW w:w="0" w:type="auto"/>
            <w:hideMark/>
          </w:tcPr>
          <w:p w14:paraId="34AC2424" w14:textId="77777777" w:rsidR="00FA40A3" w:rsidRPr="0027494B" w:rsidRDefault="00FA40A3" w:rsidP="00AF632F">
            <w:pPr>
              <w:pStyle w:val="NormalWeb"/>
              <w:rPr>
                <w:sz w:val="20"/>
                <w:szCs w:val="20"/>
              </w:rPr>
            </w:pPr>
            <w:r w:rsidRPr="0027494B">
              <w:rPr>
                <w:sz w:val="20"/>
                <w:szCs w:val="20"/>
              </w:rPr>
              <w:t>Cough</w:t>
            </w:r>
          </w:p>
        </w:tc>
        <w:tc>
          <w:tcPr>
            <w:tcW w:w="0" w:type="auto"/>
            <w:hideMark/>
          </w:tcPr>
          <w:p w14:paraId="4AF35191" w14:textId="77777777" w:rsidR="00FA40A3" w:rsidRPr="0027494B" w:rsidRDefault="00FA40A3" w:rsidP="00AF632F">
            <w:pPr>
              <w:pStyle w:val="NormalWeb"/>
              <w:jc w:val="center"/>
              <w:rPr>
                <w:sz w:val="20"/>
                <w:szCs w:val="20"/>
              </w:rPr>
            </w:pPr>
            <w:r w:rsidRPr="0027494B">
              <w:rPr>
                <w:sz w:val="20"/>
                <w:szCs w:val="20"/>
              </w:rPr>
              <w:t>77</w:t>
            </w:r>
          </w:p>
        </w:tc>
        <w:tc>
          <w:tcPr>
            <w:tcW w:w="0" w:type="auto"/>
            <w:hideMark/>
          </w:tcPr>
          <w:p w14:paraId="738D155E" w14:textId="77777777" w:rsidR="00FA40A3" w:rsidRPr="0027494B" w:rsidRDefault="00FA40A3" w:rsidP="00AF632F">
            <w:pPr>
              <w:pStyle w:val="NormalWeb"/>
              <w:jc w:val="center"/>
              <w:rPr>
                <w:sz w:val="20"/>
                <w:szCs w:val="20"/>
              </w:rPr>
            </w:pPr>
            <w:r w:rsidRPr="0027494B">
              <w:rPr>
                <w:sz w:val="20"/>
                <w:szCs w:val="20"/>
              </w:rPr>
              <w:t>3.8</w:t>
            </w:r>
          </w:p>
        </w:tc>
        <w:tc>
          <w:tcPr>
            <w:tcW w:w="3382" w:type="dxa"/>
            <w:hideMark/>
          </w:tcPr>
          <w:p w14:paraId="0679B45C" w14:textId="77777777" w:rsidR="00FA40A3" w:rsidRPr="0027494B" w:rsidRDefault="00FA40A3" w:rsidP="00AF632F">
            <w:pPr>
              <w:pStyle w:val="NormalWeb"/>
              <w:jc w:val="center"/>
              <w:rPr>
                <w:sz w:val="20"/>
                <w:szCs w:val="20"/>
              </w:rPr>
            </w:pPr>
            <w:r w:rsidRPr="0027494B">
              <w:rPr>
                <w:sz w:val="20"/>
                <w:szCs w:val="20"/>
              </w:rPr>
              <w:t>35.8</w:t>
            </w:r>
          </w:p>
        </w:tc>
      </w:tr>
      <w:tr w:rsidR="00FA40A3" w:rsidRPr="0027494B" w14:paraId="542688C7" w14:textId="77777777" w:rsidTr="00AF632F">
        <w:tc>
          <w:tcPr>
            <w:tcW w:w="0" w:type="auto"/>
            <w:hideMark/>
          </w:tcPr>
          <w:p w14:paraId="1AEB48C9" w14:textId="77777777" w:rsidR="00FA40A3" w:rsidRPr="0027494B" w:rsidRDefault="00FA40A3" w:rsidP="00AF632F">
            <w:pPr>
              <w:pStyle w:val="NormalWeb"/>
              <w:rPr>
                <w:sz w:val="20"/>
                <w:szCs w:val="20"/>
              </w:rPr>
            </w:pPr>
            <w:r w:rsidRPr="0027494B">
              <w:rPr>
                <w:sz w:val="20"/>
                <w:szCs w:val="20"/>
              </w:rPr>
              <w:t>5</w:t>
            </w:r>
          </w:p>
        </w:tc>
        <w:tc>
          <w:tcPr>
            <w:tcW w:w="0" w:type="auto"/>
            <w:hideMark/>
          </w:tcPr>
          <w:p w14:paraId="4F540223" w14:textId="77777777" w:rsidR="00FA40A3" w:rsidRPr="0027494B" w:rsidRDefault="00FA40A3" w:rsidP="00AF632F">
            <w:pPr>
              <w:pStyle w:val="NormalWeb"/>
              <w:jc w:val="center"/>
              <w:rPr>
                <w:sz w:val="20"/>
                <w:szCs w:val="20"/>
              </w:rPr>
            </w:pPr>
            <w:r w:rsidRPr="0027494B">
              <w:rPr>
                <w:sz w:val="20"/>
                <w:szCs w:val="20"/>
              </w:rPr>
              <w:t>U82.3b</w:t>
            </w:r>
          </w:p>
        </w:tc>
        <w:tc>
          <w:tcPr>
            <w:tcW w:w="0" w:type="auto"/>
            <w:hideMark/>
          </w:tcPr>
          <w:p w14:paraId="64E2DE9E" w14:textId="77777777" w:rsidR="00FA40A3" w:rsidRPr="0027494B" w:rsidRDefault="00FA40A3" w:rsidP="00AF632F">
            <w:pPr>
              <w:pStyle w:val="NormalWeb"/>
              <w:rPr>
                <w:sz w:val="20"/>
                <w:szCs w:val="20"/>
              </w:rPr>
            </w:pPr>
            <w:r w:rsidRPr="0027494B">
              <w:rPr>
                <w:sz w:val="20"/>
                <w:szCs w:val="20"/>
              </w:rPr>
              <w:t>Hypertension</w:t>
            </w:r>
          </w:p>
        </w:tc>
        <w:tc>
          <w:tcPr>
            <w:tcW w:w="0" w:type="auto"/>
            <w:hideMark/>
          </w:tcPr>
          <w:p w14:paraId="6E832E6F" w14:textId="77777777" w:rsidR="00FA40A3" w:rsidRPr="0027494B" w:rsidRDefault="00FA40A3" w:rsidP="00AF632F">
            <w:pPr>
              <w:pStyle w:val="NormalWeb"/>
              <w:jc w:val="center"/>
              <w:rPr>
                <w:sz w:val="20"/>
                <w:szCs w:val="20"/>
              </w:rPr>
            </w:pPr>
            <w:r w:rsidRPr="0027494B">
              <w:rPr>
                <w:sz w:val="20"/>
                <w:szCs w:val="20"/>
              </w:rPr>
              <w:t>45</w:t>
            </w:r>
          </w:p>
        </w:tc>
        <w:tc>
          <w:tcPr>
            <w:tcW w:w="0" w:type="auto"/>
            <w:hideMark/>
          </w:tcPr>
          <w:p w14:paraId="39994CC3" w14:textId="77777777" w:rsidR="00FA40A3" w:rsidRPr="0027494B" w:rsidRDefault="00FA40A3" w:rsidP="00AF632F">
            <w:pPr>
              <w:pStyle w:val="NormalWeb"/>
              <w:jc w:val="center"/>
              <w:rPr>
                <w:sz w:val="20"/>
                <w:szCs w:val="20"/>
              </w:rPr>
            </w:pPr>
            <w:r w:rsidRPr="0027494B">
              <w:rPr>
                <w:sz w:val="20"/>
                <w:szCs w:val="20"/>
              </w:rPr>
              <w:t>2.2</w:t>
            </w:r>
          </w:p>
        </w:tc>
        <w:tc>
          <w:tcPr>
            <w:tcW w:w="3382" w:type="dxa"/>
            <w:hideMark/>
          </w:tcPr>
          <w:p w14:paraId="4922B92B" w14:textId="77777777" w:rsidR="00FA40A3" w:rsidRPr="0027494B" w:rsidRDefault="00FA40A3" w:rsidP="00AF632F">
            <w:pPr>
              <w:pStyle w:val="NormalWeb"/>
              <w:jc w:val="center"/>
              <w:rPr>
                <w:sz w:val="20"/>
                <w:szCs w:val="20"/>
              </w:rPr>
            </w:pPr>
            <w:r w:rsidRPr="0027494B">
              <w:rPr>
                <w:sz w:val="20"/>
                <w:szCs w:val="20"/>
              </w:rPr>
              <w:t>38.0</w:t>
            </w:r>
          </w:p>
        </w:tc>
      </w:tr>
      <w:tr w:rsidR="00FA40A3" w:rsidRPr="0027494B" w14:paraId="4F891B8D"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655A122F" w14:textId="77777777" w:rsidR="00FA40A3" w:rsidRPr="0027494B" w:rsidRDefault="00FA40A3" w:rsidP="00AF632F">
            <w:pPr>
              <w:pStyle w:val="NormalWeb"/>
              <w:rPr>
                <w:sz w:val="20"/>
                <w:szCs w:val="20"/>
              </w:rPr>
            </w:pPr>
            <w:r w:rsidRPr="0027494B">
              <w:rPr>
                <w:sz w:val="20"/>
                <w:szCs w:val="20"/>
              </w:rPr>
              <w:t>6</w:t>
            </w:r>
          </w:p>
        </w:tc>
        <w:tc>
          <w:tcPr>
            <w:tcW w:w="0" w:type="auto"/>
            <w:hideMark/>
          </w:tcPr>
          <w:p w14:paraId="4B787163" w14:textId="77777777" w:rsidR="00FA40A3" w:rsidRPr="0027494B" w:rsidRDefault="00FA40A3" w:rsidP="00AF632F">
            <w:pPr>
              <w:pStyle w:val="NormalWeb"/>
              <w:jc w:val="center"/>
              <w:rPr>
                <w:sz w:val="20"/>
                <w:szCs w:val="20"/>
              </w:rPr>
            </w:pPr>
            <w:r w:rsidRPr="0027494B">
              <w:rPr>
                <w:sz w:val="20"/>
                <w:szCs w:val="20"/>
              </w:rPr>
              <w:t>R50.9</w:t>
            </w:r>
          </w:p>
        </w:tc>
        <w:tc>
          <w:tcPr>
            <w:tcW w:w="0" w:type="auto"/>
            <w:hideMark/>
          </w:tcPr>
          <w:p w14:paraId="66A2B469" w14:textId="77777777" w:rsidR="00FA40A3" w:rsidRPr="0027494B" w:rsidRDefault="00FA40A3" w:rsidP="00AF632F">
            <w:pPr>
              <w:pStyle w:val="NormalWeb"/>
              <w:rPr>
                <w:sz w:val="20"/>
                <w:szCs w:val="20"/>
              </w:rPr>
            </w:pPr>
            <w:r w:rsidRPr="0027494B">
              <w:rPr>
                <w:sz w:val="20"/>
                <w:szCs w:val="20"/>
              </w:rPr>
              <w:t>Fever</w:t>
            </w:r>
          </w:p>
        </w:tc>
        <w:tc>
          <w:tcPr>
            <w:tcW w:w="0" w:type="auto"/>
            <w:hideMark/>
          </w:tcPr>
          <w:p w14:paraId="0AF00AFF" w14:textId="77777777" w:rsidR="00FA40A3" w:rsidRPr="0027494B" w:rsidRDefault="00FA40A3" w:rsidP="00AF632F">
            <w:pPr>
              <w:pStyle w:val="NormalWeb"/>
              <w:jc w:val="center"/>
              <w:rPr>
                <w:sz w:val="20"/>
                <w:szCs w:val="20"/>
              </w:rPr>
            </w:pPr>
            <w:r w:rsidRPr="0027494B">
              <w:rPr>
                <w:sz w:val="20"/>
                <w:szCs w:val="20"/>
              </w:rPr>
              <w:t>45</w:t>
            </w:r>
          </w:p>
        </w:tc>
        <w:tc>
          <w:tcPr>
            <w:tcW w:w="0" w:type="auto"/>
            <w:hideMark/>
          </w:tcPr>
          <w:p w14:paraId="35E28CDD" w14:textId="77777777" w:rsidR="00FA40A3" w:rsidRPr="0027494B" w:rsidRDefault="00FA40A3" w:rsidP="00AF632F">
            <w:pPr>
              <w:pStyle w:val="NormalWeb"/>
              <w:jc w:val="center"/>
              <w:rPr>
                <w:sz w:val="20"/>
                <w:szCs w:val="20"/>
              </w:rPr>
            </w:pPr>
            <w:r w:rsidRPr="0027494B">
              <w:rPr>
                <w:sz w:val="20"/>
                <w:szCs w:val="20"/>
              </w:rPr>
              <w:t>2.2</w:t>
            </w:r>
          </w:p>
        </w:tc>
        <w:tc>
          <w:tcPr>
            <w:tcW w:w="3382" w:type="dxa"/>
            <w:hideMark/>
          </w:tcPr>
          <w:p w14:paraId="4F42C4EA" w14:textId="77777777" w:rsidR="00FA40A3" w:rsidRPr="0027494B" w:rsidRDefault="00FA40A3" w:rsidP="00AF632F">
            <w:pPr>
              <w:pStyle w:val="NormalWeb"/>
              <w:jc w:val="center"/>
              <w:rPr>
                <w:sz w:val="20"/>
                <w:szCs w:val="20"/>
              </w:rPr>
            </w:pPr>
            <w:r w:rsidRPr="0027494B">
              <w:rPr>
                <w:sz w:val="20"/>
                <w:szCs w:val="20"/>
              </w:rPr>
              <w:t>40.2</w:t>
            </w:r>
          </w:p>
        </w:tc>
      </w:tr>
      <w:tr w:rsidR="00FA40A3" w:rsidRPr="0027494B" w14:paraId="7782F396" w14:textId="77777777" w:rsidTr="00AF632F">
        <w:tc>
          <w:tcPr>
            <w:tcW w:w="0" w:type="auto"/>
            <w:hideMark/>
          </w:tcPr>
          <w:p w14:paraId="59F2C231" w14:textId="77777777" w:rsidR="00FA40A3" w:rsidRPr="0027494B" w:rsidRDefault="00FA40A3" w:rsidP="00AF632F">
            <w:pPr>
              <w:pStyle w:val="NormalWeb"/>
              <w:rPr>
                <w:sz w:val="20"/>
                <w:szCs w:val="20"/>
              </w:rPr>
            </w:pPr>
            <w:r w:rsidRPr="0027494B">
              <w:rPr>
                <w:sz w:val="20"/>
                <w:szCs w:val="20"/>
              </w:rPr>
              <w:t>7</w:t>
            </w:r>
          </w:p>
        </w:tc>
        <w:tc>
          <w:tcPr>
            <w:tcW w:w="0" w:type="auto"/>
            <w:hideMark/>
          </w:tcPr>
          <w:p w14:paraId="5110C710" w14:textId="77777777" w:rsidR="00FA40A3" w:rsidRPr="0027494B" w:rsidRDefault="00FA40A3" w:rsidP="00AF632F">
            <w:pPr>
              <w:pStyle w:val="NormalWeb"/>
              <w:jc w:val="center"/>
              <w:rPr>
                <w:sz w:val="20"/>
                <w:szCs w:val="20"/>
              </w:rPr>
            </w:pPr>
            <w:r w:rsidRPr="0027494B">
              <w:rPr>
                <w:sz w:val="20"/>
                <w:szCs w:val="20"/>
              </w:rPr>
              <w:t>B34.2</w:t>
            </w:r>
          </w:p>
        </w:tc>
        <w:tc>
          <w:tcPr>
            <w:tcW w:w="0" w:type="auto"/>
            <w:hideMark/>
          </w:tcPr>
          <w:p w14:paraId="0BB194EC" w14:textId="77777777" w:rsidR="00FA40A3" w:rsidRPr="0027494B" w:rsidRDefault="00FA40A3" w:rsidP="00AF632F">
            <w:pPr>
              <w:pStyle w:val="NormalWeb"/>
              <w:rPr>
                <w:sz w:val="20"/>
                <w:szCs w:val="20"/>
              </w:rPr>
            </w:pPr>
            <w:r w:rsidRPr="0027494B">
              <w:rPr>
                <w:sz w:val="20"/>
                <w:szCs w:val="20"/>
              </w:rPr>
              <w:t>Coronavirus infection unspecific site</w:t>
            </w:r>
          </w:p>
        </w:tc>
        <w:tc>
          <w:tcPr>
            <w:tcW w:w="0" w:type="auto"/>
            <w:hideMark/>
          </w:tcPr>
          <w:p w14:paraId="36AAC8A0" w14:textId="77777777" w:rsidR="00FA40A3" w:rsidRPr="0027494B" w:rsidRDefault="00FA40A3" w:rsidP="00AF632F">
            <w:pPr>
              <w:pStyle w:val="NormalWeb"/>
              <w:jc w:val="center"/>
              <w:rPr>
                <w:sz w:val="20"/>
                <w:szCs w:val="20"/>
              </w:rPr>
            </w:pPr>
            <w:r w:rsidRPr="0027494B">
              <w:rPr>
                <w:sz w:val="20"/>
                <w:szCs w:val="20"/>
              </w:rPr>
              <w:t>43</w:t>
            </w:r>
          </w:p>
        </w:tc>
        <w:tc>
          <w:tcPr>
            <w:tcW w:w="0" w:type="auto"/>
            <w:hideMark/>
          </w:tcPr>
          <w:p w14:paraId="50DF6004" w14:textId="77777777" w:rsidR="00FA40A3" w:rsidRPr="0027494B" w:rsidRDefault="00FA40A3" w:rsidP="00AF632F">
            <w:pPr>
              <w:pStyle w:val="NormalWeb"/>
              <w:jc w:val="center"/>
              <w:rPr>
                <w:sz w:val="20"/>
                <w:szCs w:val="20"/>
              </w:rPr>
            </w:pPr>
            <w:r w:rsidRPr="0027494B">
              <w:rPr>
                <w:sz w:val="20"/>
                <w:szCs w:val="20"/>
              </w:rPr>
              <w:t>2.1</w:t>
            </w:r>
          </w:p>
        </w:tc>
        <w:tc>
          <w:tcPr>
            <w:tcW w:w="3382" w:type="dxa"/>
            <w:hideMark/>
          </w:tcPr>
          <w:p w14:paraId="247354A5" w14:textId="77777777" w:rsidR="00FA40A3" w:rsidRPr="0027494B" w:rsidRDefault="00FA40A3" w:rsidP="00AF632F">
            <w:pPr>
              <w:pStyle w:val="NormalWeb"/>
              <w:jc w:val="center"/>
              <w:rPr>
                <w:sz w:val="20"/>
                <w:szCs w:val="20"/>
              </w:rPr>
            </w:pPr>
            <w:r w:rsidRPr="0027494B">
              <w:rPr>
                <w:sz w:val="20"/>
                <w:szCs w:val="20"/>
              </w:rPr>
              <w:t>42.3</w:t>
            </w:r>
          </w:p>
        </w:tc>
      </w:tr>
      <w:tr w:rsidR="00FA40A3" w:rsidRPr="0027494B" w14:paraId="387E911A"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75C7C3CA" w14:textId="77777777" w:rsidR="00FA40A3" w:rsidRPr="0027494B" w:rsidRDefault="00FA40A3" w:rsidP="00AF632F">
            <w:pPr>
              <w:pStyle w:val="NormalWeb"/>
              <w:rPr>
                <w:sz w:val="20"/>
                <w:szCs w:val="20"/>
              </w:rPr>
            </w:pPr>
            <w:r w:rsidRPr="0027494B">
              <w:rPr>
                <w:sz w:val="20"/>
                <w:szCs w:val="20"/>
              </w:rPr>
              <w:t>8</w:t>
            </w:r>
          </w:p>
        </w:tc>
        <w:tc>
          <w:tcPr>
            <w:tcW w:w="0" w:type="auto"/>
            <w:hideMark/>
          </w:tcPr>
          <w:p w14:paraId="0BAF17CB" w14:textId="77777777" w:rsidR="00FA40A3" w:rsidRPr="0027494B" w:rsidRDefault="00FA40A3" w:rsidP="00AF632F">
            <w:pPr>
              <w:pStyle w:val="NormalWeb"/>
              <w:jc w:val="center"/>
              <w:rPr>
                <w:sz w:val="20"/>
                <w:szCs w:val="20"/>
              </w:rPr>
            </w:pPr>
            <w:r w:rsidRPr="0027494B">
              <w:rPr>
                <w:sz w:val="20"/>
                <w:szCs w:val="20"/>
              </w:rPr>
              <w:t>Z86.43</w:t>
            </w:r>
          </w:p>
        </w:tc>
        <w:tc>
          <w:tcPr>
            <w:tcW w:w="0" w:type="auto"/>
            <w:hideMark/>
          </w:tcPr>
          <w:p w14:paraId="57308084" w14:textId="77777777" w:rsidR="00FA40A3" w:rsidRPr="0027494B" w:rsidRDefault="00FA40A3" w:rsidP="00AF632F">
            <w:pPr>
              <w:pStyle w:val="NormalWeb"/>
              <w:rPr>
                <w:sz w:val="20"/>
                <w:szCs w:val="20"/>
              </w:rPr>
            </w:pPr>
            <w:r w:rsidRPr="0027494B">
              <w:rPr>
                <w:sz w:val="20"/>
                <w:szCs w:val="20"/>
              </w:rPr>
              <w:t>Personal history of psychoactive substance abuse,</w:t>
            </w:r>
            <w:r w:rsidRPr="0027494B">
              <w:rPr>
                <w:sz w:val="20"/>
                <w:szCs w:val="20"/>
              </w:rPr>
              <w:br/>
              <w:t>tobacco use disorder</w:t>
            </w:r>
          </w:p>
        </w:tc>
        <w:tc>
          <w:tcPr>
            <w:tcW w:w="0" w:type="auto"/>
            <w:hideMark/>
          </w:tcPr>
          <w:p w14:paraId="7ABF2383" w14:textId="77777777" w:rsidR="00FA40A3" w:rsidRPr="0027494B" w:rsidRDefault="00FA40A3" w:rsidP="00AF632F">
            <w:pPr>
              <w:pStyle w:val="NormalWeb"/>
              <w:jc w:val="center"/>
              <w:rPr>
                <w:sz w:val="20"/>
                <w:szCs w:val="20"/>
              </w:rPr>
            </w:pPr>
            <w:r w:rsidRPr="0027494B">
              <w:rPr>
                <w:sz w:val="20"/>
                <w:szCs w:val="20"/>
              </w:rPr>
              <w:t>43</w:t>
            </w:r>
          </w:p>
        </w:tc>
        <w:tc>
          <w:tcPr>
            <w:tcW w:w="0" w:type="auto"/>
            <w:hideMark/>
          </w:tcPr>
          <w:p w14:paraId="11C25772" w14:textId="77777777" w:rsidR="00FA40A3" w:rsidRPr="0027494B" w:rsidRDefault="00FA40A3" w:rsidP="00AF632F">
            <w:pPr>
              <w:pStyle w:val="NormalWeb"/>
              <w:jc w:val="center"/>
              <w:rPr>
                <w:sz w:val="20"/>
                <w:szCs w:val="20"/>
              </w:rPr>
            </w:pPr>
            <w:r w:rsidRPr="0027494B">
              <w:rPr>
                <w:sz w:val="20"/>
                <w:szCs w:val="20"/>
              </w:rPr>
              <w:t>2.1</w:t>
            </w:r>
          </w:p>
        </w:tc>
        <w:tc>
          <w:tcPr>
            <w:tcW w:w="3382" w:type="dxa"/>
            <w:hideMark/>
          </w:tcPr>
          <w:p w14:paraId="67A177D2" w14:textId="77777777" w:rsidR="00FA40A3" w:rsidRPr="0027494B" w:rsidRDefault="00FA40A3" w:rsidP="00AF632F">
            <w:pPr>
              <w:pStyle w:val="NormalWeb"/>
              <w:jc w:val="center"/>
              <w:rPr>
                <w:sz w:val="20"/>
                <w:szCs w:val="20"/>
              </w:rPr>
            </w:pPr>
            <w:r w:rsidRPr="0027494B">
              <w:rPr>
                <w:sz w:val="20"/>
                <w:szCs w:val="20"/>
              </w:rPr>
              <w:t>44.4</w:t>
            </w:r>
          </w:p>
        </w:tc>
      </w:tr>
      <w:tr w:rsidR="00FA40A3" w:rsidRPr="0027494B" w14:paraId="6D9DBD09" w14:textId="77777777" w:rsidTr="00AF632F">
        <w:tc>
          <w:tcPr>
            <w:tcW w:w="0" w:type="auto"/>
            <w:hideMark/>
          </w:tcPr>
          <w:p w14:paraId="6A9155CE" w14:textId="77777777" w:rsidR="00FA40A3" w:rsidRPr="0027494B" w:rsidRDefault="00FA40A3" w:rsidP="00AF632F">
            <w:pPr>
              <w:pStyle w:val="NormalWeb"/>
              <w:rPr>
                <w:sz w:val="20"/>
                <w:szCs w:val="20"/>
              </w:rPr>
            </w:pPr>
            <w:r w:rsidRPr="0027494B">
              <w:rPr>
                <w:sz w:val="20"/>
                <w:szCs w:val="20"/>
              </w:rPr>
              <w:t>9</w:t>
            </w:r>
          </w:p>
        </w:tc>
        <w:tc>
          <w:tcPr>
            <w:tcW w:w="0" w:type="auto"/>
            <w:hideMark/>
          </w:tcPr>
          <w:p w14:paraId="6495A4FD" w14:textId="77777777" w:rsidR="00FA40A3" w:rsidRPr="0027494B" w:rsidRDefault="00FA40A3" w:rsidP="00AF632F">
            <w:pPr>
              <w:pStyle w:val="NormalWeb"/>
              <w:jc w:val="center"/>
              <w:rPr>
                <w:sz w:val="20"/>
                <w:szCs w:val="20"/>
              </w:rPr>
            </w:pPr>
            <w:r w:rsidRPr="0027494B">
              <w:rPr>
                <w:sz w:val="20"/>
                <w:szCs w:val="20"/>
              </w:rPr>
              <w:t>J128</w:t>
            </w:r>
          </w:p>
        </w:tc>
        <w:tc>
          <w:tcPr>
            <w:tcW w:w="0" w:type="auto"/>
            <w:hideMark/>
          </w:tcPr>
          <w:p w14:paraId="5BE75FFD" w14:textId="77777777" w:rsidR="00FA40A3" w:rsidRPr="0027494B" w:rsidRDefault="00FA40A3" w:rsidP="00AF632F">
            <w:pPr>
              <w:pStyle w:val="NormalWeb"/>
              <w:rPr>
                <w:sz w:val="20"/>
                <w:szCs w:val="20"/>
              </w:rPr>
            </w:pPr>
            <w:r w:rsidRPr="0027494B">
              <w:rPr>
                <w:sz w:val="20"/>
                <w:szCs w:val="20"/>
              </w:rPr>
              <w:t>Other viral pneumonia</w:t>
            </w:r>
          </w:p>
        </w:tc>
        <w:tc>
          <w:tcPr>
            <w:tcW w:w="0" w:type="auto"/>
            <w:hideMark/>
          </w:tcPr>
          <w:p w14:paraId="565A6432" w14:textId="77777777" w:rsidR="00FA40A3" w:rsidRPr="0027494B" w:rsidRDefault="00FA40A3" w:rsidP="00AF632F">
            <w:pPr>
              <w:pStyle w:val="NormalWeb"/>
              <w:jc w:val="center"/>
              <w:rPr>
                <w:sz w:val="20"/>
                <w:szCs w:val="20"/>
              </w:rPr>
            </w:pPr>
            <w:r w:rsidRPr="0027494B">
              <w:rPr>
                <w:sz w:val="20"/>
                <w:szCs w:val="20"/>
              </w:rPr>
              <w:t>40</w:t>
            </w:r>
          </w:p>
        </w:tc>
        <w:tc>
          <w:tcPr>
            <w:tcW w:w="0" w:type="auto"/>
            <w:hideMark/>
          </w:tcPr>
          <w:p w14:paraId="64C2B298" w14:textId="77777777" w:rsidR="00FA40A3" w:rsidRPr="0027494B" w:rsidRDefault="00FA40A3" w:rsidP="00AF632F">
            <w:pPr>
              <w:pStyle w:val="NormalWeb"/>
              <w:jc w:val="center"/>
              <w:rPr>
                <w:sz w:val="20"/>
                <w:szCs w:val="20"/>
              </w:rPr>
            </w:pPr>
            <w:r w:rsidRPr="0027494B">
              <w:rPr>
                <w:sz w:val="20"/>
                <w:szCs w:val="20"/>
              </w:rPr>
              <w:t>1.9</w:t>
            </w:r>
          </w:p>
        </w:tc>
        <w:tc>
          <w:tcPr>
            <w:tcW w:w="3382" w:type="dxa"/>
            <w:hideMark/>
          </w:tcPr>
          <w:p w14:paraId="1C4A68A8" w14:textId="77777777" w:rsidR="00FA40A3" w:rsidRPr="0027494B" w:rsidRDefault="00FA40A3" w:rsidP="00AF632F">
            <w:pPr>
              <w:pStyle w:val="NormalWeb"/>
              <w:jc w:val="center"/>
              <w:rPr>
                <w:sz w:val="20"/>
                <w:szCs w:val="20"/>
              </w:rPr>
            </w:pPr>
            <w:r w:rsidRPr="0027494B">
              <w:rPr>
                <w:sz w:val="20"/>
                <w:szCs w:val="20"/>
              </w:rPr>
              <w:t>46.4</w:t>
            </w:r>
          </w:p>
        </w:tc>
      </w:tr>
      <w:tr w:rsidR="00FA40A3" w:rsidRPr="0027494B" w14:paraId="68A63300"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5769F176" w14:textId="77777777" w:rsidR="00FA40A3" w:rsidRPr="0027494B" w:rsidRDefault="00FA40A3" w:rsidP="00AF632F">
            <w:pPr>
              <w:pStyle w:val="NormalWeb"/>
              <w:rPr>
                <w:sz w:val="20"/>
                <w:szCs w:val="20"/>
              </w:rPr>
            </w:pPr>
            <w:r w:rsidRPr="0027494B">
              <w:rPr>
                <w:sz w:val="20"/>
                <w:szCs w:val="20"/>
              </w:rPr>
              <w:t>10</w:t>
            </w:r>
          </w:p>
        </w:tc>
        <w:tc>
          <w:tcPr>
            <w:tcW w:w="0" w:type="auto"/>
            <w:hideMark/>
          </w:tcPr>
          <w:p w14:paraId="16612AFD" w14:textId="77777777" w:rsidR="00FA40A3" w:rsidRPr="0027494B" w:rsidRDefault="00FA40A3" w:rsidP="00AF632F">
            <w:pPr>
              <w:pStyle w:val="NormalWeb"/>
              <w:jc w:val="center"/>
              <w:rPr>
                <w:sz w:val="20"/>
                <w:szCs w:val="20"/>
              </w:rPr>
            </w:pPr>
            <w:r w:rsidRPr="0027494B">
              <w:rPr>
                <w:sz w:val="20"/>
                <w:szCs w:val="20"/>
              </w:rPr>
              <w:t>R51</w:t>
            </w:r>
          </w:p>
        </w:tc>
        <w:tc>
          <w:tcPr>
            <w:tcW w:w="0" w:type="auto"/>
            <w:hideMark/>
          </w:tcPr>
          <w:p w14:paraId="28BAEDB3" w14:textId="77777777" w:rsidR="00FA40A3" w:rsidRPr="0027494B" w:rsidRDefault="00FA40A3" w:rsidP="00AF632F">
            <w:pPr>
              <w:pStyle w:val="NormalWeb"/>
              <w:rPr>
                <w:sz w:val="20"/>
                <w:szCs w:val="20"/>
              </w:rPr>
            </w:pPr>
            <w:r w:rsidRPr="0027494B">
              <w:rPr>
                <w:sz w:val="20"/>
                <w:szCs w:val="20"/>
              </w:rPr>
              <w:t>Headache</w:t>
            </w:r>
          </w:p>
        </w:tc>
        <w:tc>
          <w:tcPr>
            <w:tcW w:w="0" w:type="auto"/>
            <w:hideMark/>
          </w:tcPr>
          <w:p w14:paraId="263DB1F0" w14:textId="77777777" w:rsidR="00FA40A3" w:rsidRPr="0027494B" w:rsidRDefault="00FA40A3" w:rsidP="00AF632F">
            <w:pPr>
              <w:pStyle w:val="NormalWeb"/>
              <w:jc w:val="center"/>
              <w:rPr>
                <w:sz w:val="20"/>
                <w:szCs w:val="20"/>
              </w:rPr>
            </w:pPr>
            <w:r w:rsidRPr="0027494B">
              <w:rPr>
                <w:sz w:val="20"/>
                <w:szCs w:val="20"/>
              </w:rPr>
              <w:t>35</w:t>
            </w:r>
          </w:p>
        </w:tc>
        <w:tc>
          <w:tcPr>
            <w:tcW w:w="0" w:type="auto"/>
            <w:hideMark/>
          </w:tcPr>
          <w:p w14:paraId="27E009B9" w14:textId="77777777" w:rsidR="00FA40A3" w:rsidRPr="0027494B" w:rsidRDefault="00FA40A3" w:rsidP="00AF632F">
            <w:pPr>
              <w:pStyle w:val="NormalWeb"/>
              <w:jc w:val="center"/>
              <w:rPr>
                <w:sz w:val="20"/>
                <w:szCs w:val="20"/>
              </w:rPr>
            </w:pPr>
            <w:r w:rsidRPr="0027494B">
              <w:rPr>
                <w:sz w:val="20"/>
                <w:szCs w:val="20"/>
              </w:rPr>
              <w:t>1.7</w:t>
            </w:r>
          </w:p>
        </w:tc>
        <w:tc>
          <w:tcPr>
            <w:tcW w:w="3382" w:type="dxa"/>
            <w:hideMark/>
          </w:tcPr>
          <w:p w14:paraId="58E1C743" w14:textId="77777777" w:rsidR="00FA40A3" w:rsidRPr="0027494B" w:rsidRDefault="00FA40A3" w:rsidP="00AF632F">
            <w:pPr>
              <w:pStyle w:val="NormalWeb"/>
              <w:jc w:val="center"/>
              <w:rPr>
                <w:sz w:val="20"/>
                <w:szCs w:val="20"/>
              </w:rPr>
            </w:pPr>
            <w:r w:rsidRPr="0027494B">
              <w:rPr>
                <w:sz w:val="20"/>
                <w:szCs w:val="20"/>
              </w:rPr>
              <w:t>48.1</w:t>
            </w:r>
          </w:p>
        </w:tc>
      </w:tr>
    </w:tbl>
    <w:p w14:paraId="4AFF62C9"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Estimates are based on 1065 inpatient admissions among 938 patients. Outcomes are measured with data from the QHAPDC.</w:t>
      </w:r>
    </w:p>
    <w:p w14:paraId="427DA66A" w14:textId="77777777" w:rsidR="00FA40A3" w:rsidRDefault="00FA40A3" w:rsidP="00FA40A3">
      <w:pPr>
        <w:pStyle w:val="CDIfootnotes"/>
        <w:rPr>
          <w:lang w:val="en-GB"/>
        </w:rPr>
      </w:pPr>
      <w:r>
        <w:rPr>
          <w:lang w:val="en-GB"/>
        </w:rPr>
        <w:t>b</w:t>
      </w:r>
      <w:r>
        <w:rPr>
          <w:lang w:val="en-GB"/>
        </w:rPr>
        <w:tab/>
        <w:t>U82.3 Hypertension is a supplementary code, assigned when a condition is present on admission but that does not meet the criteria for coding as instructed by the general and specialty coding standards, coding conventions, and coding rules.</w:t>
      </w:r>
    </w:p>
    <w:p w14:paraId="696611D6" w14:textId="77777777" w:rsidR="00FA40A3" w:rsidRDefault="00FA40A3" w:rsidP="00FA40A3">
      <w:pPr>
        <w:pStyle w:val="NormalWeb"/>
        <w:rPr>
          <w:lang w:val="en-GB"/>
        </w:rPr>
      </w:pPr>
      <w:r>
        <w:rPr>
          <w:rStyle w:val="Strong"/>
          <w:lang w:val="en-GB"/>
        </w:rPr>
        <w:t xml:space="preserve">Table A.7: Proportions of confirmed COVID-19 cases with comorbid chronic health </w:t>
      </w:r>
      <w:proofErr w:type="spellStart"/>
      <w:proofErr w:type="gramStart"/>
      <w:r>
        <w:rPr>
          <w:rStyle w:val="Strong"/>
          <w:lang w:val="en-GB"/>
        </w:rPr>
        <w:t>conditions,</w:t>
      </w:r>
      <w:r w:rsidRPr="00C65E89">
        <w:rPr>
          <w:rStyle w:val="Strong"/>
          <w:vertAlign w:val="superscript"/>
          <w:lang w:val="en-GB"/>
        </w:rPr>
        <w:t>a</w:t>
      </w:r>
      <w:proofErr w:type="spellEnd"/>
      <w:proofErr w:type="gramEnd"/>
      <w:r>
        <w:rPr>
          <w:rStyle w:val="Strong"/>
          <w:lang w:val="en-GB"/>
        </w:rPr>
        <w:t xml:space="preserve"> measured using all available QHAPDC records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When comorbid health conditions were identified using all QHAPDC records, the proportion of the Queensland COVID-19 cohort with a chronic health condition remained low. Less than 5% were recorded as having asthma, chronic lower respiratory disease or renal failure. Less than 10% of the cohort had a diagnosis of diabetes, cancer or circulatory disease."/>
      </w:tblPr>
      <w:tblGrid>
        <w:gridCol w:w="3107"/>
        <w:gridCol w:w="2444"/>
        <w:gridCol w:w="2444"/>
        <w:gridCol w:w="2445"/>
      </w:tblGrid>
      <w:tr w:rsidR="00FA40A3" w:rsidRPr="00C65E89" w14:paraId="49DD080B"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0BC73D13" w14:textId="77777777" w:rsidR="00FA40A3" w:rsidRPr="00C65E89" w:rsidRDefault="00FA40A3" w:rsidP="00AF632F">
            <w:pPr>
              <w:pStyle w:val="NormalWeb"/>
              <w:rPr>
                <w:color w:val="FFFFFF" w:themeColor="background1"/>
              </w:rPr>
            </w:pPr>
            <w:r w:rsidRPr="00C65E89">
              <w:rPr>
                <w:color w:val="FFFFFF" w:themeColor="background1"/>
              </w:rPr>
              <w:t>Comorbidity</w:t>
            </w:r>
          </w:p>
        </w:tc>
        <w:tc>
          <w:tcPr>
            <w:tcW w:w="2444" w:type="dxa"/>
            <w:tcBorders>
              <w:left w:val="single" w:sz="2" w:space="0" w:color="FFFFFF" w:themeColor="background1"/>
              <w:right w:val="single" w:sz="2" w:space="0" w:color="FFFFFF" w:themeColor="background1"/>
            </w:tcBorders>
            <w:hideMark/>
          </w:tcPr>
          <w:p w14:paraId="757EBED1" w14:textId="77777777" w:rsidR="00FA40A3" w:rsidRPr="00C65E89" w:rsidRDefault="00FA40A3" w:rsidP="00AF632F">
            <w:pPr>
              <w:pStyle w:val="NormalWeb"/>
              <w:jc w:val="center"/>
              <w:rPr>
                <w:color w:val="FFFFFF" w:themeColor="background1"/>
              </w:rPr>
            </w:pPr>
            <w:r w:rsidRPr="00C65E89">
              <w:rPr>
                <w:color w:val="FFFFFF" w:themeColor="background1"/>
              </w:rPr>
              <w:t>Male</w:t>
            </w:r>
            <w:r w:rsidRPr="00C65E89">
              <w:rPr>
                <w:color w:val="FFFFFF" w:themeColor="background1"/>
              </w:rPr>
              <w:br/>
              <w:t>n (%)</w:t>
            </w:r>
          </w:p>
        </w:tc>
        <w:tc>
          <w:tcPr>
            <w:tcW w:w="2444" w:type="dxa"/>
            <w:tcBorders>
              <w:left w:val="single" w:sz="2" w:space="0" w:color="FFFFFF" w:themeColor="background1"/>
              <w:right w:val="single" w:sz="2" w:space="0" w:color="FFFFFF" w:themeColor="background1"/>
            </w:tcBorders>
            <w:hideMark/>
          </w:tcPr>
          <w:p w14:paraId="1A6B4B9E" w14:textId="77777777" w:rsidR="00FA40A3" w:rsidRPr="00C65E89" w:rsidRDefault="00FA40A3" w:rsidP="00AF632F">
            <w:pPr>
              <w:pStyle w:val="NormalWeb"/>
              <w:jc w:val="center"/>
              <w:rPr>
                <w:color w:val="FFFFFF" w:themeColor="background1"/>
              </w:rPr>
            </w:pPr>
            <w:r w:rsidRPr="00C65E89">
              <w:rPr>
                <w:color w:val="FFFFFF" w:themeColor="background1"/>
              </w:rPr>
              <w:t>Female</w:t>
            </w:r>
            <w:r w:rsidRPr="00C65E89">
              <w:rPr>
                <w:color w:val="FFFFFF" w:themeColor="background1"/>
              </w:rPr>
              <w:br/>
              <w:t>n (%)</w:t>
            </w:r>
          </w:p>
        </w:tc>
        <w:tc>
          <w:tcPr>
            <w:tcW w:w="2445" w:type="dxa"/>
            <w:tcBorders>
              <w:left w:val="single" w:sz="2" w:space="0" w:color="FFFFFF" w:themeColor="background1"/>
            </w:tcBorders>
            <w:hideMark/>
          </w:tcPr>
          <w:p w14:paraId="2140B142" w14:textId="77777777" w:rsidR="00FA40A3" w:rsidRPr="00C65E89" w:rsidRDefault="00FA40A3" w:rsidP="00AF632F">
            <w:pPr>
              <w:pStyle w:val="NormalWeb"/>
              <w:jc w:val="center"/>
              <w:rPr>
                <w:color w:val="FFFFFF" w:themeColor="background1"/>
              </w:rPr>
            </w:pPr>
            <w:r w:rsidRPr="00C65E89">
              <w:rPr>
                <w:color w:val="FFFFFF" w:themeColor="background1"/>
              </w:rPr>
              <w:t>Total</w:t>
            </w:r>
            <w:r w:rsidRPr="00C65E89">
              <w:rPr>
                <w:color w:val="FFFFFF" w:themeColor="background1"/>
              </w:rPr>
              <w:br/>
              <w:t>n (%)</w:t>
            </w:r>
          </w:p>
        </w:tc>
      </w:tr>
      <w:tr w:rsidR="00FA40A3" w14:paraId="0736C8F5" w14:textId="77777777" w:rsidTr="00AF632F">
        <w:tc>
          <w:tcPr>
            <w:tcW w:w="0" w:type="auto"/>
            <w:hideMark/>
          </w:tcPr>
          <w:p w14:paraId="3F8A6A62" w14:textId="77777777" w:rsidR="00FA40A3" w:rsidRDefault="00FA40A3" w:rsidP="00AF632F">
            <w:pPr>
              <w:pStyle w:val="NormalWeb"/>
            </w:pPr>
            <w:r>
              <w:t>Asthma</w:t>
            </w:r>
          </w:p>
        </w:tc>
        <w:tc>
          <w:tcPr>
            <w:tcW w:w="2444" w:type="dxa"/>
            <w:hideMark/>
          </w:tcPr>
          <w:p w14:paraId="3C200A04" w14:textId="77777777" w:rsidR="00FA40A3" w:rsidRDefault="00FA40A3" w:rsidP="00AF632F">
            <w:pPr>
              <w:pStyle w:val="NormalWeb"/>
              <w:jc w:val="center"/>
            </w:pPr>
            <w:r>
              <w:t>16 (2.5)</w:t>
            </w:r>
          </w:p>
        </w:tc>
        <w:tc>
          <w:tcPr>
            <w:tcW w:w="2444" w:type="dxa"/>
            <w:hideMark/>
          </w:tcPr>
          <w:p w14:paraId="342D222E" w14:textId="77777777" w:rsidR="00FA40A3" w:rsidRDefault="00FA40A3" w:rsidP="00AF632F">
            <w:pPr>
              <w:pStyle w:val="NormalWeb"/>
              <w:jc w:val="center"/>
            </w:pPr>
            <w:r>
              <w:t>22 (3.5)</w:t>
            </w:r>
          </w:p>
        </w:tc>
        <w:tc>
          <w:tcPr>
            <w:tcW w:w="2445" w:type="dxa"/>
            <w:hideMark/>
          </w:tcPr>
          <w:p w14:paraId="428519AD" w14:textId="77777777" w:rsidR="00FA40A3" w:rsidRDefault="00FA40A3" w:rsidP="00AF632F">
            <w:pPr>
              <w:pStyle w:val="NormalWeb"/>
              <w:jc w:val="center"/>
            </w:pPr>
            <w:r>
              <w:t>38 (3.0)</w:t>
            </w:r>
          </w:p>
        </w:tc>
      </w:tr>
      <w:tr w:rsidR="00FA40A3" w14:paraId="223D4069"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5BC820F0" w14:textId="77777777" w:rsidR="00FA40A3" w:rsidRDefault="00FA40A3" w:rsidP="00AF632F">
            <w:pPr>
              <w:pStyle w:val="NormalWeb"/>
            </w:pPr>
            <w:r>
              <w:t>Chronic lower respiratory disease</w:t>
            </w:r>
          </w:p>
        </w:tc>
        <w:tc>
          <w:tcPr>
            <w:tcW w:w="2444" w:type="dxa"/>
            <w:hideMark/>
          </w:tcPr>
          <w:p w14:paraId="27A49166" w14:textId="77777777" w:rsidR="00FA40A3" w:rsidRDefault="00FA40A3" w:rsidP="00AF632F">
            <w:pPr>
              <w:pStyle w:val="NormalWeb"/>
              <w:jc w:val="center"/>
            </w:pPr>
            <w:r>
              <w:t>10 (1.6)</w:t>
            </w:r>
          </w:p>
        </w:tc>
        <w:tc>
          <w:tcPr>
            <w:tcW w:w="2444" w:type="dxa"/>
            <w:hideMark/>
          </w:tcPr>
          <w:p w14:paraId="6F6AB358" w14:textId="77777777" w:rsidR="00FA40A3" w:rsidRDefault="00FA40A3" w:rsidP="00AF632F">
            <w:pPr>
              <w:pStyle w:val="NormalWeb"/>
              <w:jc w:val="center"/>
            </w:pPr>
            <w:r>
              <w:t>9 (1.4)</w:t>
            </w:r>
          </w:p>
        </w:tc>
        <w:tc>
          <w:tcPr>
            <w:tcW w:w="2445" w:type="dxa"/>
            <w:hideMark/>
          </w:tcPr>
          <w:p w14:paraId="6B6F2722" w14:textId="77777777" w:rsidR="00FA40A3" w:rsidRDefault="00FA40A3" w:rsidP="00AF632F">
            <w:pPr>
              <w:pStyle w:val="NormalWeb"/>
              <w:jc w:val="center"/>
            </w:pPr>
            <w:r>
              <w:t>19 (1.5)</w:t>
            </w:r>
          </w:p>
        </w:tc>
      </w:tr>
      <w:tr w:rsidR="00FA40A3" w14:paraId="2C0DA4C4" w14:textId="77777777" w:rsidTr="00AF632F">
        <w:tc>
          <w:tcPr>
            <w:tcW w:w="0" w:type="auto"/>
            <w:hideMark/>
          </w:tcPr>
          <w:p w14:paraId="22DCB5C4" w14:textId="77777777" w:rsidR="00FA40A3" w:rsidRDefault="00FA40A3" w:rsidP="00AF632F">
            <w:pPr>
              <w:pStyle w:val="NormalWeb"/>
            </w:pPr>
            <w:r>
              <w:t>Diabetes</w:t>
            </w:r>
          </w:p>
        </w:tc>
        <w:tc>
          <w:tcPr>
            <w:tcW w:w="2444" w:type="dxa"/>
            <w:hideMark/>
          </w:tcPr>
          <w:p w14:paraId="0835EDD5" w14:textId="77777777" w:rsidR="00FA40A3" w:rsidRDefault="00FA40A3" w:rsidP="00AF632F">
            <w:pPr>
              <w:pStyle w:val="NormalWeb"/>
              <w:jc w:val="center"/>
            </w:pPr>
            <w:r>
              <w:t>43 (6.8)</w:t>
            </w:r>
          </w:p>
        </w:tc>
        <w:tc>
          <w:tcPr>
            <w:tcW w:w="2444" w:type="dxa"/>
            <w:hideMark/>
          </w:tcPr>
          <w:p w14:paraId="17F1BEC0" w14:textId="77777777" w:rsidR="00FA40A3" w:rsidRDefault="00FA40A3" w:rsidP="00AF632F">
            <w:pPr>
              <w:pStyle w:val="NormalWeb"/>
              <w:jc w:val="center"/>
            </w:pPr>
            <w:r>
              <w:t>30 (4.8)</w:t>
            </w:r>
          </w:p>
        </w:tc>
        <w:tc>
          <w:tcPr>
            <w:tcW w:w="2445" w:type="dxa"/>
            <w:hideMark/>
          </w:tcPr>
          <w:p w14:paraId="302F9255" w14:textId="77777777" w:rsidR="00FA40A3" w:rsidRDefault="00FA40A3" w:rsidP="00AF632F">
            <w:pPr>
              <w:pStyle w:val="NormalWeb"/>
              <w:jc w:val="center"/>
            </w:pPr>
            <w:r>
              <w:t>73 (5.8)</w:t>
            </w:r>
          </w:p>
        </w:tc>
      </w:tr>
      <w:tr w:rsidR="00FA40A3" w14:paraId="62A2FC4B"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276BD89" w14:textId="77777777" w:rsidR="00FA40A3" w:rsidRDefault="00FA40A3" w:rsidP="00AF632F">
            <w:pPr>
              <w:pStyle w:val="NormalWeb"/>
            </w:pPr>
            <w:r>
              <w:t>Renal failure</w:t>
            </w:r>
          </w:p>
        </w:tc>
        <w:tc>
          <w:tcPr>
            <w:tcW w:w="2444" w:type="dxa"/>
            <w:hideMark/>
          </w:tcPr>
          <w:p w14:paraId="4051EB70" w14:textId="77777777" w:rsidR="00FA40A3" w:rsidRDefault="00FA40A3" w:rsidP="00AF632F">
            <w:pPr>
              <w:pStyle w:val="NormalWeb"/>
              <w:jc w:val="center"/>
            </w:pPr>
            <w:r>
              <w:t>28 (4.4)</w:t>
            </w:r>
          </w:p>
        </w:tc>
        <w:tc>
          <w:tcPr>
            <w:tcW w:w="2444" w:type="dxa"/>
            <w:hideMark/>
          </w:tcPr>
          <w:p w14:paraId="21C20A25" w14:textId="77777777" w:rsidR="00FA40A3" w:rsidRDefault="00FA40A3" w:rsidP="00AF632F">
            <w:pPr>
              <w:pStyle w:val="NormalWeb"/>
              <w:jc w:val="center"/>
            </w:pPr>
            <w:r>
              <w:t>12 (1.9)</w:t>
            </w:r>
          </w:p>
        </w:tc>
        <w:tc>
          <w:tcPr>
            <w:tcW w:w="2445" w:type="dxa"/>
            <w:hideMark/>
          </w:tcPr>
          <w:p w14:paraId="2C0BFAD8" w14:textId="77777777" w:rsidR="00FA40A3" w:rsidRDefault="00FA40A3" w:rsidP="00AF632F">
            <w:pPr>
              <w:pStyle w:val="NormalWeb"/>
              <w:jc w:val="center"/>
            </w:pPr>
            <w:r>
              <w:t>40 (3.2)</w:t>
            </w:r>
          </w:p>
        </w:tc>
      </w:tr>
      <w:tr w:rsidR="00FA40A3" w14:paraId="17DDA4A4" w14:textId="77777777" w:rsidTr="00AF632F">
        <w:tc>
          <w:tcPr>
            <w:tcW w:w="0" w:type="auto"/>
            <w:hideMark/>
          </w:tcPr>
          <w:p w14:paraId="21B5C28F" w14:textId="77777777" w:rsidR="00FA40A3" w:rsidRDefault="00FA40A3" w:rsidP="00AF632F">
            <w:pPr>
              <w:pStyle w:val="NormalWeb"/>
            </w:pPr>
            <w:r>
              <w:t>Cancer</w:t>
            </w:r>
          </w:p>
        </w:tc>
        <w:tc>
          <w:tcPr>
            <w:tcW w:w="2444" w:type="dxa"/>
            <w:hideMark/>
          </w:tcPr>
          <w:p w14:paraId="54F59E59" w14:textId="77777777" w:rsidR="00FA40A3" w:rsidRDefault="00FA40A3" w:rsidP="00AF632F">
            <w:pPr>
              <w:pStyle w:val="NormalWeb"/>
              <w:jc w:val="center"/>
            </w:pPr>
            <w:r>
              <w:t>40 (6.3)</w:t>
            </w:r>
          </w:p>
        </w:tc>
        <w:tc>
          <w:tcPr>
            <w:tcW w:w="2444" w:type="dxa"/>
            <w:hideMark/>
          </w:tcPr>
          <w:p w14:paraId="6DC89139" w14:textId="77777777" w:rsidR="00FA40A3" w:rsidRDefault="00FA40A3" w:rsidP="00AF632F">
            <w:pPr>
              <w:pStyle w:val="NormalWeb"/>
              <w:jc w:val="center"/>
            </w:pPr>
            <w:r>
              <w:t>35 (5.6)</w:t>
            </w:r>
          </w:p>
        </w:tc>
        <w:tc>
          <w:tcPr>
            <w:tcW w:w="2445" w:type="dxa"/>
            <w:hideMark/>
          </w:tcPr>
          <w:p w14:paraId="42783031" w14:textId="77777777" w:rsidR="00FA40A3" w:rsidRDefault="00FA40A3" w:rsidP="00AF632F">
            <w:pPr>
              <w:pStyle w:val="NormalWeb"/>
              <w:jc w:val="center"/>
            </w:pPr>
            <w:r>
              <w:t>75 (6.0)</w:t>
            </w:r>
          </w:p>
        </w:tc>
      </w:tr>
      <w:tr w:rsidR="00FA40A3" w14:paraId="09B17E18"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D01DD14" w14:textId="77777777" w:rsidR="00FA40A3" w:rsidRDefault="00FA40A3" w:rsidP="00AF632F">
            <w:pPr>
              <w:pStyle w:val="NormalWeb"/>
            </w:pPr>
            <w:r>
              <w:t>Circulatory disease</w:t>
            </w:r>
          </w:p>
        </w:tc>
        <w:tc>
          <w:tcPr>
            <w:tcW w:w="2444" w:type="dxa"/>
            <w:hideMark/>
          </w:tcPr>
          <w:p w14:paraId="3B8B1644" w14:textId="77777777" w:rsidR="00FA40A3" w:rsidRDefault="00FA40A3" w:rsidP="00AF632F">
            <w:pPr>
              <w:pStyle w:val="NormalWeb"/>
              <w:jc w:val="center"/>
            </w:pPr>
            <w:r>
              <w:t>73 (11.6)</w:t>
            </w:r>
          </w:p>
        </w:tc>
        <w:tc>
          <w:tcPr>
            <w:tcW w:w="2444" w:type="dxa"/>
            <w:hideMark/>
          </w:tcPr>
          <w:p w14:paraId="61E20BEA" w14:textId="77777777" w:rsidR="00FA40A3" w:rsidRDefault="00FA40A3" w:rsidP="00AF632F">
            <w:pPr>
              <w:pStyle w:val="NormalWeb"/>
              <w:jc w:val="center"/>
            </w:pPr>
            <w:r>
              <w:t>40 (6.4)</w:t>
            </w:r>
          </w:p>
        </w:tc>
        <w:tc>
          <w:tcPr>
            <w:tcW w:w="2445" w:type="dxa"/>
            <w:hideMark/>
          </w:tcPr>
          <w:p w14:paraId="37EFE859" w14:textId="77777777" w:rsidR="00FA40A3" w:rsidRDefault="00FA40A3" w:rsidP="00AF632F">
            <w:pPr>
              <w:pStyle w:val="NormalWeb"/>
              <w:jc w:val="center"/>
            </w:pPr>
            <w:r>
              <w:t>113 (9.0)</w:t>
            </w:r>
          </w:p>
        </w:tc>
      </w:tr>
    </w:tbl>
    <w:p w14:paraId="793F1770"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Estimates are based on all 1,254 cohort members.</w:t>
      </w:r>
    </w:p>
    <w:p w14:paraId="46894FFD" w14:textId="77777777" w:rsidR="007D5B45" w:rsidRDefault="007D5B45">
      <w:pPr>
        <w:rPr>
          <w:rStyle w:val="Strong"/>
          <w:bCs w:val="0"/>
        </w:rPr>
      </w:pPr>
      <w:r>
        <w:rPr>
          <w:rStyle w:val="Strong"/>
          <w:b w:val="0"/>
          <w:bCs w:val="0"/>
        </w:rPr>
        <w:br w:type="page"/>
      </w:r>
    </w:p>
    <w:p w14:paraId="047310C9" w14:textId="6ADD4ABE" w:rsidR="00FA40A3" w:rsidRPr="00C65E89" w:rsidRDefault="00FA40A3" w:rsidP="00FA40A3">
      <w:pPr>
        <w:pStyle w:val="CDIFigures"/>
      </w:pPr>
      <w:r w:rsidRPr="00C65E89">
        <w:rPr>
          <w:rStyle w:val="Strong"/>
          <w:b/>
          <w:bCs w:val="0"/>
        </w:rPr>
        <w:lastRenderedPageBreak/>
        <w:t xml:space="preserve">Table A.8: Crude and age-sex-adjusted risks for emergency department presentation among Queensland residents with confirmed COVID-19 in relation to comorbid </w:t>
      </w:r>
      <w:proofErr w:type="spellStart"/>
      <w:proofErr w:type="gramStart"/>
      <w:r w:rsidRPr="00C65E89">
        <w:rPr>
          <w:rStyle w:val="Strong"/>
          <w:b/>
          <w:bCs w:val="0"/>
        </w:rPr>
        <w:t>conditions,</w:t>
      </w:r>
      <w:r w:rsidRPr="00C65E89">
        <w:rPr>
          <w:rStyle w:val="Strong"/>
          <w:b/>
          <w:bCs w:val="0"/>
          <w:vertAlign w:val="superscript"/>
        </w:rPr>
        <w:t>a</w:t>
      </w:r>
      <w:proofErr w:type="spellEnd"/>
      <w:proofErr w:type="gramEnd"/>
      <w:r w:rsidRPr="00C65E89">
        <w:rPr>
          <w:rStyle w:val="Strong"/>
          <w:b/>
          <w:bCs w:val="0"/>
        </w:rPr>
        <w:t xml:space="preserve"> including QHAPDC records post COVID-19 onset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When comorbid health conditions were identified using all QHAPDC records, the crude and age-sex- adjusted risks of a presentation to an emergency department associated with chronic conditions were close to one with wide confidence intervals."/>
      </w:tblPr>
      <w:tblGrid>
        <w:gridCol w:w="3107"/>
        <w:gridCol w:w="1879"/>
        <w:gridCol w:w="5454"/>
      </w:tblGrid>
      <w:tr w:rsidR="00FA40A3" w:rsidRPr="0019385F" w14:paraId="4A0ED0BF"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4D57B47A" w14:textId="77777777" w:rsidR="00FA40A3" w:rsidRPr="0019385F" w:rsidRDefault="00FA40A3" w:rsidP="00AF632F">
            <w:pPr>
              <w:pStyle w:val="NormalWeb"/>
              <w:rPr>
                <w:color w:val="FFFFFF" w:themeColor="background1"/>
              </w:rPr>
            </w:pPr>
            <w:r w:rsidRPr="0019385F">
              <w:rPr>
                <w:color w:val="FFFFFF" w:themeColor="background1"/>
              </w:rPr>
              <w:t>Comorbidity</w:t>
            </w:r>
          </w:p>
        </w:tc>
        <w:tc>
          <w:tcPr>
            <w:tcW w:w="0" w:type="auto"/>
            <w:tcBorders>
              <w:left w:val="single" w:sz="2" w:space="0" w:color="FFFFFF" w:themeColor="background1"/>
              <w:right w:val="single" w:sz="2" w:space="0" w:color="FFFFFF" w:themeColor="background1"/>
            </w:tcBorders>
            <w:hideMark/>
          </w:tcPr>
          <w:p w14:paraId="38B394C5" w14:textId="77777777" w:rsidR="00FA40A3" w:rsidRPr="0019385F" w:rsidRDefault="00FA40A3" w:rsidP="00AF632F">
            <w:pPr>
              <w:pStyle w:val="NormalWeb"/>
              <w:jc w:val="center"/>
              <w:rPr>
                <w:color w:val="FFFFFF" w:themeColor="background1"/>
              </w:rPr>
            </w:pPr>
            <w:r w:rsidRPr="0019385F">
              <w:rPr>
                <w:color w:val="FFFFFF" w:themeColor="background1"/>
              </w:rPr>
              <w:t>Events/persons (%)</w:t>
            </w:r>
          </w:p>
        </w:tc>
        <w:tc>
          <w:tcPr>
            <w:tcW w:w="5454" w:type="dxa"/>
            <w:tcBorders>
              <w:left w:val="single" w:sz="2" w:space="0" w:color="FFFFFF" w:themeColor="background1"/>
            </w:tcBorders>
            <w:hideMark/>
          </w:tcPr>
          <w:p w14:paraId="5C5F2B59" w14:textId="77777777" w:rsidR="00FA40A3" w:rsidRPr="0019385F" w:rsidRDefault="00FA40A3" w:rsidP="00AF632F">
            <w:pPr>
              <w:pStyle w:val="NormalWeb"/>
              <w:jc w:val="center"/>
              <w:rPr>
                <w:color w:val="FFFFFF" w:themeColor="background1"/>
              </w:rPr>
            </w:pPr>
            <w:r w:rsidRPr="0019385F">
              <w:rPr>
                <w:color w:val="FFFFFF" w:themeColor="background1"/>
              </w:rPr>
              <w:t>Age-sex-adjusted RR (95% CI)</w:t>
            </w:r>
          </w:p>
        </w:tc>
      </w:tr>
      <w:tr w:rsidR="00FA40A3" w14:paraId="3277D05F" w14:textId="77777777" w:rsidTr="00AF632F">
        <w:tc>
          <w:tcPr>
            <w:tcW w:w="0" w:type="auto"/>
            <w:hideMark/>
          </w:tcPr>
          <w:p w14:paraId="356AF9F1" w14:textId="77777777" w:rsidR="00FA40A3" w:rsidRDefault="00FA40A3" w:rsidP="00AF632F">
            <w:pPr>
              <w:pStyle w:val="NormalWeb"/>
            </w:pPr>
            <w:r>
              <w:t>Asthma</w:t>
            </w:r>
          </w:p>
        </w:tc>
        <w:tc>
          <w:tcPr>
            <w:tcW w:w="0" w:type="auto"/>
            <w:hideMark/>
          </w:tcPr>
          <w:p w14:paraId="6403621F" w14:textId="77777777" w:rsidR="00FA40A3" w:rsidRDefault="00FA40A3" w:rsidP="00AF632F">
            <w:pPr>
              <w:pStyle w:val="NormalWeb"/>
              <w:jc w:val="center"/>
            </w:pPr>
            <w:r>
              <w:t>26/36 (72.2)</w:t>
            </w:r>
          </w:p>
        </w:tc>
        <w:tc>
          <w:tcPr>
            <w:tcW w:w="5454" w:type="dxa"/>
            <w:hideMark/>
          </w:tcPr>
          <w:p w14:paraId="70D83BB7" w14:textId="77777777" w:rsidR="00FA40A3" w:rsidRDefault="00FA40A3" w:rsidP="00AF632F">
            <w:pPr>
              <w:pStyle w:val="NormalWeb"/>
              <w:jc w:val="center"/>
            </w:pPr>
            <w:r>
              <w:t>1.13 (0.76, 1.68)</w:t>
            </w:r>
          </w:p>
        </w:tc>
      </w:tr>
      <w:tr w:rsidR="00FA40A3" w14:paraId="5A1308D9"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39818DC6" w14:textId="77777777" w:rsidR="00FA40A3" w:rsidRDefault="00FA40A3" w:rsidP="00AF632F">
            <w:pPr>
              <w:pStyle w:val="NormalWeb"/>
            </w:pPr>
            <w:r>
              <w:t>Chronic lower respiratory disease</w:t>
            </w:r>
          </w:p>
        </w:tc>
        <w:tc>
          <w:tcPr>
            <w:tcW w:w="0" w:type="auto"/>
            <w:hideMark/>
          </w:tcPr>
          <w:p w14:paraId="3A28C6C9" w14:textId="77777777" w:rsidR="00FA40A3" w:rsidRDefault="00FA40A3" w:rsidP="00AF632F">
            <w:pPr>
              <w:pStyle w:val="NormalWeb"/>
              <w:jc w:val="center"/>
            </w:pPr>
            <w:r>
              <w:t>15/18 (83.3)</w:t>
            </w:r>
          </w:p>
        </w:tc>
        <w:tc>
          <w:tcPr>
            <w:tcW w:w="5454" w:type="dxa"/>
            <w:hideMark/>
          </w:tcPr>
          <w:p w14:paraId="495EEF66" w14:textId="77777777" w:rsidR="00FA40A3" w:rsidRDefault="00FA40A3" w:rsidP="00AF632F">
            <w:pPr>
              <w:pStyle w:val="NormalWeb"/>
              <w:jc w:val="center"/>
            </w:pPr>
            <w:r>
              <w:t>1.25 (0.73, 2.14)</w:t>
            </w:r>
          </w:p>
        </w:tc>
      </w:tr>
      <w:tr w:rsidR="00FA40A3" w14:paraId="7ED30A15" w14:textId="77777777" w:rsidTr="00AF632F">
        <w:tc>
          <w:tcPr>
            <w:tcW w:w="0" w:type="auto"/>
            <w:hideMark/>
          </w:tcPr>
          <w:p w14:paraId="27476325" w14:textId="77777777" w:rsidR="00FA40A3" w:rsidRDefault="00FA40A3" w:rsidP="00AF632F">
            <w:pPr>
              <w:pStyle w:val="NormalWeb"/>
            </w:pPr>
            <w:r>
              <w:t>Diabetes</w:t>
            </w:r>
          </w:p>
        </w:tc>
        <w:tc>
          <w:tcPr>
            <w:tcW w:w="0" w:type="auto"/>
            <w:hideMark/>
          </w:tcPr>
          <w:p w14:paraId="78B35502" w14:textId="77777777" w:rsidR="00FA40A3" w:rsidRDefault="00FA40A3" w:rsidP="00AF632F">
            <w:pPr>
              <w:pStyle w:val="NormalWeb"/>
              <w:jc w:val="center"/>
            </w:pPr>
            <w:r>
              <w:t>45/68 (66.2)</w:t>
            </w:r>
          </w:p>
        </w:tc>
        <w:tc>
          <w:tcPr>
            <w:tcW w:w="5454" w:type="dxa"/>
            <w:hideMark/>
          </w:tcPr>
          <w:p w14:paraId="12D13460" w14:textId="77777777" w:rsidR="00FA40A3" w:rsidRDefault="00FA40A3" w:rsidP="00AF632F">
            <w:pPr>
              <w:pStyle w:val="NormalWeb"/>
              <w:jc w:val="center"/>
            </w:pPr>
            <w:r>
              <w:t>1.00 (0.72, 1.37)</w:t>
            </w:r>
          </w:p>
        </w:tc>
      </w:tr>
      <w:tr w:rsidR="00FA40A3" w14:paraId="657D9F2A"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0136C536" w14:textId="77777777" w:rsidR="00FA40A3" w:rsidRDefault="00FA40A3" w:rsidP="00AF632F">
            <w:pPr>
              <w:pStyle w:val="NormalWeb"/>
            </w:pPr>
            <w:r>
              <w:t>Renal failure</w:t>
            </w:r>
          </w:p>
        </w:tc>
        <w:tc>
          <w:tcPr>
            <w:tcW w:w="0" w:type="auto"/>
            <w:hideMark/>
          </w:tcPr>
          <w:p w14:paraId="2D386C94" w14:textId="77777777" w:rsidR="00FA40A3" w:rsidRDefault="00FA40A3" w:rsidP="00AF632F">
            <w:pPr>
              <w:pStyle w:val="NormalWeb"/>
              <w:jc w:val="center"/>
            </w:pPr>
            <w:r>
              <w:t>27/39 (69.2)</w:t>
            </w:r>
          </w:p>
        </w:tc>
        <w:tc>
          <w:tcPr>
            <w:tcW w:w="5454" w:type="dxa"/>
            <w:hideMark/>
          </w:tcPr>
          <w:p w14:paraId="68AA39F0" w14:textId="77777777" w:rsidR="00FA40A3" w:rsidRDefault="00FA40A3" w:rsidP="00AF632F">
            <w:pPr>
              <w:pStyle w:val="NormalWeb"/>
              <w:jc w:val="center"/>
            </w:pPr>
            <w:r>
              <w:t>1.05 (0.70, 1.56)</w:t>
            </w:r>
          </w:p>
        </w:tc>
      </w:tr>
      <w:tr w:rsidR="00FA40A3" w14:paraId="5A8BF3D0" w14:textId="77777777" w:rsidTr="00AF632F">
        <w:tc>
          <w:tcPr>
            <w:tcW w:w="0" w:type="auto"/>
            <w:hideMark/>
          </w:tcPr>
          <w:p w14:paraId="1F4FF0DE" w14:textId="77777777" w:rsidR="00FA40A3" w:rsidRDefault="00FA40A3" w:rsidP="00AF632F">
            <w:pPr>
              <w:pStyle w:val="NormalWeb"/>
            </w:pPr>
            <w:r>
              <w:t>Cancer</w:t>
            </w:r>
          </w:p>
        </w:tc>
        <w:tc>
          <w:tcPr>
            <w:tcW w:w="0" w:type="auto"/>
            <w:hideMark/>
          </w:tcPr>
          <w:p w14:paraId="58D8299F" w14:textId="77777777" w:rsidR="00FA40A3" w:rsidRDefault="00FA40A3" w:rsidP="00AF632F">
            <w:pPr>
              <w:pStyle w:val="NormalWeb"/>
              <w:jc w:val="center"/>
            </w:pPr>
            <w:r>
              <w:t>44/73 (60.3)</w:t>
            </w:r>
          </w:p>
        </w:tc>
        <w:tc>
          <w:tcPr>
            <w:tcW w:w="5454" w:type="dxa"/>
            <w:hideMark/>
          </w:tcPr>
          <w:p w14:paraId="77C1A2B5" w14:textId="77777777" w:rsidR="00FA40A3" w:rsidRDefault="00FA40A3" w:rsidP="00AF632F">
            <w:pPr>
              <w:pStyle w:val="NormalWeb"/>
              <w:jc w:val="center"/>
            </w:pPr>
            <w:r>
              <w:t>0.88 (0.63, 1.22)</w:t>
            </w:r>
          </w:p>
        </w:tc>
      </w:tr>
      <w:tr w:rsidR="00FA40A3" w14:paraId="731446A9"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4615485B" w14:textId="1845035F" w:rsidR="00FA40A3" w:rsidRDefault="008E577D" w:rsidP="00AF632F">
            <w:pPr>
              <w:pStyle w:val="NormalWeb"/>
            </w:pPr>
            <w:r w:rsidRPr="008E577D">
              <w:t>Cardiovascular Disease (CVD)</w:t>
            </w:r>
          </w:p>
        </w:tc>
        <w:tc>
          <w:tcPr>
            <w:tcW w:w="0" w:type="auto"/>
            <w:hideMark/>
          </w:tcPr>
          <w:p w14:paraId="3985A413" w14:textId="77777777" w:rsidR="00FA40A3" w:rsidRDefault="00FA40A3" w:rsidP="00AF632F">
            <w:pPr>
              <w:pStyle w:val="NormalWeb"/>
              <w:jc w:val="center"/>
            </w:pPr>
            <w:r>
              <w:t>72/112 (64.3)</w:t>
            </w:r>
          </w:p>
        </w:tc>
        <w:tc>
          <w:tcPr>
            <w:tcW w:w="5454" w:type="dxa"/>
            <w:hideMark/>
          </w:tcPr>
          <w:p w14:paraId="56F43EA6" w14:textId="77777777" w:rsidR="00FA40A3" w:rsidRDefault="00FA40A3" w:rsidP="00AF632F">
            <w:pPr>
              <w:pStyle w:val="NormalWeb"/>
              <w:jc w:val="center"/>
            </w:pPr>
            <w:r>
              <w:t>0.97 (0.74, 1.28)</w:t>
            </w:r>
          </w:p>
        </w:tc>
      </w:tr>
    </w:tbl>
    <w:p w14:paraId="6BE7B1DC"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Estimates are based on 1,148 cohort members who were Queensland residents and had an onset date before 1 November 2020.</w:t>
      </w:r>
    </w:p>
    <w:p w14:paraId="329F377D" w14:textId="77777777" w:rsidR="00FA40A3" w:rsidRPr="0019385F" w:rsidRDefault="00FA40A3" w:rsidP="00FA40A3">
      <w:pPr>
        <w:pStyle w:val="CDIFigures"/>
      </w:pPr>
      <w:r w:rsidRPr="0019385F">
        <w:rPr>
          <w:rStyle w:val="Strong"/>
          <w:b/>
          <w:bCs w:val="0"/>
        </w:rPr>
        <w:t xml:space="preserve">Table A.9: Crude and age-sex-adjusted risks for inpatient hospital admission within 2 weeks of symptoms onset among Queensland residents with confirmed COVID-19 in relation to comorbid </w:t>
      </w:r>
      <w:proofErr w:type="spellStart"/>
      <w:proofErr w:type="gramStart"/>
      <w:r w:rsidRPr="0019385F">
        <w:rPr>
          <w:rStyle w:val="Strong"/>
          <w:b/>
          <w:bCs w:val="0"/>
        </w:rPr>
        <w:t>conditions,</w:t>
      </w:r>
      <w:r w:rsidRPr="0019385F">
        <w:rPr>
          <w:rStyle w:val="Strong"/>
          <w:b/>
          <w:bCs w:val="0"/>
          <w:vertAlign w:val="superscript"/>
        </w:rPr>
        <w:t>a</w:t>
      </w:r>
      <w:proofErr w:type="spellEnd"/>
      <w:proofErr w:type="gramEnd"/>
      <w:r w:rsidRPr="0019385F">
        <w:rPr>
          <w:rStyle w:val="Strong"/>
          <w:b/>
          <w:bCs w:val="0"/>
        </w:rPr>
        <w:t xml:space="preserve"> including QHPADC records post COVID-19 onset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When comorbid health conditions were identified using all QHAPDC records, the crude and age-sex- adjusted risks of an inpatient hospital admission were slightly elevated (between 1 and 2) but confidence intervals were wide and crossed one. The exception was that people who had a diagnosis of renal failure had a 75% increased risk of an inpatient hospital admission, with confidence intervals ranging from 1.07 to 2.86."/>
      </w:tblPr>
      <w:tblGrid>
        <w:gridCol w:w="3107"/>
        <w:gridCol w:w="1879"/>
        <w:gridCol w:w="5454"/>
      </w:tblGrid>
      <w:tr w:rsidR="00FA40A3" w:rsidRPr="0019385F" w14:paraId="0A1ED0F2"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212085E9" w14:textId="77777777" w:rsidR="00FA40A3" w:rsidRPr="0019385F" w:rsidRDefault="00FA40A3" w:rsidP="00AF632F">
            <w:pPr>
              <w:pStyle w:val="NormalWeb"/>
              <w:rPr>
                <w:color w:val="FFFFFF" w:themeColor="background1"/>
              </w:rPr>
            </w:pPr>
            <w:r w:rsidRPr="0019385F">
              <w:rPr>
                <w:color w:val="FFFFFF" w:themeColor="background1"/>
              </w:rPr>
              <w:t>Comorbidity</w:t>
            </w:r>
          </w:p>
        </w:tc>
        <w:tc>
          <w:tcPr>
            <w:tcW w:w="0" w:type="auto"/>
            <w:tcBorders>
              <w:left w:val="single" w:sz="2" w:space="0" w:color="FFFFFF" w:themeColor="background1"/>
              <w:right w:val="single" w:sz="2" w:space="0" w:color="FFFFFF" w:themeColor="background1"/>
            </w:tcBorders>
            <w:hideMark/>
          </w:tcPr>
          <w:p w14:paraId="77BE0AC4" w14:textId="77777777" w:rsidR="00FA40A3" w:rsidRPr="0019385F" w:rsidRDefault="00FA40A3" w:rsidP="00AF632F">
            <w:pPr>
              <w:pStyle w:val="NormalWeb"/>
              <w:jc w:val="center"/>
              <w:rPr>
                <w:color w:val="FFFFFF" w:themeColor="background1"/>
              </w:rPr>
            </w:pPr>
            <w:r w:rsidRPr="0019385F">
              <w:rPr>
                <w:color w:val="FFFFFF" w:themeColor="background1"/>
              </w:rPr>
              <w:t>Events/persons (%)</w:t>
            </w:r>
          </w:p>
        </w:tc>
        <w:tc>
          <w:tcPr>
            <w:tcW w:w="5454" w:type="dxa"/>
            <w:tcBorders>
              <w:left w:val="single" w:sz="2" w:space="0" w:color="FFFFFF" w:themeColor="background1"/>
            </w:tcBorders>
            <w:hideMark/>
          </w:tcPr>
          <w:p w14:paraId="50AFFA36" w14:textId="77777777" w:rsidR="00FA40A3" w:rsidRPr="0019385F" w:rsidRDefault="00FA40A3" w:rsidP="00AF632F">
            <w:pPr>
              <w:pStyle w:val="NormalWeb"/>
              <w:jc w:val="center"/>
              <w:rPr>
                <w:color w:val="FFFFFF" w:themeColor="background1"/>
              </w:rPr>
            </w:pPr>
            <w:r w:rsidRPr="0019385F">
              <w:rPr>
                <w:color w:val="FFFFFF" w:themeColor="background1"/>
              </w:rPr>
              <w:t>Age-sex-adjusted RR (95% CI)</w:t>
            </w:r>
          </w:p>
        </w:tc>
      </w:tr>
      <w:tr w:rsidR="00FA40A3" w14:paraId="0E4D62A4" w14:textId="77777777" w:rsidTr="00AF632F">
        <w:tc>
          <w:tcPr>
            <w:tcW w:w="0" w:type="auto"/>
            <w:hideMark/>
          </w:tcPr>
          <w:p w14:paraId="5B4299E5" w14:textId="77777777" w:rsidR="00FA40A3" w:rsidRDefault="00FA40A3" w:rsidP="00AF632F">
            <w:pPr>
              <w:pStyle w:val="NormalWeb"/>
            </w:pPr>
            <w:r>
              <w:t>Asthma</w:t>
            </w:r>
          </w:p>
        </w:tc>
        <w:tc>
          <w:tcPr>
            <w:tcW w:w="0" w:type="auto"/>
            <w:hideMark/>
          </w:tcPr>
          <w:p w14:paraId="2516D90F" w14:textId="77777777" w:rsidR="00FA40A3" w:rsidRDefault="00FA40A3" w:rsidP="00AF632F">
            <w:pPr>
              <w:pStyle w:val="NormalWeb"/>
              <w:jc w:val="center"/>
            </w:pPr>
            <w:r>
              <w:t>11/36 (30.6)</w:t>
            </w:r>
          </w:p>
        </w:tc>
        <w:tc>
          <w:tcPr>
            <w:tcW w:w="5454" w:type="dxa"/>
            <w:hideMark/>
          </w:tcPr>
          <w:p w14:paraId="7891D961" w14:textId="77777777" w:rsidR="00FA40A3" w:rsidRDefault="00FA40A3" w:rsidP="00AF632F">
            <w:pPr>
              <w:pStyle w:val="NormalWeb"/>
              <w:jc w:val="center"/>
            </w:pPr>
            <w:r>
              <w:t>1.32 (0.71, 2.45)</w:t>
            </w:r>
          </w:p>
        </w:tc>
      </w:tr>
      <w:tr w:rsidR="00FA40A3" w14:paraId="03994CE6"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49CDDF8E" w14:textId="77777777" w:rsidR="00FA40A3" w:rsidRDefault="00FA40A3" w:rsidP="00AF632F">
            <w:pPr>
              <w:pStyle w:val="NormalWeb"/>
            </w:pPr>
            <w:r>
              <w:t>Chronic lower respiratory disease</w:t>
            </w:r>
          </w:p>
        </w:tc>
        <w:tc>
          <w:tcPr>
            <w:tcW w:w="0" w:type="auto"/>
            <w:hideMark/>
          </w:tcPr>
          <w:p w14:paraId="7A062A57" w14:textId="77777777" w:rsidR="00FA40A3" w:rsidRDefault="00FA40A3" w:rsidP="00AF632F">
            <w:pPr>
              <w:pStyle w:val="NormalWeb"/>
              <w:jc w:val="center"/>
            </w:pPr>
            <w:r>
              <w:t>9/18 (50.0)</w:t>
            </w:r>
          </w:p>
        </w:tc>
        <w:tc>
          <w:tcPr>
            <w:tcW w:w="5454" w:type="dxa"/>
            <w:hideMark/>
          </w:tcPr>
          <w:p w14:paraId="5993510D" w14:textId="77777777" w:rsidR="00FA40A3" w:rsidRDefault="00FA40A3" w:rsidP="00AF632F">
            <w:pPr>
              <w:pStyle w:val="NormalWeb"/>
              <w:jc w:val="center"/>
            </w:pPr>
            <w:r>
              <w:t>1.65 (0.81, 3.36)</w:t>
            </w:r>
          </w:p>
        </w:tc>
      </w:tr>
      <w:tr w:rsidR="00FA40A3" w14:paraId="5EAE4A76" w14:textId="77777777" w:rsidTr="00AF632F">
        <w:tc>
          <w:tcPr>
            <w:tcW w:w="0" w:type="auto"/>
            <w:hideMark/>
          </w:tcPr>
          <w:p w14:paraId="2B27B99F" w14:textId="77777777" w:rsidR="00FA40A3" w:rsidRDefault="00FA40A3" w:rsidP="00AF632F">
            <w:pPr>
              <w:pStyle w:val="NormalWeb"/>
            </w:pPr>
            <w:r>
              <w:t>Diabetes</w:t>
            </w:r>
          </w:p>
        </w:tc>
        <w:tc>
          <w:tcPr>
            <w:tcW w:w="0" w:type="auto"/>
            <w:hideMark/>
          </w:tcPr>
          <w:p w14:paraId="2E08C6BB" w14:textId="77777777" w:rsidR="00FA40A3" w:rsidRDefault="00FA40A3" w:rsidP="00AF632F">
            <w:pPr>
              <w:pStyle w:val="NormalWeb"/>
              <w:jc w:val="center"/>
            </w:pPr>
            <w:r>
              <w:t>22/68 (32.4)</w:t>
            </w:r>
          </w:p>
        </w:tc>
        <w:tc>
          <w:tcPr>
            <w:tcW w:w="5454" w:type="dxa"/>
            <w:hideMark/>
          </w:tcPr>
          <w:p w14:paraId="21BCAFBB" w14:textId="77777777" w:rsidR="00FA40A3" w:rsidRDefault="00FA40A3" w:rsidP="00AF632F">
            <w:pPr>
              <w:pStyle w:val="NormalWeb"/>
              <w:jc w:val="center"/>
            </w:pPr>
            <w:r>
              <w:t>1.10 (0.69, 1.76)</w:t>
            </w:r>
          </w:p>
        </w:tc>
      </w:tr>
      <w:tr w:rsidR="00FA40A3" w14:paraId="7AA90FD3"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5F6B6D2D" w14:textId="77777777" w:rsidR="00FA40A3" w:rsidRDefault="00FA40A3" w:rsidP="00AF632F">
            <w:pPr>
              <w:pStyle w:val="NormalWeb"/>
            </w:pPr>
            <w:r>
              <w:t>Renal failure</w:t>
            </w:r>
          </w:p>
        </w:tc>
        <w:tc>
          <w:tcPr>
            <w:tcW w:w="0" w:type="auto"/>
            <w:hideMark/>
          </w:tcPr>
          <w:p w14:paraId="37484F29" w14:textId="77777777" w:rsidR="00FA40A3" w:rsidRDefault="00FA40A3" w:rsidP="00AF632F">
            <w:pPr>
              <w:pStyle w:val="NormalWeb"/>
              <w:jc w:val="center"/>
            </w:pPr>
            <w:r>
              <w:t>20/39 (51.3)</w:t>
            </w:r>
          </w:p>
        </w:tc>
        <w:tc>
          <w:tcPr>
            <w:tcW w:w="5454" w:type="dxa"/>
            <w:hideMark/>
          </w:tcPr>
          <w:p w14:paraId="6C119C60" w14:textId="77777777" w:rsidR="00FA40A3" w:rsidRDefault="00FA40A3" w:rsidP="00AF632F">
            <w:pPr>
              <w:pStyle w:val="NormalWeb"/>
              <w:jc w:val="center"/>
            </w:pPr>
            <w:r>
              <w:t>1.75 (1.07, 2.86)</w:t>
            </w:r>
          </w:p>
        </w:tc>
      </w:tr>
      <w:tr w:rsidR="00FA40A3" w14:paraId="49C5CDCF" w14:textId="77777777" w:rsidTr="00AF632F">
        <w:tc>
          <w:tcPr>
            <w:tcW w:w="0" w:type="auto"/>
            <w:hideMark/>
          </w:tcPr>
          <w:p w14:paraId="42D102B8" w14:textId="77777777" w:rsidR="00FA40A3" w:rsidRDefault="00FA40A3" w:rsidP="00AF632F">
            <w:pPr>
              <w:pStyle w:val="NormalWeb"/>
            </w:pPr>
            <w:r>
              <w:t>Cancer</w:t>
            </w:r>
          </w:p>
        </w:tc>
        <w:tc>
          <w:tcPr>
            <w:tcW w:w="0" w:type="auto"/>
            <w:hideMark/>
          </w:tcPr>
          <w:p w14:paraId="67622A6D" w14:textId="77777777" w:rsidR="00FA40A3" w:rsidRDefault="00FA40A3" w:rsidP="00AF632F">
            <w:pPr>
              <w:pStyle w:val="NormalWeb"/>
              <w:jc w:val="center"/>
            </w:pPr>
            <w:r>
              <w:t>20/73 (27.4)</w:t>
            </w:r>
          </w:p>
        </w:tc>
        <w:tc>
          <w:tcPr>
            <w:tcW w:w="5454" w:type="dxa"/>
            <w:hideMark/>
          </w:tcPr>
          <w:p w14:paraId="3C0292C8" w14:textId="77777777" w:rsidR="00FA40A3" w:rsidRDefault="00FA40A3" w:rsidP="00AF632F">
            <w:pPr>
              <w:pStyle w:val="NormalWeb"/>
              <w:jc w:val="center"/>
            </w:pPr>
            <w:r>
              <w:t>0.91 (0.56, 1.48)</w:t>
            </w:r>
          </w:p>
        </w:tc>
      </w:tr>
      <w:tr w:rsidR="00FA40A3" w14:paraId="1ACF8710"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44755F28" w14:textId="7B4B2879" w:rsidR="00FA40A3" w:rsidRDefault="008E577D" w:rsidP="00AF632F">
            <w:pPr>
              <w:pStyle w:val="NormalWeb"/>
            </w:pPr>
            <w:r w:rsidRPr="008E577D">
              <w:t>Cardiovascular Disease (CVD)</w:t>
            </w:r>
          </w:p>
        </w:tc>
        <w:tc>
          <w:tcPr>
            <w:tcW w:w="0" w:type="auto"/>
            <w:hideMark/>
          </w:tcPr>
          <w:p w14:paraId="65D05D04" w14:textId="77777777" w:rsidR="00FA40A3" w:rsidRDefault="00FA40A3" w:rsidP="00AF632F">
            <w:pPr>
              <w:pStyle w:val="NormalWeb"/>
              <w:jc w:val="center"/>
            </w:pPr>
            <w:r>
              <w:t>40/112 (35.7)</w:t>
            </w:r>
          </w:p>
        </w:tc>
        <w:tc>
          <w:tcPr>
            <w:tcW w:w="5454" w:type="dxa"/>
            <w:hideMark/>
          </w:tcPr>
          <w:p w14:paraId="058D5A58" w14:textId="77777777" w:rsidR="00FA40A3" w:rsidRDefault="00FA40A3" w:rsidP="00AF632F">
            <w:pPr>
              <w:pStyle w:val="NormalWeb"/>
              <w:jc w:val="center"/>
            </w:pPr>
            <w:r>
              <w:t>1.30 (0.88, 1.92)</w:t>
            </w:r>
          </w:p>
        </w:tc>
      </w:tr>
    </w:tbl>
    <w:p w14:paraId="267D20EB"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Estimates are based on 1,148 cohort members who were Queensland residents and had an onset date before 1 November 2020.</w:t>
      </w:r>
    </w:p>
    <w:p w14:paraId="2964A260" w14:textId="77777777" w:rsidR="00FA40A3" w:rsidRPr="00AE3C10" w:rsidRDefault="00FA40A3" w:rsidP="00FA40A3">
      <w:pPr>
        <w:pStyle w:val="CDIFigures"/>
      </w:pPr>
      <w:r w:rsidRPr="00AE3C10">
        <w:rPr>
          <w:rStyle w:val="Strong"/>
          <w:b/>
          <w:bCs w:val="0"/>
        </w:rPr>
        <w:t xml:space="preserve">Table A.10: Crude and age-sex-adjusted risks for emergency department presentation among Queensland residents with confirmed COVID-19 in relation to comorbid </w:t>
      </w:r>
      <w:proofErr w:type="spellStart"/>
      <w:proofErr w:type="gramStart"/>
      <w:r w:rsidRPr="00AE3C10">
        <w:rPr>
          <w:rStyle w:val="Strong"/>
          <w:b/>
          <w:bCs w:val="0"/>
        </w:rPr>
        <w:t>conditions,</w:t>
      </w:r>
      <w:r w:rsidRPr="00AE3C10">
        <w:rPr>
          <w:rStyle w:val="Strong"/>
          <w:b/>
          <w:bCs w:val="0"/>
          <w:vertAlign w:val="superscript"/>
        </w:rPr>
        <w:t>a</w:t>
      </w:r>
      <w:proofErr w:type="spellEnd"/>
      <w:proofErr w:type="gramEnd"/>
      <w:r w:rsidRPr="00AE3C10">
        <w:rPr>
          <w:rStyle w:val="Strong"/>
          <w:b/>
          <w:bCs w:val="0"/>
        </w:rPr>
        <w:t xml:space="preserve"> assuming patients with no QHAPDC records prior to onset had none of the measured comorbidities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When comorbid health conditions were measured with the assumption that those with no QHAPDC records prior to symptoms onset had none of the measured comorbidities, the crude and age-sex-adjusted associations between comorbid chronic health conditions and risk of presentation to an emergency department were close to one with wide confidence intervals."/>
      </w:tblPr>
      <w:tblGrid>
        <w:gridCol w:w="3107"/>
        <w:gridCol w:w="1879"/>
        <w:gridCol w:w="5454"/>
      </w:tblGrid>
      <w:tr w:rsidR="00FA40A3" w:rsidRPr="00AE3C10" w14:paraId="202F22BA"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14B60FE6" w14:textId="77777777" w:rsidR="00FA40A3" w:rsidRPr="00AE3C10" w:rsidRDefault="00FA40A3" w:rsidP="00AF632F">
            <w:pPr>
              <w:pStyle w:val="NormalWeb"/>
              <w:rPr>
                <w:color w:val="FFFFFF" w:themeColor="background1"/>
              </w:rPr>
            </w:pPr>
            <w:r w:rsidRPr="00AE3C10">
              <w:rPr>
                <w:color w:val="FFFFFF" w:themeColor="background1"/>
              </w:rPr>
              <w:t>Comorbidity</w:t>
            </w:r>
          </w:p>
        </w:tc>
        <w:tc>
          <w:tcPr>
            <w:tcW w:w="0" w:type="auto"/>
            <w:tcBorders>
              <w:left w:val="single" w:sz="2" w:space="0" w:color="FFFFFF" w:themeColor="background1"/>
              <w:right w:val="single" w:sz="2" w:space="0" w:color="FFFFFF" w:themeColor="background1"/>
            </w:tcBorders>
            <w:hideMark/>
          </w:tcPr>
          <w:p w14:paraId="278CA7EC" w14:textId="77777777" w:rsidR="00FA40A3" w:rsidRPr="00AE3C10" w:rsidRDefault="00FA40A3" w:rsidP="00AF632F">
            <w:pPr>
              <w:pStyle w:val="NormalWeb"/>
              <w:jc w:val="center"/>
              <w:rPr>
                <w:color w:val="FFFFFF" w:themeColor="background1"/>
              </w:rPr>
            </w:pPr>
            <w:r w:rsidRPr="00AE3C10">
              <w:rPr>
                <w:color w:val="FFFFFF" w:themeColor="background1"/>
              </w:rPr>
              <w:t>Events/persons (%)</w:t>
            </w:r>
          </w:p>
        </w:tc>
        <w:tc>
          <w:tcPr>
            <w:tcW w:w="5454" w:type="dxa"/>
            <w:tcBorders>
              <w:left w:val="single" w:sz="2" w:space="0" w:color="FFFFFF" w:themeColor="background1"/>
            </w:tcBorders>
            <w:hideMark/>
          </w:tcPr>
          <w:p w14:paraId="5A12D981" w14:textId="77777777" w:rsidR="00FA40A3" w:rsidRPr="00AE3C10" w:rsidRDefault="00FA40A3" w:rsidP="00AF632F">
            <w:pPr>
              <w:pStyle w:val="NormalWeb"/>
              <w:jc w:val="center"/>
              <w:rPr>
                <w:color w:val="FFFFFF" w:themeColor="background1"/>
              </w:rPr>
            </w:pPr>
            <w:r w:rsidRPr="00AE3C10">
              <w:rPr>
                <w:color w:val="FFFFFF" w:themeColor="background1"/>
              </w:rPr>
              <w:t>Age-sex-adjusted RR (95% CI)</w:t>
            </w:r>
          </w:p>
        </w:tc>
      </w:tr>
      <w:tr w:rsidR="00FA40A3" w14:paraId="39D00B91" w14:textId="77777777" w:rsidTr="00AF632F">
        <w:tc>
          <w:tcPr>
            <w:tcW w:w="0" w:type="auto"/>
            <w:hideMark/>
          </w:tcPr>
          <w:p w14:paraId="4B53EC85" w14:textId="77777777" w:rsidR="00FA40A3" w:rsidRDefault="00FA40A3" w:rsidP="00AF632F">
            <w:pPr>
              <w:pStyle w:val="NormalWeb"/>
            </w:pPr>
            <w:r>
              <w:t>Asthma</w:t>
            </w:r>
          </w:p>
        </w:tc>
        <w:tc>
          <w:tcPr>
            <w:tcW w:w="0" w:type="auto"/>
            <w:hideMark/>
          </w:tcPr>
          <w:p w14:paraId="6DA597EF" w14:textId="77777777" w:rsidR="00FA40A3" w:rsidRDefault="00FA40A3" w:rsidP="00AF632F">
            <w:pPr>
              <w:pStyle w:val="NormalWeb"/>
              <w:jc w:val="center"/>
            </w:pPr>
            <w:r>
              <w:t>9/12 (75.0)</w:t>
            </w:r>
          </w:p>
        </w:tc>
        <w:tc>
          <w:tcPr>
            <w:tcW w:w="5454" w:type="dxa"/>
            <w:hideMark/>
          </w:tcPr>
          <w:p w14:paraId="04C2A211" w14:textId="77777777" w:rsidR="00FA40A3" w:rsidRDefault="00FA40A3" w:rsidP="00AF632F">
            <w:pPr>
              <w:pStyle w:val="NormalWeb"/>
              <w:jc w:val="center"/>
            </w:pPr>
            <w:r>
              <w:t>1.31 (0.68, 2.53)</w:t>
            </w:r>
          </w:p>
        </w:tc>
      </w:tr>
      <w:tr w:rsidR="00FA40A3" w14:paraId="5FD02789"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7D5885A6" w14:textId="77777777" w:rsidR="00FA40A3" w:rsidRDefault="00FA40A3" w:rsidP="00AF632F">
            <w:pPr>
              <w:pStyle w:val="NormalWeb"/>
            </w:pPr>
            <w:r>
              <w:t>Chronic lower respiratory disease</w:t>
            </w:r>
          </w:p>
        </w:tc>
        <w:tc>
          <w:tcPr>
            <w:tcW w:w="0" w:type="auto"/>
            <w:hideMark/>
          </w:tcPr>
          <w:p w14:paraId="480C388D" w14:textId="77777777" w:rsidR="00FA40A3" w:rsidRDefault="00FA40A3" w:rsidP="00AF632F">
            <w:pPr>
              <w:pStyle w:val="NormalWeb"/>
              <w:jc w:val="center"/>
            </w:pPr>
            <w:r>
              <w:t>11/13 (84.6)</w:t>
            </w:r>
          </w:p>
        </w:tc>
        <w:tc>
          <w:tcPr>
            <w:tcW w:w="5454" w:type="dxa"/>
            <w:hideMark/>
          </w:tcPr>
          <w:p w14:paraId="17E24DD2" w14:textId="77777777" w:rsidR="00FA40A3" w:rsidRDefault="00FA40A3" w:rsidP="00AF632F">
            <w:pPr>
              <w:pStyle w:val="NormalWeb"/>
              <w:jc w:val="center"/>
            </w:pPr>
            <w:r>
              <w:t>1.36 (0.74, 2.50)</w:t>
            </w:r>
          </w:p>
        </w:tc>
      </w:tr>
      <w:tr w:rsidR="00FA40A3" w14:paraId="67CC4F70" w14:textId="77777777" w:rsidTr="00AF632F">
        <w:tc>
          <w:tcPr>
            <w:tcW w:w="0" w:type="auto"/>
            <w:hideMark/>
          </w:tcPr>
          <w:p w14:paraId="4F89A017" w14:textId="77777777" w:rsidR="00FA40A3" w:rsidRDefault="00FA40A3" w:rsidP="00AF632F">
            <w:pPr>
              <w:pStyle w:val="NormalWeb"/>
            </w:pPr>
            <w:r>
              <w:t>Diabetes</w:t>
            </w:r>
          </w:p>
        </w:tc>
        <w:tc>
          <w:tcPr>
            <w:tcW w:w="0" w:type="auto"/>
            <w:hideMark/>
          </w:tcPr>
          <w:p w14:paraId="6DCF6CB7" w14:textId="77777777" w:rsidR="00FA40A3" w:rsidRDefault="00FA40A3" w:rsidP="00AF632F">
            <w:pPr>
              <w:pStyle w:val="NormalWeb"/>
              <w:jc w:val="center"/>
            </w:pPr>
            <w:r>
              <w:t>37/52 (71.2)</w:t>
            </w:r>
          </w:p>
        </w:tc>
        <w:tc>
          <w:tcPr>
            <w:tcW w:w="5454" w:type="dxa"/>
            <w:hideMark/>
          </w:tcPr>
          <w:p w14:paraId="498AAAEE" w14:textId="77777777" w:rsidR="00FA40A3" w:rsidRDefault="00FA40A3" w:rsidP="00AF632F">
            <w:pPr>
              <w:pStyle w:val="NormalWeb"/>
              <w:jc w:val="center"/>
            </w:pPr>
            <w:r>
              <w:t>1.17 (0.83, 1.67)</w:t>
            </w:r>
          </w:p>
        </w:tc>
      </w:tr>
      <w:tr w:rsidR="00FA40A3" w14:paraId="5F295194"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41079DE" w14:textId="77777777" w:rsidR="00FA40A3" w:rsidRDefault="00FA40A3" w:rsidP="00AF632F">
            <w:pPr>
              <w:pStyle w:val="NormalWeb"/>
            </w:pPr>
            <w:r>
              <w:t>Renal failure</w:t>
            </w:r>
          </w:p>
        </w:tc>
        <w:tc>
          <w:tcPr>
            <w:tcW w:w="0" w:type="auto"/>
            <w:hideMark/>
          </w:tcPr>
          <w:p w14:paraId="27200EFE" w14:textId="77777777" w:rsidR="00FA40A3" w:rsidRDefault="00FA40A3" w:rsidP="00AF632F">
            <w:pPr>
              <w:pStyle w:val="NormalWeb"/>
              <w:jc w:val="center"/>
            </w:pPr>
            <w:r>
              <w:t>12/19 (63.2)</w:t>
            </w:r>
          </w:p>
        </w:tc>
        <w:tc>
          <w:tcPr>
            <w:tcW w:w="5454" w:type="dxa"/>
            <w:hideMark/>
          </w:tcPr>
          <w:p w14:paraId="13EBFBD8" w14:textId="77777777" w:rsidR="00FA40A3" w:rsidRDefault="00FA40A3" w:rsidP="00AF632F">
            <w:pPr>
              <w:pStyle w:val="NormalWeb"/>
              <w:jc w:val="center"/>
            </w:pPr>
            <w:r>
              <w:t>1.03 (0.58, 1.84)</w:t>
            </w:r>
          </w:p>
        </w:tc>
      </w:tr>
      <w:tr w:rsidR="00FA40A3" w14:paraId="70DE762F" w14:textId="77777777" w:rsidTr="00AF632F">
        <w:tc>
          <w:tcPr>
            <w:tcW w:w="0" w:type="auto"/>
            <w:hideMark/>
          </w:tcPr>
          <w:p w14:paraId="4F2B78E0" w14:textId="77777777" w:rsidR="00FA40A3" w:rsidRDefault="00FA40A3" w:rsidP="00AF632F">
            <w:pPr>
              <w:pStyle w:val="NormalWeb"/>
            </w:pPr>
            <w:r>
              <w:t>Cancer</w:t>
            </w:r>
          </w:p>
        </w:tc>
        <w:tc>
          <w:tcPr>
            <w:tcW w:w="0" w:type="auto"/>
            <w:hideMark/>
          </w:tcPr>
          <w:p w14:paraId="51C9089C" w14:textId="77777777" w:rsidR="00FA40A3" w:rsidRDefault="00FA40A3" w:rsidP="00AF632F">
            <w:pPr>
              <w:pStyle w:val="NormalWeb"/>
              <w:jc w:val="center"/>
            </w:pPr>
            <w:r>
              <w:t>44/73 (60.3)</w:t>
            </w:r>
          </w:p>
        </w:tc>
        <w:tc>
          <w:tcPr>
            <w:tcW w:w="5454" w:type="dxa"/>
            <w:hideMark/>
          </w:tcPr>
          <w:p w14:paraId="285C1D58" w14:textId="77777777" w:rsidR="00FA40A3" w:rsidRDefault="00FA40A3" w:rsidP="00AF632F">
            <w:pPr>
              <w:pStyle w:val="NormalWeb"/>
              <w:jc w:val="center"/>
            </w:pPr>
            <w:r>
              <w:t>0.97 (0.71, 1.34)</w:t>
            </w:r>
          </w:p>
        </w:tc>
      </w:tr>
      <w:tr w:rsidR="00FA40A3" w14:paraId="187A13BE"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168D247" w14:textId="0463C276" w:rsidR="00FA40A3" w:rsidRDefault="008E577D" w:rsidP="00AF632F">
            <w:pPr>
              <w:pStyle w:val="NormalWeb"/>
            </w:pPr>
            <w:r w:rsidRPr="008E577D">
              <w:t>Cardiovascular Disease (CVD)</w:t>
            </w:r>
          </w:p>
        </w:tc>
        <w:tc>
          <w:tcPr>
            <w:tcW w:w="0" w:type="auto"/>
            <w:hideMark/>
          </w:tcPr>
          <w:p w14:paraId="4D57A22B" w14:textId="77777777" w:rsidR="00FA40A3" w:rsidRDefault="00FA40A3" w:rsidP="00AF632F">
            <w:pPr>
              <w:pStyle w:val="NormalWeb"/>
              <w:jc w:val="center"/>
            </w:pPr>
            <w:r>
              <w:t>59/97 (60.8)</w:t>
            </w:r>
          </w:p>
        </w:tc>
        <w:tc>
          <w:tcPr>
            <w:tcW w:w="5454" w:type="dxa"/>
            <w:hideMark/>
          </w:tcPr>
          <w:p w14:paraId="35F52430" w14:textId="77777777" w:rsidR="00FA40A3" w:rsidRDefault="00FA40A3" w:rsidP="00AF632F">
            <w:pPr>
              <w:pStyle w:val="NormalWeb"/>
              <w:jc w:val="center"/>
            </w:pPr>
            <w:r>
              <w:t>0.99 (0.75, 1.32)</w:t>
            </w:r>
          </w:p>
        </w:tc>
      </w:tr>
    </w:tbl>
    <w:p w14:paraId="1E540C62"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 xml:space="preserve">Estimates are based on 1,148 cohort members who were Queensland residents and had an onset date before 1 November 2020. </w:t>
      </w:r>
    </w:p>
    <w:p w14:paraId="196BD376" w14:textId="77777777" w:rsidR="00FA40A3" w:rsidRPr="00AE3C10" w:rsidRDefault="00FA40A3" w:rsidP="00FA40A3">
      <w:pPr>
        <w:pStyle w:val="CDIFigures"/>
      </w:pPr>
      <w:r w:rsidRPr="00AE3C10">
        <w:rPr>
          <w:rStyle w:val="Strong"/>
          <w:b/>
          <w:bCs w:val="0"/>
        </w:rPr>
        <w:lastRenderedPageBreak/>
        <w:t xml:space="preserve">Table A.11: Crude and age-sex-adjusted risks for inpatient hospital admission within two weeks of symptoms onset among Queensland residents with confirmed COVID-19 in relation to comorbid </w:t>
      </w:r>
      <w:proofErr w:type="spellStart"/>
      <w:r w:rsidRPr="00AE3C10">
        <w:rPr>
          <w:rStyle w:val="Strong"/>
          <w:b/>
          <w:bCs w:val="0"/>
        </w:rPr>
        <w:t>conditions,</w:t>
      </w:r>
      <w:r w:rsidRPr="00AE3C10">
        <w:rPr>
          <w:rStyle w:val="Strong"/>
          <w:b/>
          <w:bCs w:val="0"/>
          <w:vertAlign w:val="superscript"/>
        </w:rPr>
        <w:t>a</w:t>
      </w:r>
      <w:proofErr w:type="spellEnd"/>
      <w:r w:rsidRPr="00AE3C10">
        <w:rPr>
          <w:rStyle w:val="Strong"/>
          <w:b/>
          <w:bCs w:val="0"/>
        </w:rPr>
        <w:t xml:space="preserve"> assuming patients with no QHAPDC records prior to onset had none of the measured comorbidities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When comorbid health conditions were measured with the assumption that those with no QHAPDC records prior to symptoms onset had none of the measured comorbidities, the crude and age-sex-adjusted associations between comorbid chronic health conditions and risk of an inpatient hospital admission were slightly elevated (between 1 and 1.5) but confidence intervals were wide and crossed one."/>
      </w:tblPr>
      <w:tblGrid>
        <w:gridCol w:w="3107"/>
        <w:gridCol w:w="1879"/>
        <w:gridCol w:w="5454"/>
      </w:tblGrid>
      <w:tr w:rsidR="00FA40A3" w:rsidRPr="006D0E73" w14:paraId="12912E65" w14:textId="77777777" w:rsidTr="00AF6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589C10C2" w14:textId="77777777" w:rsidR="00FA40A3" w:rsidRPr="006D0E73" w:rsidRDefault="00FA40A3" w:rsidP="00AF632F">
            <w:pPr>
              <w:pStyle w:val="NormalWeb"/>
              <w:rPr>
                <w:color w:val="FFFFFF" w:themeColor="background1"/>
              </w:rPr>
            </w:pPr>
            <w:r w:rsidRPr="006D0E73">
              <w:rPr>
                <w:color w:val="FFFFFF" w:themeColor="background1"/>
              </w:rPr>
              <w:t>Comorbidity</w:t>
            </w:r>
          </w:p>
        </w:tc>
        <w:tc>
          <w:tcPr>
            <w:tcW w:w="0" w:type="auto"/>
            <w:tcBorders>
              <w:left w:val="single" w:sz="2" w:space="0" w:color="FFFFFF" w:themeColor="background1"/>
              <w:right w:val="single" w:sz="2" w:space="0" w:color="FFFFFF" w:themeColor="background1"/>
            </w:tcBorders>
            <w:hideMark/>
          </w:tcPr>
          <w:p w14:paraId="763BD9D6" w14:textId="77777777" w:rsidR="00FA40A3" w:rsidRPr="006D0E73" w:rsidRDefault="00FA40A3" w:rsidP="00AF632F">
            <w:pPr>
              <w:pStyle w:val="NormalWeb"/>
              <w:jc w:val="center"/>
              <w:rPr>
                <w:color w:val="FFFFFF" w:themeColor="background1"/>
              </w:rPr>
            </w:pPr>
            <w:r w:rsidRPr="006D0E73">
              <w:rPr>
                <w:color w:val="FFFFFF" w:themeColor="background1"/>
              </w:rPr>
              <w:t>Events/persons (%)</w:t>
            </w:r>
          </w:p>
        </w:tc>
        <w:tc>
          <w:tcPr>
            <w:tcW w:w="5454" w:type="dxa"/>
            <w:tcBorders>
              <w:left w:val="single" w:sz="2" w:space="0" w:color="FFFFFF" w:themeColor="background1"/>
            </w:tcBorders>
            <w:hideMark/>
          </w:tcPr>
          <w:p w14:paraId="7120CE24" w14:textId="77777777" w:rsidR="00FA40A3" w:rsidRPr="006D0E73" w:rsidRDefault="00FA40A3" w:rsidP="00AF632F">
            <w:pPr>
              <w:pStyle w:val="NormalWeb"/>
              <w:jc w:val="center"/>
              <w:rPr>
                <w:color w:val="FFFFFF" w:themeColor="background1"/>
              </w:rPr>
            </w:pPr>
            <w:r w:rsidRPr="006D0E73">
              <w:rPr>
                <w:color w:val="FFFFFF" w:themeColor="background1"/>
              </w:rPr>
              <w:t>Age-sex-adjusted RR (95% CI)</w:t>
            </w:r>
          </w:p>
        </w:tc>
      </w:tr>
      <w:tr w:rsidR="00FA40A3" w14:paraId="13FB4938" w14:textId="77777777" w:rsidTr="00AF632F">
        <w:tc>
          <w:tcPr>
            <w:tcW w:w="0" w:type="auto"/>
            <w:hideMark/>
          </w:tcPr>
          <w:p w14:paraId="66ADA125" w14:textId="77777777" w:rsidR="00FA40A3" w:rsidRDefault="00FA40A3" w:rsidP="00AF632F">
            <w:pPr>
              <w:pStyle w:val="NormalWeb"/>
            </w:pPr>
            <w:r>
              <w:t>Asthma</w:t>
            </w:r>
          </w:p>
        </w:tc>
        <w:tc>
          <w:tcPr>
            <w:tcW w:w="0" w:type="auto"/>
            <w:hideMark/>
          </w:tcPr>
          <w:p w14:paraId="2E0BFB15" w14:textId="77777777" w:rsidR="00FA40A3" w:rsidRDefault="00FA40A3" w:rsidP="00AF632F">
            <w:pPr>
              <w:pStyle w:val="NormalWeb"/>
              <w:jc w:val="center"/>
            </w:pPr>
            <w:r>
              <w:t>&lt; 5/12 (&lt;42)</w:t>
            </w:r>
          </w:p>
        </w:tc>
        <w:tc>
          <w:tcPr>
            <w:tcW w:w="5454" w:type="dxa"/>
            <w:hideMark/>
          </w:tcPr>
          <w:p w14:paraId="1CAC2B06" w14:textId="77777777" w:rsidR="00FA40A3" w:rsidRDefault="00FA40A3" w:rsidP="00AF632F">
            <w:pPr>
              <w:pStyle w:val="NormalWeb"/>
              <w:jc w:val="center"/>
            </w:pPr>
            <w:r>
              <w:t>1.15 (0.37, 3.63)</w:t>
            </w:r>
          </w:p>
        </w:tc>
      </w:tr>
      <w:tr w:rsidR="00FA40A3" w14:paraId="66131466"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2A349A20" w14:textId="77777777" w:rsidR="00FA40A3" w:rsidRDefault="00FA40A3" w:rsidP="00AF632F">
            <w:pPr>
              <w:pStyle w:val="NormalWeb"/>
            </w:pPr>
            <w:r>
              <w:t>Chronic lower respiratory disease</w:t>
            </w:r>
          </w:p>
        </w:tc>
        <w:tc>
          <w:tcPr>
            <w:tcW w:w="0" w:type="auto"/>
            <w:hideMark/>
          </w:tcPr>
          <w:p w14:paraId="3F097A9E" w14:textId="77777777" w:rsidR="00FA40A3" w:rsidRDefault="00FA40A3" w:rsidP="00AF632F">
            <w:pPr>
              <w:pStyle w:val="NormalWeb"/>
              <w:jc w:val="center"/>
            </w:pPr>
            <w:r>
              <w:t>5/13 (38.5)</w:t>
            </w:r>
          </w:p>
        </w:tc>
        <w:tc>
          <w:tcPr>
            <w:tcW w:w="5454" w:type="dxa"/>
            <w:hideMark/>
          </w:tcPr>
          <w:p w14:paraId="69B1D3B1" w14:textId="77777777" w:rsidR="00FA40A3" w:rsidRDefault="00FA40A3" w:rsidP="00AF632F">
            <w:pPr>
              <w:pStyle w:val="NormalWeb"/>
              <w:jc w:val="center"/>
            </w:pPr>
            <w:r>
              <w:t>1.48 (0.60, 3.66)</w:t>
            </w:r>
          </w:p>
        </w:tc>
      </w:tr>
      <w:tr w:rsidR="00FA40A3" w14:paraId="09718768" w14:textId="77777777" w:rsidTr="00AF632F">
        <w:tc>
          <w:tcPr>
            <w:tcW w:w="0" w:type="auto"/>
            <w:hideMark/>
          </w:tcPr>
          <w:p w14:paraId="05028ADD" w14:textId="77777777" w:rsidR="00FA40A3" w:rsidRDefault="00FA40A3" w:rsidP="00AF632F">
            <w:pPr>
              <w:pStyle w:val="NormalWeb"/>
            </w:pPr>
            <w:r>
              <w:t>Diabetes</w:t>
            </w:r>
          </w:p>
        </w:tc>
        <w:tc>
          <w:tcPr>
            <w:tcW w:w="0" w:type="auto"/>
            <w:hideMark/>
          </w:tcPr>
          <w:p w14:paraId="4D95F2C9" w14:textId="77777777" w:rsidR="00FA40A3" w:rsidRDefault="00FA40A3" w:rsidP="00AF632F">
            <w:pPr>
              <w:pStyle w:val="NormalWeb"/>
              <w:jc w:val="center"/>
            </w:pPr>
            <w:r>
              <w:t>16/52 (30.8)</w:t>
            </w:r>
          </w:p>
        </w:tc>
        <w:tc>
          <w:tcPr>
            <w:tcW w:w="5454" w:type="dxa"/>
            <w:hideMark/>
          </w:tcPr>
          <w:p w14:paraId="0C8FF332" w14:textId="77777777" w:rsidR="00FA40A3" w:rsidRDefault="00FA40A3" w:rsidP="00AF632F">
            <w:pPr>
              <w:pStyle w:val="NormalWeb"/>
              <w:jc w:val="center"/>
            </w:pPr>
            <w:r>
              <w:t>1.18 (0.69, 2.01)</w:t>
            </w:r>
          </w:p>
        </w:tc>
      </w:tr>
      <w:tr w:rsidR="00FA40A3" w14:paraId="5DC78447"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636443C5" w14:textId="77777777" w:rsidR="00FA40A3" w:rsidRDefault="00FA40A3" w:rsidP="00AF632F">
            <w:pPr>
              <w:pStyle w:val="NormalWeb"/>
            </w:pPr>
            <w:r>
              <w:t>Renal failure</w:t>
            </w:r>
          </w:p>
        </w:tc>
        <w:tc>
          <w:tcPr>
            <w:tcW w:w="0" w:type="auto"/>
            <w:hideMark/>
          </w:tcPr>
          <w:p w14:paraId="1888D61A" w14:textId="77777777" w:rsidR="00FA40A3" w:rsidRDefault="00FA40A3" w:rsidP="00AF632F">
            <w:pPr>
              <w:pStyle w:val="NormalWeb"/>
              <w:jc w:val="center"/>
            </w:pPr>
            <w:r>
              <w:t>5/19 (26.3)</w:t>
            </w:r>
          </w:p>
        </w:tc>
        <w:tc>
          <w:tcPr>
            <w:tcW w:w="5454" w:type="dxa"/>
            <w:hideMark/>
          </w:tcPr>
          <w:p w14:paraId="548A6EBF" w14:textId="77777777" w:rsidR="00FA40A3" w:rsidRDefault="00FA40A3" w:rsidP="00AF632F">
            <w:pPr>
              <w:pStyle w:val="NormalWeb"/>
              <w:jc w:val="center"/>
            </w:pPr>
            <w:r>
              <w:t>1.00 (0.41, 2.46)</w:t>
            </w:r>
          </w:p>
        </w:tc>
      </w:tr>
      <w:tr w:rsidR="00FA40A3" w14:paraId="28B2D9BD" w14:textId="77777777" w:rsidTr="00AF632F">
        <w:tc>
          <w:tcPr>
            <w:tcW w:w="0" w:type="auto"/>
            <w:hideMark/>
          </w:tcPr>
          <w:p w14:paraId="4A2A9167" w14:textId="77777777" w:rsidR="00FA40A3" w:rsidRDefault="00FA40A3" w:rsidP="00AF632F">
            <w:pPr>
              <w:pStyle w:val="NormalWeb"/>
            </w:pPr>
            <w:r>
              <w:t>Cancer</w:t>
            </w:r>
          </w:p>
        </w:tc>
        <w:tc>
          <w:tcPr>
            <w:tcW w:w="0" w:type="auto"/>
            <w:hideMark/>
          </w:tcPr>
          <w:p w14:paraId="5E18EEB0" w14:textId="77777777" w:rsidR="00FA40A3" w:rsidRDefault="00FA40A3" w:rsidP="00AF632F">
            <w:pPr>
              <w:pStyle w:val="NormalWeb"/>
              <w:jc w:val="center"/>
            </w:pPr>
            <w:r>
              <w:t>20/73 (27.4)</w:t>
            </w:r>
          </w:p>
        </w:tc>
        <w:tc>
          <w:tcPr>
            <w:tcW w:w="5454" w:type="dxa"/>
            <w:hideMark/>
          </w:tcPr>
          <w:p w14:paraId="7D89C0B5" w14:textId="77777777" w:rsidR="00FA40A3" w:rsidRDefault="00FA40A3" w:rsidP="00AF632F">
            <w:pPr>
              <w:pStyle w:val="NormalWeb"/>
              <w:jc w:val="center"/>
            </w:pPr>
            <w:r>
              <w:t>1.07 (0.66, 1.74)</w:t>
            </w:r>
          </w:p>
        </w:tc>
      </w:tr>
      <w:tr w:rsidR="00FA40A3" w14:paraId="1D78A4E9" w14:textId="77777777" w:rsidTr="00AF632F">
        <w:trPr>
          <w:cnfStyle w:val="000000010000" w:firstRow="0" w:lastRow="0" w:firstColumn="0" w:lastColumn="0" w:oddVBand="0" w:evenVBand="0" w:oddHBand="0" w:evenHBand="1" w:firstRowFirstColumn="0" w:firstRowLastColumn="0" w:lastRowFirstColumn="0" w:lastRowLastColumn="0"/>
        </w:trPr>
        <w:tc>
          <w:tcPr>
            <w:tcW w:w="0" w:type="auto"/>
            <w:hideMark/>
          </w:tcPr>
          <w:p w14:paraId="7057F668" w14:textId="588C5914" w:rsidR="00FA40A3" w:rsidRDefault="008E577D" w:rsidP="00AF632F">
            <w:pPr>
              <w:pStyle w:val="NormalWeb"/>
            </w:pPr>
            <w:r w:rsidRPr="008E577D">
              <w:t>Cardiovascular Disease (CVD)</w:t>
            </w:r>
          </w:p>
        </w:tc>
        <w:tc>
          <w:tcPr>
            <w:tcW w:w="0" w:type="auto"/>
            <w:hideMark/>
          </w:tcPr>
          <w:p w14:paraId="7994F04F" w14:textId="77777777" w:rsidR="00FA40A3" w:rsidRDefault="00FA40A3" w:rsidP="00AF632F">
            <w:pPr>
              <w:pStyle w:val="NormalWeb"/>
              <w:jc w:val="center"/>
            </w:pPr>
            <w:r>
              <w:t>28/97 (28.9)</w:t>
            </w:r>
          </w:p>
        </w:tc>
        <w:tc>
          <w:tcPr>
            <w:tcW w:w="5454" w:type="dxa"/>
            <w:hideMark/>
          </w:tcPr>
          <w:p w14:paraId="61D402B4" w14:textId="77777777" w:rsidR="00FA40A3" w:rsidRDefault="00FA40A3" w:rsidP="00AF632F">
            <w:pPr>
              <w:pStyle w:val="NormalWeb"/>
              <w:jc w:val="center"/>
            </w:pPr>
            <w:r>
              <w:t>1.13 (0.74, 1.74)</w:t>
            </w:r>
          </w:p>
        </w:tc>
      </w:tr>
    </w:tbl>
    <w:p w14:paraId="385B393D" w14:textId="77777777" w:rsidR="00FA40A3" w:rsidRDefault="00FA40A3" w:rsidP="00FA40A3">
      <w:pPr>
        <w:pStyle w:val="CDIfootnotes"/>
        <w:rPr>
          <w:lang w:val="en-GB"/>
        </w:rPr>
      </w:pPr>
      <w:proofErr w:type="spellStart"/>
      <w:proofErr w:type="gramStart"/>
      <w:r>
        <w:rPr>
          <w:lang w:val="en-GB"/>
        </w:rPr>
        <w:t>a</w:t>
      </w:r>
      <w:proofErr w:type="spellEnd"/>
      <w:proofErr w:type="gramEnd"/>
      <w:r>
        <w:rPr>
          <w:lang w:val="en-GB"/>
        </w:rPr>
        <w:tab/>
        <w:t xml:space="preserve">Estimates are based on 1,148 cohort members who were Queensland residents and had an onset date before 1 November 2020. </w:t>
      </w:r>
    </w:p>
    <w:p w14:paraId="7D8C358A" w14:textId="77777777" w:rsidR="008B5348" w:rsidRDefault="008B5348">
      <w:pPr>
        <w:rPr>
          <w:rStyle w:val="A10"/>
        </w:rPr>
        <w:sectPr w:rsidR="008B5348"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06EEEEB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749890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B1A8624" w14:textId="77777777" w:rsidR="000A5F42" w:rsidRPr="000606CC" w:rsidRDefault="000A5F42" w:rsidP="000A5F42">
      <w:pPr>
        <w:pStyle w:val="NoSpacing"/>
        <w:rPr>
          <w:rStyle w:val="URI"/>
          <w:rFonts w:cstheme="minorHAnsi"/>
          <w:sz w:val="20"/>
          <w:szCs w:val="18"/>
        </w:rPr>
      </w:pPr>
    </w:p>
    <w:p w14:paraId="4399008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FB6E33C" w14:textId="77777777" w:rsidR="000A5F42" w:rsidRPr="000606CC" w:rsidRDefault="000A5F42" w:rsidP="000A5F42">
      <w:pPr>
        <w:pStyle w:val="NoSpacing"/>
        <w:rPr>
          <w:rStyle w:val="Strong"/>
          <w:rFonts w:cstheme="minorHAnsi"/>
          <w:sz w:val="20"/>
          <w:szCs w:val="18"/>
        </w:rPr>
      </w:pPr>
    </w:p>
    <w:p w14:paraId="06384F9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952F33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E49026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1EF2F6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1FFB0692" w14:textId="77777777" w:rsidR="000A5F42" w:rsidRPr="000606CC" w:rsidRDefault="000A5F42" w:rsidP="000A5F42">
      <w:pPr>
        <w:pStyle w:val="NoSpacing"/>
        <w:rPr>
          <w:rStyle w:val="Strong"/>
          <w:rFonts w:cstheme="minorHAnsi"/>
          <w:sz w:val="20"/>
          <w:szCs w:val="18"/>
        </w:rPr>
      </w:pPr>
    </w:p>
    <w:p w14:paraId="7C37DBB0" w14:textId="2F47622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5F3E82D" w14:textId="77777777" w:rsidR="000A5F42" w:rsidRPr="000606CC" w:rsidRDefault="000A5F42" w:rsidP="000A5F42">
      <w:pPr>
        <w:pStyle w:val="NoSpacing"/>
        <w:rPr>
          <w:rStyle w:val="Strong"/>
          <w:rFonts w:cstheme="minorHAnsi"/>
          <w:sz w:val="20"/>
          <w:szCs w:val="18"/>
        </w:rPr>
      </w:pPr>
    </w:p>
    <w:p w14:paraId="791EB5ED" w14:textId="50D0798A"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1172AE">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A362C0D" w14:textId="77777777" w:rsidR="000A5F42" w:rsidRPr="000606CC" w:rsidRDefault="000A5F42" w:rsidP="000A5F42">
      <w:pPr>
        <w:pStyle w:val="NoSpacing"/>
        <w:rPr>
          <w:rStyle w:val="Strong"/>
          <w:rFonts w:cstheme="minorHAnsi"/>
          <w:sz w:val="20"/>
          <w:szCs w:val="18"/>
        </w:rPr>
      </w:pPr>
    </w:p>
    <w:p w14:paraId="7B44B860" w14:textId="64AF668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66229EC" w14:textId="77777777" w:rsidR="000A5F42" w:rsidRPr="000606CC" w:rsidRDefault="000A5F42" w:rsidP="000A5F42">
      <w:pPr>
        <w:pStyle w:val="NoSpacing"/>
        <w:rPr>
          <w:rStyle w:val="Strong"/>
          <w:rFonts w:cstheme="minorHAnsi"/>
          <w:sz w:val="20"/>
          <w:szCs w:val="18"/>
        </w:rPr>
      </w:pPr>
    </w:p>
    <w:p w14:paraId="4EEEFDB4" w14:textId="0AB28D17"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187BA5B" w14:textId="6665E5E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F051858" w14:textId="77777777" w:rsidR="000A5F42" w:rsidRPr="000606CC" w:rsidRDefault="000A5F42" w:rsidP="000A5F42">
      <w:pPr>
        <w:pStyle w:val="NoSpacing"/>
        <w:pBdr>
          <w:bottom w:val="single" w:sz="6" w:space="1" w:color="auto"/>
        </w:pBdr>
        <w:rPr>
          <w:rStyle w:val="Strong"/>
          <w:rFonts w:cstheme="minorHAnsi"/>
          <w:sz w:val="12"/>
          <w:szCs w:val="18"/>
        </w:rPr>
      </w:pPr>
    </w:p>
    <w:p w14:paraId="51838EEE" w14:textId="77777777" w:rsidR="000A5F42" w:rsidRPr="000606CC" w:rsidRDefault="000A5F42" w:rsidP="000A5F42">
      <w:pPr>
        <w:pStyle w:val="NoSpacing"/>
        <w:rPr>
          <w:rFonts w:cstheme="minorHAnsi"/>
          <w:sz w:val="20"/>
          <w:szCs w:val="18"/>
        </w:rPr>
      </w:pPr>
    </w:p>
    <w:p w14:paraId="3F0F2BAF"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40BAFA4" w14:textId="77777777" w:rsidR="000A5F42" w:rsidRPr="000606CC" w:rsidRDefault="000A5F42" w:rsidP="000A5F42">
      <w:pPr>
        <w:pStyle w:val="NoSpacing"/>
        <w:rPr>
          <w:rFonts w:cstheme="minorHAnsi"/>
          <w:sz w:val="20"/>
          <w:szCs w:val="18"/>
        </w:rPr>
      </w:pPr>
    </w:p>
    <w:p w14:paraId="0F5E02F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4A4962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5920F02B" w14:textId="1152517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FAA7C95" w14:textId="77777777" w:rsidR="000A5F42" w:rsidRPr="000606CC" w:rsidRDefault="000A5F42" w:rsidP="000A5F42">
      <w:pPr>
        <w:pStyle w:val="NoSpacing"/>
        <w:rPr>
          <w:rFonts w:cstheme="minorHAnsi"/>
          <w:sz w:val="20"/>
          <w:szCs w:val="18"/>
        </w:rPr>
      </w:pPr>
    </w:p>
    <w:p w14:paraId="2A7A4D9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0FFCEE2" w14:textId="50AE647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0B087F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F5C329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F0CD4D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A4E39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5F3B9CD" w14:textId="77777777" w:rsidR="000A5F42" w:rsidRPr="000606CC" w:rsidRDefault="000A5F42" w:rsidP="000A5F42">
      <w:pPr>
        <w:pStyle w:val="NoSpacing"/>
        <w:rPr>
          <w:rStyle w:val="Strong"/>
          <w:rFonts w:cstheme="minorHAnsi"/>
          <w:sz w:val="20"/>
          <w:szCs w:val="18"/>
        </w:rPr>
      </w:pPr>
    </w:p>
    <w:p w14:paraId="022BDA7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769F8A0" w14:textId="77777777" w:rsidR="000A5F42" w:rsidRPr="000606CC" w:rsidRDefault="000A5F42" w:rsidP="000A5F42">
      <w:pPr>
        <w:pStyle w:val="NoSpacing"/>
        <w:rPr>
          <w:rStyle w:val="Strong"/>
          <w:rFonts w:cstheme="minorHAnsi"/>
          <w:sz w:val="20"/>
          <w:szCs w:val="18"/>
        </w:rPr>
      </w:pPr>
    </w:p>
    <w:p w14:paraId="6773FEB2" w14:textId="69A496E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7FEEB12" w14:textId="77777777" w:rsidR="000A5F42" w:rsidRPr="000606CC" w:rsidRDefault="000A5F42" w:rsidP="000A5F42">
      <w:pPr>
        <w:pStyle w:val="NoSpacing"/>
        <w:rPr>
          <w:rStyle w:val="URI"/>
          <w:rFonts w:cstheme="minorHAnsi"/>
          <w:sz w:val="20"/>
          <w:szCs w:val="18"/>
        </w:rPr>
      </w:pPr>
    </w:p>
    <w:p w14:paraId="398D0DC5" w14:textId="26B7C25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3561E8C" w14:textId="77777777" w:rsidR="001B37B8" w:rsidRPr="00E92237" w:rsidRDefault="001B37B8" w:rsidP="001B37B8">
      <w:pPr>
        <w:rPr>
          <w:rFonts w:cs="Myriad Pro"/>
          <w:color w:val="211D1E"/>
          <w:sz w:val="20"/>
          <w:szCs w:val="20"/>
        </w:rPr>
      </w:pPr>
    </w:p>
    <w:sectPr w:rsidR="001B37B8" w:rsidRPr="00E92237" w:rsidSect="002B75A9">
      <w:headerReference w:type="default" r:id="rId20"/>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DA9A2" w14:textId="77777777" w:rsidR="00146053" w:rsidRDefault="00146053" w:rsidP="00E54DBA">
      <w:r>
        <w:separator/>
      </w:r>
    </w:p>
    <w:p w14:paraId="7DB17940" w14:textId="77777777" w:rsidR="00146053" w:rsidRDefault="00146053"/>
    <w:p w14:paraId="1C857E71" w14:textId="77777777" w:rsidR="00146053" w:rsidRDefault="00146053" w:rsidP="008714B0"/>
  </w:endnote>
  <w:endnote w:type="continuationSeparator" w:id="0">
    <w:p w14:paraId="547E1E66" w14:textId="77777777" w:rsidR="00146053" w:rsidRDefault="00146053" w:rsidP="00E54DBA">
      <w:r>
        <w:continuationSeparator/>
      </w:r>
    </w:p>
    <w:p w14:paraId="056103F4" w14:textId="77777777" w:rsidR="00146053" w:rsidRDefault="00146053"/>
    <w:p w14:paraId="75E15365" w14:textId="77777777" w:rsidR="00146053" w:rsidRDefault="0014605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873A" w14:textId="7E2F23CF" w:rsidR="00146053" w:rsidRPr="0042435E" w:rsidRDefault="0014605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222AE1">
      <w:rPr>
        <w:i/>
        <w:sz w:val="18"/>
      </w:rPr>
      <w:t>Commun</w:t>
    </w:r>
    <w:proofErr w:type="spellEnd"/>
    <w:r w:rsidRPr="00222AE1">
      <w:rPr>
        <w:i/>
        <w:sz w:val="18"/>
      </w:rPr>
      <w:t xml:space="preserve"> Dis </w:t>
    </w:r>
    <w:proofErr w:type="spellStart"/>
    <w:r w:rsidRPr="00222AE1">
      <w:rPr>
        <w:i/>
        <w:sz w:val="18"/>
      </w:rPr>
      <w:t>Intell</w:t>
    </w:r>
    <w:proofErr w:type="spellEnd"/>
    <w:r w:rsidRPr="00222AE1">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A17F2">
      <w:rPr>
        <w:sz w:val="18"/>
      </w:rPr>
      <w:t>https://doi.org/10.33321/cdi.2021.45.51</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7A17F2">
      <w:rPr>
        <w:sz w:val="18"/>
      </w:rPr>
      <w:t>30/9/2021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A96A" w14:textId="738CA3C7" w:rsidR="00146053" w:rsidRPr="00BB5378" w:rsidRDefault="0014605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222AE1">
      <w:rPr>
        <w:i/>
        <w:sz w:val="18"/>
      </w:rPr>
      <w:t>Commun</w:t>
    </w:r>
    <w:proofErr w:type="spellEnd"/>
    <w:r w:rsidRPr="00222AE1">
      <w:rPr>
        <w:i/>
        <w:sz w:val="18"/>
      </w:rPr>
      <w:t xml:space="preserve"> Dis </w:t>
    </w:r>
    <w:proofErr w:type="spellStart"/>
    <w:r w:rsidRPr="00222AE1">
      <w:rPr>
        <w:i/>
        <w:sz w:val="18"/>
      </w:rPr>
      <w:t>Intell</w:t>
    </w:r>
    <w:proofErr w:type="spellEnd"/>
    <w:r w:rsidRPr="00222AE1">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A17F2">
      <w:rPr>
        <w:sz w:val="18"/>
      </w:rPr>
      <w:t>https://doi.org/10.33321/cdi.2021.45.51</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7A17F2">
      <w:rPr>
        <w:sz w:val="18"/>
      </w:rPr>
      <w:t>30/9/2021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ED4D9" w14:textId="77777777" w:rsidR="00146053" w:rsidRDefault="00146053" w:rsidP="00E54DBA">
      <w:r>
        <w:separator/>
      </w:r>
    </w:p>
  </w:footnote>
  <w:footnote w:type="continuationSeparator" w:id="0">
    <w:p w14:paraId="6616A642" w14:textId="77777777" w:rsidR="00146053" w:rsidRDefault="00146053" w:rsidP="00E54DBA">
      <w:r>
        <w:continuationSeparator/>
      </w:r>
    </w:p>
  </w:footnote>
  <w:footnote w:type="continuationNotice" w:id="1">
    <w:p w14:paraId="0D6E5B9E" w14:textId="77777777" w:rsidR="00146053" w:rsidRPr="00224EFF" w:rsidRDefault="00146053" w:rsidP="00224EFF">
      <w:pPr>
        <w:pStyle w:val="Footer"/>
      </w:pPr>
    </w:p>
  </w:footnote>
  <w:footnote w:id="2">
    <w:p w14:paraId="54E30E25" w14:textId="14AE725C" w:rsidR="00146053" w:rsidRPr="00AF632F" w:rsidRDefault="00146053" w:rsidP="00362B24">
      <w:pPr>
        <w:pStyle w:val="CDIfootnotes"/>
      </w:pPr>
      <w:r w:rsidRPr="00AF632F">
        <w:rPr>
          <w:rStyle w:val="FootnoteReference"/>
          <w:vertAlign w:val="baseline"/>
        </w:rPr>
        <w:footnoteRef/>
      </w:r>
      <w:r>
        <w:tab/>
      </w:r>
      <w:r w:rsidRPr="00AF632F">
        <w:t xml:space="preserve">ARIA+ is a geographical measure of service accessibility based on road distances to service centres (based on population size), which groups areas </w:t>
      </w:r>
      <w:proofErr w:type="gramStart"/>
      <w:r w:rsidRPr="00AF632F">
        <w:t>into:</w:t>
      </w:r>
      <w:proofErr w:type="gramEnd"/>
      <w:r w:rsidRPr="00AF632F">
        <w:t xml:space="preserve"> major cities; inner regional; outer regional; remote; and very remote areas.</w:t>
      </w:r>
      <w:r w:rsidRPr="00AF632F">
        <w:rPr>
          <w:vertAlign w:val="superscript"/>
        </w:rPr>
        <w:t>7</w:t>
      </w:r>
    </w:p>
  </w:footnote>
  <w:footnote w:id="3">
    <w:p w14:paraId="68098C2D" w14:textId="7C9699D2" w:rsidR="00146053" w:rsidRPr="00AF632F" w:rsidRDefault="00146053" w:rsidP="00362B24">
      <w:pPr>
        <w:pStyle w:val="CDIfootnotes"/>
      </w:pPr>
      <w:r w:rsidRPr="00AF632F">
        <w:rPr>
          <w:rStyle w:val="FootnoteReference"/>
          <w:vertAlign w:val="baseline"/>
        </w:rPr>
        <w:footnoteRef/>
      </w:r>
      <w:r>
        <w:tab/>
      </w:r>
      <w:r w:rsidRPr="00AF632F">
        <w:t>SEIFA IRSD is an area-based measure of socioeconomic status, based on average characteristics of the people living within areas containing around 10,000 people.</w:t>
      </w:r>
      <w:r w:rsidRPr="00AF632F">
        <w:rPr>
          <w:vertAlign w:val="superscript"/>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A2C3" w14:textId="23AC9BAF" w:rsidR="00146053" w:rsidRPr="00A153B6" w:rsidRDefault="007A17F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46053">
          <w:t>Original article</w:t>
        </w:r>
      </w:sdtContent>
    </w:sdt>
    <w:r w:rsidR="00146053">
      <w:ptab w:relativeTo="margin" w:alignment="right" w:leader="none"/>
    </w:r>
    <w:r w:rsidR="0014605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D3BE1" w14:textId="77777777" w:rsidR="00146053" w:rsidRPr="000A5F42" w:rsidRDefault="00146053" w:rsidP="000A5F42">
    <w:pPr>
      <w:pStyle w:val="Header"/>
      <w:jc w:val="center"/>
      <w:rPr>
        <w:b/>
      </w:rPr>
    </w:pPr>
    <w:r w:rsidRPr="00E810C5">
      <w:rPr>
        <w:rFonts w:cs="Myriad Pro"/>
        <w:noProof/>
        <w:color w:val="211D1E"/>
        <w:sz w:val="16"/>
      </w:rPr>
      <w:drawing>
        <wp:inline distT="0" distB="0" distL="0" distR="0" wp14:anchorId="5F70DEB2" wp14:editId="081C4CB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C2F59"/>
    <w:multiLevelType w:val="multilevel"/>
    <w:tmpl w:val="5386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4600D"/>
    <w:multiLevelType w:val="hybridMultilevel"/>
    <w:tmpl w:val="4D96C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6B46AE"/>
    <w:multiLevelType w:val="multilevel"/>
    <w:tmpl w:val="7D58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74B34"/>
    <w:multiLevelType w:val="multilevel"/>
    <w:tmpl w:val="94E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31326"/>
    <w:multiLevelType w:val="hybridMultilevel"/>
    <w:tmpl w:val="ADC88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6A4B59"/>
    <w:multiLevelType w:val="multilevel"/>
    <w:tmpl w:val="959C21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00B2863"/>
    <w:multiLevelType w:val="multilevel"/>
    <w:tmpl w:val="164E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B13EB1"/>
    <w:multiLevelType w:val="multilevel"/>
    <w:tmpl w:val="B61E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967E9"/>
    <w:multiLevelType w:val="multilevel"/>
    <w:tmpl w:val="46E6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C6679"/>
    <w:multiLevelType w:val="multilevel"/>
    <w:tmpl w:val="FB86FD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EEC5C60"/>
    <w:multiLevelType w:val="multilevel"/>
    <w:tmpl w:val="3CCA6C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5D086B"/>
    <w:multiLevelType w:val="multilevel"/>
    <w:tmpl w:val="39D8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F3F6B"/>
    <w:multiLevelType w:val="multilevel"/>
    <w:tmpl w:val="7BBE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0"/>
  </w:num>
  <w:num w:numId="4">
    <w:abstractNumId w:val="2"/>
  </w:num>
  <w:num w:numId="5">
    <w:abstractNumId w:val="15"/>
  </w:num>
  <w:num w:numId="6">
    <w:abstractNumId w:val="16"/>
  </w:num>
  <w:num w:numId="7">
    <w:abstractNumId w:val="0"/>
  </w:num>
  <w:num w:numId="8">
    <w:abstractNumId w:val="8"/>
  </w:num>
  <w:num w:numId="9">
    <w:abstractNumId w:val="1"/>
  </w:num>
  <w:num w:numId="10">
    <w:abstractNumId w:val="6"/>
  </w:num>
  <w:num w:numId="11">
    <w:abstractNumId w:val="17"/>
  </w:num>
  <w:num w:numId="12">
    <w:abstractNumId w:val="12"/>
  </w:num>
  <w:num w:numId="13">
    <w:abstractNumId w:val="13"/>
  </w:num>
  <w:num w:numId="14">
    <w:abstractNumId w:val="4"/>
  </w:num>
  <w:num w:numId="15">
    <w:abstractNumId w:val="14"/>
  </w:num>
  <w:num w:numId="16">
    <w:abstractNumId w:val="5"/>
  </w:num>
  <w:num w:numId="17">
    <w:abstractNumId w:val="11"/>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noPunctuationKerning/>
  <w:characterSpacingControl w:val="doNotCompress"/>
  <w:hdrShapeDefaults>
    <o:shapedefaults v:ext="edit" spidmax="16385"/>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8B"/>
    <w:rsid w:val="00000B5B"/>
    <w:rsid w:val="00001611"/>
    <w:rsid w:val="000104A8"/>
    <w:rsid w:val="0001246E"/>
    <w:rsid w:val="000124B1"/>
    <w:rsid w:val="00016FE6"/>
    <w:rsid w:val="00031064"/>
    <w:rsid w:val="00031692"/>
    <w:rsid w:val="00032531"/>
    <w:rsid w:val="000325A0"/>
    <w:rsid w:val="000453EA"/>
    <w:rsid w:val="000471BF"/>
    <w:rsid w:val="00047B68"/>
    <w:rsid w:val="00052600"/>
    <w:rsid w:val="0005643C"/>
    <w:rsid w:val="0006264A"/>
    <w:rsid w:val="00073D77"/>
    <w:rsid w:val="00081655"/>
    <w:rsid w:val="000864E0"/>
    <w:rsid w:val="0008659E"/>
    <w:rsid w:val="000969B3"/>
    <w:rsid w:val="000A5F42"/>
    <w:rsid w:val="000A71DD"/>
    <w:rsid w:val="000C7173"/>
    <w:rsid w:val="000D4B4D"/>
    <w:rsid w:val="00113D58"/>
    <w:rsid w:val="001172AE"/>
    <w:rsid w:val="001200CB"/>
    <w:rsid w:val="001378A3"/>
    <w:rsid w:val="0014605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2AE1"/>
    <w:rsid w:val="00224EFF"/>
    <w:rsid w:val="002276DC"/>
    <w:rsid w:val="00227E00"/>
    <w:rsid w:val="002307CB"/>
    <w:rsid w:val="00231046"/>
    <w:rsid w:val="00234F21"/>
    <w:rsid w:val="00236846"/>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346F"/>
    <w:rsid w:val="002E2FB3"/>
    <w:rsid w:val="002F327B"/>
    <w:rsid w:val="00301626"/>
    <w:rsid w:val="003059EC"/>
    <w:rsid w:val="00311A0F"/>
    <w:rsid w:val="00316CCD"/>
    <w:rsid w:val="00324A83"/>
    <w:rsid w:val="00324F7E"/>
    <w:rsid w:val="003323BC"/>
    <w:rsid w:val="00346D42"/>
    <w:rsid w:val="00346E11"/>
    <w:rsid w:val="00350400"/>
    <w:rsid w:val="003601C0"/>
    <w:rsid w:val="00362B24"/>
    <w:rsid w:val="003635F5"/>
    <w:rsid w:val="00372A88"/>
    <w:rsid w:val="00381A0F"/>
    <w:rsid w:val="003A1B3A"/>
    <w:rsid w:val="003A40F5"/>
    <w:rsid w:val="003A7721"/>
    <w:rsid w:val="003B5B8C"/>
    <w:rsid w:val="003C4E23"/>
    <w:rsid w:val="003D79B1"/>
    <w:rsid w:val="003E74EE"/>
    <w:rsid w:val="003F0552"/>
    <w:rsid w:val="003F3BC2"/>
    <w:rsid w:val="00401ED1"/>
    <w:rsid w:val="0040224C"/>
    <w:rsid w:val="00413EE1"/>
    <w:rsid w:val="004159AB"/>
    <w:rsid w:val="004164BB"/>
    <w:rsid w:val="00421ECE"/>
    <w:rsid w:val="00422FEB"/>
    <w:rsid w:val="0042435E"/>
    <w:rsid w:val="00427F33"/>
    <w:rsid w:val="004315F5"/>
    <w:rsid w:val="00433456"/>
    <w:rsid w:val="00433DFA"/>
    <w:rsid w:val="00435D67"/>
    <w:rsid w:val="00457832"/>
    <w:rsid w:val="00464A58"/>
    <w:rsid w:val="00473D2D"/>
    <w:rsid w:val="00476CD9"/>
    <w:rsid w:val="004A2125"/>
    <w:rsid w:val="004A38F6"/>
    <w:rsid w:val="004B4EB6"/>
    <w:rsid w:val="004C083C"/>
    <w:rsid w:val="004C67C6"/>
    <w:rsid w:val="004D29DE"/>
    <w:rsid w:val="004D4676"/>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5F5258"/>
    <w:rsid w:val="00607115"/>
    <w:rsid w:val="00620768"/>
    <w:rsid w:val="0062594B"/>
    <w:rsid w:val="00631406"/>
    <w:rsid w:val="006324FF"/>
    <w:rsid w:val="006351D6"/>
    <w:rsid w:val="00636E0D"/>
    <w:rsid w:val="0064142F"/>
    <w:rsid w:val="0064194D"/>
    <w:rsid w:val="00643CB4"/>
    <w:rsid w:val="00656427"/>
    <w:rsid w:val="00660255"/>
    <w:rsid w:val="006971F3"/>
    <w:rsid w:val="006C720A"/>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144B"/>
    <w:rsid w:val="00783B9C"/>
    <w:rsid w:val="00786329"/>
    <w:rsid w:val="00792693"/>
    <w:rsid w:val="00792C7D"/>
    <w:rsid w:val="00794A4D"/>
    <w:rsid w:val="007A17F2"/>
    <w:rsid w:val="007A5234"/>
    <w:rsid w:val="007B7854"/>
    <w:rsid w:val="007C56A1"/>
    <w:rsid w:val="007C6454"/>
    <w:rsid w:val="007D5B45"/>
    <w:rsid w:val="007E01E0"/>
    <w:rsid w:val="007F0B93"/>
    <w:rsid w:val="007F2ECA"/>
    <w:rsid w:val="00811708"/>
    <w:rsid w:val="00816B90"/>
    <w:rsid w:val="00817799"/>
    <w:rsid w:val="00822F5F"/>
    <w:rsid w:val="00824FD3"/>
    <w:rsid w:val="00826589"/>
    <w:rsid w:val="00834BCC"/>
    <w:rsid w:val="00835A89"/>
    <w:rsid w:val="00850D54"/>
    <w:rsid w:val="008714B0"/>
    <w:rsid w:val="00876331"/>
    <w:rsid w:val="00880726"/>
    <w:rsid w:val="008A2A70"/>
    <w:rsid w:val="008A3544"/>
    <w:rsid w:val="008B48B8"/>
    <w:rsid w:val="008B5348"/>
    <w:rsid w:val="008B58F8"/>
    <w:rsid w:val="008C0712"/>
    <w:rsid w:val="008C4520"/>
    <w:rsid w:val="008C5F09"/>
    <w:rsid w:val="008D470F"/>
    <w:rsid w:val="008D6FA3"/>
    <w:rsid w:val="008E1F8F"/>
    <w:rsid w:val="008E4768"/>
    <w:rsid w:val="008E577D"/>
    <w:rsid w:val="008E761E"/>
    <w:rsid w:val="008F77B3"/>
    <w:rsid w:val="009008F5"/>
    <w:rsid w:val="00904CC1"/>
    <w:rsid w:val="009066AF"/>
    <w:rsid w:val="00912050"/>
    <w:rsid w:val="00912E48"/>
    <w:rsid w:val="0092746F"/>
    <w:rsid w:val="00935DC9"/>
    <w:rsid w:val="009446C0"/>
    <w:rsid w:val="00956CFA"/>
    <w:rsid w:val="0096082E"/>
    <w:rsid w:val="00961347"/>
    <w:rsid w:val="00967410"/>
    <w:rsid w:val="00967D73"/>
    <w:rsid w:val="0098119A"/>
    <w:rsid w:val="00984AAF"/>
    <w:rsid w:val="00991B09"/>
    <w:rsid w:val="00993CB2"/>
    <w:rsid w:val="009A5166"/>
    <w:rsid w:val="009A757C"/>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470C0"/>
    <w:rsid w:val="00A553F8"/>
    <w:rsid w:val="00A6708F"/>
    <w:rsid w:val="00A67E69"/>
    <w:rsid w:val="00A71BF6"/>
    <w:rsid w:val="00A83E4D"/>
    <w:rsid w:val="00A86F9A"/>
    <w:rsid w:val="00AA35E6"/>
    <w:rsid w:val="00AA50B6"/>
    <w:rsid w:val="00AB3472"/>
    <w:rsid w:val="00AD0762"/>
    <w:rsid w:val="00AD0D1C"/>
    <w:rsid w:val="00AE3DCF"/>
    <w:rsid w:val="00AE4452"/>
    <w:rsid w:val="00AE728C"/>
    <w:rsid w:val="00AE7C38"/>
    <w:rsid w:val="00AF632F"/>
    <w:rsid w:val="00B01F99"/>
    <w:rsid w:val="00B02B37"/>
    <w:rsid w:val="00B05276"/>
    <w:rsid w:val="00B132DB"/>
    <w:rsid w:val="00B24445"/>
    <w:rsid w:val="00B31427"/>
    <w:rsid w:val="00B33861"/>
    <w:rsid w:val="00B40DE2"/>
    <w:rsid w:val="00B50210"/>
    <w:rsid w:val="00B53955"/>
    <w:rsid w:val="00B6408A"/>
    <w:rsid w:val="00B714B8"/>
    <w:rsid w:val="00B81C35"/>
    <w:rsid w:val="00B82C2C"/>
    <w:rsid w:val="00B8720B"/>
    <w:rsid w:val="00B876EF"/>
    <w:rsid w:val="00BA4697"/>
    <w:rsid w:val="00BB5378"/>
    <w:rsid w:val="00BC0BD3"/>
    <w:rsid w:val="00BD0107"/>
    <w:rsid w:val="00BE0C33"/>
    <w:rsid w:val="00BE23A2"/>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112F"/>
    <w:rsid w:val="00C838F5"/>
    <w:rsid w:val="00CA1AF4"/>
    <w:rsid w:val="00CA6068"/>
    <w:rsid w:val="00CB15E1"/>
    <w:rsid w:val="00CB1AE8"/>
    <w:rsid w:val="00CB3D46"/>
    <w:rsid w:val="00CD1A87"/>
    <w:rsid w:val="00CD35F3"/>
    <w:rsid w:val="00CD5C93"/>
    <w:rsid w:val="00CE342B"/>
    <w:rsid w:val="00CF320C"/>
    <w:rsid w:val="00CF3A4B"/>
    <w:rsid w:val="00CF4001"/>
    <w:rsid w:val="00D05837"/>
    <w:rsid w:val="00D12D8A"/>
    <w:rsid w:val="00D13E0C"/>
    <w:rsid w:val="00D2242E"/>
    <w:rsid w:val="00D25896"/>
    <w:rsid w:val="00D373A1"/>
    <w:rsid w:val="00D37C0F"/>
    <w:rsid w:val="00D45661"/>
    <w:rsid w:val="00D45943"/>
    <w:rsid w:val="00D47D22"/>
    <w:rsid w:val="00D51865"/>
    <w:rsid w:val="00D51D0C"/>
    <w:rsid w:val="00D6062B"/>
    <w:rsid w:val="00D74140"/>
    <w:rsid w:val="00DA6E56"/>
    <w:rsid w:val="00DC24E5"/>
    <w:rsid w:val="00DC5C8B"/>
    <w:rsid w:val="00DC6705"/>
    <w:rsid w:val="00DD2DE8"/>
    <w:rsid w:val="00DE38B4"/>
    <w:rsid w:val="00DE5D02"/>
    <w:rsid w:val="00E005A9"/>
    <w:rsid w:val="00E050E7"/>
    <w:rsid w:val="00E1166E"/>
    <w:rsid w:val="00E2143B"/>
    <w:rsid w:val="00E24DC0"/>
    <w:rsid w:val="00E2519C"/>
    <w:rsid w:val="00E25F2A"/>
    <w:rsid w:val="00E41455"/>
    <w:rsid w:val="00E425BD"/>
    <w:rsid w:val="00E42AD2"/>
    <w:rsid w:val="00E50856"/>
    <w:rsid w:val="00E538CC"/>
    <w:rsid w:val="00E54BBD"/>
    <w:rsid w:val="00E54DBA"/>
    <w:rsid w:val="00E63D7C"/>
    <w:rsid w:val="00E640D5"/>
    <w:rsid w:val="00E66E2E"/>
    <w:rsid w:val="00E67691"/>
    <w:rsid w:val="00E87279"/>
    <w:rsid w:val="00E92237"/>
    <w:rsid w:val="00E951EF"/>
    <w:rsid w:val="00E96FDF"/>
    <w:rsid w:val="00EA3D54"/>
    <w:rsid w:val="00EA56D9"/>
    <w:rsid w:val="00EA5CE3"/>
    <w:rsid w:val="00EB51C1"/>
    <w:rsid w:val="00EB5AE1"/>
    <w:rsid w:val="00EB5E0B"/>
    <w:rsid w:val="00EC2171"/>
    <w:rsid w:val="00ED442D"/>
    <w:rsid w:val="00ED5264"/>
    <w:rsid w:val="00ED70C2"/>
    <w:rsid w:val="00EE18FF"/>
    <w:rsid w:val="00EE489F"/>
    <w:rsid w:val="00EF4C8D"/>
    <w:rsid w:val="00F03DA1"/>
    <w:rsid w:val="00F0647F"/>
    <w:rsid w:val="00F10CE3"/>
    <w:rsid w:val="00F14F3B"/>
    <w:rsid w:val="00F16362"/>
    <w:rsid w:val="00F207C7"/>
    <w:rsid w:val="00F2358D"/>
    <w:rsid w:val="00F36B6D"/>
    <w:rsid w:val="00F43FA3"/>
    <w:rsid w:val="00F55648"/>
    <w:rsid w:val="00F70046"/>
    <w:rsid w:val="00F748C2"/>
    <w:rsid w:val="00F76C5C"/>
    <w:rsid w:val="00F81EF3"/>
    <w:rsid w:val="00F84496"/>
    <w:rsid w:val="00F85DCB"/>
    <w:rsid w:val="00F86F9C"/>
    <w:rsid w:val="00F90D76"/>
    <w:rsid w:val="00FA40A3"/>
    <w:rsid w:val="00FC002E"/>
    <w:rsid w:val="00FC4C23"/>
    <w:rsid w:val="00FC642E"/>
    <w:rsid w:val="00FD7EAA"/>
    <w:rsid w:val="00FE2AE4"/>
    <w:rsid w:val="00FE43D6"/>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539824"/>
  <w15:docId w15:val="{026C916E-3144-4815-BC7F-0D599AA8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33</TotalTime>
  <Pages>22</Pages>
  <Words>8564</Words>
  <Characters>49533</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Communicable Diseases Intelligence 2021 - The ATHENA COVID-19 Study: Cohort profile and first findings for people diagnosed with COVID-19 in Queensland, 1 January to 31 December 2020</vt:lpstr>
    </vt:vector>
  </TitlesOfParts>
  <Company>Australian Government, Department of Health</Company>
  <LinksUpToDate>false</LinksUpToDate>
  <CharactersWithSpaces>57982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The ATHENA COVID-19 Study: Cohort profile and first findings for people diagnosed with COVID-19 in Queensland, 1 January to 31 December 2020</dc:title>
  <dc:subject>Part 1 of the ATHENA COVID-19 Study used Notifiable Conditions System data from 1 January 2020 to 31 December 2020, for Patients in QLD Diagnosed with CV-19 and linked to: Emergency Department Collection (EDC) data for the same period; Queensland Health Admitted Patient Data Collections (from 1 January 2010 to 30 January 2021); and Deaths Registrations data (from 1 January 2020 to 17 January 2021). Given Australia’s success managing the pandemic, small numbers of people diagnosed with SARS-CoV-2 infection, there were considerable uncertainty in the estimates presented in the study. However, the findings are consistent with what is known about COVID-19 and demonstrate the value of linking multiple administrative data sources.</dc:subject>
  <dc:creator>Jennifer Welsh; Rosemary J Korda; Ellie Paige; Mark A Morgan; Hsei-Di Law; Tony Stanton; Zoltan MJ Bourne; M Ximena Tolosa; Kim Greaves; for the ATHENA (Australians Together Health Initiative) COVID-19 Project Team</dc:creator>
  <cp:keywords>COVID-19; epidemiology; outcomes; predictors; record linkage; surveillance; morbidity</cp:keywords>
  <dc:description>© Commonwealth of Australia CC BY-NC-ND ISSN: 2209-6051 (Online)</dc:description>
  <cp:lastModifiedBy>YOUSEFI, Kasra</cp:lastModifiedBy>
  <cp:revision>28</cp:revision>
  <cp:lastPrinted>2018-05-10T02:19:00Z</cp:lastPrinted>
  <dcterms:created xsi:type="dcterms:W3CDTF">2021-07-26T04:05:00Z</dcterms:created>
  <dcterms:modified xsi:type="dcterms:W3CDTF">2021-09-29T04:49:00Z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30/9/2021</vt:lpwstr>
  </property>
  <property fmtid="{D5CDD505-2E9C-101B-9397-08002B2CF9AE}" pid="5" name="DOI">
    <vt:lpwstr>https://doi.org/10.33321/cdi.2021.45.51</vt:lpwstr>
  </property>
</Properties>
</file>