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CD5AA" w14:textId="77777777" w:rsidR="00442C40" w:rsidRDefault="00442C40" w:rsidP="0036123E">
      <w:pPr>
        <w:pStyle w:val="Title"/>
        <w:rPr>
          <w:sz w:val="24"/>
          <w:szCs w:val="24"/>
        </w:rPr>
      </w:pPr>
      <w:r>
        <w:t xml:space="preserve">Re-emergence of dengue virus in regional Queensland: 2019 dengue virus outbreak in Rockhampton, Central Queensland, Australia </w:t>
      </w:r>
    </w:p>
    <w:p w14:paraId="4E8DADB4" w14:textId="77777777" w:rsidR="00442C40" w:rsidRDefault="00442C40" w:rsidP="0036123E">
      <w:proofErr w:type="spellStart"/>
      <w:r>
        <w:t>Jacina</w:t>
      </w:r>
      <w:proofErr w:type="spellEnd"/>
      <w:r>
        <w:t xml:space="preserve"> Walker, Alyssa Pyke, Paul Florian, Fred Moore, Nicolas </w:t>
      </w:r>
      <w:proofErr w:type="spellStart"/>
      <w:r>
        <w:t>Smoll</w:t>
      </w:r>
      <w:proofErr w:type="spellEnd"/>
      <w:r>
        <w:t xml:space="preserve">, </w:t>
      </w:r>
      <w:proofErr w:type="spellStart"/>
      <w:r>
        <w:t>Odewumi</w:t>
      </w:r>
      <w:proofErr w:type="spellEnd"/>
      <w:r>
        <w:t xml:space="preserve"> </w:t>
      </w:r>
      <w:proofErr w:type="spellStart"/>
      <w:r>
        <w:t>Adegbija</w:t>
      </w:r>
      <w:proofErr w:type="spellEnd"/>
      <w:r>
        <w:t xml:space="preserve">, </w:t>
      </w:r>
      <w:proofErr w:type="spellStart"/>
      <w:r>
        <w:t>Arifuzzaman</w:t>
      </w:r>
      <w:proofErr w:type="spellEnd"/>
      <w:r>
        <w:t xml:space="preserve"> Khan, </w:t>
      </w:r>
      <w:proofErr w:type="spellStart"/>
      <w:r>
        <w:t>Rashidul</w:t>
      </w:r>
      <w:proofErr w:type="spellEnd"/>
      <w:r>
        <w:t xml:space="preserve"> Hasan, Heidi Carroll, Rachael Rodney Harris, Gulam </w:t>
      </w:r>
      <w:proofErr w:type="spellStart"/>
      <w:r>
        <w:t>Khandaker</w:t>
      </w:r>
      <w:proofErr w:type="spellEnd"/>
      <w:r>
        <w:t xml:space="preserve"> </w:t>
      </w:r>
    </w:p>
    <w:p w14:paraId="2C4DAF27" w14:textId="77777777" w:rsidR="00442C40" w:rsidRPr="0036123E" w:rsidRDefault="00442C40" w:rsidP="0036123E">
      <w:pPr>
        <w:pStyle w:val="Heading1"/>
      </w:pPr>
      <w:r w:rsidRPr="0036123E">
        <w:t xml:space="preserve">Abstract </w:t>
      </w:r>
    </w:p>
    <w:p w14:paraId="3B454010" w14:textId="77777777" w:rsidR="00442C40" w:rsidRPr="0036123E" w:rsidRDefault="00442C40" w:rsidP="0036123E">
      <w:pPr>
        <w:pStyle w:val="Heading2"/>
      </w:pPr>
      <w:r w:rsidRPr="0036123E">
        <w:t xml:space="preserve">Objective(s) </w:t>
      </w:r>
    </w:p>
    <w:p w14:paraId="6AB777EE" w14:textId="77777777" w:rsidR="00442C40" w:rsidRDefault="00442C40" w:rsidP="0036123E">
      <w:r>
        <w:t xml:space="preserve">To describe an autochthonous dengue virus type 2 (DENV-2) outbreak in Central Queensland from May 2019 and subsequent public health actions. </w:t>
      </w:r>
    </w:p>
    <w:p w14:paraId="1B80E8AA" w14:textId="77777777" w:rsidR="00442C40" w:rsidRPr="0036123E" w:rsidRDefault="00442C40" w:rsidP="0036123E">
      <w:pPr>
        <w:pStyle w:val="Heading2"/>
      </w:pPr>
      <w:r w:rsidRPr="0036123E">
        <w:t xml:space="preserve">Design and setting </w:t>
      </w:r>
    </w:p>
    <w:p w14:paraId="3B6A7742" w14:textId="77777777" w:rsidR="00442C40" w:rsidRDefault="00442C40" w:rsidP="0036123E">
      <w:r>
        <w:t xml:space="preserve">Public health outbreak investigation of locally acquired DENV-2 cases in Rockhampton, Central Queensland. This included laboratory investigations, associated mosquito vector surveillance, and control measures implemented in response to the outbreak. </w:t>
      </w:r>
    </w:p>
    <w:p w14:paraId="7E6DECF9" w14:textId="77777777" w:rsidR="00442C40" w:rsidRPr="0036123E" w:rsidRDefault="00442C40" w:rsidP="0036123E">
      <w:pPr>
        <w:pStyle w:val="Heading2"/>
      </w:pPr>
      <w:r w:rsidRPr="0036123E">
        <w:t xml:space="preserve">Results </w:t>
      </w:r>
    </w:p>
    <w:p w14:paraId="5A291008" w14:textId="77777777" w:rsidR="00442C40" w:rsidRDefault="00442C40" w:rsidP="0036123E">
      <w:r>
        <w:t xml:space="preserve">Twenty-one locally-acquired DENV-2 cases were identified during the Rockhampton outbreak (from 23 May to 7 October 2019): 13 laboratory-confirmed and eight probable cases. Clinical symptoms included lethargy (100%); fever (95%); headache (95%); and aches and pains (90%). Inspections of premises demonstrated that </w:t>
      </w:r>
      <w:r w:rsidRPr="00677192">
        <w:rPr>
          <w:rStyle w:val="Emphasis"/>
          <w:b w:val="0"/>
        </w:rPr>
        <w:t>Aedes aegypti</w:t>
      </w:r>
      <w:r>
        <w:t xml:space="preserve"> was present in 9.5% of those investigated which was more than half of the premises identified as containing mosquitoes. Nucleotide sequencing of a DENV-2 isolate recovered from the first confirmed case and DENV-2 RNA from an additional 5 patients indicated a single DENV-2 strain was responsible for the outbreak which was most closely related to DENV-2 strains from Southeast Asia. </w:t>
      </w:r>
    </w:p>
    <w:p w14:paraId="7458DB3E" w14:textId="77777777" w:rsidR="00442C40" w:rsidRPr="0036123E" w:rsidRDefault="00442C40" w:rsidP="0036123E">
      <w:pPr>
        <w:pStyle w:val="Heading2"/>
      </w:pPr>
      <w:r w:rsidRPr="0036123E">
        <w:lastRenderedPageBreak/>
        <w:t xml:space="preserve">Conclusions </w:t>
      </w:r>
    </w:p>
    <w:p w14:paraId="0FDFDFA6" w14:textId="77777777" w:rsidR="00442C40" w:rsidRDefault="00442C40" w:rsidP="0036123E">
      <w:r>
        <w:t xml:space="preserve">The 2019 DENV-2 outbreak in Rockhampton, Central Queensland, Australia, likely resulted from the importation of a strain, most closely related to DENV-2 strains from Southeast Asia and is the first reported outbreak in the region specifically implicating DENV-2. Given the presence of </w:t>
      </w:r>
      <w:r w:rsidRPr="00677192">
        <w:rPr>
          <w:rStyle w:val="Emphasis"/>
          <w:b w:val="0"/>
        </w:rPr>
        <w:t>Aedes aegypti</w:t>
      </w:r>
      <w:r>
        <w:t xml:space="preserve"> in Rockhampton, appropriate medical and mosquito avoidance advice; ongoing surveillance; and deployment of mosquito control strategies for the prevention of dengue and other mosquito-borne diseases should be priorities for this region. </w:t>
      </w:r>
    </w:p>
    <w:p w14:paraId="1A939C2E" w14:textId="77777777" w:rsidR="00442C40" w:rsidRDefault="00442C40" w:rsidP="00677192">
      <w:r>
        <w:t xml:space="preserve">Keywords: Dengue; DENV-2; </w:t>
      </w:r>
      <w:r w:rsidRPr="00677192">
        <w:rPr>
          <w:rStyle w:val="Emphasis"/>
          <w:b w:val="0"/>
        </w:rPr>
        <w:t xml:space="preserve">Aedes aegypti; </w:t>
      </w:r>
      <w:r>
        <w:t xml:space="preserve">Central Queensland; Rockhampton </w:t>
      </w:r>
    </w:p>
    <w:p w14:paraId="2BDB3F05" w14:textId="77777777" w:rsidR="00442C40" w:rsidRPr="00677192" w:rsidRDefault="00442C40" w:rsidP="00677192">
      <w:pPr>
        <w:pStyle w:val="Heading1"/>
      </w:pPr>
      <w:r w:rsidRPr="00677192">
        <w:t xml:space="preserve">Introduction </w:t>
      </w:r>
    </w:p>
    <w:p w14:paraId="150D6009" w14:textId="77777777" w:rsidR="00442C40" w:rsidRDefault="00442C40" w:rsidP="00677192">
      <w:r>
        <w:t>Dengue fever is a mosquito-borne infection endemic in most tropical and subtropical countries and is caused by one or more of the four different dengue viruses (DENVs) types 1-4 (DENV 1-4). Affecting over half the world’s population and causing approximately 390 million infections annually,</w:t>
      </w:r>
      <w:r>
        <w:rPr>
          <w:vertAlign w:val="superscript"/>
        </w:rPr>
        <w:t>1</w:t>
      </w:r>
      <w:r>
        <w:t xml:space="preserve"> dengue is considered the most prevalent mosquito-borne viral disease in humans. Dengue infections are largely </w:t>
      </w:r>
      <w:r w:rsidR="009E0EF6">
        <w:t>a</w:t>
      </w:r>
      <w:r>
        <w:t>symptomatic but can manifest in a spectrum of symptoms ranging from a mild fever to more severe and potentially fatal disease outcomes including dengue haemorrhagic fever (DHF) and dengue shock syndrome (DSS).</w:t>
      </w:r>
      <w:r>
        <w:rPr>
          <w:vertAlign w:val="superscript"/>
        </w:rPr>
        <w:t>2</w:t>
      </w:r>
      <w:r>
        <w:t xml:space="preserve"> The DENVs are predominantly transmitted through the bite of an infected </w:t>
      </w:r>
      <w:r w:rsidRPr="00677192">
        <w:rPr>
          <w:rStyle w:val="Emphasis"/>
          <w:b w:val="0"/>
        </w:rPr>
        <w:t>Aedes aegypti</w:t>
      </w:r>
      <w:r>
        <w:t xml:space="preserve"> or </w:t>
      </w:r>
      <w:r w:rsidRPr="00677192">
        <w:rPr>
          <w:rStyle w:val="Emphasis"/>
          <w:b w:val="0"/>
        </w:rPr>
        <w:t>Ae. albopictus</w:t>
      </w:r>
      <w:r>
        <w:t xml:space="preserve"> mosquito, whose vectorial capacity and range are dependent on temperature and climate variability.</w:t>
      </w:r>
      <w:r>
        <w:rPr>
          <w:vertAlign w:val="superscript"/>
        </w:rPr>
        <w:t>3–5</w:t>
      </w:r>
      <w:r>
        <w:t xml:space="preserve"> Currently, there is no World Health Organization recommended pre-qualified vaccine available for the prevention of dengue; control strategies are predominantly dependent on mosquito control and effective community awareness/engagement or public education programs.</w:t>
      </w:r>
      <w:r>
        <w:rPr>
          <w:vertAlign w:val="superscript"/>
        </w:rPr>
        <w:t>6</w:t>
      </w:r>
      <w:r>
        <w:t xml:space="preserve"> </w:t>
      </w:r>
    </w:p>
    <w:p w14:paraId="3D29FC1B" w14:textId="2B5C399C" w:rsidR="00442C40" w:rsidRDefault="00442C40" w:rsidP="00677192">
      <w:r>
        <w:t xml:space="preserve">The two major species of mosquitoes that spread DENVs are present in Australia. Although the distribution of </w:t>
      </w:r>
      <w:r w:rsidRPr="00677192">
        <w:rPr>
          <w:rStyle w:val="Emphasis"/>
          <w:b w:val="0"/>
        </w:rPr>
        <w:t>Ae.</w:t>
      </w:r>
      <w:r w:rsidR="00E62ABC">
        <w:rPr>
          <w:rStyle w:val="Emphasis"/>
          <w:b w:val="0"/>
        </w:rPr>
        <w:t> </w:t>
      </w:r>
      <w:r w:rsidRPr="00677192">
        <w:rPr>
          <w:rStyle w:val="Emphasis"/>
          <w:b w:val="0"/>
        </w:rPr>
        <w:t>aegypti</w:t>
      </w:r>
      <w:r>
        <w:t xml:space="preserve"> has receded over the last five decades from multiple states to just Queensland, its future re-expansion is a constant threat.</w:t>
      </w:r>
      <w:r>
        <w:rPr>
          <w:vertAlign w:val="superscript"/>
        </w:rPr>
        <w:t>7</w:t>
      </w:r>
      <w:r>
        <w:t xml:space="preserve"> In addition, </w:t>
      </w:r>
      <w:r w:rsidRPr="00677192">
        <w:rPr>
          <w:rStyle w:val="Emphasis"/>
          <w:b w:val="0"/>
        </w:rPr>
        <w:t>Ae. albopictus</w:t>
      </w:r>
      <w:r>
        <w:t xml:space="preserve"> has been established in the Torres Strait Islands since 2006; however, the species has not been identified on the mainland.</w:t>
      </w:r>
      <w:r>
        <w:rPr>
          <w:vertAlign w:val="superscript"/>
        </w:rPr>
        <w:t>8, 9</w:t>
      </w:r>
      <w:r>
        <w:t xml:space="preserve"> </w:t>
      </w:r>
    </w:p>
    <w:p w14:paraId="0EB9728D" w14:textId="77777777" w:rsidR="00442C40" w:rsidRDefault="00442C40" w:rsidP="00677192">
      <w:r>
        <w:lastRenderedPageBreak/>
        <w:t xml:space="preserve">Concordant with the presence of </w:t>
      </w:r>
      <w:r w:rsidRPr="00677192">
        <w:rPr>
          <w:rStyle w:val="Emphasis"/>
          <w:b w:val="0"/>
        </w:rPr>
        <w:t>Ae. aegypti</w:t>
      </w:r>
      <w:r>
        <w:t xml:space="preserve"> and </w:t>
      </w:r>
      <w:r w:rsidRPr="00677192">
        <w:rPr>
          <w:rStyle w:val="Emphasis"/>
          <w:b w:val="0"/>
        </w:rPr>
        <w:t>Ae. albopictus</w:t>
      </w:r>
      <w:r>
        <w:t>, Australia has experienced DENV importation via viraemic travellers, leading to periodic outbreaks,</w:t>
      </w:r>
      <w:r>
        <w:rPr>
          <w:vertAlign w:val="superscript"/>
        </w:rPr>
        <w:t>10</w:t>
      </w:r>
      <w:r>
        <w:t xml:space="preserve"> particularly in tropical far north Queensland.</w:t>
      </w:r>
      <w:r>
        <w:rPr>
          <w:vertAlign w:val="superscript"/>
        </w:rPr>
        <w:t>11</w:t>
      </w:r>
      <w:r>
        <w:t xml:space="preserve"> Moreover, dengue is endemic in Southeast Asia and the Pacific territories which are closely proximal to Australia, and these regions account for most of Australia’s imported dengue cases.</w:t>
      </w:r>
      <w:r>
        <w:rPr>
          <w:vertAlign w:val="superscript"/>
        </w:rPr>
        <w:t>12–14</w:t>
      </w:r>
      <w:r>
        <w:t xml:space="preserve"> </w:t>
      </w:r>
    </w:p>
    <w:p w14:paraId="7B6C3D6C" w14:textId="77777777" w:rsidR="00442C40" w:rsidRDefault="00442C40" w:rsidP="00677192">
      <w:r>
        <w:t>Dengue has been known to occur in Australia as early as the latter half of the nineteenth century following the first recorded outbreak which was detected in North Queensland, Australia, in 1873.</w:t>
      </w:r>
      <w:r>
        <w:rPr>
          <w:vertAlign w:val="superscript"/>
        </w:rPr>
        <w:t>15</w:t>
      </w:r>
      <w:r>
        <w:t xml:space="preserve"> Hare </w:t>
      </w:r>
      <w:r w:rsidRPr="00677192">
        <w:rPr>
          <w:rStyle w:val="Emphasis"/>
          <w:b w:val="0"/>
        </w:rPr>
        <w:t>et al.</w:t>
      </w:r>
      <w:r>
        <w:t xml:space="preserve"> reported widespread dengue epidemics in northern, central and southern Queensland regions between 1894 and 1897, including Charters Towers in 1897, where fatal cases of DHF occurred in Australia for the first time.</w:t>
      </w:r>
      <w:r>
        <w:rPr>
          <w:vertAlign w:val="superscript"/>
        </w:rPr>
        <w:t>16</w:t>
      </w:r>
      <w:r>
        <w:t xml:space="preserve"> </w:t>
      </w:r>
    </w:p>
    <w:p w14:paraId="027D4CE7" w14:textId="77777777" w:rsidR="00442C40" w:rsidRDefault="00442C40" w:rsidP="00677192">
      <w:r>
        <w:t>Central Queensland (CQ) has had no reports of local dengue transmission in decades. The last recorded outbreaks occurring in the region were in the summer of 1954–1955 (Emerald, Springsure, Rockhampton, Biloela, Alpha, Jericho, Barcaldine and Gladstone).</w:t>
      </w:r>
      <w:r>
        <w:rPr>
          <w:vertAlign w:val="superscript"/>
        </w:rPr>
        <w:t>17</w:t>
      </w:r>
      <w:r>
        <w:t xml:space="preserve"> However, in May 2019, Central Queensland Public Health Unit (CQPHU) was notified of a suspected case of dengue in a resident of Rockhampton with no prior travel history to far north Queensland (FNQ) or overseas. This initiated extensive surveillance in the region and additional dengue cases were identified and reported in the subsequent weeks through passive and active surveillance. </w:t>
      </w:r>
    </w:p>
    <w:p w14:paraId="1BFBE65A" w14:textId="77777777" w:rsidR="00442C40" w:rsidRDefault="00442C40" w:rsidP="00677192">
      <w:r>
        <w:t xml:space="preserve">The aim of this work was to report the epidemiological investigation and management of a dengue outbreak in Rockhampton, Queensland in 2019. </w:t>
      </w:r>
    </w:p>
    <w:p w14:paraId="29C0D986" w14:textId="77777777" w:rsidR="00442C40" w:rsidRPr="00677192" w:rsidRDefault="00442C40" w:rsidP="00677192">
      <w:pPr>
        <w:pStyle w:val="Heading1"/>
      </w:pPr>
      <w:r w:rsidRPr="00677192">
        <w:t xml:space="preserve">Methods </w:t>
      </w:r>
    </w:p>
    <w:p w14:paraId="6665B774" w14:textId="77777777" w:rsidR="00442C40" w:rsidRDefault="00442C40" w:rsidP="00677192">
      <w:r>
        <w:t>The CQPHU</w:t>
      </w:r>
      <w:r>
        <w:rPr>
          <w:vertAlign w:val="superscript"/>
        </w:rPr>
        <w:t>18</w:t>
      </w:r>
      <w:r>
        <w:t xml:space="preserve"> provides public health services for all notifiable conditions in the greater CQ and Central West Queensland Region.</w:t>
      </w:r>
      <w:r>
        <w:rPr>
          <w:vertAlign w:val="superscript"/>
        </w:rPr>
        <w:t>19</w:t>
      </w:r>
      <w:r>
        <w:t xml:space="preserve"> Rockhampton is a regional city in CQ, Australia with a population of approximately 80,000 across 580 square kilometres.</w:t>
      </w:r>
      <w:r>
        <w:rPr>
          <w:vertAlign w:val="superscript"/>
        </w:rPr>
        <w:t>18</w:t>
      </w:r>
      <w:r>
        <w:t xml:space="preserve"> CQPHU identified the first locally acquired case of dengue in Rockhampton on 23 May 2019; a full outbreak response was then initiated, as per state and national guidelines.</w:t>
      </w:r>
      <w:r>
        <w:rPr>
          <w:vertAlign w:val="superscript"/>
        </w:rPr>
        <w:t>19</w:t>
      </w:r>
      <w:r>
        <w:t xml:space="preserve"> </w:t>
      </w:r>
    </w:p>
    <w:p w14:paraId="673BCBCF" w14:textId="77777777" w:rsidR="00442C40" w:rsidRDefault="00442C40" w:rsidP="00677192">
      <w:r>
        <w:t xml:space="preserve">CQPHU defined a case of dengue infection in a person who resided in Rockhampton as follows: </w:t>
      </w:r>
    </w:p>
    <w:p w14:paraId="7C06A8E6" w14:textId="77777777" w:rsidR="00442C40" w:rsidRPr="00677192" w:rsidRDefault="00442C40" w:rsidP="00677192">
      <w:pPr>
        <w:pStyle w:val="ListParagraph"/>
        <w:numPr>
          <w:ilvl w:val="0"/>
          <w:numId w:val="10"/>
        </w:numPr>
        <w:rPr>
          <w:rFonts w:eastAsia="Times New Roman"/>
        </w:rPr>
      </w:pPr>
      <w:r w:rsidRPr="00677192">
        <w:rPr>
          <w:rStyle w:val="Emphasis"/>
          <w:rFonts w:eastAsia="Times New Roman"/>
          <w:b w:val="0"/>
        </w:rPr>
        <w:lastRenderedPageBreak/>
        <w:t>Confirmed case of dengue</w:t>
      </w:r>
      <w:r w:rsidRPr="00677192">
        <w:rPr>
          <w:rFonts w:eastAsia="Times New Roman"/>
        </w:rPr>
        <w:t xml:space="preserve">: no prior travel history to FNQ or overseas from a dengue receptive area (DRA), and with laboratory definitive evidence and clinical evidence with symptom onset since 15 March 2019; </w:t>
      </w:r>
    </w:p>
    <w:p w14:paraId="268A848E" w14:textId="77777777" w:rsidR="00442C40" w:rsidRPr="00677192" w:rsidRDefault="00442C40" w:rsidP="00677192">
      <w:pPr>
        <w:pStyle w:val="ListParagraph"/>
        <w:numPr>
          <w:ilvl w:val="0"/>
          <w:numId w:val="10"/>
        </w:numPr>
        <w:rPr>
          <w:rFonts w:eastAsia="Times New Roman"/>
        </w:rPr>
      </w:pPr>
      <w:r w:rsidRPr="00677192">
        <w:rPr>
          <w:rStyle w:val="Emphasis"/>
          <w:rFonts w:eastAsia="Times New Roman"/>
          <w:b w:val="0"/>
        </w:rPr>
        <w:t>Probable case of dengue</w:t>
      </w:r>
      <w:r w:rsidRPr="00677192">
        <w:rPr>
          <w:rFonts w:eastAsia="Times New Roman"/>
        </w:rPr>
        <w:t xml:space="preserve">: no prior travel history to FNQ or overseas to a DRA, and with laboratory suggestive evidence and clinical evidence with symptom onset since 15 March, 2019 and epidemiological evidence OR clinical evidence and household epidemiological evidence. </w:t>
      </w:r>
    </w:p>
    <w:p w14:paraId="2B0BFEF3" w14:textId="77777777" w:rsidR="00442C40" w:rsidRDefault="00442C40" w:rsidP="00677192">
      <w:r>
        <w:t>Laboratory investigations included DENV non-structural protein 1 (NS1) antigen enzyme-linked immunosorbent assay (ELISA) and/or reverse transcription polymerase chain reaction (RT-</w:t>
      </w:r>
      <w:proofErr w:type="spellStart"/>
      <w:r>
        <w:t>rPCR</w:t>
      </w:r>
      <w:proofErr w:type="spellEnd"/>
      <w:r>
        <w:t xml:space="preserve">) testing up to nine days from symptom onset. When retrospective cases were found, flavivirus specific immunoglobulin M (IgM) and Immunoglobulin G (IgG) serology testing was performed. For all cases who had flavivirus serology, both acute and convalescent blood samples (10–14 days after the first sample) were collected and tested to allow adequate time for seroconversion. All positive results from local and private laboratories were re-tested at the reference Queensland Health, Forensics and Scientific Services (FSS), Public Health Virology Laboratory. </w:t>
      </w:r>
    </w:p>
    <w:p w14:paraId="06406F12" w14:textId="77777777" w:rsidR="00442C40" w:rsidRDefault="00442C40" w:rsidP="00677192">
      <w:r>
        <w:t>The molecular, serological and virus isolation analyses performed at FSS for DENV investigations have been described previously.</w:t>
      </w:r>
      <w:r>
        <w:rPr>
          <w:vertAlign w:val="superscript"/>
        </w:rPr>
        <w:t>13</w:t>
      </w:r>
      <w:r>
        <w:t xml:space="preserve"> Massively parallel sequencing was performed on a DENV-2 isolate (DENV-2 Rock 2019) recovered from the first confirmed DENV-2 Rockhampton case using the Illumina sequencing platform as described previously.</w:t>
      </w:r>
      <w:r>
        <w:rPr>
          <w:vertAlign w:val="superscript"/>
        </w:rPr>
        <w:t>13</w:t>
      </w:r>
      <w:r>
        <w:t xml:space="preserve"> Nucleotide sequencing of the complete DENV-2 envelope (E) genes amplified from an additional five viraemic Rockhampton patients was performed as described previously,</w:t>
      </w:r>
      <w:r>
        <w:rPr>
          <w:vertAlign w:val="superscript"/>
        </w:rPr>
        <w:t>3,4</w:t>
      </w:r>
      <w:r>
        <w:t xml:space="preserve"> with the exception that E gene DNA amplicons were sequenced on the same </w:t>
      </w:r>
      <w:proofErr w:type="spellStart"/>
      <w:r>
        <w:t>IIlumina</w:t>
      </w:r>
      <w:proofErr w:type="spellEnd"/>
      <w:r>
        <w:t xml:space="preserve"> sequencing platform above. </w:t>
      </w:r>
    </w:p>
    <w:p w14:paraId="70F1C141" w14:textId="77777777" w:rsidR="00442C40" w:rsidRDefault="00442C40" w:rsidP="00677192">
      <w:r>
        <w:t xml:space="preserve">To assist with active case finding, CQPHU instituted a series of public health measures. Firstly, we issued an alert to general practitioners and public hospital emergency departments to lower the threshold for testing. Secondly, CQPHU staff also conducted active human surveillance which included door knocking in a 200 metre radius of identified cases where residents were asked about any clinical symptoms compatible with dengue infection and overseas travel in the preceding three months. Lastly, all symptomatic residents with a clinically compatible illness were interviewed by a </w:t>
      </w:r>
      <w:r>
        <w:lastRenderedPageBreak/>
        <w:t>clinician from CQPHU and subsequently offered testing for DENV infection</w:t>
      </w:r>
      <w:r>
        <w:rPr>
          <w:vertAlign w:val="superscript"/>
        </w:rPr>
        <w:t>13</w:t>
      </w:r>
      <w:r>
        <w:t xml:space="preserve"> (e.g. NS1, PCR or serology depending on illness onset) or encouraged to present to their general practitioner (GP) for testing. </w:t>
      </w:r>
    </w:p>
    <w:p w14:paraId="058FD1E7" w14:textId="77777777" w:rsidR="00442C40" w:rsidRDefault="00442C40" w:rsidP="00677192">
      <w:r>
        <w:t xml:space="preserve">This outbreak investigation and subsequent reporting has been conducted as part of public health investigation under the Queensland Health </w:t>
      </w:r>
      <w:r w:rsidRPr="00677192">
        <w:rPr>
          <w:rStyle w:val="Emphasis"/>
          <w:b w:val="0"/>
        </w:rPr>
        <w:t>Public Health Act 2005</w:t>
      </w:r>
      <w:r>
        <w:t xml:space="preserve">, and hence has been exempted from ethical approval. </w:t>
      </w:r>
    </w:p>
    <w:p w14:paraId="797444FC" w14:textId="77777777" w:rsidR="00442C40" w:rsidRPr="00677192" w:rsidRDefault="00442C40" w:rsidP="00677192">
      <w:pPr>
        <w:pStyle w:val="Heading1"/>
      </w:pPr>
      <w:r w:rsidRPr="00677192">
        <w:t xml:space="preserve">Results </w:t>
      </w:r>
    </w:p>
    <w:p w14:paraId="7C876EFB" w14:textId="77777777" w:rsidR="00442C40" w:rsidRDefault="00442C40" w:rsidP="00677192">
      <w:r>
        <w:t xml:space="preserve">On 23 May 2019, CQPHU immediately established an Incident Management Team (IMT) and outbreak response following notification of a suspected dengue case in a Rockhampton resident with no prior travel history to FNQ or overseas. </w:t>
      </w:r>
    </w:p>
    <w:p w14:paraId="72B981B3" w14:textId="77777777" w:rsidR="00442C40" w:rsidRDefault="00442C40" w:rsidP="00677192">
      <w:r>
        <w:t xml:space="preserve">A total of 21 DENV-2 cases were identified with symptom onsets between 2 April 2019 and 24 June 2019. The index case was symptomatic for two weeks prior to laboratory confirmation. There were 13 confirmed and eight probable cases (Figure 1). </w:t>
      </w:r>
    </w:p>
    <w:p w14:paraId="51B1AD3B" w14:textId="77777777" w:rsidR="00935554" w:rsidRDefault="00935554">
      <w:pPr>
        <w:rPr>
          <w:b/>
          <w:lang w:val="en-GB"/>
        </w:rPr>
      </w:pPr>
      <w:r>
        <w:rPr>
          <w:lang w:val="en-GB"/>
        </w:rPr>
        <w:br w:type="page"/>
      </w:r>
    </w:p>
    <w:p w14:paraId="284F9E5B" w14:textId="77777777" w:rsidR="00935554" w:rsidRDefault="00935554" w:rsidP="00935554">
      <w:pPr>
        <w:pStyle w:val="CDIFigures"/>
        <w:rPr>
          <w:sz w:val="24"/>
          <w:szCs w:val="24"/>
          <w:lang w:val="en-GB"/>
        </w:rPr>
      </w:pPr>
      <w:r>
        <w:rPr>
          <w:lang w:val="en-GB"/>
        </w:rPr>
        <w:lastRenderedPageBreak/>
        <w:t>Figure 1: Epidemiology curve for dengue cases during the Rockhampton outbreak in 2019</w:t>
      </w:r>
    </w:p>
    <w:p w14:paraId="117ACE72" w14:textId="77777777" w:rsidR="00935554" w:rsidRDefault="00935554" w:rsidP="00935554">
      <w:r>
        <w:rPr>
          <w:rFonts w:eastAsia="Times New Roman"/>
          <w:noProof/>
        </w:rPr>
        <w:drawing>
          <wp:inline distT="0" distB="0" distL="0" distR="0" wp14:anchorId="0CD5B103" wp14:editId="7CF47164">
            <wp:extent cx="6588293" cy="4543425"/>
            <wp:effectExtent l="0" t="0" r="3175" b="0"/>
            <wp:docPr id="5" name="Picture 5" descr="Figure 1 illustrates as the Epi Curve of the outbreak presenting the number of cases in each day in the course of out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llustrates as the Epi Curve of the outbreak presenting the number of cases in each day in the course of outbrea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90144" cy="4544702"/>
                    </a:xfrm>
                    <a:prstGeom prst="rect">
                      <a:avLst/>
                    </a:prstGeom>
                  </pic:spPr>
                </pic:pic>
              </a:graphicData>
            </a:graphic>
          </wp:inline>
        </w:drawing>
      </w:r>
    </w:p>
    <w:p w14:paraId="2F4EA689" w14:textId="77777777" w:rsidR="00442C40" w:rsidRDefault="00442C40" w:rsidP="00677192">
      <w:r>
        <w:t>The age of DENV-2 cases ranged from 11 to 71 years (median 37 years); 11 (52%) were female. Common clinical symptoms among cases included lethargy (100%), fever (95%), headache (95%) and myalgia (95%). Of the cases, 14 (67%) sought medical review for their symptoms and two (10%) needed hospital admission, despite the absence of haemorrhagic fever. Table 1 describes the socio-demographic and clinical characteristics of the DENV-2 cases.</w:t>
      </w:r>
    </w:p>
    <w:p w14:paraId="7757954E" w14:textId="77777777" w:rsidR="00E422BE" w:rsidRDefault="00E422BE">
      <w:pPr>
        <w:rPr>
          <w:b/>
          <w:lang w:val="en-GB"/>
        </w:rPr>
      </w:pPr>
      <w:r>
        <w:rPr>
          <w:lang w:val="en-GB"/>
        </w:rPr>
        <w:br w:type="page"/>
      </w:r>
    </w:p>
    <w:p w14:paraId="7607D2BC" w14:textId="77777777" w:rsidR="00E422BE" w:rsidRDefault="00E422BE" w:rsidP="00E422BE">
      <w:pPr>
        <w:pStyle w:val="CDIFigures"/>
        <w:rPr>
          <w:lang w:val="en-GB"/>
        </w:rPr>
      </w:pPr>
      <w:r>
        <w:rPr>
          <w:lang w:val="en-GB"/>
        </w:rPr>
        <w:lastRenderedPageBreak/>
        <w:t>Table 1: Demographic and clinical characteristics of dengue cases in Rockhampton, 2019</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shows the age and sex distribution of 21 Dengue cases identified in the outbreaks. The table also, presents the clinical characteristics and outcome of them. "/>
      </w:tblPr>
      <w:tblGrid>
        <w:gridCol w:w="3584"/>
        <w:gridCol w:w="2937"/>
        <w:gridCol w:w="3919"/>
      </w:tblGrid>
      <w:tr w:rsidR="00E422BE" w:rsidRPr="006F44D0" w14:paraId="63E5165B" w14:textId="77777777" w:rsidTr="009C7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52C6AD0" w14:textId="77777777" w:rsidR="00E422BE" w:rsidRPr="006F44D0" w:rsidRDefault="00E422BE" w:rsidP="00015DD7">
            <w:pPr>
              <w:pStyle w:val="NormalWeb"/>
              <w:rPr>
                <w:color w:val="FFFFFF" w:themeColor="background1"/>
              </w:rPr>
            </w:pPr>
            <w:r w:rsidRPr="006F44D0">
              <w:rPr>
                <w:color w:val="FFFFFF" w:themeColor="background1"/>
              </w:rPr>
              <w:t>Characteristic</w:t>
            </w:r>
          </w:p>
        </w:tc>
        <w:tc>
          <w:tcPr>
            <w:tcW w:w="2937" w:type="dxa"/>
            <w:tcBorders>
              <w:left w:val="single" w:sz="2" w:space="0" w:color="FFFFFF" w:themeColor="background1"/>
              <w:right w:val="single" w:sz="2" w:space="0" w:color="FFFFFF" w:themeColor="background1"/>
            </w:tcBorders>
            <w:hideMark/>
          </w:tcPr>
          <w:p w14:paraId="340A726C" w14:textId="77777777" w:rsidR="00E422BE" w:rsidRPr="006F44D0" w:rsidRDefault="00E422BE" w:rsidP="00015DD7">
            <w:pPr>
              <w:pStyle w:val="NormalWeb"/>
              <w:jc w:val="center"/>
              <w:rPr>
                <w:color w:val="FFFFFF" w:themeColor="background1"/>
              </w:rPr>
            </w:pPr>
            <w:r w:rsidRPr="006F44D0">
              <w:rPr>
                <w:color w:val="FFFFFF" w:themeColor="background1"/>
              </w:rPr>
              <w:t>Frequency (n = 21)</w:t>
            </w:r>
          </w:p>
        </w:tc>
        <w:tc>
          <w:tcPr>
            <w:tcW w:w="3919" w:type="dxa"/>
            <w:tcBorders>
              <w:left w:val="single" w:sz="2" w:space="0" w:color="FFFFFF" w:themeColor="background1"/>
            </w:tcBorders>
            <w:hideMark/>
          </w:tcPr>
          <w:p w14:paraId="0FD4704E" w14:textId="77777777" w:rsidR="00E422BE" w:rsidRPr="006F44D0" w:rsidRDefault="00E422BE" w:rsidP="00015DD7">
            <w:pPr>
              <w:pStyle w:val="NormalWeb"/>
              <w:jc w:val="center"/>
              <w:rPr>
                <w:color w:val="FFFFFF" w:themeColor="background1"/>
              </w:rPr>
            </w:pPr>
            <w:r w:rsidRPr="006F44D0">
              <w:rPr>
                <w:color w:val="FFFFFF" w:themeColor="background1"/>
              </w:rPr>
              <w:t>Percentage (%)</w:t>
            </w:r>
          </w:p>
        </w:tc>
      </w:tr>
      <w:tr w:rsidR="00E422BE" w14:paraId="1CAEC60F" w14:textId="77777777" w:rsidTr="009C732F">
        <w:tc>
          <w:tcPr>
            <w:tcW w:w="0" w:type="auto"/>
            <w:hideMark/>
          </w:tcPr>
          <w:p w14:paraId="66979FD6" w14:textId="77777777" w:rsidR="00E422BE" w:rsidRDefault="00E422BE" w:rsidP="00015DD7">
            <w:pPr>
              <w:pStyle w:val="NormalWeb"/>
            </w:pPr>
            <w:r>
              <w:t>Age group</w:t>
            </w:r>
          </w:p>
        </w:tc>
        <w:tc>
          <w:tcPr>
            <w:tcW w:w="2937" w:type="dxa"/>
            <w:hideMark/>
          </w:tcPr>
          <w:p w14:paraId="61DBBB78" w14:textId="77777777" w:rsidR="00E422BE" w:rsidRDefault="00E422BE" w:rsidP="00015DD7">
            <w:pPr>
              <w:jc w:val="center"/>
            </w:pPr>
          </w:p>
        </w:tc>
        <w:tc>
          <w:tcPr>
            <w:tcW w:w="3919" w:type="dxa"/>
            <w:hideMark/>
          </w:tcPr>
          <w:p w14:paraId="45B3C58F" w14:textId="77777777" w:rsidR="00E422BE" w:rsidRDefault="00E422BE" w:rsidP="00015DD7">
            <w:pPr>
              <w:jc w:val="center"/>
              <w:rPr>
                <w:rFonts w:eastAsia="Times New Roman"/>
                <w:sz w:val="20"/>
                <w:szCs w:val="20"/>
              </w:rPr>
            </w:pPr>
          </w:p>
        </w:tc>
      </w:tr>
      <w:tr w:rsidR="00E422BE" w14:paraId="597D1F4F"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77F0EF62" w14:textId="77777777" w:rsidR="00E422BE" w:rsidRDefault="00E422BE" w:rsidP="00DA6624">
            <w:pPr>
              <w:pStyle w:val="NormalWeb"/>
              <w:jc w:val="right"/>
              <w:rPr>
                <w:sz w:val="24"/>
                <w:szCs w:val="24"/>
              </w:rPr>
            </w:pPr>
            <w:r>
              <w:t>Median age (range), years</w:t>
            </w:r>
          </w:p>
        </w:tc>
        <w:tc>
          <w:tcPr>
            <w:tcW w:w="2937" w:type="dxa"/>
            <w:hideMark/>
          </w:tcPr>
          <w:p w14:paraId="711C7CCF" w14:textId="77777777" w:rsidR="00E422BE" w:rsidRDefault="00E422BE" w:rsidP="00015DD7">
            <w:pPr>
              <w:pStyle w:val="NormalWeb"/>
              <w:jc w:val="center"/>
            </w:pPr>
            <w:r>
              <w:t>37 (11–71)</w:t>
            </w:r>
          </w:p>
        </w:tc>
        <w:tc>
          <w:tcPr>
            <w:tcW w:w="3919" w:type="dxa"/>
            <w:hideMark/>
          </w:tcPr>
          <w:p w14:paraId="6CECF4ED" w14:textId="77777777" w:rsidR="00E422BE" w:rsidRDefault="00E422BE" w:rsidP="00015DD7">
            <w:pPr>
              <w:jc w:val="center"/>
            </w:pPr>
          </w:p>
        </w:tc>
      </w:tr>
      <w:tr w:rsidR="00E422BE" w14:paraId="5AC08C7C" w14:textId="77777777" w:rsidTr="009C732F">
        <w:tc>
          <w:tcPr>
            <w:tcW w:w="0" w:type="auto"/>
            <w:hideMark/>
          </w:tcPr>
          <w:p w14:paraId="3026F33D" w14:textId="77777777" w:rsidR="00E422BE" w:rsidRDefault="00E422BE" w:rsidP="00DA6624">
            <w:pPr>
              <w:pStyle w:val="NormalWeb"/>
              <w:jc w:val="right"/>
              <w:rPr>
                <w:sz w:val="24"/>
                <w:szCs w:val="24"/>
              </w:rPr>
            </w:pPr>
            <w:r>
              <w:t>&lt; 20 years</w:t>
            </w:r>
          </w:p>
        </w:tc>
        <w:tc>
          <w:tcPr>
            <w:tcW w:w="2937" w:type="dxa"/>
            <w:hideMark/>
          </w:tcPr>
          <w:p w14:paraId="614E4752" w14:textId="77777777" w:rsidR="00E422BE" w:rsidRDefault="00E422BE" w:rsidP="00015DD7">
            <w:pPr>
              <w:pStyle w:val="NormalWeb"/>
              <w:jc w:val="center"/>
            </w:pPr>
            <w:r>
              <w:t>4</w:t>
            </w:r>
          </w:p>
        </w:tc>
        <w:tc>
          <w:tcPr>
            <w:tcW w:w="3919" w:type="dxa"/>
            <w:hideMark/>
          </w:tcPr>
          <w:p w14:paraId="1312FEAA" w14:textId="77777777" w:rsidR="00E422BE" w:rsidRDefault="00E422BE" w:rsidP="00015DD7">
            <w:pPr>
              <w:pStyle w:val="NormalWeb"/>
              <w:jc w:val="center"/>
            </w:pPr>
            <w:r>
              <w:t>19</w:t>
            </w:r>
          </w:p>
        </w:tc>
      </w:tr>
      <w:tr w:rsidR="00E422BE" w14:paraId="050B0A1D"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27DA4AE3" w14:textId="77777777" w:rsidR="00E422BE" w:rsidRDefault="00E422BE" w:rsidP="00DA6624">
            <w:pPr>
              <w:pStyle w:val="NormalWeb"/>
              <w:jc w:val="right"/>
            </w:pPr>
            <w:r>
              <w:t>≥ 20 years</w:t>
            </w:r>
          </w:p>
        </w:tc>
        <w:tc>
          <w:tcPr>
            <w:tcW w:w="2937" w:type="dxa"/>
            <w:hideMark/>
          </w:tcPr>
          <w:p w14:paraId="7C77B822" w14:textId="77777777" w:rsidR="00E422BE" w:rsidRDefault="00E422BE" w:rsidP="00015DD7">
            <w:pPr>
              <w:pStyle w:val="NormalWeb"/>
              <w:jc w:val="center"/>
            </w:pPr>
            <w:r>
              <w:t>17</w:t>
            </w:r>
          </w:p>
        </w:tc>
        <w:tc>
          <w:tcPr>
            <w:tcW w:w="3919" w:type="dxa"/>
            <w:hideMark/>
          </w:tcPr>
          <w:p w14:paraId="17DFF01B" w14:textId="77777777" w:rsidR="00E422BE" w:rsidRDefault="00E422BE" w:rsidP="00015DD7">
            <w:pPr>
              <w:pStyle w:val="NormalWeb"/>
              <w:jc w:val="center"/>
            </w:pPr>
            <w:r>
              <w:t>81</w:t>
            </w:r>
          </w:p>
        </w:tc>
      </w:tr>
      <w:tr w:rsidR="00E422BE" w14:paraId="4F153665" w14:textId="77777777" w:rsidTr="009C732F">
        <w:tc>
          <w:tcPr>
            <w:tcW w:w="0" w:type="auto"/>
            <w:hideMark/>
          </w:tcPr>
          <w:p w14:paraId="138FA6E5" w14:textId="77777777" w:rsidR="00E422BE" w:rsidRDefault="00E422BE" w:rsidP="00015DD7">
            <w:pPr>
              <w:pStyle w:val="NormalWeb"/>
            </w:pPr>
            <w:r>
              <w:t>Sex</w:t>
            </w:r>
          </w:p>
        </w:tc>
        <w:tc>
          <w:tcPr>
            <w:tcW w:w="2937" w:type="dxa"/>
            <w:hideMark/>
          </w:tcPr>
          <w:p w14:paraId="0902670D" w14:textId="77777777" w:rsidR="00E422BE" w:rsidRDefault="00E422BE" w:rsidP="00015DD7">
            <w:pPr>
              <w:jc w:val="center"/>
            </w:pPr>
          </w:p>
        </w:tc>
        <w:tc>
          <w:tcPr>
            <w:tcW w:w="3919" w:type="dxa"/>
            <w:hideMark/>
          </w:tcPr>
          <w:p w14:paraId="3C38189E" w14:textId="77777777" w:rsidR="00E422BE" w:rsidRDefault="00E422BE" w:rsidP="00015DD7">
            <w:pPr>
              <w:jc w:val="center"/>
              <w:rPr>
                <w:rFonts w:eastAsia="Times New Roman"/>
                <w:sz w:val="20"/>
                <w:szCs w:val="20"/>
              </w:rPr>
            </w:pPr>
          </w:p>
        </w:tc>
      </w:tr>
      <w:tr w:rsidR="00E422BE" w14:paraId="6D1E14D3"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7BD4A817" w14:textId="77777777" w:rsidR="00E422BE" w:rsidRDefault="00E422BE" w:rsidP="00015DD7">
            <w:pPr>
              <w:pStyle w:val="NormalWeb"/>
              <w:rPr>
                <w:sz w:val="24"/>
                <w:szCs w:val="24"/>
              </w:rPr>
            </w:pPr>
            <w:r>
              <w:t>Female</w:t>
            </w:r>
          </w:p>
        </w:tc>
        <w:tc>
          <w:tcPr>
            <w:tcW w:w="2937" w:type="dxa"/>
            <w:hideMark/>
          </w:tcPr>
          <w:p w14:paraId="28416DAC" w14:textId="77777777" w:rsidR="00E422BE" w:rsidRDefault="00E422BE" w:rsidP="00015DD7">
            <w:pPr>
              <w:pStyle w:val="NormalWeb"/>
              <w:jc w:val="center"/>
            </w:pPr>
            <w:r>
              <w:t>11</w:t>
            </w:r>
          </w:p>
        </w:tc>
        <w:tc>
          <w:tcPr>
            <w:tcW w:w="3919" w:type="dxa"/>
            <w:hideMark/>
          </w:tcPr>
          <w:p w14:paraId="711927F0" w14:textId="77777777" w:rsidR="00E422BE" w:rsidRDefault="00E422BE" w:rsidP="00015DD7">
            <w:pPr>
              <w:pStyle w:val="NormalWeb"/>
              <w:jc w:val="center"/>
            </w:pPr>
            <w:r>
              <w:t>52</w:t>
            </w:r>
          </w:p>
        </w:tc>
      </w:tr>
      <w:tr w:rsidR="00E422BE" w14:paraId="796B62D8" w14:textId="77777777" w:rsidTr="009C732F">
        <w:tc>
          <w:tcPr>
            <w:tcW w:w="0" w:type="auto"/>
            <w:hideMark/>
          </w:tcPr>
          <w:p w14:paraId="3611DF8F" w14:textId="77777777" w:rsidR="00E422BE" w:rsidRDefault="00E422BE" w:rsidP="00015DD7">
            <w:pPr>
              <w:pStyle w:val="NormalWeb"/>
            </w:pPr>
            <w:r>
              <w:t>Clinical Details</w:t>
            </w:r>
          </w:p>
        </w:tc>
        <w:tc>
          <w:tcPr>
            <w:tcW w:w="2937" w:type="dxa"/>
            <w:hideMark/>
          </w:tcPr>
          <w:p w14:paraId="66BA42FE" w14:textId="77777777" w:rsidR="00E422BE" w:rsidRDefault="00E422BE" w:rsidP="00015DD7">
            <w:pPr>
              <w:jc w:val="center"/>
            </w:pPr>
          </w:p>
        </w:tc>
        <w:tc>
          <w:tcPr>
            <w:tcW w:w="3919" w:type="dxa"/>
            <w:hideMark/>
          </w:tcPr>
          <w:p w14:paraId="12A90682" w14:textId="77777777" w:rsidR="00E422BE" w:rsidRDefault="00E422BE" w:rsidP="00015DD7">
            <w:pPr>
              <w:jc w:val="center"/>
              <w:rPr>
                <w:rFonts w:eastAsia="Times New Roman"/>
                <w:sz w:val="20"/>
                <w:szCs w:val="20"/>
              </w:rPr>
            </w:pPr>
          </w:p>
        </w:tc>
      </w:tr>
      <w:tr w:rsidR="00E422BE" w14:paraId="634C660E"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27BBEC76" w14:textId="77777777" w:rsidR="00E422BE" w:rsidRDefault="00E422BE" w:rsidP="00DA6624">
            <w:pPr>
              <w:pStyle w:val="NormalWeb"/>
              <w:jc w:val="right"/>
              <w:rPr>
                <w:sz w:val="24"/>
                <w:szCs w:val="24"/>
              </w:rPr>
            </w:pPr>
            <w:r>
              <w:t>Lethargy</w:t>
            </w:r>
          </w:p>
        </w:tc>
        <w:tc>
          <w:tcPr>
            <w:tcW w:w="2937" w:type="dxa"/>
            <w:hideMark/>
          </w:tcPr>
          <w:p w14:paraId="6F6B253C" w14:textId="77777777" w:rsidR="00E422BE" w:rsidRDefault="00E422BE" w:rsidP="00015DD7">
            <w:pPr>
              <w:pStyle w:val="NormalWeb"/>
              <w:jc w:val="center"/>
            </w:pPr>
            <w:r>
              <w:t>21</w:t>
            </w:r>
          </w:p>
        </w:tc>
        <w:tc>
          <w:tcPr>
            <w:tcW w:w="3919" w:type="dxa"/>
            <w:hideMark/>
          </w:tcPr>
          <w:p w14:paraId="7C805BBD" w14:textId="77777777" w:rsidR="00E422BE" w:rsidRDefault="00E422BE" w:rsidP="00015DD7">
            <w:pPr>
              <w:pStyle w:val="NormalWeb"/>
              <w:jc w:val="center"/>
            </w:pPr>
            <w:r>
              <w:t>100</w:t>
            </w:r>
          </w:p>
        </w:tc>
      </w:tr>
      <w:tr w:rsidR="00E422BE" w14:paraId="45AB8BFD" w14:textId="77777777" w:rsidTr="009C732F">
        <w:tc>
          <w:tcPr>
            <w:tcW w:w="0" w:type="auto"/>
            <w:hideMark/>
          </w:tcPr>
          <w:p w14:paraId="04F425CB" w14:textId="77777777" w:rsidR="00E422BE" w:rsidRDefault="00E422BE" w:rsidP="00DA6624">
            <w:pPr>
              <w:pStyle w:val="NormalWeb"/>
              <w:jc w:val="right"/>
            </w:pPr>
            <w:r>
              <w:t>Fever</w:t>
            </w:r>
          </w:p>
        </w:tc>
        <w:tc>
          <w:tcPr>
            <w:tcW w:w="2937" w:type="dxa"/>
            <w:hideMark/>
          </w:tcPr>
          <w:p w14:paraId="255A9625" w14:textId="77777777" w:rsidR="00E422BE" w:rsidRDefault="00E422BE" w:rsidP="00015DD7">
            <w:pPr>
              <w:pStyle w:val="NormalWeb"/>
              <w:jc w:val="center"/>
            </w:pPr>
            <w:r>
              <w:t>20</w:t>
            </w:r>
          </w:p>
        </w:tc>
        <w:tc>
          <w:tcPr>
            <w:tcW w:w="3919" w:type="dxa"/>
            <w:hideMark/>
          </w:tcPr>
          <w:p w14:paraId="1F3EC22A" w14:textId="77777777" w:rsidR="00E422BE" w:rsidRDefault="00E422BE" w:rsidP="00015DD7">
            <w:pPr>
              <w:pStyle w:val="NormalWeb"/>
              <w:jc w:val="center"/>
            </w:pPr>
            <w:r>
              <w:t>95</w:t>
            </w:r>
          </w:p>
        </w:tc>
      </w:tr>
      <w:tr w:rsidR="00E422BE" w14:paraId="3BDDBA04"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612654BB" w14:textId="77777777" w:rsidR="00E422BE" w:rsidRDefault="00E422BE" w:rsidP="00DA6624">
            <w:pPr>
              <w:pStyle w:val="NormalWeb"/>
              <w:jc w:val="right"/>
            </w:pPr>
            <w:r>
              <w:t>Headache</w:t>
            </w:r>
          </w:p>
        </w:tc>
        <w:tc>
          <w:tcPr>
            <w:tcW w:w="2937" w:type="dxa"/>
            <w:hideMark/>
          </w:tcPr>
          <w:p w14:paraId="168D7263" w14:textId="77777777" w:rsidR="00E422BE" w:rsidRDefault="00E422BE" w:rsidP="00015DD7">
            <w:pPr>
              <w:pStyle w:val="NormalWeb"/>
              <w:jc w:val="center"/>
            </w:pPr>
            <w:r>
              <w:t>20</w:t>
            </w:r>
          </w:p>
        </w:tc>
        <w:tc>
          <w:tcPr>
            <w:tcW w:w="3919" w:type="dxa"/>
            <w:hideMark/>
          </w:tcPr>
          <w:p w14:paraId="4B69FB62" w14:textId="77777777" w:rsidR="00E422BE" w:rsidRDefault="00E422BE" w:rsidP="00015DD7">
            <w:pPr>
              <w:pStyle w:val="NormalWeb"/>
              <w:jc w:val="center"/>
            </w:pPr>
            <w:r>
              <w:t>95</w:t>
            </w:r>
          </w:p>
        </w:tc>
      </w:tr>
      <w:tr w:rsidR="00E422BE" w14:paraId="1F5F04B4" w14:textId="77777777" w:rsidTr="009C732F">
        <w:tc>
          <w:tcPr>
            <w:tcW w:w="0" w:type="auto"/>
            <w:hideMark/>
          </w:tcPr>
          <w:p w14:paraId="4435F602" w14:textId="77777777" w:rsidR="00E422BE" w:rsidRDefault="00E422BE" w:rsidP="00DA6624">
            <w:pPr>
              <w:pStyle w:val="NormalWeb"/>
              <w:jc w:val="right"/>
            </w:pPr>
            <w:r>
              <w:t>Myalgia</w:t>
            </w:r>
          </w:p>
        </w:tc>
        <w:tc>
          <w:tcPr>
            <w:tcW w:w="2937" w:type="dxa"/>
            <w:hideMark/>
          </w:tcPr>
          <w:p w14:paraId="652B7A4C" w14:textId="77777777" w:rsidR="00E422BE" w:rsidRDefault="00E422BE" w:rsidP="00015DD7">
            <w:pPr>
              <w:pStyle w:val="NormalWeb"/>
              <w:jc w:val="center"/>
            </w:pPr>
            <w:r>
              <w:t>20</w:t>
            </w:r>
          </w:p>
        </w:tc>
        <w:tc>
          <w:tcPr>
            <w:tcW w:w="3919" w:type="dxa"/>
            <w:hideMark/>
          </w:tcPr>
          <w:p w14:paraId="4FFFB211" w14:textId="77777777" w:rsidR="00E422BE" w:rsidRDefault="00E422BE" w:rsidP="00015DD7">
            <w:pPr>
              <w:pStyle w:val="NormalWeb"/>
              <w:jc w:val="center"/>
            </w:pPr>
            <w:r>
              <w:t>95</w:t>
            </w:r>
          </w:p>
        </w:tc>
      </w:tr>
      <w:tr w:rsidR="00E422BE" w14:paraId="7602F53E"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1B442EA8" w14:textId="77777777" w:rsidR="00E422BE" w:rsidRDefault="00E422BE" w:rsidP="00DA6624">
            <w:pPr>
              <w:pStyle w:val="NormalWeb"/>
              <w:jc w:val="right"/>
            </w:pPr>
            <w:r>
              <w:t>Aches and pains</w:t>
            </w:r>
          </w:p>
        </w:tc>
        <w:tc>
          <w:tcPr>
            <w:tcW w:w="2937" w:type="dxa"/>
            <w:hideMark/>
          </w:tcPr>
          <w:p w14:paraId="21BE9E87" w14:textId="77777777" w:rsidR="00E422BE" w:rsidRDefault="00E422BE" w:rsidP="00015DD7">
            <w:pPr>
              <w:pStyle w:val="NormalWeb"/>
              <w:jc w:val="center"/>
            </w:pPr>
            <w:r>
              <w:t>19</w:t>
            </w:r>
          </w:p>
        </w:tc>
        <w:tc>
          <w:tcPr>
            <w:tcW w:w="3919" w:type="dxa"/>
            <w:hideMark/>
          </w:tcPr>
          <w:p w14:paraId="28D45D10" w14:textId="77777777" w:rsidR="00E422BE" w:rsidRDefault="00E422BE" w:rsidP="00015DD7">
            <w:pPr>
              <w:pStyle w:val="NormalWeb"/>
              <w:jc w:val="center"/>
            </w:pPr>
            <w:r>
              <w:t>90</w:t>
            </w:r>
          </w:p>
        </w:tc>
      </w:tr>
      <w:tr w:rsidR="00E422BE" w14:paraId="7B36155B" w14:textId="77777777" w:rsidTr="009C732F">
        <w:tc>
          <w:tcPr>
            <w:tcW w:w="0" w:type="auto"/>
            <w:hideMark/>
          </w:tcPr>
          <w:p w14:paraId="6A8741D5" w14:textId="77777777" w:rsidR="00E422BE" w:rsidRDefault="00E422BE" w:rsidP="00DA6624">
            <w:pPr>
              <w:pStyle w:val="NormalWeb"/>
              <w:jc w:val="right"/>
            </w:pPr>
            <w:r>
              <w:t>Rash</w:t>
            </w:r>
          </w:p>
        </w:tc>
        <w:tc>
          <w:tcPr>
            <w:tcW w:w="2937" w:type="dxa"/>
            <w:hideMark/>
          </w:tcPr>
          <w:p w14:paraId="61F58163" w14:textId="77777777" w:rsidR="00E422BE" w:rsidRDefault="00E422BE" w:rsidP="00015DD7">
            <w:pPr>
              <w:pStyle w:val="NormalWeb"/>
              <w:jc w:val="center"/>
            </w:pPr>
            <w:r>
              <w:t>15</w:t>
            </w:r>
          </w:p>
        </w:tc>
        <w:tc>
          <w:tcPr>
            <w:tcW w:w="3919" w:type="dxa"/>
            <w:hideMark/>
          </w:tcPr>
          <w:p w14:paraId="22719A38" w14:textId="77777777" w:rsidR="00E422BE" w:rsidRDefault="00E422BE" w:rsidP="00015DD7">
            <w:pPr>
              <w:pStyle w:val="NormalWeb"/>
              <w:jc w:val="center"/>
            </w:pPr>
            <w:r>
              <w:t>71</w:t>
            </w:r>
          </w:p>
        </w:tc>
      </w:tr>
      <w:tr w:rsidR="00E422BE" w14:paraId="45675FF8"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64DE3B0B" w14:textId="77777777" w:rsidR="00E422BE" w:rsidRDefault="00E422BE" w:rsidP="00DA6624">
            <w:pPr>
              <w:pStyle w:val="NormalWeb"/>
              <w:jc w:val="right"/>
            </w:pPr>
            <w:r>
              <w:t>Nausea/vomiting</w:t>
            </w:r>
          </w:p>
        </w:tc>
        <w:tc>
          <w:tcPr>
            <w:tcW w:w="2937" w:type="dxa"/>
            <w:hideMark/>
          </w:tcPr>
          <w:p w14:paraId="3C8BFFEB" w14:textId="77777777" w:rsidR="00E422BE" w:rsidRDefault="00E422BE" w:rsidP="00015DD7">
            <w:pPr>
              <w:pStyle w:val="NormalWeb"/>
              <w:jc w:val="center"/>
            </w:pPr>
            <w:r>
              <w:t>15</w:t>
            </w:r>
          </w:p>
        </w:tc>
        <w:tc>
          <w:tcPr>
            <w:tcW w:w="3919" w:type="dxa"/>
            <w:hideMark/>
          </w:tcPr>
          <w:p w14:paraId="61E5BBED" w14:textId="77777777" w:rsidR="00E422BE" w:rsidRDefault="00E422BE" w:rsidP="00015DD7">
            <w:pPr>
              <w:pStyle w:val="NormalWeb"/>
              <w:jc w:val="center"/>
            </w:pPr>
            <w:r>
              <w:t>71</w:t>
            </w:r>
          </w:p>
        </w:tc>
      </w:tr>
      <w:tr w:rsidR="00E422BE" w14:paraId="03345E5D" w14:textId="77777777" w:rsidTr="009C732F">
        <w:tc>
          <w:tcPr>
            <w:tcW w:w="0" w:type="auto"/>
            <w:hideMark/>
          </w:tcPr>
          <w:p w14:paraId="29D98403" w14:textId="77777777" w:rsidR="00E422BE" w:rsidRDefault="00E422BE" w:rsidP="00DA6624">
            <w:pPr>
              <w:pStyle w:val="NormalWeb"/>
              <w:jc w:val="right"/>
            </w:pPr>
            <w:r>
              <w:t>Itchiness</w:t>
            </w:r>
          </w:p>
        </w:tc>
        <w:tc>
          <w:tcPr>
            <w:tcW w:w="2937" w:type="dxa"/>
            <w:hideMark/>
          </w:tcPr>
          <w:p w14:paraId="18AA358B" w14:textId="77777777" w:rsidR="00E422BE" w:rsidRDefault="00E422BE" w:rsidP="00015DD7">
            <w:pPr>
              <w:pStyle w:val="NormalWeb"/>
              <w:jc w:val="center"/>
            </w:pPr>
            <w:r>
              <w:t>11</w:t>
            </w:r>
          </w:p>
        </w:tc>
        <w:tc>
          <w:tcPr>
            <w:tcW w:w="3919" w:type="dxa"/>
            <w:hideMark/>
          </w:tcPr>
          <w:p w14:paraId="54D4CFCA" w14:textId="77777777" w:rsidR="00E422BE" w:rsidRDefault="00E422BE" w:rsidP="00015DD7">
            <w:pPr>
              <w:pStyle w:val="NormalWeb"/>
              <w:jc w:val="center"/>
            </w:pPr>
            <w:r>
              <w:t>52</w:t>
            </w:r>
          </w:p>
        </w:tc>
      </w:tr>
      <w:tr w:rsidR="00E422BE" w14:paraId="3BFAC44C"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0B14D16E" w14:textId="77777777" w:rsidR="00E422BE" w:rsidRDefault="00E422BE" w:rsidP="00DA6624">
            <w:pPr>
              <w:pStyle w:val="NormalWeb"/>
              <w:jc w:val="right"/>
            </w:pPr>
            <w:r>
              <w:t>Abnormal taste</w:t>
            </w:r>
          </w:p>
        </w:tc>
        <w:tc>
          <w:tcPr>
            <w:tcW w:w="2937" w:type="dxa"/>
            <w:hideMark/>
          </w:tcPr>
          <w:p w14:paraId="38B332EB" w14:textId="77777777" w:rsidR="00E422BE" w:rsidRDefault="00E422BE" w:rsidP="00015DD7">
            <w:pPr>
              <w:pStyle w:val="NormalWeb"/>
              <w:jc w:val="center"/>
            </w:pPr>
            <w:r>
              <w:t>10</w:t>
            </w:r>
          </w:p>
        </w:tc>
        <w:tc>
          <w:tcPr>
            <w:tcW w:w="3919" w:type="dxa"/>
            <w:hideMark/>
          </w:tcPr>
          <w:p w14:paraId="4DB5368E" w14:textId="77777777" w:rsidR="00E422BE" w:rsidRDefault="00E422BE" w:rsidP="00015DD7">
            <w:pPr>
              <w:pStyle w:val="NormalWeb"/>
              <w:jc w:val="center"/>
            </w:pPr>
            <w:r>
              <w:t>48</w:t>
            </w:r>
          </w:p>
        </w:tc>
      </w:tr>
      <w:tr w:rsidR="00E422BE" w14:paraId="060620AD" w14:textId="77777777" w:rsidTr="009C732F">
        <w:tc>
          <w:tcPr>
            <w:tcW w:w="0" w:type="auto"/>
            <w:hideMark/>
          </w:tcPr>
          <w:p w14:paraId="1E4961DE" w14:textId="77777777" w:rsidR="00E422BE" w:rsidRDefault="00E422BE" w:rsidP="00DA6624">
            <w:pPr>
              <w:pStyle w:val="NormalWeb"/>
              <w:jc w:val="right"/>
            </w:pPr>
            <w:r>
              <w:t>Diarrhoea</w:t>
            </w:r>
          </w:p>
        </w:tc>
        <w:tc>
          <w:tcPr>
            <w:tcW w:w="2937" w:type="dxa"/>
            <w:hideMark/>
          </w:tcPr>
          <w:p w14:paraId="003C355A" w14:textId="77777777" w:rsidR="00E422BE" w:rsidRDefault="00E422BE" w:rsidP="00015DD7">
            <w:pPr>
              <w:pStyle w:val="NormalWeb"/>
              <w:jc w:val="center"/>
            </w:pPr>
            <w:r>
              <w:t>9</w:t>
            </w:r>
          </w:p>
        </w:tc>
        <w:tc>
          <w:tcPr>
            <w:tcW w:w="3919" w:type="dxa"/>
            <w:hideMark/>
          </w:tcPr>
          <w:p w14:paraId="20D77DE9" w14:textId="77777777" w:rsidR="00E422BE" w:rsidRDefault="00E422BE" w:rsidP="00015DD7">
            <w:pPr>
              <w:pStyle w:val="NormalWeb"/>
              <w:jc w:val="center"/>
            </w:pPr>
            <w:r>
              <w:t>43</w:t>
            </w:r>
          </w:p>
        </w:tc>
      </w:tr>
      <w:tr w:rsidR="00E422BE" w14:paraId="20F89FC4"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34204439" w14:textId="77777777" w:rsidR="00E422BE" w:rsidRDefault="00E422BE" w:rsidP="00DA6624">
            <w:pPr>
              <w:pStyle w:val="NormalWeb"/>
              <w:jc w:val="right"/>
            </w:pPr>
            <w:r>
              <w:t>Abnormal bruising/bleeding</w:t>
            </w:r>
          </w:p>
        </w:tc>
        <w:tc>
          <w:tcPr>
            <w:tcW w:w="2937" w:type="dxa"/>
            <w:hideMark/>
          </w:tcPr>
          <w:p w14:paraId="54E5FB19" w14:textId="77777777" w:rsidR="00E422BE" w:rsidRDefault="00E422BE" w:rsidP="00015DD7">
            <w:pPr>
              <w:pStyle w:val="NormalWeb"/>
              <w:jc w:val="center"/>
            </w:pPr>
            <w:r>
              <w:t>2</w:t>
            </w:r>
          </w:p>
        </w:tc>
        <w:tc>
          <w:tcPr>
            <w:tcW w:w="3919" w:type="dxa"/>
            <w:hideMark/>
          </w:tcPr>
          <w:p w14:paraId="15DED75C" w14:textId="77777777" w:rsidR="00E422BE" w:rsidRDefault="00E422BE" w:rsidP="00015DD7">
            <w:pPr>
              <w:pStyle w:val="NormalWeb"/>
              <w:jc w:val="center"/>
            </w:pPr>
            <w:r>
              <w:t>10</w:t>
            </w:r>
          </w:p>
        </w:tc>
      </w:tr>
      <w:tr w:rsidR="00E422BE" w14:paraId="4823F0F5" w14:textId="77777777" w:rsidTr="009C732F">
        <w:tc>
          <w:tcPr>
            <w:tcW w:w="0" w:type="auto"/>
            <w:hideMark/>
          </w:tcPr>
          <w:p w14:paraId="7D15F6A5" w14:textId="77777777" w:rsidR="00E422BE" w:rsidRDefault="00E422BE" w:rsidP="00015DD7">
            <w:pPr>
              <w:pStyle w:val="NormalWeb"/>
            </w:pPr>
            <w:r>
              <w:t>History of Dengue</w:t>
            </w:r>
          </w:p>
        </w:tc>
        <w:tc>
          <w:tcPr>
            <w:tcW w:w="2937" w:type="dxa"/>
            <w:hideMark/>
          </w:tcPr>
          <w:p w14:paraId="4EA40CFB" w14:textId="77777777" w:rsidR="00E422BE" w:rsidRDefault="00E422BE" w:rsidP="00015DD7">
            <w:pPr>
              <w:pStyle w:val="NormalWeb"/>
              <w:jc w:val="center"/>
            </w:pPr>
            <w:r>
              <w:t>0</w:t>
            </w:r>
          </w:p>
        </w:tc>
        <w:tc>
          <w:tcPr>
            <w:tcW w:w="3919" w:type="dxa"/>
            <w:hideMark/>
          </w:tcPr>
          <w:p w14:paraId="0692C889" w14:textId="77777777" w:rsidR="00E422BE" w:rsidRDefault="00E422BE" w:rsidP="00015DD7">
            <w:pPr>
              <w:pStyle w:val="NormalWeb"/>
              <w:jc w:val="center"/>
            </w:pPr>
            <w:r>
              <w:t>0</w:t>
            </w:r>
          </w:p>
        </w:tc>
      </w:tr>
      <w:tr w:rsidR="00E422BE" w14:paraId="226922A9"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25DFC1E5" w14:textId="77777777" w:rsidR="00E422BE" w:rsidRDefault="00E422BE" w:rsidP="00015DD7">
            <w:pPr>
              <w:pStyle w:val="NormalWeb"/>
            </w:pPr>
            <w:r>
              <w:t>Outcome</w:t>
            </w:r>
          </w:p>
        </w:tc>
        <w:tc>
          <w:tcPr>
            <w:tcW w:w="2937" w:type="dxa"/>
            <w:hideMark/>
          </w:tcPr>
          <w:p w14:paraId="141E2E55" w14:textId="77777777" w:rsidR="00E422BE" w:rsidRDefault="00E422BE" w:rsidP="00015DD7">
            <w:pPr>
              <w:jc w:val="center"/>
            </w:pPr>
          </w:p>
        </w:tc>
        <w:tc>
          <w:tcPr>
            <w:tcW w:w="3919" w:type="dxa"/>
            <w:hideMark/>
          </w:tcPr>
          <w:p w14:paraId="64E438EF" w14:textId="77777777" w:rsidR="00E422BE" w:rsidRDefault="00E422BE" w:rsidP="00015DD7">
            <w:pPr>
              <w:jc w:val="center"/>
              <w:rPr>
                <w:rFonts w:eastAsia="Times New Roman"/>
                <w:sz w:val="20"/>
                <w:szCs w:val="20"/>
              </w:rPr>
            </w:pPr>
          </w:p>
        </w:tc>
      </w:tr>
      <w:tr w:rsidR="00E422BE" w14:paraId="20A91C0D" w14:textId="77777777" w:rsidTr="009C732F">
        <w:tc>
          <w:tcPr>
            <w:tcW w:w="0" w:type="auto"/>
            <w:hideMark/>
          </w:tcPr>
          <w:p w14:paraId="36636E35" w14:textId="77777777" w:rsidR="00E422BE" w:rsidRDefault="00E422BE" w:rsidP="00015DD7">
            <w:pPr>
              <w:pStyle w:val="NormalWeb"/>
              <w:rPr>
                <w:sz w:val="24"/>
                <w:szCs w:val="24"/>
              </w:rPr>
            </w:pPr>
            <w:r>
              <w:t>Hospitalisation</w:t>
            </w:r>
          </w:p>
        </w:tc>
        <w:tc>
          <w:tcPr>
            <w:tcW w:w="2937" w:type="dxa"/>
            <w:hideMark/>
          </w:tcPr>
          <w:p w14:paraId="1F87C5AA" w14:textId="77777777" w:rsidR="00E422BE" w:rsidRDefault="00E422BE" w:rsidP="00015DD7">
            <w:pPr>
              <w:pStyle w:val="NormalWeb"/>
              <w:jc w:val="center"/>
            </w:pPr>
            <w:r>
              <w:t>2</w:t>
            </w:r>
          </w:p>
        </w:tc>
        <w:tc>
          <w:tcPr>
            <w:tcW w:w="3919" w:type="dxa"/>
            <w:hideMark/>
          </w:tcPr>
          <w:p w14:paraId="36B6DF81" w14:textId="77777777" w:rsidR="00E422BE" w:rsidRDefault="00E422BE" w:rsidP="00015DD7">
            <w:pPr>
              <w:pStyle w:val="NormalWeb"/>
              <w:jc w:val="center"/>
            </w:pPr>
            <w:r>
              <w:t>10</w:t>
            </w:r>
          </w:p>
        </w:tc>
      </w:tr>
      <w:tr w:rsidR="00E422BE" w14:paraId="52622D03"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12A5DD71" w14:textId="77777777" w:rsidR="00E422BE" w:rsidRDefault="00E422BE" w:rsidP="00015DD7">
            <w:pPr>
              <w:pStyle w:val="NormalWeb"/>
            </w:pPr>
            <w:r>
              <w:t>GP/ED visit</w:t>
            </w:r>
          </w:p>
        </w:tc>
        <w:tc>
          <w:tcPr>
            <w:tcW w:w="2937" w:type="dxa"/>
            <w:hideMark/>
          </w:tcPr>
          <w:p w14:paraId="002CECCE" w14:textId="77777777" w:rsidR="00E422BE" w:rsidRDefault="00E422BE" w:rsidP="00015DD7">
            <w:pPr>
              <w:pStyle w:val="NormalWeb"/>
              <w:jc w:val="center"/>
            </w:pPr>
            <w:r>
              <w:t>14</w:t>
            </w:r>
          </w:p>
        </w:tc>
        <w:tc>
          <w:tcPr>
            <w:tcW w:w="3919" w:type="dxa"/>
            <w:hideMark/>
          </w:tcPr>
          <w:p w14:paraId="56854984" w14:textId="77777777" w:rsidR="00E422BE" w:rsidRDefault="00E422BE" w:rsidP="00015DD7">
            <w:pPr>
              <w:pStyle w:val="NormalWeb"/>
              <w:jc w:val="center"/>
            </w:pPr>
            <w:r>
              <w:t>67</w:t>
            </w:r>
          </w:p>
        </w:tc>
      </w:tr>
      <w:tr w:rsidR="00E422BE" w:rsidRPr="00DA6624" w14:paraId="4653A1FC" w14:textId="77777777" w:rsidTr="009C732F">
        <w:tc>
          <w:tcPr>
            <w:tcW w:w="0" w:type="auto"/>
            <w:hideMark/>
          </w:tcPr>
          <w:p w14:paraId="1B65AF13" w14:textId="77777777" w:rsidR="00E422BE" w:rsidRPr="00DA6624" w:rsidRDefault="00E422BE" w:rsidP="00015DD7">
            <w:pPr>
              <w:pStyle w:val="NormalWeb"/>
              <w:rPr>
                <w:i/>
              </w:rPr>
            </w:pPr>
            <w:r w:rsidRPr="00DA6624">
              <w:rPr>
                <w:i/>
              </w:rPr>
              <w:t>GP/ED visit and tested for dengue</w:t>
            </w:r>
          </w:p>
        </w:tc>
        <w:tc>
          <w:tcPr>
            <w:tcW w:w="2937" w:type="dxa"/>
            <w:hideMark/>
          </w:tcPr>
          <w:p w14:paraId="26FA1D5B" w14:textId="77777777" w:rsidR="00E422BE" w:rsidRPr="00DA6624" w:rsidRDefault="00E422BE" w:rsidP="00015DD7">
            <w:pPr>
              <w:pStyle w:val="NormalWeb"/>
              <w:jc w:val="center"/>
              <w:rPr>
                <w:i/>
              </w:rPr>
            </w:pPr>
            <w:r w:rsidRPr="00DA6624">
              <w:rPr>
                <w:i/>
              </w:rPr>
              <w:t>8/14</w:t>
            </w:r>
          </w:p>
        </w:tc>
        <w:tc>
          <w:tcPr>
            <w:tcW w:w="3919" w:type="dxa"/>
            <w:hideMark/>
          </w:tcPr>
          <w:p w14:paraId="64450166" w14:textId="77777777" w:rsidR="00E422BE" w:rsidRPr="00DA6624" w:rsidRDefault="00E422BE" w:rsidP="00015DD7">
            <w:pPr>
              <w:pStyle w:val="NormalWeb"/>
              <w:jc w:val="center"/>
              <w:rPr>
                <w:i/>
              </w:rPr>
            </w:pPr>
            <w:r w:rsidRPr="00DA6624">
              <w:rPr>
                <w:i/>
              </w:rPr>
              <w:t>57</w:t>
            </w:r>
          </w:p>
        </w:tc>
      </w:tr>
      <w:tr w:rsidR="00E422BE" w:rsidRPr="00DA6624" w14:paraId="51F3A48C" w14:textId="77777777" w:rsidTr="009C732F">
        <w:trPr>
          <w:cnfStyle w:val="000000010000" w:firstRow="0" w:lastRow="0" w:firstColumn="0" w:lastColumn="0" w:oddVBand="0" w:evenVBand="0" w:oddHBand="0" w:evenHBand="1" w:firstRowFirstColumn="0" w:firstRowLastColumn="0" w:lastRowFirstColumn="0" w:lastRowLastColumn="0"/>
        </w:trPr>
        <w:tc>
          <w:tcPr>
            <w:tcW w:w="0" w:type="auto"/>
            <w:hideMark/>
          </w:tcPr>
          <w:p w14:paraId="117A2B06" w14:textId="77777777" w:rsidR="00E422BE" w:rsidRPr="00DA6624" w:rsidRDefault="00E422BE" w:rsidP="00015DD7">
            <w:pPr>
              <w:pStyle w:val="NormalWeb"/>
              <w:rPr>
                <w:i/>
              </w:rPr>
            </w:pPr>
            <w:r w:rsidRPr="00DA6624">
              <w:rPr>
                <w:i/>
              </w:rPr>
              <w:t>GP/ED visit and NOT tested for dengue</w:t>
            </w:r>
          </w:p>
        </w:tc>
        <w:tc>
          <w:tcPr>
            <w:tcW w:w="2937" w:type="dxa"/>
            <w:hideMark/>
          </w:tcPr>
          <w:p w14:paraId="16D13CEE" w14:textId="77777777" w:rsidR="00E422BE" w:rsidRPr="00DA6624" w:rsidRDefault="00E422BE" w:rsidP="00015DD7">
            <w:pPr>
              <w:pStyle w:val="NormalWeb"/>
              <w:jc w:val="center"/>
              <w:rPr>
                <w:i/>
              </w:rPr>
            </w:pPr>
            <w:r w:rsidRPr="00DA6624">
              <w:rPr>
                <w:i/>
              </w:rPr>
              <w:t>6/14</w:t>
            </w:r>
          </w:p>
        </w:tc>
        <w:tc>
          <w:tcPr>
            <w:tcW w:w="3919" w:type="dxa"/>
            <w:hideMark/>
          </w:tcPr>
          <w:p w14:paraId="741B2F54" w14:textId="77777777" w:rsidR="00E422BE" w:rsidRPr="00DA6624" w:rsidRDefault="00E422BE" w:rsidP="00015DD7">
            <w:pPr>
              <w:pStyle w:val="NormalWeb"/>
              <w:jc w:val="center"/>
              <w:rPr>
                <w:i/>
              </w:rPr>
            </w:pPr>
            <w:r w:rsidRPr="00DA6624">
              <w:rPr>
                <w:i/>
              </w:rPr>
              <w:t>43</w:t>
            </w:r>
          </w:p>
        </w:tc>
      </w:tr>
      <w:tr w:rsidR="00E422BE" w14:paraId="21C979DD" w14:textId="77777777" w:rsidTr="009C732F">
        <w:tc>
          <w:tcPr>
            <w:tcW w:w="0" w:type="auto"/>
            <w:hideMark/>
          </w:tcPr>
          <w:p w14:paraId="0AFC7298" w14:textId="77777777" w:rsidR="00E422BE" w:rsidRDefault="00E422BE" w:rsidP="00015DD7">
            <w:pPr>
              <w:pStyle w:val="NormalWeb"/>
            </w:pPr>
            <w:r>
              <w:lastRenderedPageBreak/>
              <w:t>Severe cases (e.g. Haemorrhagic fever)</w:t>
            </w:r>
          </w:p>
        </w:tc>
        <w:tc>
          <w:tcPr>
            <w:tcW w:w="2937" w:type="dxa"/>
            <w:hideMark/>
          </w:tcPr>
          <w:p w14:paraId="11C4DBA2" w14:textId="77777777" w:rsidR="00E422BE" w:rsidRDefault="00E422BE" w:rsidP="00015DD7">
            <w:pPr>
              <w:pStyle w:val="NormalWeb"/>
              <w:jc w:val="center"/>
            </w:pPr>
            <w:r>
              <w:t>0</w:t>
            </w:r>
          </w:p>
        </w:tc>
        <w:tc>
          <w:tcPr>
            <w:tcW w:w="3919" w:type="dxa"/>
            <w:hideMark/>
          </w:tcPr>
          <w:p w14:paraId="482A81FC" w14:textId="77777777" w:rsidR="00E422BE" w:rsidRDefault="00E422BE" w:rsidP="00015DD7">
            <w:pPr>
              <w:pStyle w:val="NormalWeb"/>
              <w:jc w:val="center"/>
            </w:pPr>
            <w:r>
              <w:t>0</w:t>
            </w:r>
          </w:p>
        </w:tc>
      </w:tr>
    </w:tbl>
    <w:p w14:paraId="4954DA8B" w14:textId="77777777" w:rsidR="00E422BE" w:rsidRDefault="00E422BE" w:rsidP="00677192">
      <w:pPr>
        <w:pStyle w:val="Heading2"/>
      </w:pPr>
    </w:p>
    <w:p w14:paraId="5750D65E" w14:textId="77777777" w:rsidR="00442C40" w:rsidRPr="00677192" w:rsidRDefault="00442C40" w:rsidP="00677192">
      <w:pPr>
        <w:pStyle w:val="Heading2"/>
      </w:pPr>
      <w:r w:rsidRPr="00677192">
        <w:t xml:space="preserve">Outbreak management </w:t>
      </w:r>
    </w:p>
    <w:p w14:paraId="533CC61D" w14:textId="77777777" w:rsidR="00442C40" w:rsidRDefault="00442C40" w:rsidP="00677192">
      <w:r>
        <w:t xml:space="preserve">The Environmental Health (EH) team of CQPHU conducted indoor residual spraying, focusing environmental inspections on private properties and businesses within the 200 metres radius of laboratory confirmed or suspected cases. The EH team visited 1,158 households. Out of 1,107 (95.6%) completely inspected premises, the team sprayed 884 properties (79.8%) and detected 205 (18.5%) households having presence of mosquitoes. More than 50% of the mosquitoes-present premises (105/205) and 9.5% of all premises inspected (105/1,158 premises) were infested with larvae and/or pupae of </w:t>
      </w:r>
      <w:r w:rsidRPr="00677192">
        <w:rPr>
          <w:rStyle w:val="Emphasis"/>
          <w:b w:val="0"/>
        </w:rPr>
        <w:t xml:space="preserve">Ae. aegypti </w:t>
      </w:r>
      <w:r>
        <w:t xml:space="preserve">(i.e. House Index of 9.5%). Particular attention was provided to regions that might facilitate increased dengue transmission throughout the community (e.g. schools, nursing homes, aged care facilities) to survey the presence of artificial and natural containers which could act as breeding areas for the mosquitoes. Artificial containers included but were not limited to plastic pots, buckets, tyres and bird baths. Palm fronds and bromeliads were among the natural containers found. </w:t>
      </w:r>
    </w:p>
    <w:p w14:paraId="5D892AF0" w14:textId="77777777" w:rsidR="00442C40" w:rsidRDefault="00442C40" w:rsidP="00677192">
      <w:r>
        <w:t>Natural and artificial containers were either disposed of or emptied and treated with pellets of (s)-</w:t>
      </w:r>
      <w:proofErr w:type="spellStart"/>
      <w:r>
        <w:t>methoprene</w:t>
      </w:r>
      <w:proofErr w:type="spellEnd"/>
      <w:r>
        <w:t xml:space="preserve">, an insect growth regulator. Indoor and outdoor spraying with a residual insecticide (Temprid75 containing imidacloprid and beta-cyfluthrin) was undertaken, with the householder’s permission. In addition to the house-to-house survey, vector control activities were implemented with a novel ‘lure and kill’ approach of 200 m radius of all probable and confirmed cases by the EH team. This ‘lure and kill’ approach deployed lethal </w:t>
      </w:r>
      <w:proofErr w:type="spellStart"/>
      <w:r>
        <w:t>ovitraps</w:t>
      </w:r>
      <w:proofErr w:type="spellEnd"/>
      <w:r>
        <w:t xml:space="preserve"> to attract ovipositing female mosquitoes; concurrent administration of larvicidal agents to harbouring sites accelerated the vector control strategies. </w:t>
      </w:r>
    </w:p>
    <w:p w14:paraId="7241224F" w14:textId="77777777" w:rsidR="00442C40" w:rsidRDefault="00442C40" w:rsidP="00677192">
      <w:r>
        <w:t xml:space="preserve">Public health media campaigns such as Facebook, free-to-air television, local radio and print media highlighted the current outbreak and prevention strategies. Public health messaging included: vigilance in eliminating mosquito breeding sites in and around homes (e.g. pot plant bases and bird </w:t>
      </w:r>
      <w:r>
        <w:lastRenderedPageBreak/>
        <w:t xml:space="preserve">baths); the use of mosquito repellent/long-sleeved clothing; and the clinical symptoms of dengue, to encourage early clinical presentation. The outbreak commenced in autumn (i.e. April) and lasted until midwinter (i.e. June). However, we could not identify any pattern in daily temperature (high and low) or rainfall contributing to the outbreak (see Appendix A, Figure A.1). </w:t>
      </w:r>
    </w:p>
    <w:p w14:paraId="47CE2AD5" w14:textId="77777777" w:rsidR="00442C40" w:rsidRPr="00677192" w:rsidRDefault="00442C40" w:rsidP="00677192">
      <w:pPr>
        <w:pStyle w:val="Heading2"/>
      </w:pPr>
      <w:r w:rsidRPr="00677192">
        <w:t xml:space="preserve">Nucleotide sequencing and phylogenetic analyses </w:t>
      </w:r>
    </w:p>
    <w:p w14:paraId="4B4E0A37" w14:textId="77777777" w:rsidR="00442C40" w:rsidRDefault="00442C40" w:rsidP="00677192">
      <w:r>
        <w:t xml:space="preserve">Nucleotide sequencing and phylogenetic analyses were performed on the DENV-2 Rock 2019 isolate recovered from the first reported case, and complete DENV-2 E genes were amplified from an additional five viraemic patients. A complete DENV-2 genome sequence (GenBank accession number MN982899) was derived from DENV-2 Rock 2019 and was used in phylogenetic analysis comparing 1,431 DENV-2 complete coding regions (Figure 2). </w:t>
      </w:r>
    </w:p>
    <w:p w14:paraId="0BEABBD9" w14:textId="77777777" w:rsidR="008D0866" w:rsidRDefault="008D0866">
      <w:pPr>
        <w:rPr>
          <w:b/>
          <w:lang w:val="en-GB"/>
        </w:rPr>
      </w:pPr>
      <w:r>
        <w:rPr>
          <w:lang w:val="en-GB"/>
        </w:rPr>
        <w:br w:type="page"/>
      </w:r>
    </w:p>
    <w:p w14:paraId="47351B78" w14:textId="77777777" w:rsidR="008D0866" w:rsidRDefault="008D0866" w:rsidP="008D0866">
      <w:pPr>
        <w:pStyle w:val="CDIFigures"/>
        <w:rPr>
          <w:lang w:val="en-GB"/>
        </w:rPr>
      </w:pPr>
      <w:r>
        <w:rPr>
          <w:lang w:val="en-GB"/>
        </w:rPr>
        <w:lastRenderedPageBreak/>
        <w:t xml:space="preserve">Figure 2: DENV-2 phylogeny of complete open reading frame nucleotide </w:t>
      </w:r>
      <w:proofErr w:type="spellStart"/>
      <w:r>
        <w:rPr>
          <w:lang w:val="en-GB"/>
        </w:rPr>
        <w:t>sequences</w:t>
      </w:r>
      <w:r w:rsidRPr="006F44D0">
        <w:rPr>
          <w:vertAlign w:val="superscript"/>
          <w:lang w:val="en-GB"/>
        </w:rPr>
        <w:t>a</w:t>
      </w:r>
      <w:proofErr w:type="spellEnd"/>
    </w:p>
    <w:p w14:paraId="5B6BA7CE" w14:textId="77777777" w:rsidR="008D0866" w:rsidRDefault="008D0866" w:rsidP="008D0866">
      <w:pPr>
        <w:pStyle w:val="NormalWeb"/>
        <w:jc w:val="center"/>
        <w:rPr>
          <w:lang w:val="en-GB"/>
        </w:rPr>
      </w:pPr>
      <w:r>
        <w:rPr>
          <w:noProof/>
        </w:rPr>
        <w:drawing>
          <wp:inline distT="0" distB="0" distL="0" distR="0" wp14:anchorId="48AEF719" wp14:editId="7B4A57F7">
            <wp:extent cx="6171921" cy="7296150"/>
            <wp:effectExtent l="0" t="0" r="635" b="0"/>
            <wp:docPr id="2" name="Picture 2" descr="shows the midpoint rooted, approximately maximum-likelihood phylogenetic tree estimated from 1,431 DENV-2 complete coding region sequences. The tree was constructed using FastTree version 2.1.11 software and the GTR nucleotide substitution model with the default setting of 20 for rate categories of sites.(20) Percentage Shimodaira-Hasegawa-like local support values are shown for key nodes. Multiple sequence alignments were performed using the Multiple Alignment using Fast Fourier Transform (MAFFT) program, version 7.450 and Geneious software, version 10.2.6. The four major DENV-2 genotypes (American, Cosmopolitan, Asian I, Asian II, Asian/American and Sylvatic) are shown and the DENV-2 Rockhampton 2019 isolate sequence (GenBank accession number MN982899) is highlighted.  Figure 2 (B) summarised version of the phylogenetic tree presented in (A) with major clades collapsed in order to show DENV-2 strains most closely related to DENV-2 Rock 2019 at higher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ws the midpoint rooted, approximately maximum-likelihood phylogenetic tree estimated from 1,431 DENV-2 complete coding region sequences. The tree was constructed using FastTree version 2.1.11 software and the GTR nucleotide substitution model with the default setting of 20 for rate categories of sites.(20) Percentage Shimodaira-Hasegawa-like local support values are shown for key nodes. Multiple sequence alignments were performed using the Multiple Alignment using Fast Fourier Transform (MAFFT) program, version 7.450 and Geneious software, version 10.2.6. The four major DENV-2 genotypes (American, Cosmopolitan, Asian I, Asian II, Asian/American and Sylvatic) are shown and the DENV-2 Rockhampton 2019 isolate sequence (GenBank accession number MN982899) is highlighted.  Figure 2 (B) summarised version of the phylogenetic tree presented in (A) with major clades collapsed in order to show DENV-2 strains most closely related to DENV-2 Rock 2019 at higher resolu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77625" cy="7302893"/>
                    </a:xfrm>
                    <a:prstGeom prst="rect">
                      <a:avLst/>
                    </a:prstGeom>
                  </pic:spPr>
                </pic:pic>
              </a:graphicData>
            </a:graphic>
          </wp:inline>
        </w:drawing>
      </w:r>
    </w:p>
    <w:p w14:paraId="4C11622D" w14:textId="77777777" w:rsidR="008D0866" w:rsidRDefault="008D0866" w:rsidP="008D0866">
      <w:pPr>
        <w:pStyle w:val="CDIfootnotes"/>
        <w:rPr>
          <w:lang w:val="en-GB"/>
        </w:rPr>
      </w:pPr>
      <w:r>
        <w:rPr>
          <w:lang w:val="en-GB"/>
        </w:rPr>
        <w:t>a</w:t>
      </w:r>
      <w:r>
        <w:rPr>
          <w:lang w:val="en-GB"/>
        </w:rPr>
        <w:tab/>
        <w:t xml:space="preserve">Figure 2A shows the midpoint rooted, approximately maximum-likelihood phylogenetic tree estimated from 1,431 DENV-2 complete coding region nucleotide sequences. The tree was constructed using </w:t>
      </w:r>
      <w:proofErr w:type="spellStart"/>
      <w:r>
        <w:rPr>
          <w:lang w:val="en-GB"/>
        </w:rPr>
        <w:t>FastTree</w:t>
      </w:r>
      <w:proofErr w:type="spellEnd"/>
      <w:r>
        <w:rPr>
          <w:lang w:val="en-GB"/>
        </w:rPr>
        <w:t xml:space="preserve"> version 2.1.11 soft</w:t>
      </w:r>
      <w:r>
        <w:rPr>
          <w:lang w:val="en-GB"/>
        </w:rPr>
        <w:lastRenderedPageBreak/>
        <w:t>ware and the general time-reversible (GTR) nucleotide substitution model with the default setting of 20 for rate categories of sites.</w:t>
      </w:r>
      <w:r w:rsidRPr="005856BC">
        <w:rPr>
          <w:vertAlign w:val="superscript"/>
          <w:lang w:val="en-GB"/>
        </w:rPr>
        <w:t>20</w:t>
      </w:r>
      <w:r>
        <w:rPr>
          <w:lang w:val="en-GB"/>
        </w:rPr>
        <w:t xml:space="preserve"> Percentage </w:t>
      </w:r>
      <w:proofErr w:type="spellStart"/>
      <w:r>
        <w:rPr>
          <w:lang w:val="en-GB"/>
        </w:rPr>
        <w:t>Shimodaira</w:t>
      </w:r>
      <w:proofErr w:type="spellEnd"/>
      <w:r>
        <w:rPr>
          <w:lang w:val="en-GB"/>
        </w:rPr>
        <w:t xml:space="preserve">-Hasegawa-like local support values are shown for key nodes. Multiple sequence alignments were performed using the Multiple Alignment using Fast Fourier Transform (MAFFT) program, version 7.450 and </w:t>
      </w:r>
      <w:proofErr w:type="spellStart"/>
      <w:r>
        <w:rPr>
          <w:lang w:val="en-GB"/>
        </w:rPr>
        <w:t>Geneious</w:t>
      </w:r>
      <w:proofErr w:type="spellEnd"/>
      <w:r>
        <w:rPr>
          <w:lang w:val="en-GB"/>
        </w:rPr>
        <w:t xml:space="preserve"> software, version 10.2.6. The major DENV-2 genotypes (American, Cosmopolitan; Asian I; Asian II; Asian/American and Sylvatic) are shown and the DENV-2 Rockhampton 2019 isolate sequence (GenBank accession number MN982899) is highlighted. Figure 2B shows a summarised version of the phylogenetic tree presented in (A) with major clades collapsed in order to show DENV-2 strains most closely related to DENV-2 Rock 2019 at higher resolution.</w:t>
      </w:r>
    </w:p>
    <w:p w14:paraId="51F0381B" w14:textId="77777777" w:rsidR="008D0866" w:rsidRDefault="008D0866" w:rsidP="00677192"/>
    <w:p w14:paraId="07A542E5" w14:textId="77777777" w:rsidR="00442C40" w:rsidRDefault="00442C40" w:rsidP="00677192">
      <w:r>
        <w:t xml:space="preserve">The DENV-2 Rock 2019 strain was grouped in the Cosmopolitan genotype and was most closely related to other DENV-2 strains from southeast Asia, including recent strains circulating in China, Indonesia and Singapore. DENV-2 E gene sequences were also obtained from an additional five Rockhampton patients; sequences from two patients were submitted to GenBank, with accession numbers MN982900 and MN982901. The DENV-2 E gene phylogenetics (Figure 3) demonstrated that the sequences of these five additional Rockhampton patients were all clustered together with the sequence from the patient yielding the DENV-2 Rock 2019 isolate, sharing 99.9% nucleotide identity. This finding further indicated that the Rockhampton 2019 outbreak was most likely caused by a single strain of DENV-2. The Rockhampton DENV-2 cluster was most closely related to, and shared 99.8% nucleotide identity each, with two recent DENV-2 strains from Bali 2016 (GenBank accession number MH173164) and Malaysia 2014 (GenBank accession number KJ806811). By comparison, the Rockhampton DENV-2 cluster only shared 98.8% nucleotide identity with the DENV-2 E gene sequence (GenBank accession number MN982889) obtained from the viraemic patient who travelled from Bali to Queensland at the onset of the Rockhampton outbreak, and therefore this patient was not a likely outbreak source. </w:t>
      </w:r>
    </w:p>
    <w:p w14:paraId="6A0411EC" w14:textId="77777777" w:rsidR="00CF7748" w:rsidRDefault="00CF7748">
      <w:pPr>
        <w:rPr>
          <w:b/>
          <w:lang w:val="en-GB"/>
        </w:rPr>
      </w:pPr>
      <w:r>
        <w:rPr>
          <w:lang w:val="en-GB"/>
        </w:rPr>
        <w:br w:type="page"/>
      </w:r>
    </w:p>
    <w:p w14:paraId="3930768F" w14:textId="77777777" w:rsidR="00CF7748" w:rsidRDefault="00CF7748" w:rsidP="00CF7748">
      <w:pPr>
        <w:pStyle w:val="CDIFigures"/>
        <w:rPr>
          <w:lang w:val="en-GB"/>
        </w:rPr>
      </w:pPr>
      <w:r>
        <w:rPr>
          <w:lang w:val="en-GB"/>
        </w:rPr>
        <w:lastRenderedPageBreak/>
        <w:t xml:space="preserve">Figure 3: DENV-2 phylogeny of complete E gene nucleotide </w:t>
      </w:r>
      <w:proofErr w:type="spellStart"/>
      <w:r>
        <w:rPr>
          <w:lang w:val="en-GB"/>
        </w:rPr>
        <w:t>sequences</w:t>
      </w:r>
      <w:r w:rsidRPr="000236C8">
        <w:rPr>
          <w:vertAlign w:val="superscript"/>
          <w:lang w:val="en-GB"/>
        </w:rPr>
        <w:t>a</w:t>
      </w:r>
      <w:proofErr w:type="spellEnd"/>
    </w:p>
    <w:p w14:paraId="13410E0A" w14:textId="77777777" w:rsidR="00CF7748" w:rsidRDefault="00CF7748" w:rsidP="00CF7748">
      <w:pPr>
        <w:pStyle w:val="NormalWeb"/>
        <w:rPr>
          <w:lang w:val="en-GB"/>
        </w:rPr>
      </w:pPr>
      <w:r>
        <w:rPr>
          <w:noProof/>
        </w:rPr>
        <w:drawing>
          <wp:inline distT="0" distB="0" distL="0" distR="0" wp14:anchorId="6E1D8F6C" wp14:editId="7F140343">
            <wp:extent cx="5565659" cy="7546863"/>
            <wp:effectExtent l="0" t="0" r="0" b="0"/>
            <wp:docPr id="3" name="Picture 3" descr="Figure 3 shows the maximum-likelihood phylogenetic tree inferred from 208 DENV-2 envelope (E) gene sequences (1,485 nucleotides). The tree was constructed using MEGA  7.0  software (21) and the GTR+Γ4+I substitution model with bootstrap support (1,000 replications). The inset derived from the DENV-2 Cosmpolitan genotype shows clustering of DENV-2 Rock 2019 sequences (pink) from 6 patients, including the patient from which DENV-2 was isolated (GenBank accession number MN982899) at higher resolution. DENV-2 strains from other Queensland, Australia local outbreaks are shown in blue and the DENV-2 Bali 2019 sequence (GenBank accession number MN982889) obtained from a viraemic patient who also travelled to Queensland at the onset of the Rockhampton DENV-2 outbreak is shown in red. Percentage bootstrap support values are shown for key nod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e maximum-likelihood phylogenetic tree inferred from 208 DENV-2 envelope (E) gene sequences (1,485 nucleotides). The tree was constructed using MEGA  7.0  software (21) and the GTR+Γ4+I substitution model with bootstrap support (1,000 replications). The inset derived from the DENV-2 Cosmpolitan genotype shows clustering of DENV-2 Rock 2019 sequences (pink) from 6 patients, including the patient from which DENV-2 was isolated (GenBank accession number MN982899) at higher resolution. DENV-2 strains from other Queensland, Australia local outbreaks are shown in blue and the DENV-2 Bali 2019 sequence (GenBank accession number MN982889) obtained from a viraemic patient who also travelled to Queensland at the onset of the Rockhampton DENV-2 outbreak is shown in red. Percentage bootstrap support values are shown for key nodes. &#10;&#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65659" cy="7546863"/>
                    </a:xfrm>
                    <a:prstGeom prst="rect">
                      <a:avLst/>
                    </a:prstGeom>
                  </pic:spPr>
                </pic:pic>
              </a:graphicData>
            </a:graphic>
          </wp:inline>
        </w:drawing>
      </w:r>
    </w:p>
    <w:p w14:paraId="41C4510D" w14:textId="77777777" w:rsidR="00CF7748" w:rsidRDefault="00CF7748" w:rsidP="00CF7748">
      <w:pPr>
        <w:pStyle w:val="CDIfootnotes"/>
        <w:rPr>
          <w:lang w:val="en-GB"/>
        </w:rPr>
      </w:pPr>
      <w:r>
        <w:rPr>
          <w:lang w:val="en-US"/>
        </w:rPr>
        <w:lastRenderedPageBreak/>
        <w:t xml:space="preserve">a </w:t>
      </w:r>
      <w:r>
        <w:rPr>
          <w:lang w:val="en-US"/>
        </w:rPr>
        <w:tab/>
      </w:r>
      <w:r>
        <w:rPr>
          <w:lang w:val="en-GB"/>
        </w:rPr>
        <w:t xml:space="preserve">Maximum-likelihood phylogenetic tree inferred from 208 DENV-2 envelope (E) gene </w:t>
      </w:r>
      <w:r>
        <w:rPr>
          <w:lang w:val="en-US"/>
        </w:rPr>
        <w:t>nucleotide</w:t>
      </w:r>
      <w:r>
        <w:rPr>
          <w:lang w:val="en-GB"/>
        </w:rPr>
        <w:t xml:space="preserve"> sequences (1,485 nucleotides). The tree was constructed using MEGA 7.0 software</w:t>
      </w:r>
      <w:r>
        <w:rPr>
          <w:lang w:val="en-US"/>
        </w:rPr>
        <w:t>21</w:t>
      </w:r>
      <w:r>
        <w:rPr>
          <w:lang w:val="en-GB"/>
        </w:rPr>
        <w:t xml:space="preserve"> and the GTR+Γ4+I substitution model with bootstrap support (1,000 replications). The inset derived from the DENV-2 </w:t>
      </w:r>
      <w:proofErr w:type="spellStart"/>
      <w:r>
        <w:rPr>
          <w:lang w:val="en-GB"/>
        </w:rPr>
        <w:t>Cosmpolitan</w:t>
      </w:r>
      <w:proofErr w:type="spellEnd"/>
      <w:r>
        <w:rPr>
          <w:lang w:val="en-GB"/>
        </w:rPr>
        <w:t xml:space="preserve"> genotype shows clustering of DENV-2 Rock 2019 sequences (pink) from six patients, including the patient from which DENV-2 was isolated (GenBank accession number MN982899) at higher resolution. DENV-2 strains from other Queensland, Australia local outbreaks are shown in blue and the DENV-2 Bali 2019 sequence (GenBank accession number MN982889) obtained from a viraemic patient who also travelled to Queensland at the onset of the Rockhampton DENV-2 outbreak is shown in red. Percentage bootstrap support values are shown for key nodes. </w:t>
      </w:r>
    </w:p>
    <w:p w14:paraId="23663B23" w14:textId="77777777" w:rsidR="00CF7748" w:rsidRDefault="00CF7748" w:rsidP="00677192"/>
    <w:p w14:paraId="23F77845" w14:textId="77777777" w:rsidR="00442C40" w:rsidRPr="00677192" w:rsidRDefault="00442C40" w:rsidP="00677192">
      <w:pPr>
        <w:pStyle w:val="Heading1"/>
      </w:pPr>
      <w:r w:rsidRPr="00677192">
        <w:t xml:space="preserve">Discussion </w:t>
      </w:r>
    </w:p>
    <w:p w14:paraId="67CDBEA3" w14:textId="77777777" w:rsidR="00442C40" w:rsidRDefault="00442C40" w:rsidP="00677192">
      <w:r>
        <w:t>This is the first reported outbreak involving local dengue transmission in Rockhampton CQ, Australia in decades, and the first detected case was a Rockhampton resident with no prior history of overseas travel. Further, this is the first recorded dengue transmission event in CQ specifically implicating DENV-2. Genotyping analysis of Rockhampton DENV-2 sequences suggested the outbreak was caused by a single DENV-2 strain, most closely related to DENV-2 strains from Southeast Asia. Many parts of Southeast Asia, including Indonesia, are dengue endemic zones and their close proximity to Australia inherently poses risks for the spread of dengue within our region. Popular Southeast Asian tourist destinations, such as Bali, have been shown to be major sources of DENVs imported into Australia, and occasionally have facilitated outbreaks in Queensland.</w:t>
      </w:r>
      <w:r>
        <w:rPr>
          <w:vertAlign w:val="superscript"/>
        </w:rPr>
        <w:t>13,14</w:t>
      </w:r>
      <w:r>
        <w:t xml:space="preserve"> With the high annual influx of travellers from Southeast Asia into Queensland, it is feasible that the Rockhampton DENV-2 outbreak may have originated from a traveller from that region. </w:t>
      </w:r>
    </w:p>
    <w:p w14:paraId="5B176FAB" w14:textId="77777777" w:rsidR="00442C40" w:rsidRDefault="00442C40" w:rsidP="00677192">
      <w:r>
        <w:t xml:space="preserve">There are many factors that can lead to a delay in identifying a current outbreak. Dengue manifests over a wide range of clinical symptoms and severity, from clinically asymptomatic cases to severe symptoms such as haemorrhagic fever. Because of an extremely low pre-test probability of dengue, local health professionals do not routinely test for dengue. For example, of the 14 cases who visited GP/hospitals, about 43% (n = 6) of those were not tested for dengue. This is consistent with other outbreaks, such as the large dengue outbreaks of 2003–2004 and 2008–2009 in FNQ which were characterized by delays in notification and in the subsequent mosquito control and public health intervention. Whilst incomplete testing and the absence of an identified index case contributed to a </w:t>
      </w:r>
      <w:r>
        <w:lastRenderedPageBreak/>
        <w:t xml:space="preserve">brief lag in notification, effective public health and mosquito control measures were implemented urgently to mitigate the burden of disease. </w:t>
      </w:r>
    </w:p>
    <w:p w14:paraId="2D23E803" w14:textId="77777777" w:rsidR="00442C40" w:rsidRDefault="00442C40" w:rsidP="00677192">
      <w:r>
        <w:t>There were 63 cases of dengue reported in CQ between 2010 and 2020, 42 of which were imported cases, mainly from Southeast Asia (30/63; 47.6%) with the most common country being Indonesia (16/30; 53.3%). Between 1 July 2012 and 30 June 2017, there were 1,360 cases of dengue imported to Queensland by travellers predominantly from Southeast Asia (863, 63.5%), again, with over half coming from Indonesia (482, 55.9%).</w:t>
      </w:r>
      <w:r>
        <w:rPr>
          <w:vertAlign w:val="superscript"/>
        </w:rPr>
        <w:t>22</w:t>
      </w:r>
      <w:r>
        <w:t xml:space="preserve"> </w:t>
      </w:r>
    </w:p>
    <w:p w14:paraId="55887C5A" w14:textId="77777777" w:rsidR="00442C40" w:rsidRDefault="00442C40" w:rsidP="00677192">
      <w:r>
        <w:t xml:space="preserve">Similarly, nucleotide sequencing and phylogenetic analysis of Rockhampton DENV-2 E gene sequences indicated they were most closely related to, and shared 99.8% nucleotide identity respectively, with recent Bali 2016 and Malaysian 2014 DENV-2 strains. With the presence of </w:t>
      </w:r>
      <w:r w:rsidRPr="00677192">
        <w:rPr>
          <w:rStyle w:val="Emphasis"/>
          <w:b w:val="0"/>
        </w:rPr>
        <w:t>Ae</w:t>
      </w:r>
      <w:r>
        <w:t xml:space="preserve">. </w:t>
      </w:r>
      <w:r w:rsidRPr="00677192">
        <w:rPr>
          <w:rStyle w:val="Emphasis"/>
          <w:b w:val="0"/>
        </w:rPr>
        <w:t xml:space="preserve">aegypti </w:t>
      </w:r>
      <w:r>
        <w:t xml:space="preserve">in CQ and the known increased number of returning overseas travellers and visitors from dengue endemic countries, considering Rockhampton as a dengue receptive area is important. Enhanced surveillance to detect viraemic patients early enables prompt public health and mosquito control intervention. </w:t>
      </w:r>
    </w:p>
    <w:p w14:paraId="70176A8D" w14:textId="77777777" w:rsidR="00442C40" w:rsidRDefault="00442C40" w:rsidP="00677192">
      <w:r>
        <w:t>Ongoing mosquito control activities, particularly around the household of identified positive cases is an important control measure that requires swift implementation. Interestingly, the bromeliad plant family is a known mosquito breeding reservoir due to the still and stagnant water found in the central well and outer leaf cavities of the plant.</w:t>
      </w:r>
      <w:r>
        <w:rPr>
          <w:vertAlign w:val="superscript"/>
        </w:rPr>
        <w:t>23</w:t>
      </w:r>
      <w:r>
        <w:t xml:space="preserve"> These natural water containers were found at many of the properties inspected during the outbreak. Consideration could also be given to the introduction of </w:t>
      </w:r>
      <w:r w:rsidRPr="00677192">
        <w:rPr>
          <w:rStyle w:val="Emphasis"/>
          <w:b w:val="0"/>
        </w:rPr>
        <w:t>Wolbachia</w:t>
      </w:r>
      <w:r>
        <w:t xml:space="preserve">-infected </w:t>
      </w:r>
      <w:r w:rsidRPr="00677192">
        <w:rPr>
          <w:rStyle w:val="Emphasis"/>
          <w:b w:val="0"/>
        </w:rPr>
        <w:t>Ae</w:t>
      </w:r>
      <w:r>
        <w:t xml:space="preserve">. </w:t>
      </w:r>
      <w:r w:rsidRPr="00677192">
        <w:rPr>
          <w:rStyle w:val="Emphasis"/>
          <w:b w:val="0"/>
        </w:rPr>
        <w:t>aegypti</w:t>
      </w:r>
      <w:r>
        <w:t xml:space="preserve"> mosquitoes, as these have shown a reduction in transmission in laboratory studies and have been successfully introduced in Northern Australia, curbing dengue transmission.</w:t>
      </w:r>
      <w:r>
        <w:rPr>
          <w:vertAlign w:val="superscript"/>
        </w:rPr>
        <w:t>24</w:t>
      </w:r>
      <w:r>
        <w:t xml:space="preserve"> </w:t>
      </w:r>
    </w:p>
    <w:p w14:paraId="4D5F859A" w14:textId="77777777" w:rsidR="006122B1" w:rsidRDefault="006122B1">
      <w:pPr>
        <w:rPr>
          <w:rFonts w:asciiTheme="majorHAnsi" w:eastAsiaTheme="majorEastAsia" w:hAnsiTheme="majorHAnsi" w:cstheme="majorBidi"/>
          <w:b/>
          <w:bCs/>
          <w:sz w:val="32"/>
          <w:szCs w:val="28"/>
        </w:rPr>
      </w:pPr>
      <w:r>
        <w:br w:type="page"/>
      </w:r>
    </w:p>
    <w:p w14:paraId="649551D0" w14:textId="77777777" w:rsidR="00442C40" w:rsidRPr="00677192" w:rsidRDefault="00442C40" w:rsidP="00677192">
      <w:pPr>
        <w:pStyle w:val="Heading1"/>
      </w:pPr>
      <w:r w:rsidRPr="00677192">
        <w:lastRenderedPageBreak/>
        <w:t xml:space="preserve">Conclusion </w:t>
      </w:r>
    </w:p>
    <w:p w14:paraId="4F7095D8" w14:textId="77777777" w:rsidR="00442C40" w:rsidRDefault="00442C40" w:rsidP="00677192">
      <w:r>
        <w:t xml:space="preserve">The 2019 dengue outbreak in CQ is the first reported outbreak for the region specifically implicating DENV-2. With increased global travel and widening distribution of suitable DENV mosquitoes like </w:t>
      </w:r>
      <w:r w:rsidRPr="00677192">
        <w:rPr>
          <w:rStyle w:val="Emphasis"/>
          <w:b w:val="0"/>
        </w:rPr>
        <w:t>Ae. aegypti</w:t>
      </w:r>
      <w:r>
        <w:t xml:space="preserve"> and </w:t>
      </w:r>
      <w:r w:rsidRPr="00677192">
        <w:rPr>
          <w:rStyle w:val="Emphasis"/>
          <w:b w:val="0"/>
        </w:rPr>
        <w:t>Ae. albopictus</w:t>
      </w:r>
      <w:r>
        <w:t xml:space="preserve">, all regions which harbour these mosquito species are vulnerable to dengue outbreaks. Further, this vulnerability presents additional concern and public health risks in areas such as Queensland, where largely immunologically naïve populations exist. Consequently, effective and ongoing mosquito avoidance and vector surveillance strategies, coupled with timely public health control measures, are vitally important for preventing and limiting outbreaks. In the currently-reported outbreak, both the rapid localisation, treatment and elimination of mosquito breeding sources, and the increased public awareness of related disease risks that was disseminated through media platforms, largely contributed to effective management of the outbreak, confining case numbers and limiting the further spread of dengue within Queensland. </w:t>
      </w:r>
    </w:p>
    <w:p w14:paraId="2D314DEC" w14:textId="77777777" w:rsidR="00442C40" w:rsidRPr="00677192" w:rsidRDefault="00442C40" w:rsidP="00677192">
      <w:pPr>
        <w:pStyle w:val="Heading1"/>
      </w:pPr>
      <w:r w:rsidRPr="00677192">
        <w:t xml:space="preserve">Acknowledgements </w:t>
      </w:r>
    </w:p>
    <w:p w14:paraId="57871107" w14:textId="77777777" w:rsidR="00442C40" w:rsidRDefault="00442C40" w:rsidP="00677192">
      <w:r>
        <w:t xml:space="preserve">We would like to thank staff from the Queensland Health Communicable Disease Branch and other experienced Queensland Public Health Units, scientists from the Queensland Health Forensic and Scientific Services Laboratory, medical entomologists, Queensland Health media and the Rockhampton Regional Council together who formed our Incident Management Team. </w:t>
      </w:r>
    </w:p>
    <w:p w14:paraId="73A51F84" w14:textId="77777777" w:rsidR="005856BC" w:rsidRDefault="005856BC">
      <w:pPr>
        <w:rPr>
          <w:rFonts w:asciiTheme="majorHAnsi" w:eastAsiaTheme="majorEastAsia" w:hAnsiTheme="majorHAnsi" w:cstheme="majorBidi"/>
          <w:b/>
          <w:bCs/>
          <w:sz w:val="32"/>
          <w:szCs w:val="28"/>
        </w:rPr>
      </w:pPr>
      <w:r>
        <w:br w:type="page"/>
      </w:r>
    </w:p>
    <w:p w14:paraId="20B71353" w14:textId="77777777" w:rsidR="00442C40" w:rsidRPr="00677192" w:rsidRDefault="00442C40" w:rsidP="00677192">
      <w:pPr>
        <w:pStyle w:val="Heading1"/>
      </w:pPr>
      <w:r w:rsidRPr="00677192">
        <w:lastRenderedPageBreak/>
        <w:t xml:space="preserve">Author details </w:t>
      </w:r>
    </w:p>
    <w:p w14:paraId="2A6D211C" w14:textId="2D716C06" w:rsidR="00442C40" w:rsidRDefault="00442C40" w:rsidP="00677192">
      <w:proofErr w:type="spellStart"/>
      <w:r>
        <w:t>Jacina</w:t>
      </w:r>
      <w:proofErr w:type="spellEnd"/>
      <w:r>
        <w:t xml:space="preserve"> Walker</w:t>
      </w:r>
      <w:r>
        <w:rPr>
          <w:vertAlign w:val="superscript"/>
        </w:rPr>
        <w:t>1,</w:t>
      </w:r>
      <w:r w:rsidR="00BD7858">
        <w:rPr>
          <w:vertAlign w:val="superscript"/>
        </w:rPr>
        <w:t>2</w:t>
      </w:r>
      <w:r>
        <w:rPr>
          <w:vertAlign w:val="superscript"/>
        </w:rPr>
        <w:t xml:space="preserve">* </w:t>
      </w:r>
      <w:r w:rsidR="005856BC">
        <w:rPr>
          <w:vertAlign w:val="superscript"/>
        </w:rPr>
        <w:br/>
      </w:r>
      <w:r>
        <w:t>Alyssa Pyke</w:t>
      </w:r>
      <w:r w:rsidR="00BD7858">
        <w:rPr>
          <w:vertAlign w:val="superscript"/>
        </w:rPr>
        <w:t>3</w:t>
      </w:r>
      <w:r>
        <w:rPr>
          <w:vertAlign w:val="superscript"/>
        </w:rPr>
        <w:t xml:space="preserve"> </w:t>
      </w:r>
      <w:r w:rsidR="005856BC">
        <w:rPr>
          <w:vertAlign w:val="superscript"/>
        </w:rPr>
        <w:br/>
      </w:r>
      <w:r>
        <w:t>Paul Florian</w:t>
      </w:r>
      <w:r>
        <w:rPr>
          <w:vertAlign w:val="superscript"/>
        </w:rPr>
        <w:t>1</w:t>
      </w:r>
      <w:r>
        <w:t xml:space="preserve"> </w:t>
      </w:r>
      <w:r w:rsidR="005856BC">
        <w:br/>
      </w:r>
      <w:r>
        <w:t>Fred Moore</w:t>
      </w:r>
      <w:r w:rsidR="00BD7858">
        <w:rPr>
          <w:vertAlign w:val="superscript"/>
        </w:rPr>
        <w:t>3</w:t>
      </w:r>
      <w:r>
        <w:rPr>
          <w:vertAlign w:val="superscript"/>
        </w:rPr>
        <w:t xml:space="preserve"> </w:t>
      </w:r>
      <w:r w:rsidR="005856BC">
        <w:rPr>
          <w:vertAlign w:val="superscript"/>
        </w:rPr>
        <w:br/>
      </w:r>
      <w:r>
        <w:t>Nicolas Smoll</w:t>
      </w:r>
      <w:r>
        <w:rPr>
          <w:vertAlign w:val="superscript"/>
        </w:rPr>
        <w:t>1</w:t>
      </w:r>
      <w:r>
        <w:t xml:space="preserve"> </w:t>
      </w:r>
      <w:r w:rsidR="005856BC">
        <w:br/>
      </w:r>
      <w:proofErr w:type="spellStart"/>
      <w:r>
        <w:t>Odewumi</w:t>
      </w:r>
      <w:proofErr w:type="spellEnd"/>
      <w:r>
        <w:t xml:space="preserve"> Adegbija</w:t>
      </w:r>
      <w:r>
        <w:rPr>
          <w:vertAlign w:val="superscript"/>
        </w:rPr>
        <w:t>1</w:t>
      </w:r>
      <w:r>
        <w:t xml:space="preserve"> </w:t>
      </w:r>
      <w:r w:rsidR="005856BC">
        <w:br/>
      </w:r>
      <w:proofErr w:type="spellStart"/>
      <w:r>
        <w:t>Arifuzzaman</w:t>
      </w:r>
      <w:proofErr w:type="spellEnd"/>
      <w:r>
        <w:t xml:space="preserve"> Khan</w:t>
      </w:r>
      <w:r>
        <w:rPr>
          <w:vertAlign w:val="superscript"/>
        </w:rPr>
        <w:t xml:space="preserve">1 </w:t>
      </w:r>
      <w:r w:rsidR="005856BC">
        <w:rPr>
          <w:vertAlign w:val="superscript"/>
        </w:rPr>
        <w:br/>
      </w:r>
      <w:proofErr w:type="spellStart"/>
      <w:r>
        <w:t>Rashidul</w:t>
      </w:r>
      <w:proofErr w:type="spellEnd"/>
      <w:r>
        <w:t xml:space="preserve"> Hasan</w:t>
      </w:r>
      <w:r w:rsidR="00BD7858">
        <w:rPr>
          <w:vertAlign w:val="superscript"/>
        </w:rPr>
        <w:t>4</w:t>
      </w:r>
      <w:r>
        <w:rPr>
          <w:vertAlign w:val="superscript"/>
        </w:rPr>
        <w:t xml:space="preserve"> </w:t>
      </w:r>
      <w:r w:rsidR="005856BC">
        <w:rPr>
          <w:vertAlign w:val="superscript"/>
        </w:rPr>
        <w:br/>
      </w:r>
      <w:r>
        <w:t>Heidi Carroll</w:t>
      </w:r>
      <w:r w:rsidR="00BD7858">
        <w:rPr>
          <w:vertAlign w:val="superscript"/>
        </w:rPr>
        <w:t>5</w:t>
      </w:r>
      <w:r>
        <w:rPr>
          <w:vertAlign w:val="superscript"/>
        </w:rPr>
        <w:t xml:space="preserve"> </w:t>
      </w:r>
      <w:r w:rsidR="005856BC">
        <w:rPr>
          <w:vertAlign w:val="superscript"/>
        </w:rPr>
        <w:br/>
      </w:r>
      <w:r>
        <w:t>Rachael Rodney Harris</w:t>
      </w:r>
      <w:r w:rsidR="00BD7858">
        <w:rPr>
          <w:vertAlign w:val="superscript"/>
        </w:rPr>
        <w:t>2</w:t>
      </w:r>
      <w:r>
        <w:rPr>
          <w:vertAlign w:val="superscript"/>
        </w:rPr>
        <w:t xml:space="preserve"> </w:t>
      </w:r>
      <w:r w:rsidR="005856BC">
        <w:rPr>
          <w:vertAlign w:val="superscript"/>
        </w:rPr>
        <w:br/>
      </w:r>
      <w:r>
        <w:t>Gulam Kandaker</w:t>
      </w:r>
      <w:r>
        <w:rPr>
          <w:vertAlign w:val="superscript"/>
        </w:rPr>
        <w:t>1,</w:t>
      </w:r>
      <w:r w:rsidR="00BD7858">
        <w:rPr>
          <w:vertAlign w:val="superscript"/>
        </w:rPr>
        <w:t>4</w:t>
      </w:r>
      <w:r>
        <w:rPr>
          <w:vertAlign w:val="superscript"/>
        </w:rPr>
        <w:t xml:space="preserve"> </w:t>
      </w:r>
    </w:p>
    <w:p w14:paraId="379BED5D" w14:textId="4A3F1A90" w:rsidR="00442C40" w:rsidRDefault="00442C40" w:rsidP="00677192">
      <w:pPr>
        <w:pStyle w:val="ListParagraph"/>
        <w:numPr>
          <w:ilvl w:val="0"/>
          <w:numId w:val="11"/>
        </w:numPr>
        <w:rPr>
          <w:rFonts w:eastAsia="Times New Roman"/>
        </w:rPr>
      </w:pPr>
      <w:r w:rsidRPr="00677192">
        <w:rPr>
          <w:rFonts w:eastAsia="Times New Roman"/>
        </w:rPr>
        <w:t xml:space="preserve">Central Queensland Public Health Unit, Central Queensland Hospital and Health Service, Rockhampton, Queensland, Australia </w:t>
      </w:r>
    </w:p>
    <w:p w14:paraId="71EAE71E" w14:textId="5BB15DD0" w:rsidR="00BD7858" w:rsidRPr="00677192" w:rsidRDefault="00BD7858" w:rsidP="00677192">
      <w:pPr>
        <w:pStyle w:val="ListParagraph"/>
        <w:numPr>
          <w:ilvl w:val="0"/>
          <w:numId w:val="11"/>
        </w:numPr>
        <w:rPr>
          <w:rFonts w:eastAsia="Times New Roman"/>
        </w:rPr>
      </w:pPr>
      <w:r w:rsidRPr="00677192">
        <w:rPr>
          <w:rFonts w:eastAsia="Times New Roman"/>
        </w:rPr>
        <w:t>National Centre for Epidemiology and Population Health, Research School of Population Health, Australian National University, Canberra, ACT, Australia</w:t>
      </w:r>
    </w:p>
    <w:p w14:paraId="73EDD97B" w14:textId="77777777" w:rsidR="00442C40" w:rsidRPr="00677192" w:rsidRDefault="00442C40" w:rsidP="00677192">
      <w:pPr>
        <w:pStyle w:val="ListParagraph"/>
        <w:numPr>
          <w:ilvl w:val="0"/>
          <w:numId w:val="11"/>
        </w:numPr>
        <w:rPr>
          <w:rFonts w:eastAsia="Times New Roman"/>
        </w:rPr>
      </w:pPr>
      <w:r w:rsidRPr="00677192">
        <w:rPr>
          <w:rFonts w:eastAsia="Times New Roman"/>
        </w:rPr>
        <w:t xml:space="preserve">Public Health Virology Laboratory, Forensic and Scientific Services, Coopers Plains, Queensland, Australia </w:t>
      </w:r>
    </w:p>
    <w:p w14:paraId="06BD3594" w14:textId="77777777" w:rsidR="00442C40" w:rsidRPr="00677192" w:rsidRDefault="00442C40" w:rsidP="00677192">
      <w:pPr>
        <w:pStyle w:val="ListParagraph"/>
        <w:numPr>
          <w:ilvl w:val="0"/>
          <w:numId w:val="11"/>
        </w:numPr>
        <w:rPr>
          <w:rFonts w:eastAsia="Times New Roman"/>
        </w:rPr>
      </w:pPr>
      <w:r w:rsidRPr="00677192">
        <w:rPr>
          <w:rFonts w:eastAsia="Times New Roman"/>
        </w:rPr>
        <w:t xml:space="preserve">Central Queensland University, Rockhampton, Queensland, Australia </w:t>
      </w:r>
    </w:p>
    <w:p w14:paraId="2A616FFD" w14:textId="29A8C29F" w:rsidR="00442C40" w:rsidRPr="00BD7858" w:rsidRDefault="00442C40" w:rsidP="00BD7858">
      <w:pPr>
        <w:pStyle w:val="ListParagraph"/>
        <w:numPr>
          <w:ilvl w:val="0"/>
          <w:numId w:val="11"/>
        </w:numPr>
        <w:rPr>
          <w:rFonts w:eastAsia="Times New Roman"/>
        </w:rPr>
      </w:pPr>
      <w:r w:rsidRPr="00677192">
        <w:rPr>
          <w:rFonts w:eastAsia="Times New Roman"/>
        </w:rPr>
        <w:t>Communicable Disease Branch, Queensland Health, Brisbane, Queensland, Australia</w:t>
      </w:r>
    </w:p>
    <w:p w14:paraId="7712104D" w14:textId="77777777" w:rsidR="00442C40" w:rsidRPr="00677192" w:rsidRDefault="00442C40" w:rsidP="00677192">
      <w:pPr>
        <w:pStyle w:val="Heading2"/>
      </w:pPr>
      <w:r w:rsidRPr="00677192">
        <w:t xml:space="preserve">Corresponding author </w:t>
      </w:r>
    </w:p>
    <w:p w14:paraId="0B08608C" w14:textId="77777777" w:rsidR="00442C40" w:rsidRDefault="00442C40" w:rsidP="00677192">
      <w:proofErr w:type="spellStart"/>
      <w:r>
        <w:t>Jacina</w:t>
      </w:r>
      <w:proofErr w:type="spellEnd"/>
      <w:r>
        <w:t xml:space="preserve"> Walker </w:t>
      </w:r>
    </w:p>
    <w:p w14:paraId="5B6C9707" w14:textId="77777777" w:rsidR="00442C40" w:rsidRDefault="00442C40" w:rsidP="00677192">
      <w:r>
        <w:t xml:space="preserve">Address: Central Queensland Public Health Unit, Central Queensland Hospital and Health Service, Community Health Building, 82-86 Bolsover Street, Rockhampton Qld 4700, Australia </w:t>
      </w:r>
    </w:p>
    <w:p w14:paraId="6FEABBE9" w14:textId="77777777" w:rsidR="00442C40" w:rsidRDefault="00442C40" w:rsidP="00677192">
      <w:r>
        <w:t xml:space="preserve">Phone: +617-4920 6989 </w:t>
      </w:r>
      <w:r w:rsidR="005856BC">
        <w:br/>
      </w:r>
      <w:r>
        <w:t xml:space="preserve">Fax: +617-4920 6865 </w:t>
      </w:r>
      <w:r w:rsidR="005856BC">
        <w:br/>
      </w:r>
      <w:r>
        <w:t xml:space="preserve">Email: jacina.walker@health.qld.gov.au </w:t>
      </w:r>
    </w:p>
    <w:p w14:paraId="1B37C7B7" w14:textId="77777777" w:rsidR="006122B1" w:rsidRDefault="006122B1">
      <w:pPr>
        <w:rPr>
          <w:rFonts w:asciiTheme="majorHAnsi" w:eastAsiaTheme="majorEastAsia" w:hAnsiTheme="majorHAnsi" w:cstheme="majorBidi"/>
          <w:b/>
          <w:bCs/>
          <w:sz w:val="32"/>
          <w:szCs w:val="28"/>
        </w:rPr>
      </w:pPr>
      <w:r>
        <w:lastRenderedPageBreak/>
        <w:br w:type="page"/>
      </w:r>
    </w:p>
    <w:p w14:paraId="45F58AE0" w14:textId="77777777" w:rsidR="00442C40" w:rsidRPr="00677192" w:rsidRDefault="00442C40" w:rsidP="00677192">
      <w:pPr>
        <w:pStyle w:val="Heading1"/>
      </w:pPr>
      <w:r w:rsidRPr="00677192">
        <w:lastRenderedPageBreak/>
        <w:t xml:space="preserve">References </w:t>
      </w:r>
    </w:p>
    <w:p w14:paraId="77DD9394"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Bhatt S, </w:t>
      </w:r>
      <w:proofErr w:type="spellStart"/>
      <w:r w:rsidRPr="00677192">
        <w:rPr>
          <w:rFonts w:eastAsia="Times New Roman"/>
        </w:rPr>
        <w:t>Gething</w:t>
      </w:r>
      <w:proofErr w:type="spellEnd"/>
      <w:r w:rsidRPr="00677192">
        <w:rPr>
          <w:rFonts w:eastAsia="Times New Roman"/>
        </w:rPr>
        <w:t xml:space="preserve"> PW, Brady OJ, Messina JP, Farlow AW, Moyes CL et al. The global distribution and burden of dengue. </w:t>
      </w:r>
      <w:r w:rsidRPr="00677192">
        <w:rPr>
          <w:rStyle w:val="Emphasis"/>
          <w:rFonts w:eastAsia="Times New Roman"/>
          <w:b w:val="0"/>
        </w:rPr>
        <w:t>Nature</w:t>
      </w:r>
      <w:r w:rsidRPr="00677192">
        <w:rPr>
          <w:rFonts w:eastAsia="Times New Roman"/>
        </w:rPr>
        <w:t xml:space="preserve">. 2013;496(7446):504–7. </w:t>
      </w:r>
    </w:p>
    <w:p w14:paraId="0A739DAA"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World Health Organization (WHO). </w:t>
      </w:r>
      <w:r w:rsidRPr="00677192">
        <w:rPr>
          <w:rStyle w:val="Emphasis"/>
          <w:rFonts w:eastAsia="Times New Roman"/>
          <w:b w:val="0"/>
        </w:rPr>
        <w:t>Dengue haemorrhagic fever: diagnosis, treatment, prevention and control</w:t>
      </w:r>
      <w:r w:rsidRPr="00677192">
        <w:rPr>
          <w:rFonts w:eastAsia="Times New Roman"/>
        </w:rPr>
        <w:t xml:space="preserve">. 2nd edition. Geneva: WHO; 1997. Available from: https://apps.who.int/iris/handle/10665/41988. </w:t>
      </w:r>
    </w:p>
    <w:p w14:paraId="107430D8" w14:textId="77777777" w:rsidR="00442C40" w:rsidRPr="00677192" w:rsidRDefault="00442C40" w:rsidP="00677192">
      <w:pPr>
        <w:pStyle w:val="ListParagraph"/>
        <w:numPr>
          <w:ilvl w:val="0"/>
          <w:numId w:val="12"/>
        </w:numPr>
        <w:rPr>
          <w:rFonts w:eastAsia="Times New Roman"/>
        </w:rPr>
      </w:pPr>
      <w:proofErr w:type="spellStart"/>
      <w:r w:rsidRPr="00677192">
        <w:rPr>
          <w:rFonts w:eastAsia="Times New Roman"/>
        </w:rPr>
        <w:t>Lambrechts</w:t>
      </w:r>
      <w:proofErr w:type="spellEnd"/>
      <w:r w:rsidRPr="00677192">
        <w:rPr>
          <w:rFonts w:eastAsia="Times New Roman"/>
        </w:rPr>
        <w:t xml:space="preserve"> L, </w:t>
      </w:r>
      <w:proofErr w:type="spellStart"/>
      <w:r w:rsidRPr="00677192">
        <w:rPr>
          <w:rFonts w:eastAsia="Times New Roman"/>
        </w:rPr>
        <w:t>Paaijmans</w:t>
      </w:r>
      <w:proofErr w:type="spellEnd"/>
      <w:r w:rsidRPr="00677192">
        <w:rPr>
          <w:rFonts w:eastAsia="Times New Roman"/>
        </w:rPr>
        <w:t xml:space="preserve"> KP, </w:t>
      </w:r>
      <w:proofErr w:type="spellStart"/>
      <w:r w:rsidRPr="00677192">
        <w:rPr>
          <w:rFonts w:eastAsia="Times New Roman"/>
        </w:rPr>
        <w:t>Fansiri</w:t>
      </w:r>
      <w:proofErr w:type="spellEnd"/>
      <w:r w:rsidRPr="00677192">
        <w:rPr>
          <w:rFonts w:eastAsia="Times New Roman"/>
        </w:rPr>
        <w:t xml:space="preserve"> T, Carrington LB, Kramer LD, Thomas MB et al. Impact of daily temperature fluctuations on dengue virus transmission by Aedes aegypti. </w:t>
      </w:r>
      <w:r w:rsidRPr="00677192">
        <w:rPr>
          <w:rStyle w:val="Emphasis"/>
          <w:rFonts w:eastAsia="Times New Roman"/>
          <w:b w:val="0"/>
        </w:rPr>
        <w:t xml:space="preserve">Proc Natl </w:t>
      </w:r>
      <w:proofErr w:type="spellStart"/>
      <w:r w:rsidRPr="00677192">
        <w:rPr>
          <w:rStyle w:val="Emphasis"/>
          <w:rFonts w:eastAsia="Times New Roman"/>
          <w:b w:val="0"/>
        </w:rPr>
        <w:t>Acad</w:t>
      </w:r>
      <w:proofErr w:type="spellEnd"/>
      <w:r w:rsidRPr="00677192">
        <w:rPr>
          <w:rStyle w:val="Emphasis"/>
          <w:rFonts w:eastAsia="Times New Roman"/>
          <w:b w:val="0"/>
        </w:rPr>
        <w:t xml:space="preserve"> Sci U S A</w:t>
      </w:r>
      <w:r w:rsidRPr="00677192">
        <w:rPr>
          <w:rFonts w:eastAsia="Times New Roman"/>
        </w:rPr>
        <w:t xml:space="preserve">. 2011;108(18):7460–5. </w:t>
      </w:r>
    </w:p>
    <w:p w14:paraId="548276C7" w14:textId="77777777" w:rsidR="00442C40" w:rsidRPr="00677192" w:rsidRDefault="00442C40" w:rsidP="00677192">
      <w:pPr>
        <w:pStyle w:val="ListParagraph"/>
        <w:numPr>
          <w:ilvl w:val="0"/>
          <w:numId w:val="12"/>
        </w:numPr>
        <w:rPr>
          <w:rFonts w:eastAsia="Times New Roman"/>
        </w:rPr>
      </w:pPr>
      <w:proofErr w:type="spellStart"/>
      <w:r w:rsidRPr="00677192">
        <w:rPr>
          <w:rFonts w:eastAsia="Times New Roman"/>
        </w:rPr>
        <w:t>Gubler</w:t>
      </w:r>
      <w:proofErr w:type="spellEnd"/>
      <w:r w:rsidRPr="00677192">
        <w:rPr>
          <w:rFonts w:eastAsia="Times New Roman"/>
        </w:rPr>
        <w:t xml:space="preserve"> DJ, Reiter P, </w:t>
      </w:r>
      <w:proofErr w:type="spellStart"/>
      <w:r w:rsidRPr="00677192">
        <w:rPr>
          <w:rFonts w:eastAsia="Times New Roman"/>
        </w:rPr>
        <w:t>Ebi</w:t>
      </w:r>
      <w:proofErr w:type="spellEnd"/>
      <w:r w:rsidRPr="00677192">
        <w:rPr>
          <w:rFonts w:eastAsia="Times New Roman"/>
        </w:rPr>
        <w:t xml:space="preserve"> KL, Yap W, </w:t>
      </w:r>
      <w:proofErr w:type="spellStart"/>
      <w:r w:rsidRPr="00677192">
        <w:rPr>
          <w:rFonts w:eastAsia="Times New Roman"/>
        </w:rPr>
        <w:t>Nasci</w:t>
      </w:r>
      <w:proofErr w:type="spellEnd"/>
      <w:r w:rsidRPr="00677192">
        <w:rPr>
          <w:rFonts w:eastAsia="Times New Roman"/>
        </w:rPr>
        <w:t xml:space="preserve"> R, Patz JA. Climate variability and change in the United States: potential impacts on vector- and rodent-borne diseases. </w:t>
      </w:r>
      <w:r w:rsidRPr="00677192">
        <w:rPr>
          <w:rStyle w:val="Emphasis"/>
          <w:rFonts w:eastAsia="Times New Roman"/>
          <w:b w:val="0"/>
        </w:rPr>
        <w:t xml:space="preserve">Environ Health </w:t>
      </w:r>
      <w:proofErr w:type="spellStart"/>
      <w:r w:rsidRPr="00677192">
        <w:rPr>
          <w:rStyle w:val="Emphasis"/>
          <w:rFonts w:eastAsia="Times New Roman"/>
          <w:b w:val="0"/>
        </w:rPr>
        <w:t>Perspect</w:t>
      </w:r>
      <w:proofErr w:type="spellEnd"/>
      <w:r w:rsidRPr="00677192">
        <w:rPr>
          <w:rFonts w:eastAsia="Times New Roman"/>
        </w:rPr>
        <w:t xml:space="preserve">. 2001;109(Suppl 2):223–33. </w:t>
      </w:r>
    </w:p>
    <w:p w14:paraId="2C13A5DB"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Halstead SB. Dengue virus–mosquito interactions. </w:t>
      </w:r>
      <w:proofErr w:type="spellStart"/>
      <w:r w:rsidRPr="00677192">
        <w:rPr>
          <w:rStyle w:val="Emphasis"/>
          <w:rFonts w:eastAsia="Times New Roman"/>
          <w:b w:val="0"/>
        </w:rPr>
        <w:t>Annu</w:t>
      </w:r>
      <w:proofErr w:type="spellEnd"/>
      <w:r w:rsidRPr="00677192">
        <w:rPr>
          <w:rStyle w:val="Emphasis"/>
          <w:rFonts w:eastAsia="Times New Roman"/>
          <w:b w:val="0"/>
        </w:rPr>
        <w:t xml:space="preserve"> Rev </w:t>
      </w:r>
      <w:proofErr w:type="spellStart"/>
      <w:r w:rsidRPr="00677192">
        <w:rPr>
          <w:rStyle w:val="Emphasis"/>
          <w:rFonts w:eastAsia="Times New Roman"/>
          <w:b w:val="0"/>
        </w:rPr>
        <w:t>Entomol</w:t>
      </w:r>
      <w:proofErr w:type="spellEnd"/>
      <w:r w:rsidRPr="00677192">
        <w:rPr>
          <w:rFonts w:eastAsia="Times New Roman"/>
        </w:rPr>
        <w:t xml:space="preserve">. 2008;53:273–91. </w:t>
      </w:r>
    </w:p>
    <w:p w14:paraId="08CE9C2D" w14:textId="77777777" w:rsidR="00442C40" w:rsidRPr="00677192" w:rsidRDefault="00442C40" w:rsidP="00677192">
      <w:pPr>
        <w:pStyle w:val="ListParagraph"/>
        <w:numPr>
          <w:ilvl w:val="0"/>
          <w:numId w:val="12"/>
        </w:numPr>
        <w:rPr>
          <w:rFonts w:eastAsia="Times New Roman"/>
        </w:rPr>
      </w:pPr>
      <w:proofErr w:type="spellStart"/>
      <w:r w:rsidRPr="00677192">
        <w:rPr>
          <w:rFonts w:eastAsia="Times New Roman"/>
        </w:rPr>
        <w:t>Castaño</w:t>
      </w:r>
      <w:proofErr w:type="spellEnd"/>
      <w:r w:rsidRPr="00677192">
        <w:rPr>
          <w:rFonts w:eastAsia="Times New Roman"/>
        </w:rPr>
        <w:t xml:space="preserve">-Osorio JC, </w:t>
      </w:r>
      <w:proofErr w:type="spellStart"/>
      <w:r w:rsidRPr="00677192">
        <w:rPr>
          <w:rFonts w:eastAsia="Times New Roman"/>
        </w:rPr>
        <w:t>Giraldo</w:t>
      </w:r>
      <w:proofErr w:type="spellEnd"/>
      <w:r w:rsidRPr="00677192">
        <w:rPr>
          <w:rFonts w:eastAsia="Times New Roman"/>
        </w:rPr>
        <w:t xml:space="preserve">-Garcia AM, </w:t>
      </w:r>
      <w:proofErr w:type="spellStart"/>
      <w:r w:rsidRPr="00677192">
        <w:rPr>
          <w:rFonts w:eastAsia="Times New Roman"/>
        </w:rPr>
        <w:t>Giraldo</w:t>
      </w:r>
      <w:proofErr w:type="spellEnd"/>
      <w:r w:rsidRPr="00677192">
        <w:rPr>
          <w:rFonts w:eastAsia="Times New Roman"/>
        </w:rPr>
        <w:t xml:space="preserve"> MI. Current status of vaccines against dengue virus. In Falcón-Lezama JA, Betancourt-</w:t>
      </w:r>
      <w:proofErr w:type="spellStart"/>
      <w:r w:rsidRPr="00677192">
        <w:rPr>
          <w:rFonts w:eastAsia="Times New Roman"/>
        </w:rPr>
        <w:t>Cravioto</w:t>
      </w:r>
      <w:proofErr w:type="spellEnd"/>
      <w:r w:rsidRPr="00677192">
        <w:rPr>
          <w:rFonts w:eastAsia="Times New Roman"/>
        </w:rPr>
        <w:t xml:space="preserve"> M, Tapia-</w:t>
      </w:r>
      <w:proofErr w:type="spellStart"/>
      <w:r w:rsidRPr="00677192">
        <w:rPr>
          <w:rFonts w:eastAsia="Times New Roman"/>
        </w:rPr>
        <w:t>Conyer</w:t>
      </w:r>
      <w:proofErr w:type="spellEnd"/>
      <w:r w:rsidRPr="00677192">
        <w:rPr>
          <w:rFonts w:eastAsia="Times New Roman"/>
        </w:rPr>
        <w:t xml:space="preserve"> R, eds. </w:t>
      </w:r>
      <w:r w:rsidRPr="00677192">
        <w:rPr>
          <w:rStyle w:val="Emphasis"/>
          <w:rFonts w:eastAsia="Times New Roman"/>
          <w:b w:val="0"/>
        </w:rPr>
        <w:t>Dengue Fever - a Resilient Threat in the Face of Innovation.</w:t>
      </w:r>
      <w:r w:rsidRPr="00677192">
        <w:rPr>
          <w:rFonts w:eastAsia="Times New Roman"/>
        </w:rPr>
        <w:t xml:space="preserve"> London: </w:t>
      </w:r>
      <w:proofErr w:type="spellStart"/>
      <w:r w:rsidRPr="00677192">
        <w:rPr>
          <w:rFonts w:eastAsia="Times New Roman"/>
        </w:rPr>
        <w:t>InTechOpen</w:t>
      </w:r>
      <w:proofErr w:type="spellEnd"/>
      <w:r w:rsidRPr="00677192">
        <w:rPr>
          <w:rFonts w:eastAsia="Times New Roman"/>
        </w:rPr>
        <w:t xml:space="preserve">; 2018. </w:t>
      </w:r>
      <w:proofErr w:type="spellStart"/>
      <w:r w:rsidRPr="00677192">
        <w:rPr>
          <w:rFonts w:eastAsia="Times New Roman"/>
        </w:rPr>
        <w:t>doi</w:t>
      </w:r>
      <w:proofErr w:type="spellEnd"/>
      <w:r w:rsidRPr="00677192">
        <w:rPr>
          <w:rFonts w:eastAsia="Times New Roman"/>
        </w:rPr>
        <w:t xml:space="preserve">: https://doi.org/10.5772/intechopen.80820. </w:t>
      </w:r>
    </w:p>
    <w:p w14:paraId="794A271D"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Beebe NW, Cooper RD, Mottram P, Sweeney AW. Australia’s dengue risk driven by human adaptation to climate change. </w:t>
      </w:r>
      <w:proofErr w:type="spellStart"/>
      <w:r w:rsidRPr="00677192">
        <w:rPr>
          <w:rStyle w:val="Emphasis"/>
          <w:rFonts w:eastAsia="Times New Roman"/>
          <w:b w:val="0"/>
        </w:rPr>
        <w:t>PLoS</w:t>
      </w:r>
      <w:proofErr w:type="spellEnd"/>
      <w:r w:rsidRPr="00677192">
        <w:rPr>
          <w:rStyle w:val="Emphasis"/>
          <w:rFonts w:eastAsia="Times New Roman"/>
          <w:b w:val="0"/>
        </w:rPr>
        <w:t xml:space="preserve"> </w:t>
      </w:r>
      <w:proofErr w:type="spellStart"/>
      <w:r w:rsidRPr="00677192">
        <w:rPr>
          <w:rStyle w:val="Emphasis"/>
          <w:rFonts w:eastAsia="Times New Roman"/>
          <w:b w:val="0"/>
        </w:rPr>
        <w:t>Negl</w:t>
      </w:r>
      <w:proofErr w:type="spellEnd"/>
      <w:r w:rsidRPr="00677192">
        <w:rPr>
          <w:rStyle w:val="Emphasis"/>
          <w:rFonts w:eastAsia="Times New Roman"/>
          <w:b w:val="0"/>
        </w:rPr>
        <w:t xml:space="preserve"> Trop Dis</w:t>
      </w:r>
      <w:r w:rsidRPr="00677192">
        <w:rPr>
          <w:rFonts w:eastAsia="Times New Roman"/>
        </w:rPr>
        <w:t xml:space="preserve">. 2009;3(5):e429. </w:t>
      </w:r>
    </w:p>
    <w:p w14:paraId="2CCB694A"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Moore PR, Johnson PH, Smith GA, Ritchie SA, Van Den </w:t>
      </w:r>
      <w:proofErr w:type="spellStart"/>
      <w:r w:rsidRPr="00677192">
        <w:rPr>
          <w:rFonts w:eastAsia="Times New Roman"/>
        </w:rPr>
        <w:t>Hurk</w:t>
      </w:r>
      <w:proofErr w:type="spellEnd"/>
      <w:r w:rsidRPr="00677192">
        <w:rPr>
          <w:rFonts w:eastAsia="Times New Roman"/>
        </w:rPr>
        <w:t xml:space="preserve"> AF. Infection and dissemination of dengue virus type 2 in </w:t>
      </w:r>
      <w:r w:rsidRPr="00677192">
        <w:rPr>
          <w:rStyle w:val="Emphasis"/>
          <w:rFonts w:eastAsia="Times New Roman"/>
          <w:b w:val="0"/>
        </w:rPr>
        <w:t>Aedes aegypti</w:t>
      </w:r>
      <w:r w:rsidRPr="00677192">
        <w:rPr>
          <w:rFonts w:eastAsia="Times New Roman"/>
        </w:rPr>
        <w:t xml:space="preserve">, </w:t>
      </w:r>
      <w:r w:rsidRPr="00677192">
        <w:rPr>
          <w:rStyle w:val="Emphasis"/>
          <w:rFonts w:eastAsia="Times New Roman"/>
          <w:b w:val="0"/>
        </w:rPr>
        <w:t>Aedes albopictus</w:t>
      </w:r>
      <w:r w:rsidRPr="00677192">
        <w:rPr>
          <w:rFonts w:eastAsia="Times New Roman"/>
        </w:rPr>
        <w:t xml:space="preserve">, and </w:t>
      </w:r>
      <w:r w:rsidRPr="00677192">
        <w:rPr>
          <w:rStyle w:val="Emphasis"/>
          <w:rFonts w:eastAsia="Times New Roman"/>
          <w:b w:val="0"/>
        </w:rPr>
        <w:t xml:space="preserve">Aedes </w:t>
      </w:r>
      <w:proofErr w:type="spellStart"/>
      <w:r w:rsidRPr="00677192">
        <w:rPr>
          <w:rStyle w:val="Emphasis"/>
          <w:rFonts w:eastAsia="Times New Roman"/>
          <w:b w:val="0"/>
        </w:rPr>
        <w:t>scutellaris</w:t>
      </w:r>
      <w:proofErr w:type="spellEnd"/>
      <w:r w:rsidRPr="00677192">
        <w:rPr>
          <w:rFonts w:eastAsia="Times New Roman"/>
        </w:rPr>
        <w:t xml:space="preserve"> from the Torres Strait, Australia. </w:t>
      </w:r>
      <w:r w:rsidRPr="00677192">
        <w:rPr>
          <w:rStyle w:val="Emphasis"/>
          <w:rFonts w:eastAsia="Times New Roman"/>
          <w:b w:val="0"/>
        </w:rPr>
        <w:t xml:space="preserve">J Am </w:t>
      </w:r>
      <w:proofErr w:type="spellStart"/>
      <w:r w:rsidRPr="00677192">
        <w:rPr>
          <w:rStyle w:val="Emphasis"/>
          <w:rFonts w:eastAsia="Times New Roman"/>
          <w:b w:val="0"/>
        </w:rPr>
        <w:t>Mosq</w:t>
      </w:r>
      <w:proofErr w:type="spellEnd"/>
      <w:r w:rsidRPr="00677192">
        <w:rPr>
          <w:rStyle w:val="Emphasis"/>
          <w:rFonts w:eastAsia="Times New Roman"/>
          <w:b w:val="0"/>
        </w:rPr>
        <w:t xml:space="preserve"> Control Assoc</w:t>
      </w:r>
      <w:r w:rsidRPr="00677192">
        <w:rPr>
          <w:rFonts w:eastAsia="Times New Roman"/>
        </w:rPr>
        <w:t xml:space="preserve">. 2007;23(4):383–8. </w:t>
      </w:r>
    </w:p>
    <w:p w14:paraId="12930923" w14:textId="77777777" w:rsidR="00442C40" w:rsidRPr="00677192" w:rsidRDefault="00442C40" w:rsidP="00677192">
      <w:pPr>
        <w:pStyle w:val="ListParagraph"/>
        <w:numPr>
          <w:ilvl w:val="0"/>
          <w:numId w:val="12"/>
        </w:numPr>
        <w:rPr>
          <w:rFonts w:eastAsia="Times New Roman"/>
        </w:rPr>
      </w:pPr>
      <w:proofErr w:type="spellStart"/>
      <w:r w:rsidRPr="00677192">
        <w:rPr>
          <w:rFonts w:eastAsia="Times New Roman"/>
        </w:rPr>
        <w:t>Muzari</w:t>
      </w:r>
      <w:proofErr w:type="spellEnd"/>
      <w:r w:rsidRPr="00677192">
        <w:rPr>
          <w:rFonts w:eastAsia="Times New Roman"/>
        </w:rPr>
        <w:t xml:space="preserve"> MO, Devine G, Davis J, </w:t>
      </w:r>
      <w:proofErr w:type="spellStart"/>
      <w:r w:rsidRPr="00677192">
        <w:rPr>
          <w:rFonts w:eastAsia="Times New Roman"/>
        </w:rPr>
        <w:t>Crunkhorn</w:t>
      </w:r>
      <w:proofErr w:type="spellEnd"/>
      <w:r w:rsidRPr="00677192">
        <w:rPr>
          <w:rFonts w:eastAsia="Times New Roman"/>
        </w:rPr>
        <w:t xml:space="preserve"> B, van den </w:t>
      </w:r>
      <w:proofErr w:type="spellStart"/>
      <w:r w:rsidRPr="00677192">
        <w:rPr>
          <w:rFonts w:eastAsia="Times New Roman"/>
        </w:rPr>
        <w:t>Hurk</w:t>
      </w:r>
      <w:proofErr w:type="spellEnd"/>
      <w:r w:rsidRPr="00677192">
        <w:rPr>
          <w:rFonts w:eastAsia="Times New Roman"/>
        </w:rPr>
        <w:t xml:space="preserve"> A, Whelan P et al. Holding back the tiger: Successful control program protects Australia from </w:t>
      </w:r>
      <w:r w:rsidRPr="00677192">
        <w:rPr>
          <w:rStyle w:val="Emphasis"/>
          <w:rFonts w:eastAsia="Times New Roman"/>
          <w:b w:val="0"/>
        </w:rPr>
        <w:t>Aedes albopictus</w:t>
      </w:r>
      <w:r w:rsidRPr="00677192">
        <w:rPr>
          <w:rFonts w:eastAsia="Times New Roman"/>
        </w:rPr>
        <w:t xml:space="preserve"> expansion. </w:t>
      </w:r>
      <w:proofErr w:type="spellStart"/>
      <w:r w:rsidRPr="00677192">
        <w:rPr>
          <w:rStyle w:val="Emphasis"/>
          <w:rFonts w:eastAsia="Times New Roman"/>
          <w:b w:val="0"/>
        </w:rPr>
        <w:t>PLoS</w:t>
      </w:r>
      <w:proofErr w:type="spellEnd"/>
      <w:r w:rsidRPr="00677192">
        <w:rPr>
          <w:rStyle w:val="Emphasis"/>
          <w:rFonts w:eastAsia="Times New Roman"/>
          <w:b w:val="0"/>
        </w:rPr>
        <w:t xml:space="preserve"> </w:t>
      </w:r>
      <w:proofErr w:type="spellStart"/>
      <w:r w:rsidRPr="00677192">
        <w:rPr>
          <w:rStyle w:val="Emphasis"/>
          <w:rFonts w:eastAsia="Times New Roman"/>
          <w:b w:val="0"/>
        </w:rPr>
        <w:t>Negl</w:t>
      </w:r>
      <w:proofErr w:type="spellEnd"/>
      <w:r w:rsidRPr="00677192">
        <w:rPr>
          <w:rStyle w:val="Emphasis"/>
          <w:rFonts w:eastAsia="Times New Roman"/>
          <w:b w:val="0"/>
        </w:rPr>
        <w:t xml:space="preserve"> Trop Dis.</w:t>
      </w:r>
      <w:r w:rsidRPr="00677192">
        <w:rPr>
          <w:rFonts w:eastAsia="Times New Roman"/>
        </w:rPr>
        <w:t xml:space="preserve"> 2017;11(2). </w:t>
      </w:r>
      <w:proofErr w:type="spellStart"/>
      <w:r w:rsidRPr="00677192">
        <w:rPr>
          <w:rFonts w:eastAsia="Times New Roman"/>
        </w:rPr>
        <w:t>doi</w:t>
      </w:r>
      <w:proofErr w:type="spellEnd"/>
      <w:r w:rsidRPr="00677192">
        <w:rPr>
          <w:rFonts w:eastAsia="Times New Roman"/>
        </w:rPr>
        <w:t xml:space="preserve">: https://doi.org/10.1371/journal.pntd.0005286. </w:t>
      </w:r>
    </w:p>
    <w:p w14:paraId="2DD2419B"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WHO. Dengue and severe dengue. [Internet.] Geneva: WHO; 23 June 2020. Available from: https://www.who.int/news-room/fact-sheets/detail/dengue-and-severe-dengue. </w:t>
      </w:r>
    </w:p>
    <w:p w14:paraId="762BB27E"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Pyke AT. The origins of dengue outbreaks in northern Queensland, Australia, 1990–2017. </w:t>
      </w:r>
      <w:r w:rsidRPr="00677192">
        <w:rPr>
          <w:rStyle w:val="Emphasis"/>
          <w:rFonts w:eastAsia="Times New Roman"/>
          <w:b w:val="0"/>
        </w:rPr>
        <w:t>Microbiol Aust</w:t>
      </w:r>
      <w:r w:rsidRPr="00677192">
        <w:rPr>
          <w:rFonts w:eastAsia="Times New Roman"/>
        </w:rPr>
        <w:t xml:space="preserve">. 2018;39(2):93–5. </w:t>
      </w:r>
    </w:p>
    <w:p w14:paraId="056B8E27" w14:textId="77777777" w:rsidR="00442C40" w:rsidRPr="00677192" w:rsidRDefault="00442C40" w:rsidP="00677192">
      <w:pPr>
        <w:pStyle w:val="ListParagraph"/>
        <w:numPr>
          <w:ilvl w:val="0"/>
          <w:numId w:val="12"/>
        </w:numPr>
        <w:rPr>
          <w:rFonts w:eastAsia="Times New Roman"/>
        </w:rPr>
      </w:pPr>
      <w:r w:rsidRPr="00677192">
        <w:rPr>
          <w:rFonts w:eastAsia="Times New Roman"/>
        </w:rPr>
        <w:lastRenderedPageBreak/>
        <w:t xml:space="preserve">Moore PR, van den </w:t>
      </w:r>
      <w:proofErr w:type="spellStart"/>
      <w:r w:rsidRPr="00677192">
        <w:rPr>
          <w:rFonts w:eastAsia="Times New Roman"/>
        </w:rPr>
        <w:t>Hurk</w:t>
      </w:r>
      <w:proofErr w:type="spellEnd"/>
      <w:r w:rsidRPr="00677192">
        <w:rPr>
          <w:rFonts w:eastAsia="Times New Roman"/>
        </w:rPr>
        <w:t xml:space="preserve"> AF, Mackenzie JS, Pyke AT. Dengue viruses in Papua New Guinea: evidence of endemicity and phylogenetic variation, including the evolution of new genetic lineages. </w:t>
      </w:r>
      <w:proofErr w:type="spellStart"/>
      <w:r w:rsidRPr="00677192">
        <w:rPr>
          <w:rStyle w:val="Emphasis"/>
          <w:rFonts w:eastAsia="Times New Roman"/>
          <w:b w:val="0"/>
        </w:rPr>
        <w:t>Emerg</w:t>
      </w:r>
      <w:proofErr w:type="spellEnd"/>
      <w:r w:rsidRPr="00677192">
        <w:rPr>
          <w:rStyle w:val="Emphasis"/>
          <w:rFonts w:eastAsia="Times New Roman"/>
          <w:b w:val="0"/>
        </w:rPr>
        <w:t xml:space="preserve"> Microbes Infect</w:t>
      </w:r>
      <w:r w:rsidRPr="00677192">
        <w:rPr>
          <w:rFonts w:eastAsia="Times New Roman"/>
        </w:rPr>
        <w:t xml:space="preserve">. 2017;6(12):e114. </w:t>
      </w:r>
    </w:p>
    <w:p w14:paraId="0A3923BF"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Pyke AT, Gunn W, Taylor C, Mackay IM, McMahon J, </w:t>
      </w:r>
      <w:proofErr w:type="spellStart"/>
      <w:r w:rsidRPr="00677192">
        <w:rPr>
          <w:rFonts w:eastAsia="Times New Roman"/>
        </w:rPr>
        <w:t>Jelley</w:t>
      </w:r>
      <w:proofErr w:type="spellEnd"/>
      <w:r w:rsidRPr="00677192">
        <w:rPr>
          <w:rFonts w:eastAsia="Times New Roman"/>
        </w:rPr>
        <w:t xml:space="preserve"> L et al. On the home front: specialised reference testing for dengue in the Australasian region. </w:t>
      </w:r>
      <w:r w:rsidRPr="00677192">
        <w:rPr>
          <w:rStyle w:val="Emphasis"/>
          <w:rFonts w:eastAsia="Times New Roman"/>
          <w:b w:val="0"/>
        </w:rPr>
        <w:t>Trop Med Infect Dis</w:t>
      </w:r>
      <w:r w:rsidRPr="00677192">
        <w:rPr>
          <w:rFonts w:eastAsia="Times New Roman"/>
        </w:rPr>
        <w:t xml:space="preserve">. 2018;3(3):75. </w:t>
      </w:r>
    </w:p>
    <w:p w14:paraId="4D1D04FE" w14:textId="77777777" w:rsidR="00442C40" w:rsidRPr="00677192" w:rsidRDefault="00442C40" w:rsidP="00677192">
      <w:pPr>
        <w:pStyle w:val="ListParagraph"/>
        <w:numPr>
          <w:ilvl w:val="0"/>
          <w:numId w:val="12"/>
        </w:numPr>
        <w:rPr>
          <w:rFonts w:eastAsia="Times New Roman"/>
        </w:rPr>
      </w:pPr>
      <w:proofErr w:type="spellStart"/>
      <w:r w:rsidRPr="00677192">
        <w:rPr>
          <w:rFonts w:eastAsia="Times New Roman"/>
        </w:rPr>
        <w:t>Warrilow</w:t>
      </w:r>
      <w:proofErr w:type="spellEnd"/>
      <w:r w:rsidRPr="00677192">
        <w:rPr>
          <w:rFonts w:eastAsia="Times New Roman"/>
        </w:rPr>
        <w:t xml:space="preserve"> D, </w:t>
      </w:r>
      <w:proofErr w:type="spellStart"/>
      <w:r w:rsidRPr="00677192">
        <w:rPr>
          <w:rFonts w:eastAsia="Times New Roman"/>
        </w:rPr>
        <w:t>Northill</w:t>
      </w:r>
      <w:proofErr w:type="spellEnd"/>
      <w:r w:rsidRPr="00677192">
        <w:rPr>
          <w:rFonts w:eastAsia="Times New Roman"/>
        </w:rPr>
        <w:t xml:space="preserve"> JA, Pyke AT. Sources of dengue viruses imported into Queensland, Australia, 2002–2010. </w:t>
      </w:r>
      <w:proofErr w:type="spellStart"/>
      <w:r w:rsidRPr="00677192">
        <w:rPr>
          <w:rStyle w:val="Emphasis"/>
          <w:rFonts w:eastAsia="Times New Roman"/>
          <w:b w:val="0"/>
        </w:rPr>
        <w:t>Emerg</w:t>
      </w:r>
      <w:proofErr w:type="spellEnd"/>
      <w:r w:rsidRPr="00677192">
        <w:rPr>
          <w:rStyle w:val="Emphasis"/>
          <w:rFonts w:eastAsia="Times New Roman"/>
          <w:b w:val="0"/>
        </w:rPr>
        <w:t xml:space="preserve"> Infect Dis</w:t>
      </w:r>
      <w:r w:rsidRPr="00677192">
        <w:rPr>
          <w:rFonts w:eastAsia="Times New Roman"/>
        </w:rPr>
        <w:t xml:space="preserve">. 2012;18(11):1850–7. </w:t>
      </w:r>
    </w:p>
    <w:p w14:paraId="6D555D5C"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Lumley GF, Taylor FH. </w:t>
      </w:r>
      <w:r w:rsidRPr="00677192">
        <w:rPr>
          <w:rStyle w:val="Emphasis"/>
          <w:rFonts w:eastAsia="Times New Roman"/>
          <w:b w:val="0"/>
        </w:rPr>
        <w:t>Dengue. Part I. Medical. Part II. Entomological</w:t>
      </w:r>
      <w:r w:rsidRPr="00677192">
        <w:rPr>
          <w:rFonts w:eastAsia="Times New Roman"/>
        </w:rPr>
        <w:t xml:space="preserve">. (Service publication no. 3: University of Sydney School of Public Health and Tropical Medicine.) Glebe: Austen Med. Pub. Co.; 1943. </w:t>
      </w:r>
    </w:p>
    <w:p w14:paraId="7EEB917F"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Hare FE. The 1897 epidemic of dengue in North Queensland. </w:t>
      </w:r>
      <w:r w:rsidRPr="00677192">
        <w:rPr>
          <w:rStyle w:val="Emphasis"/>
          <w:rFonts w:eastAsia="Times New Roman"/>
          <w:b w:val="0"/>
        </w:rPr>
        <w:t>Aust Med Gaz</w:t>
      </w:r>
      <w:r w:rsidRPr="00677192">
        <w:rPr>
          <w:rFonts w:eastAsia="Times New Roman"/>
        </w:rPr>
        <w:t xml:space="preserve">. 1898;17:98–107. </w:t>
      </w:r>
    </w:p>
    <w:p w14:paraId="2E39B7BD"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Doherty RL. Clinical and epidemiological observations on dengue fever in Queensland, 1954–1955. </w:t>
      </w:r>
      <w:r w:rsidRPr="00677192">
        <w:rPr>
          <w:rStyle w:val="Emphasis"/>
          <w:rFonts w:eastAsia="Times New Roman"/>
          <w:b w:val="0"/>
        </w:rPr>
        <w:t>Med J Aust</w:t>
      </w:r>
      <w:r w:rsidRPr="00677192">
        <w:rPr>
          <w:rFonts w:eastAsia="Times New Roman"/>
        </w:rPr>
        <w:t xml:space="preserve">. 1957;44(22):753–6. </w:t>
      </w:r>
    </w:p>
    <w:p w14:paraId="774A9836"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Australian Bureau of Statistics. Census of Population and Housing: Reflecting Australia - Stories from the Census, 2016. [Website.] Canberra: Australian Bureau of Statistics; 2017. Available from: https://www.abs.gov.au/ausstats/abs@.nsf/mf/2071.0. </w:t>
      </w:r>
    </w:p>
    <w:p w14:paraId="03BE458F"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Liu C, </w:t>
      </w:r>
      <w:proofErr w:type="spellStart"/>
      <w:r w:rsidRPr="00677192">
        <w:rPr>
          <w:rFonts w:eastAsia="Times New Roman"/>
        </w:rPr>
        <w:t>Begg</w:t>
      </w:r>
      <w:proofErr w:type="spellEnd"/>
      <w:r w:rsidRPr="00677192">
        <w:rPr>
          <w:rFonts w:eastAsia="Times New Roman"/>
        </w:rPr>
        <w:t xml:space="preserve"> K, Johansen C, Whelan P, </w:t>
      </w:r>
      <w:proofErr w:type="spellStart"/>
      <w:r w:rsidRPr="00677192">
        <w:rPr>
          <w:rFonts w:eastAsia="Times New Roman"/>
        </w:rPr>
        <w:t>Kurucz</w:t>
      </w:r>
      <w:proofErr w:type="spellEnd"/>
      <w:r w:rsidRPr="00677192">
        <w:rPr>
          <w:rFonts w:eastAsia="Times New Roman"/>
        </w:rPr>
        <w:t xml:space="preserve"> N, Melville L. Communicable Diseases Network Australia National Arbovirus and Malaria Advisory Committee annual report, 2006–07. </w:t>
      </w:r>
      <w:proofErr w:type="spellStart"/>
      <w:r w:rsidRPr="00677192">
        <w:rPr>
          <w:rStyle w:val="Emphasis"/>
          <w:rFonts w:eastAsia="Times New Roman"/>
          <w:b w:val="0"/>
        </w:rPr>
        <w:t>Commun</w:t>
      </w:r>
      <w:proofErr w:type="spellEnd"/>
      <w:r w:rsidRPr="00677192">
        <w:rPr>
          <w:rStyle w:val="Emphasis"/>
          <w:rFonts w:eastAsia="Times New Roman"/>
          <w:b w:val="0"/>
        </w:rPr>
        <w:t xml:space="preserve"> Dis </w:t>
      </w:r>
      <w:proofErr w:type="spellStart"/>
      <w:r w:rsidRPr="00677192">
        <w:rPr>
          <w:rStyle w:val="Emphasis"/>
          <w:rFonts w:eastAsia="Times New Roman"/>
          <w:b w:val="0"/>
        </w:rPr>
        <w:t>Intell</w:t>
      </w:r>
      <w:proofErr w:type="spellEnd"/>
      <w:r w:rsidRPr="00677192">
        <w:rPr>
          <w:rStyle w:val="Emphasis"/>
          <w:rFonts w:eastAsia="Times New Roman"/>
          <w:b w:val="0"/>
        </w:rPr>
        <w:t xml:space="preserve"> Q Rep</w:t>
      </w:r>
      <w:r w:rsidRPr="00677192">
        <w:rPr>
          <w:rFonts w:eastAsia="Times New Roman"/>
        </w:rPr>
        <w:t xml:space="preserve">. 2008;32(1):31–47. </w:t>
      </w:r>
    </w:p>
    <w:p w14:paraId="357F2ED4"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Price MN, Dehal PS, Arkin AP. </w:t>
      </w:r>
      <w:proofErr w:type="spellStart"/>
      <w:r w:rsidRPr="00677192">
        <w:rPr>
          <w:rFonts w:eastAsia="Times New Roman"/>
        </w:rPr>
        <w:t>FastTree</w:t>
      </w:r>
      <w:proofErr w:type="spellEnd"/>
      <w:r w:rsidRPr="00677192">
        <w:rPr>
          <w:rFonts w:eastAsia="Times New Roman"/>
        </w:rPr>
        <w:t xml:space="preserve"> 2 – approximately maximum-likelihood trees for large alignments. </w:t>
      </w:r>
      <w:proofErr w:type="spellStart"/>
      <w:r w:rsidRPr="00677192">
        <w:rPr>
          <w:rStyle w:val="Emphasis"/>
          <w:rFonts w:eastAsia="Times New Roman"/>
          <w:b w:val="0"/>
        </w:rPr>
        <w:t>PLoS</w:t>
      </w:r>
      <w:proofErr w:type="spellEnd"/>
      <w:r w:rsidRPr="00677192">
        <w:rPr>
          <w:rStyle w:val="Emphasis"/>
          <w:rFonts w:eastAsia="Times New Roman"/>
          <w:b w:val="0"/>
        </w:rPr>
        <w:t xml:space="preserve"> One</w:t>
      </w:r>
      <w:r w:rsidRPr="00677192">
        <w:rPr>
          <w:rFonts w:eastAsia="Times New Roman"/>
        </w:rPr>
        <w:t xml:space="preserve">. 2010;5(3):e9490. </w:t>
      </w:r>
    </w:p>
    <w:p w14:paraId="6B34577A"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Kumar S, </w:t>
      </w:r>
      <w:proofErr w:type="spellStart"/>
      <w:r w:rsidRPr="00677192">
        <w:rPr>
          <w:rFonts w:eastAsia="Times New Roman"/>
        </w:rPr>
        <w:t>Stecher</w:t>
      </w:r>
      <w:proofErr w:type="spellEnd"/>
      <w:r w:rsidRPr="00677192">
        <w:rPr>
          <w:rFonts w:eastAsia="Times New Roman"/>
        </w:rPr>
        <w:t xml:space="preserve"> G, Tamura K. MEGA7: Molecular Evolutionary Genetics Analysis version 7.0 for bigger datasets. </w:t>
      </w:r>
      <w:r w:rsidRPr="00677192">
        <w:rPr>
          <w:rStyle w:val="Emphasis"/>
          <w:rFonts w:eastAsia="Times New Roman"/>
          <w:b w:val="0"/>
        </w:rPr>
        <w:t xml:space="preserve">Mol Biol </w:t>
      </w:r>
      <w:proofErr w:type="spellStart"/>
      <w:r w:rsidRPr="00677192">
        <w:rPr>
          <w:rStyle w:val="Emphasis"/>
          <w:rFonts w:eastAsia="Times New Roman"/>
          <w:b w:val="0"/>
        </w:rPr>
        <w:t>Evol</w:t>
      </w:r>
      <w:proofErr w:type="spellEnd"/>
      <w:r w:rsidRPr="00677192">
        <w:rPr>
          <w:rFonts w:eastAsia="Times New Roman"/>
        </w:rPr>
        <w:t xml:space="preserve">. 2016;33(7):1870–4. </w:t>
      </w:r>
    </w:p>
    <w:p w14:paraId="520CC2B4"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Queensland Health (QH) Communicable Diseases Branch. </w:t>
      </w:r>
      <w:r w:rsidRPr="00677192">
        <w:rPr>
          <w:rStyle w:val="Emphasis"/>
          <w:rFonts w:eastAsia="Times New Roman"/>
          <w:b w:val="0"/>
        </w:rPr>
        <w:t>Mosquito-borne diseases in Queensland, 1 July 2012 – 30 June 2017</w:t>
      </w:r>
      <w:r w:rsidRPr="00677192">
        <w:rPr>
          <w:rFonts w:eastAsia="Times New Roman"/>
        </w:rPr>
        <w:t xml:space="preserve">. Brisbane: Queensland Government, QH; May 2018. Available from: https://www.health.qld.gov.au/__data/assets/pdf_file/0020/712253/mbd-report-annual.pdf. </w:t>
      </w:r>
    </w:p>
    <w:p w14:paraId="4E965612" w14:textId="77777777" w:rsidR="00442C40" w:rsidRPr="00677192" w:rsidRDefault="00442C40" w:rsidP="00677192">
      <w:pPr>
        <w:pStyle w:val="ListParagraph"/>
        <w:numPr>
          <w:ilvl w:val="0"/>
          <w:numId w:val="12"/>
        </w:numPr>
        <w:rPr>
          <w:rFonts w:eastAsia="Times New Roman"/>
        </w:rPr>
      </w:pPr>
      <w:r w:rsidRPr="00677192">
        <w:rPr>
          <w:rFonts w:eastAsia="Times New Roman"/>
        </w:rPr>
        <w:t xml:space="preserve">Webb C, Doggett S, Russell R. </w:t>
      </w:r>
      <w:r w:rsidRPr="00677192">
        <w:rPr>
          <w:rStyle w:val="Emphasis"/>
          <w:rFonts w:eastAsia="Times New Roman"/>
          <w:b w:val="0"/>
        </w:rPr>
        <w:t>A guide to mosquitoes of Australia</w:t>
      </w:r>
      <w:r w:rsidRPr="00677192">
        <w:rPr>
          <w:rFonts w:eastAsia="Times New Roman"/>
        </w:rPr>
        <w:t xml:space="preserve">. Melbourne: CSIRO Publishing; 2016. </w:t>
      </w:r>
    </w:p>
    <w:p w14:paraId="7870D2D8" w14:textId="531B54C2" w:rsidR="00442C40" w:rsidRPr="00677192" w:rsidRDefault="00442C40" w:rsidP="00677192">
      <w:pPr>
        <w:pStyle w:val="ListParagraph"/>
        <w:numPr>
          <w:ilvl w:val="0"/>
          <w:numId w:val="12"/>
        </w:numPr>
        <w:rPr>
          <w:rFonts w:eastAsia="Times New Roman"/>
        </w:rPr>
      </w:pPr>
      <w:r w:rsidRPr="00677192">
        <w:rPr>
          <w:rFonts w:eastAsia="Times New Roman"/>
        </w:rPr>
        <w:lastRenderedPageBreak/>
        <w:t xml:space="preserve">Ryan PA, Turley AP, Wilson G, Hurst TP, </w:t>
      </w:r>
      <w:proofErr w:type="spellStart"/>
      <w:r w:rsidRPr="00677192">
        <w:rPr>
          <w:rFonts w:eastAsia="Times New Roman"/>
        </w:rPr>
        <w:t>Retzi</w:t>
      </w:r>
      <w:proofErr w:type="spellEnd"/>
      <w:r w:rsidRPr="00677192">
        <w:rPr>
          <w:rFonts w:eastAsia="Times New Roman"/>
        </w:rPr>
        <w:t xml:space="preserve"> K, Brown-Kenyon J et al. Establishment of </w:t>
      </w:r>
      <w:r w:rsidRPr="00677192">
        <w:rPr>
          <w:rStyle w:val="Emphasis"/>
          <w:rFonts w:eastAsia="Times New Roman"/>
          <w:b w:val="0"/>
        </w:rPr>
        <w:t>w</w:t>
      </w:r>
      <w:r w:rsidRPr="00677192">
        <w:rPr>
          <w:rFonts w:eastAsia="Times New Roman"/>
        </w:rPr>
        <w:t xml:space="preserve"> Mel </w:t>
      </w:r>
      <w:r w:rsidRPr="00677192">
        <w:rPr>
          <w:rStyle w:val="Emphasis"/>
          <w:rFonts w:eastAsia="Times New Roman"/>
          <w:b w:val="0"/>
        </w:rPr>
        <w:t>Wolbachia</w:t>
      </w:r>
      <w:r w:rsidRPr="00677192">
        <w:rPr>
          <w:rFonts w:eastAsia="Times New Roman"/>
        </w:rPr>
        <w:t xml:space="preserve"> in </w:t>
      </w:r>
      <w:r w:rsidRPr="00677192">
        <w:rPr>
          <w:rStyle w:val="Emphasis"/>
          <w:rFonts w:eastAsia="Times New Roman"/>
          <w:b w:val="0"/>
        </w:rPr>
        <w:t>Aedes aegypti</w:t>
      </w:r>
      <w:r w:rsidRPr="00677192">
        <w:rPr>
          <w:rFonts w:eastAsia="Times New Roman"/>
        </w:rPr>
        <w:t xml:space="preserve"> mosquitoes and reduction of local dengue transmission in Cairns and surrounding locations in northern Queensland, Australia. </w:t>
      </w:r>
      <w:r w:rsidRPr="00677192">
        <w:rPr>
          <w:rStyle w:val="Emphasis"/>
          <w:rFonts w:eastAsia="Times New Roman"/>
          <w:b w:val="0"/>
        </w:rPr>
        <w:t>Gates Open Res.</w:t>
      </w:r>
      <w:r w:rsidRPr="00677192">
        <w:rPr>
          <w:rFonts w:eastAsia="Times New Roman"/>
        </w:rPr>
        <w:t xml:space="preserve"> 2020;3:1547. </w:t>
      </w:r>
      <w:proofErr w:type="spellStart"/>
      <w:r w:rsidRPr="00677192">
        <w:rPr>
          <w:rFonts w:eastAsia="Times New Roman"/>
        </w:rPr>
        <w:t>doi</w:t>
      </w:r>
      <w:proofErr w:type="spellEnd"/>
      <w:r w:rsidRPr="00677192">
        <w:rPr>
          <w:rFonts w:eastAsia="Times New Roman"/>
        </w:rPr>
        <w:t>:</w:t>
      </w:r>
      <w:r w:rsidR="00600388">
        <w:rPr>
          <w:rFonts w:eastAsia="Times New Roman"/>
        </w:rPr>
        <w:t xml:space="preserve"> </w:t>
      </w:r>
      <w:r w:rsidRPr="00677192">
        <w:rPr>
          <w:rFonts w:eastAsia="Times New Roman"/>
        </w:rPr>
        <w:t>https://doi.org/10.12688/gatesopenres.13061.2.</w:t>
      </w:r>
    </w:p>
    <w:p w14:paraId="1B558E4D" w14:textId="77777777" w:rsidR="006122B1" w:rsidRDefault="006122B1">
      <w:pPr>
        <w:rPr>
          <w:rFonts w:asciiTheme="majorHAnsi" w:eastAsiaTheme="majorEastAsia" w:hAnsiTheme="majorHAnsi" w:cstheme="majorBidi"/>
          <w:b/>
          <w:bCs/>
          <w:sz w:val="32"/>
          <w:szCs w:val="28"/>
        </w:rPr>
      </w:pPr>
      <w:r>
        <w:br w:type="page"/>
      </w:r>
    </w:p>
    <w:p w14:paraId="3C40CDC1" w14:textId="77777777" w:rsidR="00442C40" w:rsidRPr="00677192" w:rsidRDefault="00442C40" w:rsidP="00677192">
      <w:pPr>
        <w:pStyle w:val="Heading1"/>
      </w:pPr>
      <w:r w:rsidRPr="00677192">
        <w:lastRenderedPageBreak/>
        <w:t>Appendix A</w:t>
      </w:r>
    </w:p>
    <w:p w14:paraId="1D223E48" w14:textId="77777777" w:rsidR="00FC0A87" w:rsidRDefault="00677192" w:rsidP="00677192">
      <w:pPr>
        <w:pStyle w:val="CDIFigures"/>
      </w:pPr>
      <w:r w:rsidRPr="00677192">
        <w:t xml:space="preserve">Figure A.1: Daily temperature (low and high) and rainfall in Rockhampton during the outbreak period </w:t>
      </w:r>
    </w:p>
    <w:p w14:paraId="45BC097A" w14:textId="77777777" w:rsidR="008B5348" w:rsidRPr="00677192" w:rsidRDefault="00FC0A87" w:rsidP="00677192">
      <w:pPr>
        <w:pStyle w:val="CDIFigures"/>
        <w:rPr>
          <w:rStyle w:val="A10"/>
          <w:rFonts w:cstheme="minorBidi"/>
          <w:color w:val="auto"/>
        </w:rPr>
      </w:pPr>
      <w:r>
        <w:rPr>
          <w:noProof/>
        </w:rPr>
        <w:drawing>
          <wp:inline distT="0" distB="0" distL="0" distR="0" wp14:anchorId="3DCE2A3C" wp14:editId="2937143E">
            <wp:extent cx="6645910" cy="5173955"/>
            <wp:effectExtent l="0" t="0" r="2540" b="0"/>
            <wp:docPr id="4" name="Picture 4" descr="displays the daily maximum and minimum temperature (°C) and rainfall (mm) in Rockhampton alongside the number of daily cases during the outbreak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s the daily maximum and minimum temperature (°C) and rainfall (mm) in Rockhampton alongside the number of daily cases during the outbreak period.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5910" cy="5173955"/>
                    </a:xfrm>
                    <a:prstGeom prst="rect">
                      <a:avLst/>
                    </a:prstGeom>
                  </pic:spPr>
                </pic:pic>
              </a:graphicData>
            </a:graphic>
          </wp:inline>
        </w:drawing>
      </w:r>
      <w:r w:rsidR="008B5348" w:rsidRPr="00677192">
        <w:rPr>
          <w:rStyle w:val="A10"/>
          <w:rFonts w:cstheme="minorBidi"/>
          <w:color w:val="auto"/>
        </w:rPr>
        <w:br w:type="page"/>
      </w:r>
    </w:p>
    <w:p w14:paraId="59C4656F"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5E74448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D764D9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E8B12BD" w14:textId="77777777" w:rsidR="000A5F42" w:rsidRPr="000606CC" w:rsidRDefault="000A5F42" w:rsidP="000A5F42">
      <w:pPr>
        <w:pStyle w:val="NoSpacing"/>
        <w:rPr>
          <w:rStyle w:val="URI"/>
          <w:rFonts w:cstheme="minorHAnsi"/>
          <w:sz w:val="20"/>
          <w:szCs w:val="18"/>
        </w:rPr>
      </w:pPr>
    </w:p>
    <w:p w14:paraId="285AACA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399F8F1D" w14:textId="77777777" w:rsidR="000A5F42" w:rsidRPr="000606CC" w:rsidRDefault="000A5F42" w:rsidP="000A5F42">
      <w:pPr>
        <w:pStyle w:val="NoSpacing"/>
        <w:rPr>
          <w:rStyle w:val="Strong"/>
          <w:rFonts w:cstheme="minorHAnsi"/>
          <w:sz w:val="20"/>
          <w:szCs w:val="18"/>
        </w:rPr>
      </w:pPr>
    </w:p>
    <w:p w14:paraId="394227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9F9C18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D8297D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608ACC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5D88683" w14:textId="77777777" w:rsidR="000A5F42" w:rsidRPr="000606CC" w:rsidRDefault="000A5F42" w:rsidP="000A5F42">
      <w:pPr>
        <w:pStyle w:val="NoSpacing"/>
        <w:rPr>
          <w:rStyle w:val="Strong"/>
          <w:rFonts w:cstheme="minorHAnsi"/>
          <w:sz w:val="20"/>
          <w:szCs w:val="18"/>
        </w:rPr>
      </w:pPr>
    </w:p>
    <w:p w14:paraId="7EAD28FA" w14:textId="623DEC0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409F368" w14:textId="77777777" w:rsidR="000A5F42" w:rsidRPr="000606CC" w:rsidRDefault="000A5F42" w:rsidP="000A5F42">
      <w:pPr>
        <w:pStyle w:val="NoSpacing"/>
        <w:rPr>
          <w:rStyle w:val="Strong"/>
          <w:rFonts w:cstheme="minorHAnsi"/>
          <w:sz w:val="20"/>
          <w:szCs w:val="18"/>
        </w:rPr>
      </w:pPr>
    </w:p>
    <w:p w14:paraId="1CCBCEE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1CD1988" w14:textId="77777777" w:rsidR="000A5F42" w:rsidRPr="000606CC" w:rsidRDefault="000A5F42" w:rsidP="000A5F42">
      <w:pPr>
        <w:pStyle w:val="NoSpacing"/>
        <w:rPr>
          <w:rStyle w:val="Strong"/>
          <w:rFonts w:cstheme="minorHAnsi"/>
          <w:sz w:val="20"/>
          <w:szCs w:val="18"/>
        </w:rPr>
      </w:pPr>
    </w:p>
    <w:p w14:paraId="4459574A" w14:textId="0430578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768667" w14:textId="77777777" w:rsidR="000A5F42" w:rsidRPr="000606CC" w:rsidRDefault="000A5F42" w:rsidP="000A5F42">
      <w:pPr>
        <w:pStyle w:val="NoSpacing"/>
        <w:rPr>
          <w:rStyle w:val="Strong"/>
          <w:rFonts w:cstheme="minorHAnsi"/>
          <w:sz w:val="20"/>
          <w:szCs w:val="18"/>
        </w:rPr>
      </w:pPr>
    </w:p>
    <w:p w14:paraId="080EF311" w14:textId="2E24E28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08F77E4" w14:textId="1019302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AF73FD1" w14:textId="77777777" w:rsidR="000A5F42" w:rsidRPr="000606CC" w:rsidRDefault="000A5F42" w:rsidP="000A5F42">
      <w:pPr>
        <w:pStyle w:val="NoSpacing"/>
        <w:pBdr>
          <w:bottom w:val="single" w:sz="6" w:space="1" w:color="auto"/>
        </w:pBdr>
        <w:rPr>
          <w:rStyle w:val="Strong"/>
          <w:rFonts w:cstheme="minorHAnsi"/>
          <w:sz w:val="12"/>
          <w:szCs w:val="18"/>
        </w:rPr>
      </w:pPr>
    </w:p>
    <w:p w14:paraId="5A581488" w14:textId="77777777" w:rsidR="000A5F42" w:rsidRPr="000606CC" w:rsidRDefault="000A5F42" w:rsidP="000A5F42">
      <w:pPr>
        <w:pStyle w:val="NoSpacing"/>
        <w:rPr>
          <w:rFonts w:cstheme="minorHAnsi"/>
          <w:sz w:val="20"/>
          <w:szCs w:val="18"/>
        </w:rPr>
      </w:pPr>
    </w:p>
    <w:p w14:paraId="00189CEC"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B48B258" w14:textId="77777777" w:rsidR="000A5F42" w:rsidRPr="000606CC" w:rsidRDefault="000A5F42" w:rsidP="000A5F42">
      <w:pPr>
        <w:pStyle w:val="NoSpacing"/>
        <w:rPr>
          <w:rFonts w:cstheme="minorHAnsi"/>
          <w:sz w:val="20"/>
          <w:szCs w:val="18"/>
        </w:rPr>
      </w:pPr>
    </w:p>
    <w:p w14:paraId="3EEEC50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90A0DC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1BED8B7" w14:textId="42BAD4D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18CCD61" w14:textId="77777777" w:rsidR="000A5F42" w:rsidRPr="000606CC" w:rsidRDefault="000A5F42" w:rsidP="000A5F42">
      <w:pPr>
        <w:pStyle w:val="NoSpacing"/>
        <w:rPr>
          <w:rFonts w:cstheme="minorHAnsi"/>
          <w:sz w:val="20"/>
          <w:szCs w:val="18"/>
        </w:rPr>
      </w:pPr>
    </w:p>
    <w:p w14:paraId="21AFE77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44FA947" w14:textId="46D414B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lastRenderedPageBreak/>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F1DFB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C57C6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E75C6F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75F87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6D22DE1" w14:textId="77777777" w:rsidR="000A5F42" w:rsidRPr="000606CC" w:rsidRDefault="000A5F42" w:rsidP="000A5F42">
      <w:pPr>
        <w:pStyle w:val="NoSpacing"/>
        <w:rPr>
          <w:rStyle w:val="Strong"/>
          <w:rFonts w:cstheme="minorHAnsi"/>
          <w:sz w:val="20"/>
          <w:szCs w:val="18"/>
        </w:rPr>
      </w:pPr>
    </w:p>
    <w:p w14:paraId="3836EAB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DD7C12E" w14:textId="77777777" w:rsidR="000A5F42" w:rsidRPr="000606CC" w:rsidRDefault="000A5F42" w:rsidP="000A5F42">
      <w:pPr>
        <w:pStyle w:val="NoSpacing"/>
        <w:rPr>
          <w:rStyle w:val="Strong"/>
          <w:rFonts w:cstheme="minorHAnsi"/>
          <w:sz w:val="20"/>
          <w:szCs w:val="18"/>
        </w:rPr>
      </w:pPr>
    </w:p>
    <w:p w14:paraId="491AD2DC" w14:textId="595565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51810E6" w14:textId="77777777" w:rsidR="000A5F42" w:rsidRPr="000606CC" w:rsidRDefault="000A5F42" w:rsidP="000A5F42">
      <w:pPr>
        <w:pStyle w:val="NoSpacing"/>
        <w:rPr>
          <w:rStyle w:val="URI"/>
          <w:rFonts w:cstheme="minorHAnsi"/>
          <w:sz w:val="20"/>
          <w:szCs w:val="18"/>
        </w:rPr>
      </w:pPr>
    </w:p>
    <w:p w14:paraId="274D0C44" w14:textId="7683D15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51DC55D5"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0359D" w14:textId="77777777" w:rsidR="000E4110" w:rsidRDefault="000E4110" w:rsidP="00E54DBA">
      <w:r>
        <w:separator/>
      </w:r>
    </w:p>
    <w:p w14:paraId="4115A612" w14:textId="77777777" w:rsidR="000E4110" w:rsidRDefault="000E4110"/>
    <w:p w14:paraId="7690D8CD" w14:textId="77777777" w:rsidR="000E4110" w:rsidRDefault="000E4110" w:rsidP="008714B0"/>
  </w:endnote>
  <w:endnote w:type="continuationSeparator" w:id="0">
    <w:p w14:paraId="2661F068" w14:textId="77777777" w:rsidR="000E4110" w:rsidRDefault="000E4110" w:rsidP="00E54DBA">
      <w:r>
        <w:continuationSeparator/>
      </w:r>
    </w:p>
    <w:p w14:paraId="1650931C" w14:textId="77777777" w:rsidR="000E4110" w:rsidRDefault="000E4110"/>
    <w:p w14:paraId="2C285E08" w14:textId="77777777" w:rsidR="000E4110" w:rsidRDefault="000E411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4D9D4" w14:textId="7681986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C0ADD">
      <w:rPr>
        <w:noProof/>
        <w:sz w:val="18"/>
      </w:rPr>
      <w:t>16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C0ADD">
      <w:rPr>
        <w:noProof/>
        <w:sz w:val="18"/>
      </w:rPr>
      <w:t>16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77192">
      <w:rPr>
        <w:i/>
        <w:sz w:val="18"/>
      </w:rPr>
      <w:t>Commun</w:t>
    </w:r>
    <w:proofErr w:type="spellEnd"/>
    <w:r w:rsidR="00CE342B" w:rsidRPr="00677192">
      <w:rPr>
        <w:i/>
        <w:sz w:val="18"/>
      </w:rPr>
      <w:t xml:space="preserve"> Dis </w:t>
    </w:r>
    <w:proofErr w:type="spellStart"/>
    <w:r w:rsidR="00CE342B" w:rsidRPr="00677192">
      <w:rPr>
        <w:i/>
        <w:sz w:val="18"/>
      </w:rPr>
      <w:t>Intell</w:t>
    </w:r>
    <w:proofErr w:type="spellEnd"/>
    <w:r w:rsidR="00CE342B" w:rsidRPr="0067719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E4110">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E4110">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00388">
      <w:rPr>
        <w:sz w:val="18"/>
      </w:rPr>
      <w:t>https://doi.org/10.33321/cdi.2021.45.31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00388">
      <w:rPr>
        <w:sz w:val="18"/>
      </w:rPr>
      <w:t>15/6/2021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5884A" w14:textId="0D1FCF5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C0AD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C0ADD">
      <w:rPr>
        <w:noProof/>
        <w:sz w:val="18"/>
      </w:rPr>
      <w:t>16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77192">
      <w:rPr>
        <w:i/>
        <w:sz w:val="18"/>
      </w:rPr>
      <w:t>Commun</w:t>
    </w:r>
    <w:proofErr w:type="spellEnd"/>
    <w:r w:rsidR="00A164D5" w:rsidRPr="00677192">
      <w:rPr>
        <w:i/>
        <w:sz w:val="18"/>
      </w:rPr>
      <w:t xml:space="preserve"> Dis </w:t>
    </w:r>
    <w:proofErr w:type="spellStart"/>
    <w:r w:rsidR="00A164D5" w:rsidRPr="00677192">
      <w:rPr>
        <w:i/>
        <w:sz w:val="18"/>
      </w:rPr>
      <w:t>Intell</w:t>
    </w:r>
    <w:proofErr w:type="spellEnd"/>
    <w:r w:rsidR="00A164D5" w:rsidRPr="0067719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E4110">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E4110">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00388">
      <w:rPr>
        <w:sz w:val="18"/>
      </w:rPr>
      <w:t>https://doi.org/10.33321/cdi.2021.45.31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00388">
      <w:rPr>
        <w:sz w:val="18"/>
      </w:rPr>
      <w:t>15/6/2021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D1CD2" w14:textId="77777777" w:rsidR="000E4110" w:rsidRDefault="000E4110" w:rsidP="00E54DBA">
      <w:r>
        <w:separator/>
      </w:r>
    </w:p>
  </w:footnote>
  <w:footnote w:type="continuationSeparator" w:id="0">
    <w:p w14:paraId="4DAF4C81" w14:textId="77777777" w:rsidR="000E4110" w:rsidRDefault="000E4110" w:rsidP="00E54DBA">
      <w:r>
        <w:continuationSeparator/>
      </w:r>
    </w:p>
  </w:footnote>
  <w:footnote w:type="continuationNotice" w:id="1">
    <w:p w14:paraId="5C7095C8" w14:textId="77777777" w:rsidR="000E4110" w:rsidRPr="00224EFF" w:rsidRDefault="000E411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93FD9" w14:textId="77777777" w:rsidR="00257484" w:rsidRPr="00A153B6" w:rsidRDefault="00BD785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D2D91">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549E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26B8AF2" wp14:editId="22BE653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36694"/>
    <w:multiLevelType w:val="multilevel"/>
    <w:tmpl w:val="2E06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A6F33"/>
    <w:multiLevelType w:val="hybridMultilevel"/>
    <w:tmpl w:val="7074A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820F14"/>
    <w:multiLevelType w:val="multilevel"/>
    <w:tmpl w:val="651A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FB45B2"/>
    <w:multiLevelType w:val="hybridMultilevel"/>
    <w:tmpl w:val="0D420F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235E00"/>
    <w:multiLevelType w:val="multilevel"/>
    <w:tmpl w:val="DB0E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5090F"/>
    <w:multiLevelType w:val="hybridMultilevel"/>
    <w:tmpl w:val="78A01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2"/>
  </w:num>
  <w:num w:numId="5">
    <w:abstractNumId w:val="10"/>
  </w:num>
  <w:num w:numId="6">
    <w:abstractNumId w:val="11"/>
  </w:num>
  <w:num w:numId="7">
    <w:abstractNumId w:val="8"/>
  </w:num>
  <w:num w:numId="8">
    <w:abstractNumId w:val="0"/>
  </w:num>
  <w:num w:numId="9">
    <w:abstractNumId w:val="4"/>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8"/>
  <w:displayBackgroundShape/>
  <w:proofState w:spelling="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1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E4110"/>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0D9C"/>
    <w:rsid w:val="002C21B0"/>
    <w:rsid w:val="002E2FB3"/>
    <w:rsid w:val="002F327B"/>
    <w:rsid w:val="00301626"/>
    <w:rsid w:val="003059EC"/>
    <w:rsid w:val="0030747B"/>
    <w:rsid w:val="00316CCD"/>
    <w:rsid w:val="00324F7E"/>
    <w:rsid w:val="003323BC"/>
    <w:rsid w:val="00346D42"/>
    <w:rsid w:val="00346E11"/>
    <w:rsid w:val="003601C0"/>
    <w:rsid w:val="0036123E"/>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2C40"/>
    <w:rsid w:val="00464A58"/>
    <w:rsid w:val="00473D2D"/>
    <w:rsid w:val="004804CB"/>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56BC"/>
    <w:rsid w:val="00587C87"/>
    <w:rsid w:val="00590B80"/>
    <w:rsid w:val="005B3134"/>
    <w:rsid w:val="005B4E61"/>
    <w:rsid w:val="005B595A"/>
    <w:rsid w:val="005B66C2"/>
    <w:rsid w:val="005C66A6"/>
    <w:rsid w:val="005D2465"/>
    <w:rsid w:val="005E33DD"/>
    <w:rsid w:val="005E4229"/>
    <w:rsid w:val="005E540E"/>
    <w:rsid w:val="005E55FB"/>
    <w:rsid w:val="005F16BB"/>
    <w:rsid w:val="006002D4"/>
    <w:rsid w:val="00600388"/>
    <w:rsid w:val="00607115"/>
    <w:rsid w:val="006122B1"/>
    <w:rsid w:val="00620768"/>
    <w:rsid w:val="0062594B"/>
    <w:rsid w:val="00631406"/>
    <w:rsid w:val="006324FF"/>
    <w:rsid w:val="006351D6"/>
    <w:rsid w:val="00636E0D"/>
    <w:rsid w:val="0064142F"/>
    <w:rsid w:val="00643CB4"/>
    <w:rsid w:val="00656427"/>
    <w:rsid w:val="00660255"/>
    <w:rsid w:val="00677192"/>
    <w:rsid w:val="006971F3"/>
    <w:rsid w:val="006C74A3"/>
    <w:rsid w:val="006D1381"/>
    <w:rsid w:val="006D31BC"/>
    <w:rsid w:val="006E7943"/>
    <w:rsid w:val="006E7BBC"/>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7F31A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0866"/>
    <w:rsid w:val="008D470F"/>
    <w:rsid w:val="008E1F8F"/>
    <w:rsid w:val="008E4768"/>
    <w:rsid w:val="008E761E"/>
    <w:rsid w:val="008F3627"/>
    <w:rsid w:val="008F77B3"/>
    <w:rsid w:val="009008F5"/>
    <w:rsid w:val="00904CC1"/>
    <w:rsid w:val="009066AF"/>
    <w:rsid w:val="00912050"/>
    <w:rsid w:val="00912E48"/>
    <w:rsid w:val="0092746F"/>
    <w:rsid w:val="00935554"/>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C732F"/>
    <w:rsid w:val="009D2D91"/>
    <w:rsid w:val="009D77CC"/>
    <w:rsid w:val="009E0EF6"/>
    <w:rsid w:val="009E2423"/>
    <w:rsid w:val="009E55D7"/>
    <w:rsid w:val="009F4150"/>
    <w:rsid w:val="009F5665"/>
    <w:rsid w:val="009F5DAD"/>
    <w:rsid w:val="00A01BCA"/>
    <w:rsid w:val="00A10458"/>
    <w:rsid w:val="00A13335"/>
    <w:rsid w:val="00A153B6"/>
    <w:rsid w:val="00A164D5"/>
    <w:rsid w:val="00A273C3"/>
    <w:rsid w:val="00A30C37"/>
    <w:rsid w:val="00A36C65"/>
    <w:rsid w:val="00A41BBE"/>
    <w:rsid w:val="00A443E3"/>
    <w:rsid w:val="00A45BDD"/>
    <w:rsid w:val="00A45C75"/>
    <w:rsid w:val="00A46A0A"/>
    <w:rsid w:val="00A553F8"/>
    <w:rsid w:val="00A6708F"/>
    <w:rsid w:val="00A71BF6"/>
    <w:rsid w:val="00A73BD9"/>
    <w:rsid w:val="00A86F9A"/>
    <w:rsid w:val="00AA089D"/>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65657"/>
    <w:rsid w:val="00B714B8"/>
    <w:rsid w:val="00B82C2C"/>
    <w:rsid w:val="00B8720B"/>
    <w:rsid w:val="00B876EF"/>
    <w:rsid w:val="00BA4697"/>
    <w:rsid w:val="00BB5378"/>
    <w:rsid w:val="00BC0BD3"/>
    <w:rsid w:val="00BD0107"/>
    <w:rsid w:val="00BD7858"/>
    <w:rsid w:val="00BE0C33"/>
    <w:rsid w:val="00BE262C"/>
    <w:rsid w:val="00BE6C3D"/>
    <w:rsid w:val="00C00D97"/>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C0ADD"/>
    <w:rsid w:val="00CD1A87"/>
    <w:rsid w:val="00CD35F3"/>
    <w:rsid w:val="00CD5C93"/>
    <w:rsid w:val="00CE342B"/>
    <w:rsid w:val="00CF320C"/>
    <w:rsid w:val="00CF3A4B"/>
    <w:rsid w:val="00CF4001"/>
    <w:rsid w:val="00CF7748"/>
    <w:rsid w:val="00D04940"/>
    <w:rsid w:val="00D05837"/>
    <w:rsid w:val="00D12D8A"/>
    <w:rsid w:val="00D13E0C"/>
    <w:rsid w:val="00D25896"/>
    <w:rsid w:val="00D373A1"/>
    <w:rsid w:val="00D37C0F"/>
    <w:rsid w:val="00D45661"/>
    <w:rsid w:val="00D45943"/>
    <w:rsid w:val="00D47D22"/>
    <w:rsid w:val="00D51865"/>
    <w:rsid w:val="00D51D0C"/>
    <w:rsid w:val="00D74140"/>
    <w:rsid w:val="00DA6624"/>
    <w:rsid w:val="00DA6E56"/>
    <w:rsid w:val="00DC24E5"/>
    <w:rsid w:val="00DC6705"/>
    <w:rsid w:val="00DD2DE8"/>
    <w:rsid w:val="00DE38B4"/>
    <w:rsid w:val="00DE5D02"/>
    <w:rsid w:val="00E005A9"/>
    <w:rsid w:val="00E1166E"/>
    <w:rsid w:val="00E24DC0"/>
    <w:rsid w:val="00E2519C"/>
    <w:rsid w:val="00E25F2A"/>
    <w:rsid w:val="00E41455"/>
    <w:rsid w:val="00E422BE"/>
    <w:rsid w:val="00E42AD2"/>
    <w:rsid w:val="00E50856"/>
    <w:rsid w:val="00E538CC"/>
    <w:rsid w:val="00E54BBD"/>
    <w:rsid w:val="00E54DBA"/>
    <w:rsid w:val="00E62ABC"/>
    <w:rsid w:val="00E63D7C"/>
    <w:rsid w:val="00E640D5"/>
    <w:rsid w:val="00E66E2E"/>
    <w:rsid w:val="00E67691"/>
    <w:rsid w:val="00E92237"/>
    <w:rsid w:val="00E951EF"/>
    <w:rsid w:val="00EA3D54"/>
    <w:rsid w:val="00EA4E09"/>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0A87"/>
    <w:rsid w:val="00FC4C23"/>
    <w:rsid w:val="00FC642E"/>
    <w:rsid w:val="00FE2AE4"/>
    <w:rsid w:val="00FE689F"/>
    <w:rsid w:val="00FE7809"/>
    <w:rsid w:val="00FF1B0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9CEC99C"/>
  <w15:docId w15:val="{1FE22C60-2403-4942-A781-F8745F68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9E0EF6"/>
    <w:rPr>
      <w:sz w:val="16"/>
      <w:szCs w:val="16"/>
    </w:rPr>
  </w:style>
  <w:style w:type="paragraph" w:styleId="CommentText">
    <w:name w:val="annotation text"/>
    <w:basedOn w:val="Normal"/>
    <w:link w:val="CommentTextChar"/>
    <w:uiPriority w:val="99"/>
    <w:semiHidden/>
    <w:unhideWhenUsed/>
    <w:rsid w:val="009E0EF6"/>
    <w:pPr>
      <w:spacing w:line="240" w:lineRule="auto"/>
    </w:pPr>
    <w:rPr>
      <w:sz w:val="20"/>
      <w:szCs w:val="20"/>
    </w:rPr>
  </w:style>
  <w:style w:type="character" w:customStyle="1" w:styleId="CommentTextChar">
    <w:name w:val="Comment Text Char"/>
    <w:basedOn w:val="DefaultParagraphFont"/>
    <w:link w:val="CommentText"/>
    <w:uiPriority w:val="99"/>
    <w:semiHidden/>
    <w:rsid w:val="009E0EF6"/>
    <w:rPr>
      <w:sz w:val="20"/>
      <w:szCs w:val="20"/>
    </w:rPr>
  </w:style>
  <w:style w:type="paragraph" w:styleId="CommentSubject">
    <w:name w:val="annotation subject"/>
    <w:basedOn w:val="CommentText"/>
    <w:next w:val="CommentText"/>
    <w:link w:val="CommentSubjectChar"/>
    <w:uiPriority w:val="99"/>
    <w:semiHidden/>
    <w:unhideWhenUsed/>
    <w:rsid w:val="009E0EF6"/>
    <w:rPr>
      <w:b/>
      <w:bCs/>
    </w:rPr>
  </w:style>
  <w:style w:type="character" w:customStyle="1" w:styleId="CommentSubjectChar">
    <w:name w:val="Comment Subject Char"/>
    <w:basedOn w:val="CommentTextChar"/>
    <w:link w:val="CommentSubject"/>
    <w:uiPriority w:val="99"/>
    <w:semiHidden/>
    <w:rsid w:val="009E0E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jpe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C6894-F49D-486A-ABC7-8FB416D2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47</TotalTime>
  <Pages>16</Pages>
  <Words>4291</Words>
  <Characters>26470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Communicable Diseases Intelligence 2021 - Re-emergence of dengue virus in regional Queensland: 2019 dengue virus outbreak in Rockhampton, Central Queensland, Australia</vt:lpstr>
    </vt:vector>
  </TitlesOfParts>
  <Company>Australian Government, Department of Health</Company>
  <LinksUpToDate>false</LinksUpToDate>
  <CharactersWithSpaces>30700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Re-emergence of dengue virus in regional Queensland: 2019 dengue virus outbreak in Rockhampton, Central Queensland, Australia</dc:title>
  <dc:subject>After decades Central Queensland (CQ) region in Australia exposed to a Dengue outbreak in May to July 2019. The last reported outbreak of Dengue in this region was in the summer of 1954-1955 (Emerald, Springsure, Rockhampton, Biloela, Alpha, Jericho, Barcaldine and Gladstone). This article presents the epidemiological data of the outbreak and the molecular analysis of the virus to inform the probable source of the outbreak. This article also describes the responses and management strategies of CQ Public Health Unit for controlling the Dengue outbreak in Rockhampton, Queensland in 2019.</dc:subject>
  <dc:creator>Jacina Walker;Alyssa Pyke;Paul Florian;Fred Moore;Nicolas Smoll;Odewumi Adegbija;Arifuzzaman Khan;Rashidul Hasan;Heidi Carroll;Rachael Rodney Harris;Gulam Khandaker</dc:creator>
  <cp:keywords>Dengue; DENV-2; Aedes aegypti; Central Queensland; Rockhampton</cp:keywords>
  <dc:description>© Commonwealth of Australia CC BY-NC-ND ISSN: 2209-6051 (Online)</dc:description>
  <cp:lastModifiedBy>YOUSEFI, Kasra</cp:lastModifiedBy>
  <cp:revision>9</cp:revision>
  <cp:lastPrinted>2018-05-10T02:19:00Z</cp:lastPrinted>
  <dcterms:created xsi:type="dcterms:W3CDTF">2021-05-25T04:16:00Z</dcterms:created>
  <dcterms:modified xsi:type="dcterms:W3CDTF">2021-06-11T05:50:00Z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15/6/2021</vt:lpwstr>
  </property>
  <property fmtid="{D5CDD505-2E9C-101B-9397-08002B2CF9AE}" pid="5" name="DOI">
    <vt:lpwstr>https://doi.org/10.33321/cdi.2021.45.31</vt:lpwstr>
  </property>
</Properties>
</file>