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AAD" w:rsidRDefault="00442AAD" w:rsidP="007B68DB">
      <w:pPr>
        <w:pStyle w:val="Title"/>
        <w:rPr>
          <w:sz w:val="24"/>
          <w:szCs w:val="24"/>
        </w:rPr>
      </w:pPr>
      <w:r>
        <w:t xml:space="preserve">Influenza outbreaks in aged care facilities in New South Wales in 2017: impact and lessons for surveillance </w:t>
      </w:r>
    </w:p>
    <w:p w:rsidR="00442AAD" w:rsidRDefault="00442AAD" w:rsidP="007B68DB">
      <w:r>
        <w:t xml:space="preserve">Tony Merritt, Craig Dalton, Sheena </w:t>
      </w:r>
      <w:proofErr w:type="spellStart"/>
      <w:r>
        <w:t>Kakar</w:t>
      </w:r>
      <w:proofErr w:type="spellEnd"/>
      <w:r>
        <w:t xml:space="preserve">, Mark Ferson, Priscilla Stanley, Robin Gilmour </w:t>
      </w:r>
    </w:p>
    <w:p w:rsidR="00442AAD" w:rsidRPr="007B68DB" w:rsidRDefault="00442AAD" w:rsidP="007B68DB">
      <w:pPr>
        <w:pStyle w:val="Heading1"/>
      </w:pPr>
      <w:r w:rsidRPr="007B68DB">
        <w:t xml:space="preserve">Abstract </w:t>
      </w:r>
    </w:p>
    <w:p w:rsidR="00442AAD" w:rsidRPr="007B68DB" w:rsidRDefault="00442AAD" w:rsidP="007B68DB">
      <w:pPr>
        <w:pStyle w:val="Heading2"/>
      </w:pPr>
      <w:r w:rsidRPr="007B68DB">
        <w:t xml:space="preserve">Introduction </w:t>
      </w:r>
    </w:p>
    <w:p w:rsidR="00442AAD" w:rsidRDefault="00442AAD" w:rsidP="007B68DB">
      <w:r>
        <w:t xml:space="preserve">A record number of influenza outbreaks in aged care facilities (ACFs) in New South Wales (NSW) during 2017 provided an opportunity to measure the health impact of those outbreaks and assess the quality of routinely available surveillance data. </w:t>
      </w:r>
    </w:p>
    <w:p w:rsidR="00442AAD" w:rsidRPr="007B68DB" w:rsidRDefault="00442AAD" w:rsidP="007B68DB">
      <w:pPr>
        <w:pStyle w:val="Heading2"/>
      </w:pPr>
      <w:r w:rsidRPr="007B68DB">
        <w:t xml:space="preserve">Methods </w:t>
      </w:r>
    </w:p>
    <w:p w:rsidR="00442AAD" w:rsidRDefault="00442AAD" w:rsidP="007B68DB">
      <w:r>
        <w:t xml:space="preserve">Data for all ACF influenza outbreaks in NSW in 2017 were extracted from the Notifiable Conditions Information Management System. The numbers of outbreaks, residents with influenza-like illness (ILI), hospital admissions and deaths were assessed. For each outbreak the attack rate; duration; timeliness of notification; resident and staff influenza vaccination coverage; and antiviral use for treatment or prophylaxis were analysed. Data were considered for NSW in total and separately for seven of the state’s local health districts. Data completeness was assessed for all available variables. </w:t>
      </w:r>
    </w:p>
    <w:p w:rsidR="00442AAD" w:rsidRPr="007B68DB" w:rsidRDefault="00442AAD" w:rsidP="007B68DB">
      <w:pPr>
        <w:pStyle w:val="Heading2"/>
      </w:pPr>
      <w:r w:rsidRPr="007B68DB">
        <w:t xml:space="preserve">Results </w:t>
      </w:r>
    </w:p>
    <w:p w:rsidR="00442AAD" w:rsidRDefault="00442AAD" w:rsidP="007B68DB">
      <w:r>
        <w:t xml:space="preserve">A total of 538 ACF outbreaks resulted in 7,613 residents with ILI, 793 hospitalisations and 338 deaths. NSW outbreaks had a median attack rate of 17% and median duration of eight days. Data completeness, which varied considerably between districts, limited the capacity to accurately consider some important epidemiological and policy issues. </w:t>
      </w:r>
    </w:p>
    <w:p w:rsidR="00442AAD" w:rsidRPr="007B68DB" w:rsidRDefault="00442AAD" w:rsidP="007B68DB">
      <w:pPr>
        <w:pStyle w:val="Heading2"/>
      </w:pPr>
      <w:r w:rsidRPr="007B68DB">
        <w:t xml:space="preserve">Discussion </w:t>
      </w:r>
    </w:p>
    <w:p w:rsidR="00442AAD" w:rsidRDefault="00442AAD" w:rsidP="007B68DB">
      <w:r>
        <w:t xml:space="preserve">Influenza outbreaks impose a major burden on the residents and staff of ACFs. Accurate assessment of the year-to-year incidence and severity of influenza outbreaks in these facilities is important for monitoring the effectiveness of outbreak prevention and management strategies. Some key data were incomplete and strategies to improve the quality of these data are needed, particularly for: the number of influenza-related deaths among residents; resident and staff vaccination coverage prior to outbreaks; and recorded use of antiviral prophylaxis. </w:t>
      </w:r>
    </w:p>
    <w:p w:rsidR="00442AAD" w:rsidRDefault="00442AAD" w:rsidP="007B68DB">
      <w:r>
        <w:t xml:space="preserve">Keywords: influenza, outbreak, aged care facility, surveillance, data quality, New South Wales </w:t>
      </w:r>
    </w:p>
    <w:p w:rsidR="00442AAD" w:rsidRPr="007B68DB" w:rsidRDefault="00442AAD" w:rsidP="007B68DB">
      <w:pPr>
        <w:pStyle w:val="Heading1"/>
      </w:pPr>
      <w:r w:rsidRPr="007B68DB">
        <w:t xml:space="preserve">Introduction </w:t>
      </w:r>
    </w:p>
    <w:p w:rsidR="00442AAD" w:rsidRDefault="00442AAD" w:rsidP="007B68DB">
      <w:r>
        <w:t>Aged care facilities (ACFs) in New South Wales (NSW) were heavily impacted by the 2017 influenza season, when over 500 influenza outbreaks were reported in facilities.</w:t>
      </w:r>
      <w:r>
        <w:rPr>
          <w:vertAlign w:val="superscript"/>
        </w:rPr>
        <w:t>1</w:t>
      </w:r>
      <w:r>
        <w:t xml:space="preserve"> The predominant circulating virus was H3N2, which usually affects the elderly more severely than H1N1.</w:t>
      </w:r>
      <w:r>
        <w:rPr>
          <w:vertAlign w:val="superscript"/>
        </w:rPr>
        <w:t>1</w:t>
      </w:r>
      <w:proofErr w:type="gramStart"/>
      <w:r>
        <w:rPr>
          <w:vertAlign w:val="superscript"/>
        </w:rPr>
        <w:t>,2</w:t>
      </w:r>
      <w:proofErr w:type="gramEnd"/>
      <w:r>
        <w:t xml:space="preserve"> In contrast, the 2009 H1N1 influenza pandemic strain did not significantly impact ACF residents and generally spared people over 65 years of age as a result of prior immunity to related H1 strains.﻿</w:t>
      </w:r>
      <w:r>
        <w:rPr>
          <w:vertAlign w:val="superscript"/>
        </w:rPr>
        <w:t>3,4</w:t>
      </w:r>
      <w:r>
        <w:t xml:space="preserve"> Across Australia in 2017, the median age of death in notified influenza cases was 86 years (range: 3 to 107 years), with more than 91% of deaths in people aged 65 years and older.</w:t>
      </w:r>
      <w:r>
        <w:rPr>
          <w:vertAlign w:val="superscript"/>
        </w:rPr>
        <w:t xml:space="preserve">5 </w:t>
      </w:r>
    </w:p>
    <w:p w:rsidR="00442AAD" w:rsidRDefault="00442AAD" w:rsidP="007B68DB">
      <w:r>
        <w:t>ACF residents are a population that is particularly vulnerable to influenza outbreaks. They have an average age at entry of over 84 years in Australia</w:t>
      </w:r>
      <w:proofErr w:type="gramStart"/>
      <w:r>
        <w:t>,</w:t>
      </w:r>
      <w:r>
        <w:rPr>
          <w:vertAlign w:val="superscript"/>
        </w:rPr>
        <w:t>6</w:t>
      </w:r>
      <w:proofErr w:type="gramEnd"/>
      <w:r>
        <w:t xml:space="preserve"> with significant cognitive and physical im</w:t>
      </w:r>
      <w:bookmarkStart w:id="0" w:name="_GoBack"/>
      <w:bookmarkEnd w:id="0"/>
      <w:r>
        <w:t xml:space="preserve">pairments and a high burden of complex </w:t>
      </w:r>
      <w:r>
        <w:lastRenderedPageBreak/>
        <w:t>chronic conditions, including cardiovascular and respiratory illness. In addition to their heightened vulnerability, ACF residents face other risk factors for acquisition and spread of infection, including communal living and shared bedrooms, which community residents do not experience.</w:t>
      </w:r>
      <w:r>
        <w:rPr>
          <w:vertAlign w:val="superscript"/>
        </w:rPr>
        <w:t>7</w:t>
      </w:r>
      <w:r>
        <w:t xml:space="preserve"> </w:t>
      </w:r>
      <w:proofErr w:type="gramStart"/>
      <w:r>
        <w:t>Even</w:t>
      </w:r>
      <w:proofErr w:type="gramEnd"/>
      <w:r>
        <w:t xml:space="preserve"> with high immunisation coverage in residents, influenza continues to impose a significant burden. Influenza has been associated with increased rates of functional decline</w:t>
      </w:r>
      <w:proofErr w:type="gramStart"/>
      <w:r>
        <w:t>,</w:t>
      </w:r>
      <w:r>
        <w:rPr>
          <w:vertAlign w:val="superscript"/>
        </w:rPr>
        <w:t>8</w:t>
      </w:r>
      <w:proofErr w:type="gramEnd"/>
      <w:r>
        <w:t xml:space="preserve"> is among the most common reasons for transfer to hospital, and accounts for a significant proportion of mortality﻿.</w:t>
      </w:r>
      <w:r>
        <w:rPr>
          <w:vertAlign w:val="superscript"/>
        </w:rPr>
        <w:t>9–11</w:t>
      </w:r>
      <w:r>
        <w:t xml:space="preserve"> </w:t>
      </w:r>
    </w:p>
    <w:p w:rsidR="00442AAD" w:rsidRDefault="00442AAD" w:rsidP="007B68DB">
      <w:r>
        <w:t>There are limited published surveillance data on influenza outbreaks in ACFs. While there have been several important short-term studies of influenza and other respiratory illness and outbreaks in ACF﻿s,</w:t>
      </w:r>
      <w:r>
        <w:rPr>
          <w:vertAlign w:val="superscript"/>
        </w:rPr>
        <w:t>12</w:t>
      </w:r>
      <w:r>
        <w:t xml:space="preserve"> we are aware of ongoing systematic surveillance for influenza illness or outbreaks in this setting only in the Netherla﻿nds</w:t>
      </w:r>
      <w:r>
        <w:rPr>
          <w:vertAlign w:val="superscript"/>
        </w:rPr>
        <w:t>13,14</w:t>
      </w:r>
      <w:r>
        <w:t xml:space="preserve"> and Can﻿ada.</w:t>
      </w:r>
      <w:r>
        <w:rPr>
          <w:vertAlign w:val="superscript"/>
        </w:rPr>
        <w:t>15</w:t>
      </w:r>
      <w:r>
        <w:t xml:space="preserve"> Most notifiable disease databases collect information only at the level of the individual case; however, it is important to also collate data at the institutional cohort level to allow a better understanding of outbreaks and how to mitigate them. Some Australian states and territories do collect data that links outbreak-related cases, but these data have not been routinely analysed and published. </w:t>
      </w:r>
    </w:p>
    <w:p w:rsidR="00442AAD" w:rsidRDefault="00442AAD" w:rsidP="007B68DB">
      <w:r>
        <w:t>In NSW, influenza in individuals is notifiable by laboratories and while influenza outbreaks are not legally notifiable, national guidelines encourage ACFs to report outbreaks to their local public health unit (PHU).</w:t>
      </w:r>
      <w:r>
        <w:rPr>
          <w:vertAlign w:val="superscript"/>
        </w:rPr>
        <w:t>7</w:t>
      </w:r>
      <w:r>
        <w:t xml:space="preserve"> Outbreaks are defined as a minimum of three linked cases of influenza-like illness (ILI) in a 72-hour period with at least one laboratory or two point-of-care test confirmations.</w:t>
      </w:r>
      <w:r>
        <w:rPr>
          <w:vertAlign w:val="superscript"/>
        </w:rPr>
        <w:t>7</w:t>
      </w:r>
      <w:r>
        <w:t xml:space="preserve"> </w:t>
      </w:r>
    </w:p>
    <w:p w:rsidR="00442AAD" w:rsidRDefault="00442AAD" w:rsidP="007B68DB">
      <w:r>
        <w:t>In NSW, PHU staff record ACF influenza outbreak details in the Notifiable Conditions Information Management System (NCIMS).</w:t>
      </w:r>
      <w:r>
        <w:rPr>
          <w:vertAlign w:val="superscript"/>
        </w:rPr>
        <w:t>16</w:t>
      </w:r>
      <w:r>
        <w:t xml:space="preserve"> Over 130 fields are available for each outbreak, with some collected at the time of notification and others updated during, or at the end of, an event. Variables collected include facility and patient details, impact on residents, and facility response measures. The data recorded in NCIMS, including numbers of deaths, are those reported to PHUs by the facility; reporting criteria may vary between facilities. </w:t>
      </w:r>
    </w:p>
    <w:p w:rsidR="00442AAD" w:rsidRDefault="00442AAD" w:rsidP="007B68DB">
      <w:r>
        <w:t>PHU staff provide facilities with advice and resources to support outbreak response, including: information on preventing the spread of respiratory viruses through hygiene measures (hand hygiene, cleaning); use of personal protective equipment (masks, gloves, eye protection, gowns); isolation of ill residents; and consideration of timely antiviral treatment and/or prophylaxis.</w:t>
      </w:r>
      <w:r>
        <w:rPr>
          <w:vertAlign w:val="superscript"/>
        </w:rPr>
        <w:t xml:space="preserve">7 </w:t>
      </w:r>
    </w:p>
    <w:p w:rsidR="00442AAD" w:rsidRDefault="00442AAD" w:rsidP="007B68DB">
      <w:r>
        <w:t xml:space="preserve">We considered NCIMS influenza outbreak data for all of NSW for this review. Key objectives were (i) to describe the impact of influenza outbreaks in ACFs and (ii) to review the quality of available data in order to consider opportunities for improving surveillance. Additionally, PHU staff representing seven of the fifteen local health districts (LHDs) in NSW (Hunter New England, Illawarra Shoalhaven, Nepean Blue Mountains, Northern Sydney, South Eastern Sydney, Far West and Western) collaborated to analyse differences in surveillance data between those districts (subgroup LHDs). </w:t>
      </w:r>
    </w:p>
    <w:p w:rsidR="00442AAD" w:rsidRPr="007B68DB" w:rsidRDefault="00442AAD" w:rsidP="007B68DB">
      <w:pPr>
        <w:pStyle w:val="Heading2"/>
      </w:pPr>
      <w:r w:rsidRPr="007B68DB">
        <w:t xml:space="preserve">Methods </w:t>
      </w:r>
    </w:p>
    <w:p w:rsidR="00442AAD" w:rsidRDefault="00442AAD" w:rsidP="007B68DB">
      <w:r>
        <w:t xml:space="preserve">Data for all ACF influenza outbreaks in NSW in 2017 were extracted from NCIMS. Data for all LHDs in NSW were included in the overall analysis (NSW total) and data for subgroup LHDs were separately considered to explore differences between districts, with a focus on data completeness. Only data available in NCIMS were included. </w:t>
      </w:r>
    </w:p>
    <w:p w:rsidR="00442AAD" w:rsidRDefault="00442AAD" w:rsidP="007B68DB">
      <w:r>
        <w:t xml:space="preserve">With the exception of staff vaccination coverage prior to the outbreak, only resident-related data were analysed. </w:t>
      </w:r>
    </w:p>
    <w:p w:rsidR="00442AAD" w:rsidRDefault="00442AAD" w:rsidP="007B68DB">
      <w:r>
        <w:t>Key impact, vaccination coverage and response variables were generated for each outbreak using standard definitions (Table 1). Influenza sub-type was often not available, was not systematically recorded and was not</w:t>
      </w:r>
      <w:r w:rsidR="00BF0B07">
        <w:t> </w:t>
      </w:r>
      <w:r>
        <w:t>analysed.</w:t>
      </w:r>
    </w:p>
    <w:p w:rsidR="00442AAD" w:rsidRDefault="00442AAD" w:rsidP="007B68DB">
      <w:pPr>
        <w:pStyle w:val="CDIFigures"/>
      </w:pPr>
      <w:r>
        <w:lastRenderedPageBreak/>
        <w:t>Table 1: Definitions for calculated variables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List of calculated outbreak variables along with the definitions used and the relevant NCIMS surveillance fields. These included outbreak duration, attack rate and timeliness of notification."/>
      </w:tblPr>
      <w:tblGrid>
        <w:gridCol w:w="2694"/>
        <w:gridCol w:w="7772"/>
      </w:tblGrid>
      <w:tr w:rsidR="007B68DB" w:rsidRPr="00FA6522" w:rsidTr="005D422C">
        <w:trPr>
          <w:cnfStyle w:val="100000000000" w:firstRow="1" w:lastRow="0" w:firstColumn="0" w:lastColumn="0" w:oddVBand="0" w:evenVBand="0" w:oddHBand="0" w:evenHBand="0" w:firstRowFirstColumn="0" w:firstRowLastColumn="0" w:lastRowFirstColumn="0" w:lastRowLastColumn="0"/>
          <w:tblHeader/>
        </w:trPr>
        <w:tc>
          <w:tcPr>
            <w:tcW w:w="2694" w:type="dxa"/>
            <w:tcBorders>
              <w:right w:val="single" w:sz="2" w:space="0" w:color="FFFFFF" w:themeColor="background1"/>
            </w:tcBorders>
            <w:hideMark/>
          </w:tcPr>
          <w:p w:rsidR="00442AAD" w:rsidRPr="00FA6522" w:rsidRDefault="00442AAD">
            <w:pPr>
              <w:pStyle w:val="NormalWeb"/>
              <w:rPr>
                <w:color w:val="FFFFFF" w:themeColor="background1"/>
                <w:sz w:val="18"/>
                <w:szCs w:val="18"/>
              </w:rPr>
            </w:pPr>
            <w:r w:rsidRPr="00FA6522">
              <w:rPr>
                <w:color w:val="FFFFFF" w:themeColor="background1"/>
                <w:sz w:val="18"/>
                <w:szCs w:val="18"/>
              </w:rPr>
              <w:t>Calculated variable</w:t>
            </w:r>
          </w:p>
        </w:tc>
        <w:tc>
          <w:tcPr>
            <w:tcW w:w="7772" w:type="dxa"/>
            <w:tcBorders>
              <w:left w:val="single" w:sz="2" w:space="0" w:color="FFFFFF" w:themeColor="background1"/>
            </w:tcBorders>
            <w:hideMark/>
          </w:tcPr>
          <w:p w:rsidR="00442AAD" w:rsidRPr="00FA6522" w:rsidRDefault="00442AAD">
            <w:pPr>
              <w:pStyle w:val="NormalWeb"/>
              <w:rPr>
                <w:color w:val="FFFFFF" w:themeColor="background1"/>
                <w:sz w:val="18"/>
                <w:szCs w:val="18"/>
              </w:rPr>
            </w:pPr>
            <w:r w:rsidRPr="00FA6522">
              <w:rPr>
                <w:color w:val="FFFFFF" w:themeColor="background1"/>
                <w:sz w:val="18"/>
                <w:szCs w:val="18"/>
              </w:rPr>
              <w:t xml:space="preserve">Definition and </w:t>
            </w:r>
            <w:proofErr w:type="spellStart"/>
            <w:r w:rsidRPr="00FA6522">
              <w:rPr>
                <w:color w:val="FFFFFF" w:themeColor="background1"/>
                <w:sz w:val="18"/>
                <w:szCs w:val="18"/>
              </w:rPr>
              <w:t>NCIMS</w:t>
            </w:r>
            <w:r w:rsidRPr="00FA6522">
              <w:rPr>
                <w:color w:val="FFFFFF" w:themeColor="background1"/>
                <w:sz w:val="18"/>
                <w:szCs w:val="18"/>
                <w:vertAlign w:val="superscript"/>
              </w:rPr>
              <w:t>a</w:t>
            </w:r>
            <w:proofErr w:type="spellEnd"/>
            <w:r w:rsidRPr="00FA6522">
              <w:rPr>
                <w:color w:val="FFFFFF" w:themeColor="background1"/>
                <w:sz w:val="18"/>
                <w:szCs w:val="18"/>
              </w:rPr>
              <w:t xml:space="preserve"> fields used</w:t>
            </w:r>
          </w:p>
        </w:tc>
      </w:tr>
      <w:tr w:rsidR="00447C99" w:rsidRPr="00447C99" w:rsidTr="00447C99">
        <w:tc>
          <w:tcPr>
            <w:tcW w:w="0" w:type="auto"/>
            <w:gridSpan w:val="2"/>
            <w:shd w:val="clear" w:color="auto" w:fill="808080" w:themeFill="background1" w:themeFillShade="80"/>
            <w:hideMark/>
          </w:tcPr>
          <w:p w:rsidR="00442AAD" w:rsidRPr="00447C99" w:rsidRDefault="00442AAD">
            <w:pPr>
              <w:pStyle w:val="NormalWeb"/>
              <w:rPr>
                <w:b/>
                <w:color w:val="FFFFFF" w:themeColor="background1"/>
                <w:sz w:val="18"/>
                <w:szCs w:val="18"/>
              </w:rPr>
            </w:pPr>
            <w:r w:rsidRPr="00447C99">
              <w:rPr>
                <w:b/>
                <w:color w:val="FFFFFF" w:themeColor="background1"/>
                <w:sz w:val="18"/>
                <w:szCs w:val="18"/>
              </w:rPr>
              <w:t>Impact measures</w:t>
            </w:r>
          </w:p>
        </w:tc>
      </w:tr>
      <w:tr w:rsidR="00442AAD" w:rsidRPr="00FA6522" w:rsidTr="005D422C">
        <w:trPr>
          <w:cnfStyle w:val="000000010000" w:firstRow="0" w:lastRow="0" w:firstColumn="0" w:lastColumn="0" w:oddVBand="0" w:evenVBand="0" w:oddHBand="0" w:evenHBand="1" w:firstRowFirstColumn="0" w:firstRowLastColumn="0" w:lastRowFirstColumn="0" w:lastRowLastColumn="0"/>
        </w:trPr>
        <w:tc>
          <w:tcPr>
            <w:tcW w:w="2694" w:type="dxa"/>
            <w:hideMark/>
          </w:tcPr>
          <w:p w:rsidR="00442AAD" w:rsidRPr="00FA6522" w:rsidRDefault="00442AAD">
            <w:pPr>
              <w:pStyle w:val="NormalWeb"/>
              <w:rPr>
                <w:sz w:val="18"/>
                <w:szCs w:val="18"/>
              </w:rPr>
            </w:pPr>
            <w:r w:rsidRPr="00FA6522">
              <w:rPr>
                <w:sz w:val="18"/>
                <w:szCs w:val="18"/>
              </w:rPr>
              <w:t>Outbreak duration</w:t>
            </w:r>
          </w:p>
        </w:tc>
        <w:tc>
          <w:tcPr>
            <w:tcW w:w="7772" w:type="dxa"/>
            <w:hideMark/>
          </w:tcPr>
          <w:p w:rsidR="00442AAD" w:rsidRPr="00FA6522" w:rsidRDefault="00442AAD">
            <w:pPr>
              <w:pStyle w:val="NormalWeb"/>
              <w:rPr>
                <w:sz w:val="18"/>
                <w:szCs w:val="18"/>
              </w:rPr>
            </w:pPr>
            <w:r w:rsidRPr="00FA6522">
              <w:rPr>
                <w:sz w:val="18"/>
                <w:szCs w:val="18"/>
              </w:rPr>
              <w:t>Date of onset for first resident to Date of onset for last resident</w:t>
            </w:r>
          </w:p>
        </w:tc>
      </w:tr>
      <w:tr w:rsidR="00442AAD" w:rsidRPr="00FA6522" w:rsidTr="005D422C">
        <w:tc>
          <w:tcPr>
            <w:tcW w:w="2694" w:type="dxa"/>
            <w:hideMark/>
          </w:tcPr>
          <w:p w:rsidR="00442AAD" w:rsidRPr="00FA6522" w:rsidRDefault="00442AAD">
            <w:pPr>
              <w:pStyle w:val="NormalWeb"/>
              <w:rPr>
                <w:sz w:val="18"/>
                <w:szCs w:val="18"/>
              </w:rPr>
            </w:pPr>
            <w:r w:rsidRPr="00FA6522">
              <w:rPr>
                <w:sz w:val="18"/>
                <w:szCs w:val="18"/>
              </w:rPr>
              <w:t>Attack rate</w:t>
            </w:r>
          </w:p>
        </w:tc>
        <w:tc>
          <w:tcPr>
            <w:tcW w:w="7772" w:type="dxa"/>
            <w:hideMark/>
          </w:tcPr>
          <w:p w:rsidR="00442AAD" w:rsidRPr="00FA6522" w:rsidRDefault="00442AAD">
            <w:pPr>
              <w:pStyle w:val="NormalWeb"/>
              <w:rPr>
                <w:sz w:val="18"/>
                <w:szCs w:val="18"/>
              </w:rPr>
            </w:pPr>
            <w:r w:rsidRPr="00FA6522">
              <w:rPr>
                <w:sz w:val="18"/>
                <w:szCs w:val="18"/>
              </w:rPr>
              <w:t>Number of residents with symptoms (ILI) / Number of residents at risk of illness</w:t>
            </w:r>
          </w:p>
        </w:tc>
      </w:tr>
      <w:tr w:rsidR="00442AAD" w:rsidRPr="00FA6522" w:rsidTr="005D422C">
        <w:trPr>
          <w:cnfStyle w:val="000000010000" w:firstRow="0" w:lastRow="0" w:firstColumn="0" w:lastColumn="0" w:oddVBand="0" w:evenVBand="0" w:oddHBand="0" w:evenHBand="1" w:firstRowFirstColumn="0" w:firstRowLastColumn="0" w:lastRowFirstColumn="0" w:lastRowLastColumn="0"/>
        </w:trPr>
        <w:tc>
          <w:tcPr>
            <w:tcW w:w="2694" w:type="dxa"/>
            <w:hideMark/>
          </w:tcPr>
          <w:p w:rsidR="00442AAD" w:rsidRPr="00FA6522" w:rsidRDefault="00442AAD">
            <w:pPr>
              <w:pStyle w:val="NormalWeb"/>
              <w:rPr>
                <w:sz w:val="18"/>
                <w:szCs w:val="18"/>
              </w:rPr>
            </w:pPr>
            <w:r w:rsidRPr="00FA6522">
              <w:rPr>
                <w:sz w:val="18"/>
                <w:szCs w:val="18"/>
              </w:rPr>
              <w:t>Hospitalisation rate</w:t>
            </w:r>
          </w:p>
        </w:tc>
        <w:tc>
          <w:tcPr>
            <w:tcW w:w="7772" w:type="dxa"/>
            <w:hideMark/>
          </w:tcPr>
          <w:p w:rsidR="00442AAD" w:rsidRPr="00FA6522" w:rsidRDefault="00442AAD">
            <w:pPr>
              <w:pStyle w:val="NormalWeb"/>
              <w:rPr>
                <w:sz w:val="18"/>
                <w:szCs w:val="18"/>
              </w:rPr>
            </w:pPr>
            <w:r w:rsidRPr="00FA6522">
              <w:rPr>
                <w:sz w:val="18"/>
                <w:szCs w:val="18"/>
              </w:rPr>
              <w:t>Number of residents hospitalised / Number of residents with symptoms (ILI)</w:t>
            </w:r>
          </w:p>
        </w:tc>
      </w:tr>
      <w:tr w:rsidR="00442AAD" w:rsidRPr="00FA6522" w:rsidTr="005D422C">
        <w:tc>
          <w:tcPr>
            <w:tcW w:w="2694" w:type="dxa"/>
            <w:hideMark/>
          </w:tcPr>
          <w:p w:rsidR="00442AAD" w:rsidRPr="00FA6522" w:rsidRDefault="00442AAD">
            <w:pPr>
              <w:pStyle w:val="NormalWeb"/>
              <w:rPr>
                <w:sz w:val="18"/>
                <w:szCs w:val="18"/>
              </w:rPr>
            </w:pPr>
            <w:r w:rsidRPr="00FA6522">
              <w:rPr>
                <w:sz w:val="18"/>
                <w:szCs w:val="18"/>
              </w:rPr>
              <w:t>Case fatality rate</w:t>
            </w:r>
          </w:p>
        </w:tc>
        <w:tc>
          <w:tcPr>
            <w:tcW w:w="7772" w:type="dxa"/>
            <w:hideMark/>
          </w:tcPr>
          <w:p w:rsidR="00442AAD" w:rsidRPr="00FA6522" w:rsidRDefault="00442AAD">
            <w:pPr>
              <w:pStyle w:val="NormalWeb"/>
              <w:rPr>
                <w:sz w:val="18"/>
                <w:szCs w:val="18"/>
              </w:rPr>
            </w:pPr>
            <w:r w:rsidRPr="00FA6522">
              <w:rPr>
                <w:sz w:val="18"/>
                <w:szCs w:val="18"/>
              </w:rPr>
              <w:t xml:space="preserve">Number of residents on outbreak </w:t>
            </w:r>
            <w:proofErr w:type="spellStart"/>
            <w:r w:rsidRPr="00FA6522">
              <w:rPr>
                <w:sz w:val="18"/>
                <w:szCs w:val="18"/>
              </w:rPr>
              <w:t>linelist</w:t>
            </w:r>
            <w:proofErr w:type="spellEnd"/>
            <w:r w:rsidRPr="00FA6522">
              <w:rPr>
                <w:sz w:val="18"/>
                <w:szCs w:val="18"/>
              </w:rPr>
              <w:t xml:space="preserve"> who died / Number of residents with symptoms (ILI)</w:t>
            </w:r>
          </w:p>
        </w:tc>
      </w:tr>
      <w:tr w:rsidR="00442AAD" w:rsidRPr="00FA6522" w:rsidTr="005D422C">
        <w:trPr>
          <w:cnfStyle w:val="000000010000" w:firstRow="0" w:lastRow="0" w:firstColumn="0" w:lastColumn="0" w:oddVBand="0" w:evenVBand="0" w:oddHBand="0" w:evenHBand="1" w:firstRowFirstColumn="0" w:firstRowLastColumn="0" w:lastRowFirstColumn="0" w:lastRowLastColumn="0"/>
        </w:trPr>
        <w:tc>
          <w:tcPr>
            <w:tcW w:w="2694" w:type="dxa"/>
            <w:hideMark/>
          </w:tcPr>
          <w:p w:rsidR="00442AAD" w:rsidRPr="00FA6522" w:rsidRDefault="00442AAD">
            <w:pPr>
              <w:pStyle w:val="NormalWeb"/>
              <w:rPr>
                <w:sz w:val="18"/>
                <w:szCs w:val="18"/>
              </w:rPr>
            </w:pPr>
            <w:r w:rsidRPr="00FA6522">
              <w:rPr>
                <w:sz w:val="18"/>
                <w:szCs w:val="18"/>
              </w:rPr>
              <w:t xml:space="preserve">Timeliness of </w:t>
            </w:r>
            <w:proofErr w:type="spellStart"/>
            <w:r w:rsidRPr="00FA6522">
              <w:rPr>
                <w:sz w:val="18"/>
                <w:szCs w:val="18"/>
              </w:rPr>
              <w:t>notification</w:t>
            </w:r>
            <w:r w:rsidRPr="00FA6522">
              <w:rPr>
                <w:sz w:val="18"/>
                <w:szCs w:val="18"/>
                <w:vertAlign w:val="superscript"/>
              </w:rPr>
              <w:t>b</w:t>
            </w:r>
            <w:proofErr w:type="spellEnd"/>
          </w:p>
        </w:tc>
        <w:tc>
          <w:tcPr>
            <w:tcW w:w="7772" w:type="dxa"/>
            <w:hideMark/>
          </w:tcPr>
          <w:p w:rsidR="00442AAD" w:rsidRPr="00FA6522" w:rsidRDefault="00442AAD">
            <w:pPr>
              <w:pStyle w:val="NormalWeb"/>
              <w:rPr>
                <w:sz w:val="18"/>
                <w:szCs w:val="18"/>
              </w:rPr>
            </w:pPr>
            <w:r w:rsidRPr="00FA6522">
              <w:rPr>
                <w:sz w:val="18"/>
                <w:szCs w:val="18"/>
              </w:rPr>
              <w:t>Date of onset for first resident to Date PHU made aware of outbreak</w:t>
            </w:r>
          </w:p>
        </w:tc>
      </w:tr>
      <w:tr w:rsidR="006A4624" w:rsidRPr="006A4624" w:rsidTr="006A4624">
        <w:tc>
          <w:tcPr>
            <w:tcW w:w="0" w:type="auto"/>
            <w:gridSpan w:val="2"/>
            <w:shd w:val="clear" w:color="auto" w:fill="808080" w:themeFill="background1" w:themeFillShade="80"/>
            <w:hideMark/>
          </w:tcPr>
          <w:p w:rsidR="00442AAD" w:rsidRPr="006A4624" w:rsidRDefault="00442AAD">
            <w:pPr>
              <w:pStyle w:val="NormalWeb"/>
              <w:rPr>
                <w:b/>
                <w:color w:val="FFFFFF" w:themeColor="background1"/>
                <w:sz w:val="18"/>
                <w:szCs w:val="18"/>
              </w:rPr>
            </w:pPr>
            <w:r w:rsidRPr="006A4624">
              <w:rPr>
                <w:b/>
                <w:color w:val="FFFFFF" w:themeColor="background1"/>
                <w:sz w:val="18"/>
                <w:szCs w:val="18"/>
              </w:rPr>
              <w:t>Vaccination coverage</w:t>
            </w:r>
          </w:p>
        </w:tc>
      </w:tr>
      <w:tr w:rsidR="00442AAD" w:rsidRPr="00FA6522" w:rsidTr="005D422C">
        <w:trPr>
          <w:cnfStyle w:val="000000010000" w:firstRow="0" w:lastRow="0" w:firstColumn="0" w:lastColumn="0" w:oddVBand="0" w:evenVBand="0" w:oddHBand="0" w:evenHBand="1" w:firstRowFirstColumn="0" w:firstRowLastColumn="0" w:lastRowFirstColumn="0" w:lastRowLastColumn="0"/>
        </w:trPr>
        <w:tc>
          <w:tcPr>
            <w:tcW w:w="2694" w:type="dxa"/>
            <w:hideMark/>
          </w:tcPr>
          <w:p w:rsidR="00442AAD" w:rsidRPr="00FA6522" w:rsidRDefault="00442AAD">
            <w:pPr>
              <w:pStyle w:val="NormalWeb"/>
              <w:rPr>
                <w:sz w:val="18"/>
                <w:szCs w:val="18"/>
              </w:rPr>
            </w:pPr>
            <w:r w:rsidRPr="00FA6522">
              <w:rPr>
                <w:sz w:val="18"/>
                <w:szCs w:val="18"/>
              </w:rPr>
              <w:t>Resident vaccination coverage</w:t>
            </w:r>
          </w:p>
        </w:tc>
        <w:tc>
          <w:tcPr>
            <w:tcW w:w="7772" w:type="dxa"/>
            <w:hideMark/>
          </w:tcPr>
          <w:p w:rsidR="00442AAD" w:rsidRPr="00FA6522" w:rsidRDefault="00442AAD">
            <w:pPr>
              <w:pStyle w:val="NormalWeb"/>
              <w:rPr>
                <w:sz w:val="18"/>
                <w:szCs w:val="18"/>
              </w:rPr>
            </w:pPr>
            <w:r w:rsidRPr="00FA6522">
              <w:rPr>
                <w:sz w:val="18"/>
                <w:szCs w:val="18"/>
              </w:rPr>
              <w:t>Number of residents vaccinated prior to outbreak / Number of residents at risk of illness</w:t>
            </w:r>
          </w:p>
        </w:tc>
      </w:tr>
      <w:tr w:rsidR="00442AAD" w:rsidRPr="00FA6522" w:rsidTr="005D422C">
        <w:tc>
          <w:tcPr>
            <w:tcW w:w="2694" w:type="dxa"/>
            <w:hideMark/>
          </w:tcPr>
          <w:p w:rsidR="00442AAD" w:rsidRPr="00FA6522" w:rsidRDefault="00442AAD">
            <w:pPr>
              <w:pStyle w:val="NormalWeb"/>
              <w:rPr>
                <w:sz w:val="18"/>
                <w:szCs w:val="18"/>
              </w:rPr>
            </w:pPr>
            <w:r w:rsidRPr="00FA6522">
              <w:rPr>
                <w:sz w:val="18"/>
                <w:szCs w:val="18"/>
              </w:rPr>
              <w:t>Staff vaccination coverage</w:t>
            </w:r>
          </w:p>
        </w:tc>
        <w:tc>
          <w:tcPr>
            <w:tcW w:w="7772" w:type="dxa"/>
            <w:hideMark/>
          </w:tcPr>
          <w:p w:rsidR="00442AAD" w:rsidRPr="00FA6522" w:rsidRDefault="00442AAD">
            <w:pPr>
              <w:pStyle w:val="NormalWeb"/>
              <w:rPr>
                <w:sz w:val="18"/>
                <w:szCs w:val="18"/>
              </w:rPr>
            </w:pPr>
            <w:r w:rsidRPr="00FA6522">
              <w:rPr>
                <w:sz w:val="18"/>
                <w:szCs w:val="18"/>
              </w:rPr>
              <w:t>Number of staff vaccinated prior to outbreak / Number of staff at risk of illness</w:t>
            </w:r>
          </w:p>
        </w:tc>
      </w:tr>
      <w:tr w:rsidR="00447C99" w:rsidRPr="00447C99" w:rsidTr="00447C99">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808080" w:themeFill="background1" w:themeFillShade="80"/>
            <w:hideMark/>
          </w:tcPr>
          <w:p w:rsidR="00442AAD" w:rsidRPr="00447C99" w:rsidRDefault="00442AAD">
            <w:pPr>
              <w:pStyle w:val="NormalWeb"/>
              <w:rPr>
                <w:b/>
                <w:color w:val="FFFFFF" w:themeColor="background1"/>
                <w:sz w:val="18"/>
                <w:szCs w:val="18"/>
              </w:rPr>
            </w:pPr>
            <w:r w:rsidRPr="00447C99">
              <w:rPr>
                <w:b/>
                <w:color w:val="FFFFFF" w:themeColor="background1"/>
                <w:sz w:val="18"/>
                <w:szCs w:val="18"/>
              </w:rPr>
              <w:t>Response</w:t>
            </w:r>
          </w:p>
        </w:tc>
      </w:tr>
      <w:tr w:rsidR="00442AAD" w:rsidRPr="00FA6522" w:rsidTr="005D422C">
        <w:tc>
          <w:tcPr>
            <w:tcW w:w="2694" w:type="dxa"/>
            <w:hideMark/>
          </w:tcPr>
          <w:p w:rsidR="00442AAD" w:rsidRPr="00FA6522" w:rsidRDefault="00442AAD">
            <w:pPr>
              <w:pStyle w:val="NormalWeb"/>
              <w:rPr>
                <w:sz w:val="18"/>
                <w:szCs w:val="18"/>
              </w:rPr>
            </w:pPr>
            <w:proofErr w:type="spellStart"/>
            <w:r w:rsidRPr="00FA6522">
              <w:rPr>
                <w:sz w:val="18"/>
                <w:szCs w:val="18"/>
              </w:rPr>
              <w:t>AV</w:t>
            </w:r>
            <w:r w:rsidRPr="00861C22">
              <w:rPr>
                <w:sz w:val="18"/>
                <w:szCs w:val="18"/>
                <w:vertAlign w:val="superscript"/>
              </w:rPr>
              <w:t>c</w:t>
            </w:r>
            <w:proofErr w:type="spellEnd"/>
            <w:r w:rsidRPr="00FA6522">
              <w:rPr>
                <w:sz w:val="18"/>
                <w:szCs w:val="18"/>
              </w:rPr>
              <w:t xml:space="preserve"> prophylaxis timeliness</w:t>
            </w:r>
          </w:p>
        </w:tc>
        <w:tc>
          <w:tcPr>
            <w:tcW w:w="7772" w:type="dxa"/>
            <w:hideMark/>
          </w:tcPr>
          <w:p w:rsidR="00442AAD" w:rsidRPr="00FA6522" w:rsidRDefault="00442AAD">
            <w:pPr>
              <w:pStyle w:val="NormalWeb"/>
              <w:rPr>
                <w:sz w:val="18"/>
                <w:szCs w:val="18"/>
              </w:rPr>
            </w:pPr>
            <w:r w:rsidRPr="00FA6522">
              <w:rPr>
                <w:sz w:val="18"/>
                <w:szCs w:val="18"/>
              </w:rPr>
              <w:t>Date PHU made aware of outbreak to AV prophylaxis commenced date (in facilities that used AV prophylaxis)</w:t>
            </w:r>
          </w:p>
        </w:tc>
      </w:tr>
      <w:tr w:rsidR="00442AAD" w:rsidRPr="00FA6522" w:rsidTr="005D422C">
        <w:trPr>
          <w:cnfStyle w:val="000000010000" w:firstRow="0" w:lastRow="0" w:firstColumn="0" w:lastColumn="0" w:oddVBand="0" w:evenVBand="0" w:oddHBand="0" w:evenHBand="1" w:firstRowFirstColumn="0" w:firstRowLastColumn="0" w:lastRowFirstColumn="0" w:lastRowLastColumn="0"/>
        </w:trPr>
        <w:tc>
          <w:tcPr>
            <w:tcW w:w="2694" w:type="dxa"/>
            <w:hideMark/>
          </w:tcPr>
          <w:p w:rsidR="00442AAD" w:rsidRPr="00FA6522" w:rsidRDefault="00442AAD">
            <w:pPr>
              <w:pStyle w:val="NormalWeb"/>
              <w:rPr>
                <w:sz w:val="18"/>
                <w:szCs w:val="18"/>
              </w:rPr>
            </w:pPr>
            <w:r w:rsidRPr="00FA6522">
              <w:rPr>
                <w:sz w:val="18"/>
                <w:szCs w:val="18"/>
              </w:rPr>
              <w:t>AV treatment timeliness</w:t>
            </w:r>
          </w:p>
        </w:tc>
        <w:tc>
          <w:tcPr>
            <w:tcW w:w="7772" w:type="dxa"/>
            <w:hideMark/>
          </w:tcPr>
          <w:p w:rsidR="00442AAD" w:rsidRPr="00FA6522" w:rsidRDefault="00442AAD">
            <w:pPr>
              <w:pStyle w:val="NormalWeb"/>
              <w:rPr>
                <w:sz w:val="18"/>
                <w:szCs w:val="18"/>
              </w:rPr>
            </w:pPr>
            <w:r w:rsidRPr="00FA6522">
              <w:rPr>
                <w:sz w:val="18"/>
                <w:szCs w:val="18"/>
              </w:rPr>
              <w:t>Date PHU made aware of outbreak to AV treatment commenced date (in facilities that used AV treatment)</w:t>
            </w:r>
          </w:p>
        </w:tc>
      </w:tr>
    </w:tbl>
    <w:p w:rsidR="00442AAD" w:rsidRDefault="00442AAD" w:rsidP="007B68DB">
      <w:pPr>
        <w:pStyle w:val="CDIfootnotes"/>
      </w:pPr>
      <w:proofErr w:type="gramStart"/>
      <w:r>
        <w:t>a</w:t>
      </w:r>
      <w:proofErr w:type="gramEnd"/>
      <w:r>
        <w:tab/>
        <w:t>Notifiable Conditions Information Management System.</w:t>
      </w:r>
    </w:p>
    <w:p w:rsidR="00442AAD" w:rsidRDefault="00442AAD" w:rsidP="007B68DB">
      <w:pPr>
        <w:pStyle w:val="CDIfootnotes"/>
      </w:pPr>
      <w:proofErr w:type="gramStart"/>
      <w:r>
        <w:t>b</w:t>
      </w:r>
      <w:proofErr w:type="gramEnd"/>
      <w:r>
        <w:tab/>
        <w:t>This definition will over-estimate the time to notification if there is a difference between date of onset for the first resident and when the outbreak case definition is fulfilled with three cases of ILI.</w:t>
      </w:r>
    </w:p>
    <w:p w:rsidR="00442AAD" w:rsidRDefault="00442AAD" w:rsidP="007B68DB">
      <w:pPr>
        <w:pStyle w:val="CDIfootnotes"/>
      </w:pPr>
      <w:proofErr w:type="gramStart"/>
      <w:r>
        <w:t>c</w:t>
      </w:r>
      <w:proofErr w:type="gramEnd"/>
      <w:r>
        <w:tab/>
        <w:t>AV: Antiviral.</w:t>
      </w:r>
    </w:p>
    <w:p w:rsidR="00442AAD" w:rsidRDefault="00442AAD" w:rsidP="007B68DB">
      <w:r>
        <w:t xml:space="preserve">Data cleaning was undertaken to address non-credible values for outbreak duration and attack rate. If the calculated value for timeliness of notification was negative (i.e. if the recorded date for PHU notification was before the onset date for the first case), the outbreak was excluded from the calculation of median timeliness of notification. </w:t>
      </w:r>
    </w:p>
    <w:p w:rsidR="00442AAD" w:rsidRDefault="00442AAD" w:rsidP="007B68DB">
      <w:r>
        <w:t xml:space="preserve">Data completeness was assessed for 132 NCIMS fields for all NSW outbreaks. A subset of 19 fields used to calculate the variables listed in Table 1, or for selected symptoms, were also assessed at district level for subgroup LHDs. </w:t>
      </w:r>
    </w:p>
    <w:p w:rsidR="00442AAD" w:rsidRDefault="00442AAD" w:rsidP="007B68DB">
      <w:r>
        <w:t xml:space="preserve">Descriptive analysis, using Microsoft Excel, was reported for variables with data missing in up to 10% of outbreaks and reported with qualification for additional variables with up to 20% missing data (indicated in italics in the results section). Variables with data missing for over 20% of outbreaks were not further reported. </w:t>
      </w:r>
    </w:p>
    <w:p w:rsidR="00442AAD" w:rsidRDefault="00442AAD" w:rsidP="007B68DB">
      <w:r>
        <w:t xml:space="preserve">The degree of variability in data completeness between LHDs was summarised with an ‘Index of variation’ for each variable, the ratio of the percentage of missing data in the LHD with the highest level of missing data divided by the percentage for the LHD with the lowest level of missing data. </w:t>
      </w:r>
    </w:p>
    <w:p w:rsidR="00442AAD" w:rsidRDefault="00442AAD" w:rsidP="007B68DB">
      <w:r>
        <w:t xml:space="preserve">Data presented for LHD6 are limited to fields the LHD assessed as being most reliable. </w:t>
      </w:r>
    </w:p>
    <w:p w:rsidR="00442AAD" w:rsidRDefault="00442AAD" w:rsidP="007B68DB">
      <w:r>
        <w:t xml:space="preserve">No ethics application was required for this work. The data were all routinely collected under the provisions of the NSW </w:t>
      </w:r>
      <w:r w:rsidRPr="00415370">
        <w:rPr>
          <w:rStyle w:val="Emphasis"/>
          <w:b w:val="0"/>
        </w:rPr>
        <w:t>Public Health Act</w:t>
      </w:r>
      <w:r>
        <w:t xml:space="preserve"> and the work supported appropriate data quality assurance. Data were aggregated at the level of the ACF and no patient-level data were accessed. </w:t>
      </w:r>
    </w:p>
    <w:p w:rsidR="00351721" w:rsidRDefault="00351721">
      <w:pPr>
        <w:rPr>
          <w:rFonts w:asciiTheme="majorHAnsi" w:eastAsiaTheme="majorEastAsia" w:hAnsiTheme="majorHAnsi" w:cstheme="majorBidi"/>
          <w:b/>
          <w:bCs/>
          <w:sz w:val="32"/>
          <w:szCs w:val="28"/>
        </w:rPr>
      </w:pPr>
      <w:r>
        <w:br w:type="page"/>
      </w:r>
    </w:p>
    <w:p w:rsidR="00442AAD" w:rsidRPr="007B68DB" w:rsidRDefault="00442AAD" w:rsidP="007B68DB">
      <w:pPr>
        <w:pStyle w:val="Heading1"/>
      </w:pPr>
      <w:r w:rsidRPr="007B68DB">
        <w:lastRenderedPageBreak/>
        <w:t xml:space="preserve">Results </w:t>
      </w:r>
    </w:p>
    <w:p w:rsidR="00442AAD" w:rsidRPr="007B68DB" w:rsidRDefault="00442AAD" w:rsidP="007B68DB">
      <w:pPr>
        <w:pStyle w:val="Heading2"/>
      </w:pPr>
      <w:r w:rsidRPr="007B68DB">
        <w:t xml:space="preserve">Impact </w:t>
      </w:r>
    </w:p>
    <w:p w:rsidR="00442AAD" w:rsidRDefault="00442AAD" w:rsidP="007B68DB">
      <w:r>
        <w:t>Data were available for 538 ACF influenza outbreaks in NSW in 2017, substantially higher than the annual totals of between 12 and 252 outbreaks in the preceding five years (Figure 1).</w:t>
      </w:r>
      <w:r>
        <w:rPr>
          <w:vertAlign w:val="superscript"/>
        </w:rPr>
        <w:t>1,17</w:t>
      </w:r>
      <w:r>
        <w:t xml:space="preserve"> Outbreaks occurred in each month of 2017 except April: the three months from July to September accounted for 92.2% of all outbreaks (Figure 2). Subgroup LHDs had from 23 to 90 outbreaks each, accounted for 59.3% (319/538) of all outbreaks, and experienced 6.4–9.8 outbreaks per 100,000 population compared to 6.8 per 100,000 population for NSW as a whole (Table 2).</w:t>
      </w:r>
    </w:p>
    <w:p w:rsidR="00442AAD" w:rsidRDefault="00442AAD" w:rsidP="007B68DB">
      <w:pPr>
        <w:pStyle w:val="CDIFigures"/>
      </w:pPr>
      <w:r>
        <w:t>Figure 1: Number of influenza outbreaks in ACFs in NSW 2012–2017</w:t>
      </w:r>
    </w:p>
    <w:p w:rsidR="00442AAD" w:rsidRDefault="00442AAD" w:rsidP="003A40FC">
      <w:pPr>
        <w:jc w:val="center"/>
        <w:rPr>
          <w:rFonts w:eastAsia="Times New Roman"/>
        </w:rPr>
      </w:pPr>
      <w:r>
        <w:rPr>
          <w:rFonts w:eastAsia="Times New Roman"/>
          <w:noProof/>
        </w:rPr>
        <w:drawing>
          <wp:inline distT="0" distB="0" distL="0" distR="0">
            <wp:extent cx="5400000" cy="2962332"/>
            <wp:effectExtent l="0" t="0" r="0" b="0"/>
            <wp:docPr id="3" name="Picture 3" descr="Column chart showing the total number of influenza outbreaks by year from 2012 to 2017. The total number of outbreaks in 2017 was 538, which was the highest number in this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umn chart showing the total number of influenza outbreaks by year from 2012 to 2017. The total number of outbreaks in 2017 was 538, which was the highest number in this perio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00000" cy="2962332"/>
                    </a:xfrm>
                    <a:prstGeom prst="rect">
                      <a:avLst/>
                    </a:prstGeom>
                  </pic:spPr>
                </pic:pic>
              </a:graphicData>
            </a:graphic>
          </wp:inline>
        </w:drawing>
      </w:r>
    </w:p>
    <w:p w:rsidR="00442AAD" w:rsidRDefault="00442AAD" w:rsidP="00F629DA">
      <w:pPr>
        <w:pStyle w:val="CDIFigures"/>
      </w:pPr>
      <w:r>
        <w:t>Figure 2: Number of influenza outbreaks in ACFs by month, NSW 2017</w:t>
      </w:r>
    </w:p>
    <w:p w:rsidR="00442AAD" w:rsidRDefault="00442AAD" w:rsidP="003A40FC">
      <w:pPr>
        <w:pStyle w:val="NormalWeb"/>
        <w:jc w:val="center"/>
      </w:pPr>
      <w:r>
        <w:rPr>
          <w:noProof/>
        </w:rPr>
        <w:drawing>
          <wp:inline distT="0" distB="0" distL="0" distR="0">
            <wp:extent cx="5400000" cy="2843947"/>
            <wp:effectExtent l="0" t="0" r="0" b="0"/>
            <wp:docPr id="2" name="Picture 2" descr="Histogram of influenza outbreaks in aged care facilities in NSW in 2017 by month. Outbreaks occurred in every month except April. Outbreaks peaked in the month of August and 92.2% of outbreaks occurred in the three month period July to Sept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gram of influenza outbreaks in aged care facilities in NSW in 2017 by month. Outbreaks occurred in each month from January to November inclusive. Outbreaks peaked in the month of July and 92.2% of outbreaks occurred in the three month period June to Augus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00000" cy="2843947"/>
                    </a:xfrm>
                    <a:prstGeom prst="rect">
                      <a:avLst/>
                    </a:prstGeom>
                  </pic:spPr>
                </pic:pic>
              </a:graphicData>
            </a:graphic>
          </wp:inline>
        </w:drawing>
      </w:r>
    </w:p>
    <w:p w:rsidR="00351721" w:rsidRDefault="00351721">
      <w:pPr>
        <w:rPr>
          <w:b/>
        </w:rPr>
      </w:pPr>
      <w:r>
        <w:br w:type="page"/>
      </w:r>
    </w:p>
    <w:p w:rsidR="00442AAD" w:rsidRDefault="00442AAD" w:rsidP="007B68DB">
      <w:pPr>
        <w:pStyle w:val="CDIFigures"/>
      </w:pPr>
      <w:r>
        <w:lastRenderedPageBreak/>
        <w:t xml:space="preserve">Table 2: Total number of influenza outbreaks and outbreak ILI cases for ACFs in NSW and subgroup </w:t>
      </w:r>
      <w:proofErr w:type="spellStart"/>
      <w:r>
        <w:t>LHDs</w:t>
      </w:r>
      <w:proofErr w:type="gramStart"/>
      <w:r>
        <w:t>,</w:t>
      </w:r>
      <w:r w:rsidRPr="00F629DA">
        <w:rPr>
          <w:vertAlign w:val="superscript"/>
        </w:rPr>
        <w:t>a</w:t>
      </w:r>
      <w:proofErr w:type="spellEnd"/>
      <w:proofErr w:type="gramEnd"/>
      <w:r>
        <w:t xml:space="preserve"> 2017</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re were a total of 538 outbreaks in NSW, a rate of 6.8 outbreaks per 100,000 general population. Amongst subgroup local health districts there were between 6.4 and 9.8 outbreaks per 100,000 population. "/>
      </w:tblPr>
      <w:tblGrid>
        <w:gridCol w:w="2707"/>
        <w:gridCol w:w="1104"/>
        <w:gridCol w:w="1105"/>
        <w:gridCol w:w="1105"/>
        <w:gridCol w:w="1104"/>
        <w:gridCol w:w="1105"/>
        <w:gridCol w:w="1105"/>
        <w:gridCol w:w="1105"/>
      </w:tblGrid>
      <w:tr w:rsidR="007B68DB" w:rsidRPr="006225E0" w:rsidTr="00FD1166">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rsidR="00442AAD" w:rsidRPr="00FD1166" w:rsidRDefault="00442AAD">
            <w:pPr>
              <w:pStyle w:val="NormalWeb"/>
              <w:rPr>
                <w:color w:val="FFFFFF" w:themeColor="background1"/>
                <w:sz w:val="18"/>
                <w:szCs w:val="18"/>
              </w:rPr>
            </w:pPr>
            <w:r w:rsidRPr="00FD1166">
              <w:rPr>
                <w:color w:val="FFFFFF" w:themeColor="background1"/>
                <w:sz w:val="18"/>
                <w:szCs w:val="18"/>
              </w:rPr>
              <w:t>Variable</w:t>
            </w:r>
          </w:p>
        </w:tc>
        <w:tc>
          <w:tcPr>
            <w:tcW w:w="1104" w:type="dxa"/>
            <w:tcBorders>
              <w:left w:val="single" w:sz="2" w:space="0" w:color="FFFFFF" w:themeColor="background1"/>
              <w:bottom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NSW total</w:t>
            </w:r>
          </w:p>
        </w:tc>
        <w:tc>
          <w:tcPr>
            <w:tcW w:w="1105" w:type="dxa"/>
            <w:tcBorders>
              <w:left w:val="single" w:sz="2" w:space="0" w:color="FFFFFF" w:themeColor="background1"/>
              <w:bottom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LHD1</w:t>
            </w:r>
          </w:p>
        </w:tc>
        <w:tc>
          <w:tcPr>
            <w:tcW w:w="1105" w:type="dxa"/>
            <w:tcBorders>
              <w:left w:val="single" w:sz="2" w:space="0" w:color="FFFFFF" w:themeColor="background1"/>
              <w:bottom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LHD2</w:t>
            </w:r>
          </w:p>
        </w:tc>
        <w:tc>
          <w:tcPr>
            <w:tcW w:w="1104" w:type="dxa"/>
            <w:tcBorders>
              <w:left w:val="single" w:sz="2" w:space="0" w:color="FFFFFF" w:themeColor="background1"/>
              <w:bottom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LHD3</w:t>
            </w:r>
          </w:p>
        </w:tc>
        <w:tc>
          <w:tcPr>
            <w:tcW w:w="1105" w:type="dxa"/>
            <w:tcBorders>
              <w:left w:val="single" w:sz="2" w:space="0" w:color="FFFFFF" w:themeColor="background1"/>
              <w:bottom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LHD4</w:t>
            </w:r>
          </w:p>
        </w:tc>
        <w:tc>
          <w:tcPr>
            <w:tcW w:w="1105" w:type="dxa"/>
            <w:tcBorders>
              <w:left w:val="single" w:sz="2" w:space="0" w:color="FFFFFF" w:themeColor="background1"/>
              <w:bottom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LHD5</w:t>
            </w:r>
          </w:p>
        </w:tc>
        <w:tc>
          <w:tcPr>
            <w:tcW w:w="1105" w:type="dxa"/>
            <w:tcBorders>
              <w:left w:val="single" w:sz="2" w:space="0" w:color="FFFFFF" w:themeColor="background1"/>
              <w:bottom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LHD6</w:t>
            </w:r>
          </w:p>
        </w:tc>
      </w:tr>
      <w:tr w:rsidR="00FD1166" w:rsidRPr="006225E0" w:rsidTr="00FD1166">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rsidR="00442AAD" w:rsidRPr="00FD1166" w:rsidRDefault="00442AAD">
            <w:pPr>
              <w:pStyle w:val="NormalWeb"/>
              <w:rPr>
                <w:color w:val="FFFFFF" w:themeColor="background1"/>
                <w:sz w:val="18"/>
                <w:szCs w:val="18"/>
              </w:rPr>
            </w:pPr>
            <w:r w:rsidRPr="00FD1166">
              <w:rPr>
                <w:color w:val="FFFFFF" w:themeColor="background1"/>
                <w:sz w:val="18"/>
                <w:szCs w:val="18"/>
              </w:rPr>
              <w:t>Total number of outbreaks</w:t>
            </w:r>
          </w:p>
        </w:tc>
        <w:tc>
          <w:tcPr>
            <w:tcW w:w="1104" w:type="dxa"/>
            <w:tcBorders>
              <w:top w:val="single" w:sz="2" w:space="0" w:color="FFFFFF" w:themeColor="background1"/>
              <w:left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538</w:t>
            </w:r>
          </w:p>
        </w:tc>
        <w:tc>
          <w:tcPr>
            <w:tcW w:w="1105" w:type="dxa"/>
            <w:tcBorders>
              <w:top w:val="single" w:sz="2" w:space="0" w:color="FFFFFF" w:themeColor="background1"/>
              <w:left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37</w:t>
            </w:r>
          </w:p>
        </w:tc>
        <w:tc>
          <w:tcPr>
            <w:tcW w:w="1105" w:type="dxa"/>
            <w:tcBorders>
              <w:top w:val="single" w:sz="2" w:space="0" w:color="FFFFFF" w:themeColor="background1"/>
              <w:left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68</w:t>
            </w:r>
          </w:p>
        </w:tc>
        <w:tc>
          <w:tcPr>
            <w:tcW w:w="1104" w:type="dxa"/>
            <w:tcBorders>
              <w:top w:val="single" w:sz="2" w:space="0" w:color="FFFFFF" w:themeColor="background1"/>
              <w:left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24</w:t>
            </w:r>
          </w:p>
        </w:tc>
        <w:tc>
          <w:tcPr>
            <w:tcW w:w="1105" w:type="dxa"/>
            <w:tcBorders>
              <w:top w:val="single" w:sz="2" w:space="0" w:color="FFFFFF" w:themeColor="background1"/>
              <w:left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23</w:t>
            </w:r>
          </w:p>
        </w:tc>
        <w:tc>
          <w:tcPr>
            <w:tcW w:w="1105" w:type="dxa"/>
            <w:tcBorders>
              <w:top w:val="single" w:sz="2" w:space="0" w:color="FFFFFF" w:themeColor="background1"/>
              <w:left w:val="single" w:sz="2" w:space="0" w:color="FFFFFF" w:themeColor="background1"/>
              <w:righ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90</w:t>
            </w:r>
          </w:p>
        </w:tc>
        <w:tc>
          <w:tcPr>
            <w:tcW w:w="1105" w:type="dxa"/>
            <w:tcBorders>
              <w:top w:val="single" w:sz="2" w:space="0" w:color="FFFFFF" w:themeColor="background1"/>
              <w:left w:val="single" w:sz="2" w:space="0" w:color="FFFFFF" w:themeColor="background1"/>
            </w:tcBorders>
            <w:hideMark/>
          </w:tcPr>
          <w:p w:rsidR="00442AAD" w:rsidRPr="00FD1166" w:rsidRDefault="00442AAD" w:rsidP="007B68DB">
            <w:pPr>
              <w:pStyle w:val="NormalWeb"/>
              <w:jc w:val="center"/>
              <w:rPr>
                <w:color w:val="FFFFFF" w:themeColor="background1"/>
                <w:sz w:val="18"/>
                <w:szCs w:val="18"/>
              </w:rPr>
            </w:pPr>
            <w:r w:rsidRPr="00FD1166">
              <w:rPr>
                <w:color w:val="FFFFFF" w:themeColor="background1"/>
                <w:sz w:val="18"/>
                <w:szCs w:val="18"/>
              </w:rPr>
              <w:t>77</w:t>
            </w:r>
          </w:p>
        </w:tc>
      </w:tr>
      <w:tr w:rsidR="00FD1166" w:rsidRPr="006225E0" w:rsidTr="00FD1166">
        <w:tc>
          <w:tcPr>
            <w:tcW w:w="0" w:type="auto"/>
            <w:hideMark/>
          </w:tcPr>
          <w:p w:rsidR="00442AAD" w:rsidRPr="006225E0" w:rsidRDefault="00442AAD">
            <w:pPr>
              <w:pStyle w:val="NormalWeb"/>
              <w:rPr>
                <w:sz w:val="18"/>
                <w:szCs w:val="18"/>
              </w:rPr>
            </w:pPr>
            <w:r w:rsidRPr="006225E0">
              <w:rPr>
                <w:sz w:val="18"/>
                <w:szCs w:val="18"/>
              </w:rPr>
              <w:t>Total number ILI cases</w:t>
            </w:r>
          </w:p>
        </w:tc>
        <w:tc>
          <w:tcPr>
            <w:tcW w:w="1104" w:type="dxa"/>
            <w:hideMark/>
          </w:tcPr>
          <w:p w:rsidR="00442AAD" w:rsidRPr="006225E0" w:rsidRDefault="00442AAD" w:rsidP="007B68DB">
            <w:pPr>
              <w:pStyle w:val="NormalWeb"/>
              <w:jc w:val="center"/>
              <w:rPr>
                <w:sz w:val="18"/>
                <w:szCs w:val="18"/>
              </w:rPr>
            </w:pPr>
            <w:r w:rsidRPr="006225E0">
              <w:rPr>
                <w:sz w:val="18"/>
                <w:szCs w:val="18"/>
              </w:rPr>
              <w:t>7,613</w:t>
            </w:r>
          </w:p>
        </w:tc>
        <w:tc>
          <w:tcPr>
            <w:tcW w:w="1105" w:type="dxa"/>
            <w:hideMark/>
          </w:tcPr>
          <w:p w:rsidR="00442AAD" w:rsidRPr="006225E0" w:rsidRDefault="00442AAD" w:rsidP="007B68DB">
            <w:pPr>
              <w:pStyle w:val="NormalWeb"/>
              <w:jc w:val="center"/>
              <w:rPr>
                <w:sz w:val="18"/>
                <w:szCs w:val="18"/>
              </w:rPr>
            </w:pPr>
            <w:r w:rsidRPr="006225E0">
              <w:rPr>
                <w:sz w:val="18"/>
                <w:szCs w:val="18"/>
              </w:rPr>
              <w:t>616</w:t>
            </w:r>
          </w:p>
        </w:tc>
        <w:tc>
          <w:tcPr>
            <w:tcW w:w="1105" w:type="dxa"/>
            <w:hideMark/>
          </w:tcPr>
          <w:p w:rsidR="00442AAD" w:rsidRPr="006225E0" w:rsidRDefault="00442AAD" w:rsidP="007B68DB">
            <w:pPr>
              <w:pStyle w:val="NormalWeb"/>
              <w:jc w:val="center"/>
              <w:rPr>
                <w:sz w:val="18"/>
                <w:szCs w:val="18"/>
              </w:rPr>
            </w:pPr>
            <w:r w:rsidRPr="006225E0">
              <w:rPr>
                <w:sz w:val="18"/>
                <w:szCs w:val="18"/>
              </w:rPr>
              <w:t>843</w:t>
            </w:r>
          </w:p>
        </w:tc>
        <w:tc>
          <w:tcPr>
            <w:tcW w:w="1104" w:type="dxa"/>
            <w:hideMark/>
          </w:tcPr>
          <w:p w:rsidR="00442AAD" w:rsidRPr="006225E0" w:rsidRDefault="00442AAD" w:rsidP="007B68DB">
            <w:pPr>
              <w:pStyle w:val="NormalWeb"/>
              <w:jc w:val="center"/>
              <w:rPr>
                <w:sz w:val="18"/>
                <w:szCs w:val="18"/>
              </w:rPr>
            </w:pPr>
            <w:r w:rsidRPr="006225E0">
              <w:rPr>
                <w:sz w:val="18"/>
                <w:szCs w:val="18"/>
              </w:rPr>
              <w:t>355</w:t>
            </w:r>
          </w:p>
        </w:tc>
        <w:tc>
          <w:tcPr>
            <w:tcW w:w="1105" w:type="dxa"/>
            <w:hideMark/>
          </w:tcPr>
          <w:p w:rsidR="00442AAD" w:rsidRPr="006225E0" w:rsidRDefault="00442AAD" w:rsidP="007B68DB">
            <w:pPr>
              <w:pStyle w:val="NormalWeb"/>
              <w:jc w:val="center"/>
              <w:rPr>
                <w:sz w:val="18"/>
                <w:szCs w:val="18"/>
              </w:rPr>
            </w:pPr>
            <w:r w:rsidRPr="006225E0">
              <w:rPr>
                <w:sz w:val="18"/>
                <w:szCs w:val="18"/>
              </w:rPr>
              <w:t>286</w:t>
            </w:r>
          </w:p>
        </w:tc>
        <w:tc>
          <w:tcPr>
            <w:tcW w:w="1105" w:type="dxa"/>
            <w:hideMark/>
          </w:tcPr>
          <w:p w:rsidR="00442AAD" w:rsidRPr="006225E0" w:rsidRDefault="00442AAD" w:rsidP="007B68DB">
            <w:pPr>
              <w:pStyle w:val="NormalWeb"/>
              <w:jc w:val="center"/>
              <w:rPr>
                <w:sz w:val="18"/>
                <w:szCs w:val="18"/>
              </w:rPr>
            </w:pPr>
            <w:r w:rsidRPr="006225E0">
              <w:rPr>
                <w:sz w:val="18"/>
                <w:szCs w:val="18"/>
              </w:rPr>
              <w:t>1,308</w:t>
            </w:r>
          </w:p>
        </w:tc>
        <w:tc>
          <w:tcPr>
            <w:tcW w:w="1105" w:type="dxa"/>
            <w:hideMark/>
          </w:tcPr>
          <w:p w:rsidR="00442AAD" w:rsidRPr="006225E0" w:rsidRDefault="00442AAD" w:rsidP="007B68DB">
            <w:pPr>
              <w:pStyle w:val="NormalWeb"/>
              <w:jc w:val="center"/>
              <w:rPr>
                <w:sz w:val="18"/>
                <w:szCs w:val="18"/>
              </w:rPr>
            </w:pPr>
            <w:r w:rsidRPr="006225E0">
              <w:rPr>
                <w:sz w:val="18"/>
                <w:szCs w:val="18"/>
              </w:rPr>
              <w:t>1,123</w:t>
            </w:r>
          </w:p>
        </w:tc>
      </w:tr>
      <w:tr w:rsidR="00442AAD" w:rsidRPr="006225E0" w:rsidTr="00FD1166">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6225E0" w:rsidRDefault="00442AAD">
            <w:pPr>
              <w:pStyle w:val="NormalWeb"/>
              <w:rPr>
                <w:sz w:val="18"/>
                <w:szCs w:val="18"/>
              </w:rPr>
            </w:pPr>
            <w:r w:rsidRPr="006225E0">
              <w:rPr>
                <w:sz w:val="18"/>
                <w:szCs w:val="18"/>
              </w:rPr>
              <w:t>Mean ILI cases / outbreak</w:t>
            </w:r>
          </w:p>
        </w:tc>
        <w:tc>
          <w:tcPr>
            <w:tcW w:w="1104" w:type="dxa"/>
            <w:hideMark/>
          </w:tcPr>
          <w:p w:rsidR="00442AAD" w:rsidRPr="006225E0" w:rsidRDefault="00442AAD" w:rsidP="007B68DB">
            <w:pPr>
              <w:pStyle w:val="NormalWeb"/>
              <w:jc w:val="center"/>
              <w:rPr>
                <w:sz w:val="18"/>
                <w:szCs w:val="18"/>
              </w:rPr>
            </w:pPr>
            <w:r w:rsidRPr="006225E0">
              <w:rPr>
                <w:sz w:val="18"/>
                <w:szCs w:val="18"/>
              </w:rPr>
              <w:t>14.2</w:t>
            </w:r>
          </w:p>
        </w:tc>
        <w:tc>
          <w:tcPr>
            <w:tcW w:w="1105" w:type="dxa"/>
            <w:hideMark/>
          </w:tcPr>
          <w:p w:rsidR="00442AAD" w:rsidRPr="006225E0" w:rsidRDefault="00442AAD" w:rsidP="007B68DB">
            <w:pPr>
              <w:pStyle w:val="NormalWeb"/>
              <w:jc w:val="center"/>
              <w:rPr>
                <w:sz w:val="18"/>
                <w:szCs w:val="18"/>
              </w:rPr>
            </w:pPr>
            <w:r w:rsidRPr="006225E0">
              <w:rPr>
                <w:sz w:val="18"/>
                <w:szCs w:val="18"/>
              </w:rPr>
              <w:t>16.6</w:t>
            </w:r>
          </w:p>
        </w:tc>
        <w:tc>
          <w:tcPr>
            <w:tcW w:w="1105" w:type="dxa"/>
            <w:hideMark/>
          </w:tcPr>
          <w:p w:rsidR="00442AAD" w:rsidRPr="006225E0" w:rsidRDefault="00442AAD" w:rsidP="007B68DB">
            <w:pPr>
              <w:pStyle w:val="NormalWeb"/>
              <w:jc w:val="center"/>
              <w:rPr>
                <w:sz w:val="18"/>
                <w:szCs w:val="18"/>
              </w:rPr>
            </w:pPr>
            <w:r w:rsidRPr="006225E0">
              <w:rPr>
                <w:sz w:val="18"/>
                <w:szCs w:val="18"/>
              </w:rPr>
              <w:t>12.4</w:t>
            </w:r>
          </w:p>
        </w:tc>
        <w:tc>
          <w:tcPr>
            <w:tcW w:w="1104" w:type="dxa"/>
            <w:hideMark/>
          </w:tcPr>
          <w:p w:rsidR="00442AAD" w:rsidRPr="006225E0" w:rsidRDefault="00442AAD" w:rsidP="007B68DB">
            <w:pPr>
              <w:pStyle w:val="NormalWeb"/>
              <w:jc w:val="center"/>
              <w:rPr>
                <w:sz w:val="18"/>
                <w:szCs w:val="18"/>
              </w:rPr>
            </w:pPr>
            <w:r w:rsidRPr="006225E0">
              <w:rPr>
                <w:sz w:val="18"/>
                <w:szCs w:val="18"/>
              </w:rPr>
              <w:t>14.8</w:t>
            </w:r>
          </w:p>
        </w:tc>
        <w:tc>
          <w:tcPr>
            <w:tcW w:w="1105" w:type="dxa"/>
            <w:hideMark/>
          </w:tcPr>
          <w:p w:rsidR="00442AAD" w:rsidRPr="006225E0" w:rsidRDefault="00442AAD" w:rsidP="007B68DB">
            <w:pPr>
              <w:pStyle w:val="NormalWeb"/>
              <w:jc w:val="center"/>
              <w:rPr>
                <w:sz w:val="18"/>
                <w:szCs w:val="18"/>
              </w:rPr>
            </w:pPr>
            <w:r w:rsidRPr="006225E0">
              <w:rPr>
                <w:sz w:val="18"/>
                <w:szCs w:val="18"/>
              </w:rPr>
              <w:t>12.4</w:t>
            </w:r>
          </w:p>
        </w:tc>
        <w:tc>
          <w:tcPr>
            <w:tcW w:w="1105" w:type="dxa"/>
            <w:hideMark/>
          </w:tcPr>
          <w:p w:rsidR="00442AAD" w:rsidRPr="006225E0" w:rsidRDefault="00442AAD" w:rsidP="007B68DB">
            <w:pPr>
              <w:pStyle w:val="NormalWeb"/>
              <w:jc w:val="center"/>
              <w:rPr>
                <w:sz w:val="18"/>
                <w:szCs w:val="18"/>
              </w:rPr>
            </w:pPr>
            <w:r w:rsidRPr="006225E0">
              <w:rPr>
                <w:sz w:val="18"/>
                <w:szCs w:val="18"/>
              </w:rPr>
              <w:t>14.5</w:t>
            </w:r>
          </w:p>
        </w:tc>
        <w:tc>
          <w:tcPr>
            <w:tcW w:w="1105" w:type="dxa"/>
            <w:hideMark/>
          </w:tcPr>
          <w:p w:rsidR="00442AAD" w:rsidRPr="006225E0" w:rsidRDefault="00442AAD" w:rsidP="007B68DB">
            <w:pPr>
              <w:pStyle w:val="NormalWeb"/>
              <w:jc w:val="center"/>
              <w:rPr>
                <w:sz w:val="18"/>
                <w:szCs w:val="18"/>
              </w:rPr>
            </w:pPr>
            <w:r w:rsidRPr="006225E0">
              <w:rPr>
                <w:sz w:val="18"/>
                <w:szCs w:val="18"/>
              </w:rPr>
              <w:t>14.6</w:t>
            </w:r>
          </w:p>
        </w:tc>
      </w:tr>
      <w:tr w:rsidR="00FD1166" w:rsidRPr="006225E0" w:rsidTr="00FD1166">
        <w:tc>
          <w:tcPr>
            <w:tcW w:w="0" w:type="auto"/>
            <w:hideMark/>
          </w:tcPr>
          <w:p w:rsidR="00442AAD" w:rsidRPr="006225E0" w:rsidRDefault="00442AAD">
            <w:pPr>
              <w:pStyle w:val="NormalWeb"/>
              <w:rPr>
                <w:sz w:val="18"/>
                <w:szCs w:val="18"/>
              </w:rPr>
            </w:pPr>
            <w:r w:rsidRPr="006225E0">
              <w:rPr>
                <w:sz w:val="18"/>
                <w:szCs w:val="18"/>
              </w:rPr>
              <w:t>Population (est. 2017)</w:t>
            </w:r>
          </w:p>
        </w:tc>
        <w:tc>
          <w:tcPr>
            <w:tcW w:w="1104" w:type="dxa"/>
            <w:hideMark/>
          </w:tcPr>
          <w:p w:rsidR="00442AAD" w:rsidRPr="006225E0" w:rsidRDefault="00442AAD" w:rsidP="007B68DB">
            <w:pPr>
              <w:pStyle w:val="NormalWeb"/>
              <w:jc w:val="center"/>
              <w:rPr>
                <w:sz w:val="18"/>
                <w:szCs w:val="18"/>
              </w:rPr>
            </w:pPr>
            <w:r w:rsidRPr="006225E0">
              <w:rPr>
                <w:sz w:val="18"/>
                <w:szCs w:val="18"/>
              </w:rPr>
              <w:t>7,861,000</w:t>
            </w:r>
          </w:p>
        </w:tc>
        <w:tc>
          <w:tcPr>
            <w:tcW w:w="1105" w:type="dxa"/>
            <w:hideMark/>
          </w:tcPr>
          <w:p w:rsidR="00442AAD" w:rsidRPr="006225E0" w:rsidRDefault="00442AAD" w:rsidP="007B68DB">
            <w:pPr>
              <w:pStyle w:val="NormalWeb"/>
              <w:jc w:val="center"/>
              <w:rPr>
                <w:sz w:val="18"/>
                <w:szCs w:val="18"/>
              </w:rPr>
            </w:pPr>
            <w:r w:rsidRPr="006225E0">
              <w:rPr>
                <w:sz w:val="18"/>
                <w:szCs w:val="18"/>
              </w:rPr>
              <w:t>409,000</w:t>
            </w:r>
          </w:p>
        </w:tc>
        <w:tc>
          <w:tcPr>
            <w:tcW w:w="1105" w:type="dxa"/>
            <w:hideMark/>
          </w:tcPr>
          <w:p w:rsidR="00442AAD" w:rsidRPr="006225E0" w:rsidRDefault="00442AAD" w:rsidP="007B68DB">
            <w:pPr>
              <w:pStyle w:val="NormalWeb"/>
              <w:jc w:val="center"/>
              <w:rPr>
                <w:sz w:val="18"/>
                <w:szCs w:val="18"/>
              </w:rPr>
            </w:pPr>
            <w:r w:rsidRPr="006225E0">
              <w:rPr>
                <w:sz w:val="18"/>
                <w:szCs w:val="18"/>
              </w:rPr>
              <w:t>925,000</w:t>
            </w:r>
          </w:p>
        </w:tc>
        <w:tc>
          <w:tcPr>
            <w:tcW w:w="1104" w:type="dxa"/>
            <w:hideMark/>
          </w:tcPr>
          <w:p w:rsidR="00442AAD" w:rsidRPr="006225E0" w:rsidRDefault="00442AAD" w:rsidP="007B68DB">
            <w:pPr>
              <w:pStyle w:val="NormalWeb"/>
              <w:jc w:val="center"/>
              <w:rPr>
                <w:sz w:val="18"/>
                <w:szCs w:val="18"/>
              </w:rPr>
            </w:pPr>
            <w:r w:rsidRPr="006225E0">
              <w:rPr>
                <w:sz w:val="18"/>
                <w:szCs w:val="18"/>
              </w:rPr>
              <w:t>374,000</w:t>
            </w:r>
          </w:p>
        </w:tc>
        <w:tc>
          <w:tcPr>
            <w:tcW w:w="1105" w:type="dxa"/>
            <w:hideMark/>
          </w:tcPr>
          <w:p w:rsidR="00442AAD" w:rsidRPr="006225E0" w:rsidRDefault="00442AAD" w:rsidP="007B68DB">
            <w:pPr>
              <w:pStyle w:val="NormalWeb"/>
              <w:jc w:val="center"/>
              <w:rPr>
                <w:sz w:val="18"/>
                <w:szCs w:val="18"/>
              </w:rPr>
            </w:pPr>
            <w:r w:rsidRPr="006225E0">
              <w:rPr>
                <w:sz w:val="18"/>
                <w:szCs w:val="18"/>
              </w:rPr>
              <w:t>311,000</w:t>
            </w:r>
          </w:p>
        </w:tc>
        <w:tc>
          <w:tcPr>
            <w:tcW w:w="1105" w:type="dxa"/>
            <w:hideMark/>
          </w:tcPr>
          <w:p w:rsidR="00442AAD" w:rsidRPr="006225E0" w:rsidRDefault="00442AAD" w:rsidP="007B68DB">
            <w:pPr>
              <w:pStyle w:val="NormalWeb"/>
              <w:jc w:val="center"/>
              <w:rPr>
                <w:sz w:val="18"/>
                <w:szCs w:val="18"/>
              </w:rPr>
            </w:pPr>
            <w:r w:rsidRPr="006225E0">
              <w:rPr>
                <w:sz w:val="18"/>
                <w:szCs w:val="18"/>
              </w:rPr>
              <w:t>922,000</w:t>
            </w:r>
          </w:p>
        </w:tc>
        <w:tc>
          <w:tcPr>
            <w:tcW w:w="1105" w:type="dxa"/>
            <w:hideMark/>
          </w:tcPr>
          <w:p w:rsidR="00442AAD" w:rsidRPr="006225E0" w:rsidRDefault="00442AAD" w:rsidP="007B68DB">
            <w:pPr>
              <w:pStyle w:val="NormalWeb"/>
              <w:jc w:val="center"/>
              <w:rPr>
                <w:sz w:val="18"/>
                <w:szCs w:val="18"/>
              </w:rPr>
            </w:pPr>
            <w:r w:rsidRPr="006225E0">
              <w:rPr>
                <w:sz w:val="18"/>
                <w:szCs w:val="18"/>
              </w:rPr>
              <w:t>925,000</w:t>
            </w:r>
          </w:p>
        </w:tc>
      </w:tr>
      <w:tr w:rsidR="00442AAD" w:rsidRPr="006225E0" w:rsidTr="00FD1166">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6225E0" w:rsidRDefault="00442AAD">
            <w:pPr>
              <w:pStyle w:val="NormalWeb"/>
              <w:rPr>
                <w:sz w:val="18"/>
                <w:szCs w:val="18"/>
              </w:rPr>
            </w:pPr>
            <w:r w:rsidRPr="006225E0">
              <w:rPr>
                <w:sz w:val="18"/>
                <w:szCs w:val="18"/>
              </w:rPr>
              <w:t>Outbreaks / 100,000 population</w:t>
            </w:r>
          </w:p>
        </w:tc>
        <w:tc>
          <w:tcPr>
            <w:tcW w:w="1104" w:type="dxa"/>
            <w:hideMark/>
          </w:tcPr>
          <w:p w:rsidR="00442AAD" w:rsidRPr="006225E0" w:rsidRDefault="00442AAD" w:rsidP="007B68DB">
            <w:pPr>
              <w:pStyle w:val="NormalWeb"/>
              <w:jc w:val="center"/>
              <w:rPr>
                <w:sz w:val="18"/>
                <w:szCs w:val="18"/>
              </w:rPr>
            </w:pPr>
            <w:r w:rsidRPr="006225E0">
              <w:rPr>
                <w:sz w:val="18"/>
                <w:szCs w:val="18"/>
              </w:rPr>
              <w:t>6.8</w:t>
            </w:r>
          </w:p>
        </w:tc>
        <w:tc>
          <w:tcPr>
            <w:tcW w:w="1105" w:type="dxa"/>
            <w:hideMark/>
          </w:tcPr>
          <w:p w:rsidR="00442AAD" w:rsidRPr="006225E0" w:rsidRDefault="00442AAD" w:rsidP="007B68DB">
            <w:pPr>
              <w:pStyle w:val="NormalWeb"/>
              <w:jc w:val="center"/>
              <w:rPr>
                <w:sz w:val="18"/>
                <w:szCs w:val="18"/>
              </w:rPr>
            </w:pPr>
            <w:r w:rsidRPr="006225E0">
              <w:rPr>
                <w:sz w:val="18"/>
                <w:szCs w:val="18"/>
              </w:rPr>
              <w:t>9.1</w:t>
            </w:r>
          </w:p>
        </w:tc>
        <w:tc>
          <w:tcPr>
            <w:tcW w:w="1105" w:type="dxa"/>
            <w:hideMark/>
          </w:tcPr>
          <w:p w:rsidR="00442AAD" w:rsidRPr="006225E0" w:rsidRDefault="00442AAD" w:rsidP="007B68DB">
            <w:pPr>
              <w:pStyle w:val="NormalWeb"/>
              <w:jc w:val="center"/>
              <w:rPr>
                <w:sz w:val="18"/>
                <w:szCs w:val="18"/>
              </w:rPr>
            </w:pPr>
            <w:r w:rsidRPr="006225E0">
              <w:rPr>
                <w:sz w:val="18"/>
                <w:szCs w:val="18"/>
              </w:rPr>
              <w:t>7.4</w:t>
            </w:r>
          </w:p>
        </w:tc>
        <w:tc>
          <w:tcPr>
            <w:tcW w:w="1104" w:type="dxa"/>
            <w:hideMark/>
          </w:tcPr>
          <w:p w:rsidR="00442AAD" w:rsidRPr="006225E0" w:rsidRDefault="00442AAD" w:rsidP="007B68DB">
            <w:pPr>
              <w:pStyle w:val="NormalWeb"/>
              <w:jc w:val="center"/>
              <w:rPr>
                <w:sz w:val="18"/>
                <w:szCs w:val="18"/>
              </w:rPr>
            </w:pPr>
            <w:r w:rsidRPr="006225E0">
              <w:rPr>
                <w:sz w:val="18"/>
                <w:szCs w:val="18"/>
              </w:rPr>
              <w:t>6.4</w:t>
            </w:r>
          </w:p>
        </w:tc>
        <w:tc>
          <w:tcPr>
            <w:tcW w:w="1105" w:type="dxa"/>
            <w:hideMark/>
          </w:tcPr>
          <w:p w:rsidR="00442AAD" w:rsidRPr="006225E0" w:rsidRDefault="00442AAD" w:rsidP="007B68DB">
            <w:pPr>
              <w:pStyle w:val="NormalWeb"/>
              <w:jc w:val="center"/>
              <w:rPr>
                <w:sz w:val="18"/>
                <w:szCs w:val="18"/>
              </w:rPr>
            </w:pPr>
            <w:r w:rsidRPr="006225E0">
              <w:rPr>
                <w:sz w:val="18"/>
                <w:szCs w:val="18"/>
              </w:rPr>
              <w:t>7.4</w:t>
            </w:r>
          </w:p>
        </w:tc>
        <w:tc>
          <w:tcPr>
            <w:tcW w:w="1105" w:type="dxa"/>
            <w:hideMark/>
          </w:tcPr>
          <w:p w:rsidR="00442AAD" w:rsidRPr="006225E0" w:rsidRDefault="00442AAD" w:rsidP="007B68DB">
            <w:pPr>
              <w:pStyle w:val="NormalWeb"/>
              <w:jc w:val="center"/>
              <w:rPr>
                <w:sz w:val="18"/>
                <w:szCs w:val="18"/>
              </w:rPr>
            </w:pPr>
            <w:r w:rsidRPr="006225E0">
              <w:rPr>
                <w:sz w:val="18"/>
                <w:szCs w:val="18"/>
              </w:rPr>
              <w:t>9.8</w:t>
            </w:r>
          </w:p>
        </w:tc>
        <w:tc>
          <w:tcPr>
            <w:tcW w:w="1105" w:type="dxa"/>
            <w:hideMark/>
          </w:tcPr>
          <w:p w:rsidR="00442AAD" w:rsidRPr="006225E0" w:rsidRDefault="00442AAD" w:rsidP="007B68DB">
            <w:pPr>
              <w:pStyle w:val="NormalWeb"/>
              <w:jc w:val="center"/>
              <w:rPr>
                <w:sz w:val="18"/>
                <w:szCs w:val="18"/>
              </w:rPr>
            </w:pPr>
            <w:r w:rsidRPr="006225E0">
              <w:rPr>
                <w:sz w:val="18"/>
                <w:szCs w:val="18"/>
              </w:rPr>
              <w:t>8.3</w:t>
            </w:r>
          </w:p>
        </w:tc>
      </w:tr>
      <w:tr w:rsidR="00FD1166" w:rsidRPr="006225E0" w:rsidTr="00FD1166">
        <w:tc>
          <w:tcPr>
            <w:tcW w:w="0" w:type="auto"/>
            <w:hideMark/>
          </w:tcPr>
          <w:p w:rsidR="00442AAD" w:rsidRPr="006225E0" w:rsidRDefault="00442AAD">
            <w:pPr>
              <w:pStyle w:val="NormalWeb"/>
              <w:rPr>
                <w:sz w:val="18"/>
                <w:szCs w:val="18"/>
              </w:rPr>
            </w:pPr>
            <w:r w:rsidRPr="006225E0">
              <w:rPr>
                <w:sz w:val="18"/>
                <w:szCs w:val="18"/>
              </w:rPr>
              <w:t>Total ILI cases / 100,000 population</w:t>
            </w:r>
          </w:p>
        </w:tc>
        <w:tc>
          <w:tcPr>
            <w:tcW w:w="1104" w:type="dxa"/>
            <w:hideMark/>
          </w:tcPr>
          <w:p w:rsidR="00442AAD" w:rsidRPr="006225E0" w:rsidRDefault="00442AAD" w:rsidP="007B68DB">
            <w:pPr>
              <w:pStyle w:val="NormalWeb"/>
              <w:jc w:val="center"/>
              <w:rPr>
                <w:sz w:val="18"/>
                <w:szCs w:val="18"/>
              </w:rPr>
            </w:pPr>
            <w:r w:rsidRPr="006225E0">
              <w:rPr>
                <w:sz w:val="18"/>
                <w:szCs w:val="18"/>
              </w:rPr>
              <w:t>96.8</w:t>
            </w:r>
          </w:p>
        </w:tc>
        <w:tc>
          <w:tcPr>
            <w:tcW w:w="1105" w:type="dxa"/>
            <w:hideMark/>
          </w:tcPr>
          <w:p w:rsidR="00442AAD" w:rsidRPr="006225E0" w:rsidRDefault="00442AAD" w:rsidP="007B68DB">
            <w:pPr>
              <w:pStyle w:val="NormalWeb"/>
              <w:jc w:val="center"/>
              <w:rPr>
                <w:sz w:val="18"/>
                <w:szCs w:val="18"/>
              </w:rPr>
            </w:pPr>
            <w:r w:rsidRPr="006225E0">
              <w:rPr>
                <w:sz w:val="18"/>
                <w:szCs w:val="18"/>
              </w:rPr>
              <w:t>150.6</w:t>
            </w:r>
          </w:p>
        </w:tc>
        <w:tc>
          <w:tcPr>
            <w:tcW w:w="1105" w:type="dxa"/>
            <w:hideMark/>
          </w:tcPr>
          <w:p w:rsidR="00442AAD" w:rsidRPr="006225E0" w:rsidRDefault="00442AAD" w:rsidP="007B68DB">
            <w:pPr>
              <w:pStyle w:val="NormalWeb"/>
              <w:jc w:val="center"/>
              <w:rPr>
                <w:sz w:val="18"/>
                <w:szCs w:val="18"/>
              </w:rPr>
            </w:pPr>
            <w:r w:rsidRPr="006225E0">
              <w:rPr>
                <w:sz w:val="18"/>
                <w:szCs w:val="18"/>
              </w:rPr>
              <w:t>91.1</w:t>
            </w:r>
          </w:p>
        </w:tc>
        <w:tc>
          <w:tcPr>
            <w:tcW w:w="1104" w:type="dxa"/>
            <w:hideMark/>
          </w:tcPr>
          <w:p w:rsidR="00442AAD" w:rsidRPr="006225E0" w:rsidRDefault="00442AAD" w:rsidP="007B68DB">
            <w:pPr>
              <w:pStyle w:val="NormalWeb"/>
              <w:jc w:val="center"/>
              <w:rPr>
                <w:sz w:val="18"/>
                <w:szCs w:val="18"/>
              </w:rPr>
            </w:pPr>
            <w:r w:rsidRPr="006225E0">
              <w:rPr>
                <w:sz w:val="18"/>
                <w:szCs w:val="18"/>
              </w:rPr>
              <w:t>94.9</w:t>
            </w:r>
          </w:p>
        </w:tc>
        <w:tc>
          <w:tcPr>
            <w:tcW w:w="1105" w:type="dxa"/>
            <w:hideMark/>
          </w:tcPr>
          <w:p w:rsidR="00442AAD" w:rsidRPr="006225E0" w:rsidRDefault="00442AAD" w:rsidP="007B68DB">
            <w:pPr>
              <w:pStyle w:val="NormalWeb"/>
              <w:jc w:val="center"/>
              <w:rPr>
                <w:sz w:val="18"/>
                <w:szCs w:val="18"/>
              </w:rPr>
            </w:pPr>
            <w:r w:rsidRPr="006225E0">
              <w:rPr>
                <w:sz w:val="18"/>
                <w:szCs w:val="18"/>
              </w:rPr>
              <w:t>92.0</w:t>
            </w:r>
          </w:p>
        </w:tc>
        <w:tc>
          <w:tcPr>
            <w:tcW w:w="1105" w:type="dxa"/>
            <w:hideMark/>
          </w:tcPr>
          <w:p w:rsidR="00442AAD" w:rsidRPr="006225E0" w:rsidRDefault="00442AAD" w:rsidP="007B68DB">
            <w:pPr>
              <w:pStyle w:val="NormalWeb"/>
              <w:jc w:val="center"/>
              <w:rPr>
                <w:sz w:val="18"/>
                <w:szCs w:val="18"/>
              </w:rPr>
            </w:pPr>
            <w:r w:rsidRPr="006225E0">
              <w:rPr>
                <w:sz w:val="18"/>
                <w:szCs w:val="18"/>
              </w:rPr>
              <w:t>141.9</w:t>
            </w:r>
          </w:p>
        </w:tc>
        <w:tc>
          <w:tcPr>
            <w:tcW w:w="1105" w:type="dxa"/>
            <w:hideMark/>
          </w:tcPr>
          <w:p w:rsidR="00442AAD" w:rsidRPr="006225E0" w:rsidRDefault="00442AAD" w:rsidP="007B68DB">
            <w:pPr>
              <w:pStyle w:val="NormalWeb"/>
              <w:jc w:val="center"/>
              <w:rPr>
                <w:sz w:val="18"/>
                <w:szCs w:val="18"/>
              </w:rPr>
            </w:pPr>
            <w:r w:rsidRPr="006225E0">
              <w:rPr>
                <w:sz w:val="18"/>
                <w:szCs w:val="18"/>
              </w:rPr>
              <w:t>121.4</w:t>
            </w:r>
          </w:p>
        </w:tc>
      </w:tr>
    </w:tbl>
    <w:p w:rsidR="00442AAD" w:rsidRDefault="00442AAD" w:rsidP="00A46AFC">
      <w:pPr>
        <w:pStyle w:val="CDIfootnotes"/>
      </w:pPr>
      <w:proofErr w:type="gramStart"/>
      <w:r>
        <w:t>a</w:t>
      </w:r>
      <w:proofErr w:type="gramEnd"/>
      <w:r>
        <w:tab/>
        <w:t>Local Health District.</w:t>
      </w:r>
    </w:p>
    <w:p w:rsidR="00442AAD" w:rsidRDefault="00442AAD" w:rsidP="00A46AFC">
      <w:r>
        <w:t>The 538 outbreaks in NSW accounted for 7,613 ILI cases, an average of 14.2 resident cases per outbreak (average 12.4 to 16.6 in subgroup LHDs) and a median attack rate of 17% (median 12.4% to 21.6% in subgroup LHDs) (Table</w:t>
      </w:r>
      <w:r w:rsidR="003A3E64">
        <w:t> </w:t>
      </w:r>
      <w:r>
        <w:t xml:space="preserve">3). </w:t>
      </w:r>
    </w:p>
    <w:p w:rsidR="00124EE6" w:rsidRDefault="00124EE6" w:rsidP="00124EE6">
      <w:pPr>
        <w:pStyle w:val="CDIFigures"/>
        <w:sectPr w:rsidR="00124EE6"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rsidR="00442AAD" w:rsidRDefault="00442AAD" w:rsidP="00124EE6">
      <w:pPr>
        <w:pStyle w:val="CDIFigures"/>
      </w:pPr>
      <w:r>
        <w:lastRenderedPageBreak/>
        <w:t>Table 3: Calculated influenza outbreak parameters for ACFs in NSW and subgroup LHDs, 2017</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For all NSW outbreaks the median outbreak duration was 8 days, median attack rate 17% and the preceding resident vaccination coverage was 93.2%. &#10;"/>
      </w:tblPr>
      <w:tblGrid>
        <w:gridCol w:w="2611"/>
        <w:gridCol w:w="1761"/>
        <w:gridCol w:w="1761"/>
        <w:gridCol w:w="1761"/>
        <w:gridCol w:w="1762"/>
        <w:gridCol w:w="1761"/>
        <w:gridCol w:w="1761"/>
        <w:gridCol w:w="1762"/>
      </w:tblGrid>
      <w:tr w:rsidR="007B013F" w:rsidRPr="00C56145" w:rsidTr="007B013F">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right w:val="single" w:sz="2" w:space="0" w:color="FFFFFF" w:themeColor="background1"/>
            </w:tcBorders>
            <w:hideMark/>
          </w:tcPr>
          <w:p w:rsidR="007B013F" w:rsidRPr="00C56145" w:rsidRDefault="007B013F" w:rsidP="00124EE6">
            <w:pPr>
              <w:pStyle w:val="NormalWeb"/>
              <w:rPr>
                <w:color w:val="FFFFFF" w:themeColor="background1"/>
                <w:sz w:val="18"/>
                <w:szCs w:val="18"/>
              </w:rPr>
            </w:pPr>
            <w:r w:rsidRPr="00C56145">
              <w:rPr>
                <w:color w:val="FFFFFF" w:themeColor="background1"/>
                <w:sz w:val="18"/>
                <w:szCs w:val="18"/>
              </w:rPr>
              <w:t>Variable</w:t>
            </w:r>
          </w:p>
        </w:tc>
        <w:tc>
          <w:tcPr>
            <w:tcW w:w="1761" w:type="dxa"/>
            <w:tcBorders>
              <w:left w:val="single" w:sz="2" w:space="0" w:color="FFFFFF" w:themeColor="background1"/>
              <w:bottom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NSW total</w:t>
            </w:r>
            <w:r w:rsidR="00F513FC">
              <w:rPr>
                <w:color w:val="FFFFFF" w:themeColor="background1"/>
                <w:sz w:val="18"/>
                <w:szCs w:val="18"/>
              </w:rPr>
              <w:br/>
            </w:r>
            <w:r w:rsidRPr="00C56145">
              <w:rPr>
                <w:color w:val="FFFFFF" w:themeColor="background1"/>
                <w:sz w:val="18"/>
                <w:szCs w:val="18"/>
              </w:rPr>
              <w:t>(all LHDs)</w:t>
            </w:r>
          </w:p>
        </w:tc>
        <w:tc>
          <w:tcPr>
            <w:tcW w:w="1761" w:type="dxa"/>
            <w:tcBorders>
              <w:left w:val="single" w:sz="2" w:space="0" w:color="FFFFFF" w:themeColor="background1"/>
              <w:bottom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LHD1</w:t>
            </w:r>
          </w:p>
        </w:tc>
        <w:tc>
          <w:tcPr>
            <w:tcW w:w="1761" w:type="dxa"/>
            <w:tcBorders>
              <w:left w:val="single" w:sz="2" w:space="0" w:color="FFFFFF" w:themeColor="background1"/>
              <w:bottom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LHD2</w:t>
            </w:r>
          </w:p>
        </w:tc>
        <w:tc>
          <w:tcPr>
            <w:tcW w:w="1762" w:type="dxa"/>
            <w:tcBorders>
              <w:left w:val="single" w:sz="2" w:space="0" w:color="FFFFFF" w:themeColor="background1"/>
              <w:bottom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LHD3</w:t>
            </w:r>
          </w:p>
        </w:tc>
        <w:tc>
          <w:tcPr>
            <w:tcW w:w="1761" w:type="dxa"/>
            <w:tcBorders>
              <w:left w:val="single" w:sz="2" w:space="0" w:color="FFFFFF" w:themeColor="background1"/>
              <w:bottom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LHD4</w:t>
            </w:r>
          </w:p>
        </w:tc>
        <w:tc>
          <w:tcPr>
            <w:tcW w:w="1761" w:type="dxa"/>
            <w:tcBorders>
              <w:left w:val="single" w:sz="2" w:space="0" w:color="FFFFFF" w:themeColor="background1"/>
              <w:bottom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LHD5</w:t>
            </w:r>
          </w:p>
        </w:tc>
        <w:tc>
          <w:tcPr>
            <w:tcW w:w="1762" w:type="dxa"/>
            <w:tcBorders>
              <w:left w:val="single" w:sz="2" w:space="0" w:color="FFFFFF" w:themeColor="background1"/>
              <w:bottom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LHD6</w:t>
            </w:r>
          </w:p>
        </w:tc>
      </w:tr>
      <w:tr w:rsidR="007B013F" w:rsidRPr="00C56145" w:rsidTr="007B013F">
        <w:trPr>
          <w:cnfStyle w:val="100000000000" w:firstRow="1" w:lastRow="0" w:firstColumn="0" w:lastColumn="0" w:oddVBand="0" w:evenVBand="0" w:oddHBand="0" w:evenHBand="0" w:firstRowFirstColumn="0" w:firstRowLastColumn="0" w:lastRowFirstColumn="0" w:lastRowLastColumn="0"/>
          <w:tblHeader/>
        </w:trPr>
        <w:tc>
          <w:tcPr>
            <w:tcW w:w="0" w:type="auto"/>
            <w:vMerge/>
            <w:tcBorders>
              <w:right w:val="single" w:sz="2" w:space="0" w:color="FFFFFF" w:themeColor="background1"/>
            </w:tcBorders>
            <w:hideMark/>
          </w:tcPr>
          <w:p w:rsidR="007B013F" w:rsidRPr="00C56145" w:rsidRDefault="007B013F">
            <w:pPr>
              <w:rPr>
                <w:color w:val="FFFFFF" w:themeColor="background1"/>
                <w:sz w:val="18"/>
                <w:szCs w:val="18"/>
              </w:rPr>
            </w:pPr>
          </w:p>
        </w:tc>
        <w:tc>
          <w:tcPr>
            <w:tcW w:w="1761" w:type="dxa"/>
            <w:tcBorders>
              <w:top w:val="single" w:sz="2" w:space="0" w:color="FFFFFF" w:themeColor="background1"/>
              <w:left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Median (range)</w:t>
            </w:r>
          </w:p>
        </w:tc>
        <w:tc>
          <w:tcPr>
            <w:tcW w:w="1761" w:type="dxa"/>
            <w:tcBorders>
              <w:top w:val="single" w:sz="2" w:space="0" w:color="FFFFFF" w:themeColor="background1"/>
              <w:left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Median (range)</w:t>
            </w:r>
          </w:p>
        </w:tc>
        <w:tc>
          <w:tcPr>
            <w:tcW w:w="1761" w:type="dxa"/>
            <w:tcBorders>
              <w:top w:val="single" w:sz="2" w:space="0" w:color="FFFFFF" w:themeColor="background1"/>
              <w:left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Median (range)</w:t>
            </w:r>
          </w:p>
        </w:tc>
        <w:tc>
          <w:tcPr>
            <w:tcW w:w="1762" w:type="dxa"/>
            <w:tcBorders>
              <w:top w:val="single" w:sz="2" w:space="0" w:color="FFFFFF" w:themeColor="background1"/>
              <w:left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Median (range)</w:t>
            </w:r>
          </w:p>
        </w:tc>
        <w:tc>
          <w:tcPr>
            <w:tcW w:w="1761" w:type="dxa"/>
            <w:tcBorders>
              <w:top w:val="single" w:sz="2" w:space="0" w:color="FFFFFF" w:themeColor="background1"/>
              <w:left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Median (range)</w:t>
            </w:r>
          </w:p>
        </w:tc>
        <w:tc>
          <w:tcPr>
            <w:tcW w:w="1761" w:type="dxa"/>
            <w:tcBorders>
              <w:top w:val="single" w:sz="2" w:space="0" w:color="FFFFFF" w:themeColor="background1"/>
              <w:left w:val="single" w:sz="2" w:space="0" w:color="FFFFFF" w:themeColor="background1"/>
              <w:righ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Median (range)</w:t>
            </w:r>
          </w:p>
        </w:tc>
        <w:tc>
          <w:tcPr>
            <w:tcW w:w="1762" w:type="dxa"/>
            <w:tcBorders>
              <w:top w:val="single" w:sz="2" w:space="0" w:color="FFFFFF" w:themeColor="background1"/>
              <w:left w:val="single" w:sz="2" w:space="0" w:color="FFFFFF" w:themeColor="background1"/>
            </w:tcBorders>
            <w:hideMark/>
          </w:tcPr>
          <w:p w:rsidR="007B013F" w:rsidRPr="00C56145" w:rsidRDefault="007B013F" w:rsidP="008D6D87">
            <w:pPr>
              <w:pStyle w:val="NormalWeb"/>
              <w:jc w:val="center"/>
              <w:rPr>
                <w:color w:val="FFFFFF" w:themeColor="background1"/>
                <w:sz w:val="18"/>
                <w:szCs w:val="18"/>
              </w:rPr>
            </w:pPr>
            <w:r w:rsidRPr="00C56145">
              <w:rPr>
                <w:color w:val="FFFFFF" w:themeColor="background1"/>
                <w:sz w:val="18"/>
                <w:szCs w:val="18"/>
              </w:rPr>
              <w:t>Median (range)</w:t>
            </w:r>
          </w:p>
        </w:tc>
      </w:tr>
      <w:tr w:rsidR="00C56145" w:rsidRPr="00C56145" w:rsidTr="007B013F">
        <w:tc>
          <w:tcPr>
            <w:tcW w:w="0" w:type="auto"/>
            <w:hideMark/>
          </w:tcPr>
          <w:p w:rsidR="00442AAD" w:rsidRPr="00C56145" w:rsidRDefault="00442AAD">
            <w:pPr>
              <w:pStyle w:val="NormalWeb"/>
              <w:rPr>
                <w:sz w:val="18"/>
                <w:szCs w:val="18"/>
              </w:rPr>
            </w:pPr>
            <w:r w:rsidRPr="00C56145">
              <w:rPr>
                <w:sz w:val="18"/>
                <w:szCs w:val="18"/>
              </w:rPr>
              <w:t>Attack rate (%)</w:t>
            </w:r>
          </w:p>
        </w:tc>
        <w:tc>
          <w:tcPr>
            <w:tcW w:w="1761" w:type="dxa"/>
            <w:hideMark/>
          </w:tcPr>
          <w:p w:rsidR="00442AAD" w:rsidRPr="00C56145" w:rsidRDefault="00442AAD" w:rsidP="008D6D87">
            <w:pPr>
              <w:pStyle w:val="NormalWeb"/>
              <w:jc w:val="center"/>
              <w:rPr>
                <w:sz w:val="18"/>
                <w:szCs w:val="18"/>
              </w:rPr>
            </w:pPr>
            <w:r w:rsidRPr="00C56145">
              <w:rPr>
                <w:sz w:val="18"/>
                <w:szCs w:val="18"/>
              </w:rPr>
              <w:t>17.0 (1.7–80.0)</w:t>
            </w:r>
          </w:p>
        </w:tc>
        <w:tc>
          <w:tcPr>
            <w:tcW w:w="1761" w:type="dxa"/>
            <w:hideMark/>
          </w:tcPr>
          <w:p w:rsidR="00442AAD" w:rsidRPr="00C56145" w:rsidRDefault="00442AAD" w:rsidP="008D6D87">
            <w:pPr>
              <w:pStyle w:val="NormalWeb"/>
              <w:jc w:val="center"/>
              <w:rPr>
                <w:sz w:val="18"/>
                <w:szCs w:val="18"/>
              </w:rPr>
            </w:pPr>
            <w:r w:rsidRPr="00C56145">
              <w:rPr>
                <w:sz w:val="18"/>
                <w:szCs w:val="18"/>
              </w:rPr>
              <w:t>13.4 (6.7–50.0)</w:t>
            </w:r>
          </w:p>
        </w:tc>
        <w:tc>
          <w:tcPr>
            <w:tcW w:w="1761" w:type="dxa"/>
            <w:hideMark/>
          </w:tcPr>
          <w:p w:rsidR="00442AAD" w:rsidRPr="00C56145" w:rsidRDefault="00442AAD" w:rsidP="008D6D87">
            <w:pPr>
              <w:pStyle w:val="NormalWeb"/>
              <w:jc w:val="center"/>
              <w:rPr>
                <w:sz w:val="18"/>
                <w:szCs w:val="18"/>
              </w:rPr>
            </w:pPr>
            <w:r w:rsidRPr="00C56145">
              <w:rPr>
                <w:sz w:val="18"/>
                <w:szCs w:val="18"/>
              </w:rPr>
              <w:t>12.4 (2.3–45.5)</w:t>
            </w:r>
          </w:p>
        </w:tc>
        <w:tc>
          <w:tcPr>
            <w:tcW w:w="1762" w:type="dxa"/>
            <w:hideMark/>
          </w:tcPr>
          <w:p w:rsidR="00442AAD" w:rsidRPr="00C56145" w:rsidRDefault="00442AAD" w:rsidP="008D6D87">
            <w:pPr>
              <w:pStyle w:val="NormalWeb"/>
              <w:jc w:val="center"/>
              <w:rPr>
                <w:sz w:val="18"/>
                <w:szCs w:val="18"/>
              </w:rPr>
            </w:pPr>
            <w:r w:rsidRPr="00C56145">
              <w:rPr>
                <w:sz w:val="18"/>
                <w:szCs w:val="18"/>
              </w:rPr>
              <w:t>16.1 (4.4–61.9)</w:t>
            </w:r>
          </w:p>
        </w:tc>
        <w:tc>
          <w:tcPr>
            <w:tcW w:w="1761" w:type="dxa"/>
            <w:hideMark/>
          </w:tcPr>
          <w:p w:rsidR="00442AAD" w:rsidRPr="00C56145" w:rsidRDefault="00442AAD" w:rsidP="008D6D87">
            <w:pPr>
              <w:pStyle w:val="NormalWeb"/>
              <w:jc w:val="center"/>
              <w:rPr>
                <w:sz w:val="18"/>
                <w:szCs w:val="18"/>
              </w:rPr>
            </w:pPr>
            <w:r w:rsidRPr="00C56145">
              <w:rPr>
                <w:sz w:val="18"/>
                <w:szCs w:val="18"/>
              </w:rPr>
              <w:t>21.6 (4.8–68.8)</w:t>
            </w:r>
          </w:p>
        </w:tc>
        <w:tc>
          <w:tcPr>
            <w:tcW w:w="1761" w:type="dxa"/>
            <w:hideMark/>
          </w:tcPr>
          <w:p w:rsidR="00442AAD" w:rsidRPr="00C56145" w:rsidRDefault="00442AAD" w:rsidP="008D6D87">
            <w:pPr>
              <w:pStyle w:val="NormalWeb"/>
              <w:jc w:val="center"/>
              <w:rPr>
                <w:sz w:val="18"/>
                <w:szCs w:val="18"/>
              </w:rPr>
            </w:pPr>
            <w:r w:rsidRPr="00C56145">
              <w:rPr>
                <w:sz w:val="18"/>
                <w:szCs w:val="18"/>
              </w:rPr>
              <w:t>19.4 (2.9–80.0)</w:t>
            </w:r>
          </w:p>
        </w:tc>
        <w:tc>
          <w:tcPr>
            <w:tcW w:w="1762" w:type="dxa"/>
            <w:hideMark/>
          </w:tcPr>
          <w:p w:rsidR="00442AAD" w:rsidRPr="00C56145" w:rsidRDefault="00442AAD" w:rsidP="008D6D87">
            <w:pPr>
              <w:pStyle w:val="NormalWeb"/>
              <w:jc w:val="center"/>
              <w:rPr>
                <w:sz w:val="18"/>
                <w:szCs w:val="18"/>
              </w:rPr>
            </w:pPr>
            <w:r w:rsidRPr="00C56145">
              <w:rPr>
                <w:sz w:val="18"/>
                <w:szCs w:val="18"/>
              </w:rPr>
              <w:t>19.7 (1.8–55.7)</w:t>
            </w:r>
          </w:p>
        </w:tc>
      </w:tr>
      <w:tr w:rsidR="007B013F" w:rsidRPr="00C56145" w:rsidTr="007B013F">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C56145" w:rsidRDefault="00442AAD">
            <w:pPr>
              <w:pStyle w:val="NormalWeb"/>
              <w:rPr>
                <w:sz w:val="18"/>
                <w:szCs w:val="18"/>
              </w:rPr>
            </w:pPr>
            <w:r w:rsidRPr="00C56145">
              <w:rPr>
                <w:sz w:val="18"/>
                <w:szCs w:val="18"/>
              </w:rPr>
              <w:t>Hospitalisation rate (%)</w:t>
            </w:r>
          </w:p>
        </w:tc>
        <w:tc>
          <w:tcPr>
            <w:tcW w:w="1761" w:type="dxa"/>
            <w:hideMark/>
          </w:tcPr>
          <w:p w:rsidR="00442AAD" w:rsidRPr="00C56145" w:rsidRDefault="00442AAD" w:rsidP="008D6D87">
            <w:pPr>
              <w:pStyle w:val="NormalWeb"/>
              <w:jc w:val="center"/>
              <w:rPr>
                <w:sz w:val="18"/>
                <w:szCs w:val="18"/>
              </w:rPr>
            </w:pPr>
            <w:r w:rsidRPr="00C56145">
              <w:rPr>
                <w:sz w:val="18"/>
                <w:szCs w:val="18"/>
              </w:rPr>
              <w:t>9.1 (0–100)</w:t>
            </w:r>
          </w:p>
        </w:tc>
        <w:tc>
          <w:tcPr>
            <w:tcW w:w="1761" w:type="dxa"/>
            <w:hideMark/>
          </w:tcPr>
          <w:p w:rsidR="00442AAD" w:rsidRPr="00C56145" w:rsidRDefault="00442AAD" w:rsidP="008D6D87">
            <w:pPr>
              <w:pStyle w:val="NormalWeb"/>
              <w:jc w:val="center"/>
              <w:rPr>
                <w:sz w:val="18"/>
                <w:szCs w:val="18"/>
              </w:rPr>
            </w:pPr>
            <w:r w:rsidRPr="00C56145">
              <w:rPr>
                <w:sz w:val="18"/>
                <w:szCs w:val="18"/>
              </w:rPr>
              <w:t>11.1 (0–66.7)</w:t>
            </w:r>
          </w:p>
        </w:tc>
        <w:tc>
          <w:tcPr>
            <w:tcW w:w="1761" w:type="dxa"/>
            <w:hideMark/>
          </w:tcPr>
          <w:p w:rsidR="00442AAD" w:rsidRPr="00C56145" w:rsidRDefault="00442AAD" w:rsidP="008D6D87">
            <w:pPr>
              <w:pStyle w:val="NormalWeb"/>
              <w:jc w:val="center"/>
              <w:rPr>
                <w:sz w:val="18"/>
                <w:szCs w:val="18"/>
              </w:rPr>
            </w:pPr>
            <w:r w:rsidRPr="00C56145">
              <w:rPr>
                <w:sz w:val="18"/>
                <w:szCs w:val="18"/>
              </w:rPr>
              <w:t>11.5 (0–60.0)</w:t>
            </w:r>
          </w:p>
        </w:tc>
        <w:tc>
          <w:tcPr>
            <w:tcW w:w="1762" w:type="dxa"/>
            <w:hideMark/>
          </w:tcPr>
          <w:p w:rsidR="00442AAD" w:rsidRPr="00C56145" w:rsidRDefault="00442AAD" w:rsidP="008D6D87">
            <w:pPr>
              <w:pStyle w:val="NormalWeb"/>
              <w:jc w:val="center"/>
              <w:rPr>
                <w:sz w:val="18"/>
                <w:szCs w:val="18"/>
              </w:rPr>
            </w:pPr>
            <w:r w:rsidRPr="00C56145">
              <w:rPr>
                <w:sz w:val="18"/>
                <w:szCs w:val="18"/>
              </w:rPr>
              <w:t>13.1 (0–50.0)</w:t>
            </w:r>
          </w:p>
        </w:tc>
        <w:tc>
          <w:tcPr>
            <w:tcW w:w="1761" w:type="dxa"/>
            <w:hideMark/>
          </w:tcPr>
          <w:p w:rsidR="00442AAD" w:rsidRPr="00C56145" w:rsidRDefault="00442AAD" w:rsidP="008D6D87">
            <w:pPr>
              <w:pStyle w:val="NormalWeb"/>
              <w:jc w:val="center"/>
              <w:rPr>
                <w:sz w:val="18"/>
                <w:szCs w:val="18"/>
              </w:rPr>
            </w:pPr>
            <w:r w:rsidRPr="00C56145">
              <w:rPr>
                <w:sz w:val="18"/>
                <w:szCs w:val="18"/>
              </w:rPr>
              <w:t>5.3 (0–30)</w:t>
            </w:r>
          </w:p>
        </w:tc>
        <w:tc>
          <w:tcPr>
            <w:tcW w:w="1761" w:type="dxa"/>
            <w:hideMark/>
          </w:tcPr>
          <w:p w:rsidR="00442AAD" w:rsidRPr="00C56145" w:rsidRDefault="00442AAD" w:rsidP="008D6D87">
            <w:pPr>
              <w:pStyle w:val="NormalWeb"/>
              <w:jc w:val="center"/>
              <w:rPr>
                <w:sz w:val="18"/>
                <w:szCs w:val="18"/>
              </w:rPr>
            </w:pPr>
            <w:r w:rsidRPr="00C56145">
              <w:rPr>
                <w:sz w:val="18"/>
                <w:szCs w:val="18"/>
              </w:rPr>
              <w:t>6.1 (0–66.7)</w:t>
            </w:r>
          </w:p>
        </w:tc>
        <w:tc>
          <w:tcPr>
            <w:tcW w:w="1762" w:type="dxa"/>
            <w:hideMark/>
          </w:tcPr>
          <w:p w:rsidR="00442AAD" w:rsidRPr="00C56145" w:rsidRDefault="00442AAD" w:rsidP="008D6D87">
            <w:pPr>
              <w:pStyle w:val="NormalWeb"/>
              <w:jc w:val="center"/>
              <w:rPr>
                <w:sz w:val="18"/>
                <w:szCs w:val="18"/>
              </w:rPr>
            </w:pPr>
            <w:r w:rsidRPr="00C56145">
              <w:rPr>
                <w:sz w:val="18"/>
                <w:szCs w:val="18"/>
              </w:rPr>
              <w:t>12.2 (0–60)</w:t>
            </w:r>
          </w:p>
        </w:tc>
      </w:tr>
      <w:tr w:rsidR="00C56145" w:rsidRPr="00C56145" w:rsidTr="007B013F">
        <w:tc>
          <w:tcPr>
            <w:tcW w:w="0" w:type="auto"/>
            <w:hideMark/>
          </w:tcPr>
          <w:p w:rsidR="00442AAD" w:rsidRPr="00C56145" w:rsidRDefault="00442AAD">
            <w:pPr>
              <w:pStyle w:val="NormalWeb"/>
              <w:rPr>
                <w:sz w:val="18"/>
                <w:szCs w:val="18"/>
              </w:rPr>
            </w:pPr>
            <w:r w:rsidRPr="00C56145">
              <w:rPr>
                <w:sz w:val="18"/>
                <w:szCs w:val="18"/>
              </w:rPr>
              <w:t>Case fatality rate (%)</w:t>
            </w:r>
          </w:p>
        </w:tc>
        <w:tc>
          <w:tcPr>
            <w:tcW w:w="1761" w:type="dxa"/>
            <w:hideMark/>
          </w:tcPr>
          <w:p w:rsidR="00442AAD" w:rsidRPr="00C56145" w:rsidRDefault="00442AAD" w:rsidP="008D6D87">
            <w:pPr>
              <w:pStyle w:val="NormalWeb"/>
              <w:jc w:val="center"/>
              <w:rPr>
                <w:sz w:val="18"/>
                <w:szCs w:val="18"/>
              </w:rPr>
            </w:pPr>
            <w:r w:rsidRPr="00C56145">
              <w:rPr>
                <w:sz w:val="18"/>
                <w:szCs w:val="18"/>
              </w:rPr>
              <w:t>0 (0–50.0)</w:t>
            </w:r>
          </w:p>
        </w:tc>
        <w:tc>
          <w:tcPr>
            <w:tcW w:w="1761" w:type="dxa"/>
            <w:hideMark/>
          </w:tcPr>
          <w:p w:rsidR="00442AAD" w:rsidRPr="00C56145" w:rsidRDefault="00442AAD" w:rsidP="008D6D87">
            <w:pPr>
              <w:pStyle w:val="NormalWeb"/>
              <w:jc w:val="center"/>
              <w:rPr>
                <w:sz w:val="18"/>
                <w:szCs w:val="18"/>
              </w:rPr>
            </w:pPr>
            <w:r w:rsidRPr="00C56145">
              <w:rPr>
                <w:sz w:val="18"/>
                <w:szCs w:val="18"/>
              </w:rPr>
              <w:t>0 (0–33.3)</w:t>
            </w:r>
          </w:p>
        </w:tc>
        <w:tc>
          <w:tcPr>
            <w:tcW w:w="1761" w:type="dxa"/>
            <w:hideMark/>
          </w:tcPr>
          <w:p w:rsidR="00442AAD" w:rsidRPr="00C56145" w:rsidRDefault="00442AAD" w:rsidP="008D6D87">
            <w:pPr>
              <w:pStyle w:val="NormalWeb"/>
              <w:jc w:val="center"/>
              <w:rPr>
                <w:sz w:val="18"/>
                <w:szCs w:val="18"/>
              </w:rPr>
            </w:pPr>
            <w:r w:rsidRPr="00C56145">
              <w:rPr>
                <w:sz w:val="18"/>
                <w:szCs w:val="18"/>
              </w:rPr>
              <w:t>3.3 (0–36.8)</w:t>
            </w:r>
          </w:p>
        </w:tc>
        <w:tc>
          <w:tcPr>
            <w:tcW w:w="1762" w:type="dxa"/>
            <w:hideMark/>
          </w:tcPr>
          <w:p w:rsidR="00442AAD" w:rsidRPr="00C56145" w:rsidRDefault="00442AAD" w:rsidP="008D6D87">
            <w:pPr>
              <w:pStyle w:val="NormalWeb"/>
              <w:jc w:val="center"/>
              <w:rPr>
                <w:sz w:val="18"/>
                <w:szCs w:val="18"/>
              </w:rPr>
            </w:pPr>
            <w:r w:rsidRPr="00C56145">
              <w:rPr>
                <w:sz w:val="18"/>
                <w:szCs w:val="18"/>
              </w:rPr>
              <w:t>0 (0–14.3)</w:t>
            </w:r>
          </w:p>
        </w:tc>
        <w:tc>
          <w:tcPr>
            <w:tcW w:w="1761" w:type="dxa"/>
            <w:hideMark/>
          </w:tcPr>
          <w:p w:rsidR="00442AAD" w:rsidRPr="00C56145" w:rsidRDefault="00442AAD" w:rsidP="008D6D87">
            <w:pPr>
              <w:pStyle w:val="NormalWeb"/>
              <w:jc w:val="center"/>
              <w:rPr>
                <w:sz w:val="18"/>
                <w:szCs w:val="18"/>
              </w:rPr>
            </w:pPr>
            <w:r w:rsidRPr="00C56145">
              <w:rPr>
                <w:sz w:val="18"/>
                <w:szCs w:val="18"/>
              </w:rPr>
              <w:t>5.7 (0–27.0)</w:t>
            </w:r>
          </w:p>
        </w:tc>
        <w:tc>
          <w:tcPr>
            <w:tcW w:w="1761" w:type="dxa"/>
            <w:hideMark/>
          </w:tcPr>
          <w:p w:rsidR="00442AAD" w:rsidRPr="00C56145" w:rsidRDefault="00442AAD" w:rsidP="008D6D87">
            <w:pPr>
              <w:pStyle w:val="NormalWeb"/>
              <w:jc w:val="center"/>
              <w:rPr>
                <w:sz w:val="18"/>
                <w:szCs w:val="18"/>
              </w:rPr>
            </w:pPr>
            <w:r w:rsidRPr="00C56145">
              <w:rPr>
                <w:sz w:val="18"/>
                <w:szCs w:val="18"/>
              </w:rPr>
              <w:t>0 (0–50.0)</w:t>
            </w:r>
          </w:p>
        </w:tc>
        <w:tc>
          <w:tcPr>
            <w:tcW w:w="1762" w:type="dxa"/>
            <w:hideMark/>
          </w:tcPr>
          <w:p w:rsidR="00442AAD" w:rsidRPr="00C56145" w:rsidRDefault="00442AAD" w:rsidP="008D6D87">
            <w:pPr>
              <w:pStyle w:val="NormalWeb"/>
              <w:jc w:val="center"/>
              <w:rPr>
                <w:sz w:val="18"/>
                <w:szCs w:val="18"/>
              </w:rPr>
            </w:pPr>
            <w:r w:rsidRPr="00C56145">
              <w:rPr>
                <w:sz w:val="18"/>
                <w:szCs w:val="18"/>
              </w:rPr>
              <w:t>0 (0–36.4)</w:t>
            </w:r>
          </w:p>
        </w:tc>
      </w:tr>
      <w:tr w:rsidR="007B013F" w:rsidRPr="00C56145" w:rsidTr="007B013F">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C56145" w:rsidRDefault="00442AAD">
            <w:pPr>
              <w:pStyle w:val="NormalWeb"/>
              <w:rPr>
                <w:sz w:val="18"/>
                <w:szCs w:val="18"/>
              </w:rPr>
            </w:pPr>
            <w:r w:rsidRPr="00C56145">
              <w:rPr>
                <w:sz w:val="18"/>
                <w:szCs w:val="18"/>
              </w:rPr>
              <w:t>Outbreak duration (days)</w:t>
            </w:r>
          </w:p>
        </w:tc>
        <w:tc>
          <w:tcPr>
            <w:tcW w:w="1761" w:type="dxa"/>
            <w:hideMark/>
          </w:tcPr>
          <w:p w:rsidR="00442AAD" w:rsidRPr="00C56145" w:rsidRDefault="00442AAD" w:rsidP="008D6D87">
            <w:pPr>
              <w:pStyle w:val="NormalWeb"/>
              <w:jc w:val="center"/>
              <w:rPr>
                <w:sz w:val="18"/>
                <w:szCs w:val="18"/>
              </w:rPr>
            </w:pPr>
            <w:r w:rsidRPr="00C56145">
              <w:rPr>
                <w:sz w:val="18"/>
                <w:szCs w:val="18"/>
              </w:rPr>
              <w:t>8 (0–48)</w:t>
            </w:r>
          </w:p>
        </w:tc>
        <w:tc>
          <w:tcPr>
            <w:tcW w:w="1761" w:type="dxa"/>
            <w:hideMark/>
          </w:tcPr>
          <w:p w:rsidR="00442AAD" w:rsidRPr="00C56145" w:rsidRDefault="00442AAD" w:rsidP="008D6D87">
            <w:pPr>
              <w:pStyle w:val="NormalWeb"/>
              <w:jc w:val="center"/>
              <w:rPr>
                <w:sz w:val="18"/>
                <w:szCs w:val="18"/>
              </w:rPr>
            </w:pPr>
            <w:r w:rsidRPr="00C56145">
              <w:rPr>
                <w:sz w:val="18"/>
                <w:szCs w:val="18"/>
              </w:rPr>
              <w:t>10 (4–27)</w:t>
            </w:r>
          </w:p>
        </w:tc>
        <w:tc>
          <w:tcPr>
            <w:tcW w:w="1761" w:type="dxa"/>
            <w:hideMark/>
          </w:tcPr>
          <w:p w:rsidR="00442AAD" w:rsidRPr="00C56145" w:rsidRDefault="00442AAD" w:rsidP="008D6D87">
            <w:pPr>
              <w:pStyle w:val="NormalWeb"/>
              <w:jc w:val="center"/>
              <w:rPr>
                <w:sz w:val="18"/>
                <w:szCs w:val="18"/>
              </w:rPr>
            </w:pPr>
            <w:r w:rsidRPr="00C56145">
              <w:rPr>
                <w:sz w:val="18"/>
                <w:szCs w:val="18"/>
              </w:rPr>
              <w:t>8 (0–37)</w:t>
            </w:r>
          </w:p>
        </w:tc>
        <w:tc>
          <w:tcPr>
            <w:tcW w:w="1762" w:type="dxa"/>
            <w:hideMark/>
          </w:tcPr>
          <w:p w:rsidR="00442AAD" w:rsidRPr="00C56145" w:rsidRDefault="00442AAD" w:rsidP="008D6D87">
            <w:pPr>
              <w:pStyle w:val="NormalWeb"/>
              <w:jc w:val="center"/>
              <w:rPr>
                <w:sz w:val="18"/>
                <w:szCs w:val="18"/>
              </w:rPr>
            </w:pPr>
            <w:r w:rsidRPr="00C56145">
              <w:rPr>
                <w:sz w:val="18"/>
                <w:szCs w:val="18"/>
              </w:rPr>
              <w:t>8 (1–15)</w:t>
            </w:r>
          </w:p>
        </w:tc>
        <w:tc>
          <w:tcPr>
            <w:tcW w:w="1761" w:type="dxa"/>
            <w:hideMark/>
          </w:tcPr>
          <w:p w:rsidR="00442AAD" w:rsidRPr="00C56145" w:rsidRDefault="00442AAD" w:rsidP="008D6D87">
            <w:pPr>
              <w:pStyle w:val="NormalWeb"/>
              <w:jc w:val="center"/>
              <w:rPr>
                <w:sz w:val="18"/>
                <w:szCs w:val="18"/>
              </w:rPr>
            </w:pPr>
            <w:r w:rsidRPr="00C56145">
              <w:rPr>
                <w:sz w:val="18"/>
                <w:szCs w:val="18"/>
              </w:rPr>
              <w:t>10 (2–20)</w:t>
            </w:r>
          </w:p>
        </w:tc>
        <w:tc>
          <w:tcPr>
            <w:tcW w:w="1761" w:type="dxa"/>
            <w:hideMark/>
          </w:tcPr>
          <w:p w:rsidR="00442AAD" w:rsidRPr="00C56145" w:rsidRDefault="00442AAD" w:rsidP="008D6D87">
            <w:pPr>
              <w:pStyle w:val="NormalWeb"/>
              <w:jc w:val="center"/>
              <w:rPr>
                <w:sz w:val="18"/>
                <w:szCs w:val="18"/>
              </w:rPr>
            </w:pPr>
            <w:r w:rsidRPr="00C56145">
              <w:rPr>
                <w:sz w:val="18"/>
                <w:szCs w:val="18"/>
              </w:rPr>
              <w:t>9 (1–45)</w:t>
            </w:r>
          </w:p>
        </w:tc>
        <w:tc>
          <w:tcPr>
            <w:tcW w:w="1762" w:type="dxa"/>
            <w:hideMark/>
          </w:tcPr>
          <w:p w:rsidR="00442AAD" w:rsidRPr="00C56145" w:rsidRDefault="00442AAD" w:rsidP="008D6D87">
            <w:pPr>
              <w:pStyle w:val="NormalWeb"/>
              <w:jc w:val="center"/>
              <w:rPr>
                <w:sz w:val="18"/>
                <w:szCs w:val="18"/>
              </w:rPr>
            </w:pPr>
            <w:r w:rsidRPr="00C56145">
              <w:rPr>
                <w:sz w:val="18"/>
                <w:szCs w:val="18"/>
              </w:rPr>
              <w:t>8 (0–48)</w:t>
            </w:r>
          </w:p>
        </w:tc>
      </w:tr>
      <w:tr w:rsidR="00C56145" w:rsidRPr="00C56145" w:rsidTr="007B013F">
        <w:tc>
          <w:tcPr>
            <w:tcW w:w="0" w:type="auto"/>
            <w:hideMark/>
          </w:tcPr>
          <w:p w:rsidR="00442AAD" w:rsidRPr="00C56145" w:rsidRDefault="00442AAD">
            <w:pPr>
              <w:pStyle w:val="NormalWeb"/>
              <w:rPr>
                <w:sz w:val="18"/>
                <w:szCs w:val="18"/>
              </w:rPr>
            </w:pPr>
            <w:r w:rsidRPr="00C56145">
              <w:rPr>
                <w:sz w:val="18"/>
                <w:szCs w:val="18"/>
              </w:rPr>
              <w:t>Resident vaccination coverage (%)</w:t>
            </w:r>
          </w:p>
        </w:tc>
        <w:tc>
          <w:tcPr>
            <w:tcW w:w="1761" w:type="dxa"/>
            <w:hideMark/>
          </w:tcPr>
          <w:p w:rsidR="00442AAD" w:rsidRPr="00C56145" w:rsidRDefault="00442AAD" w:rsidP="008D6D87">
            <w:pPr>
              <w:pStyle w:val="NormalWeb"/>
              <w:jc w:val="center"/>
              <w:rPr>
                <w:sz w:val="18"/>
                <w:szCs w:val="18"/>
              </w:rPr>
            </w:pPr>
            <w:r w:rsidRPr="00C56145">
              <w:rPr>
                <w:sz w:val="18"/>
                <w:szCs w:val="18"/>
              </w:rPr>
              <w:t>93.2 (0–393)</w:t>
            </w:r>
          </w:p>
        </w:tc>
        <w:tc>
          <w:tcPr>
            <w:tcW w:w="1761" w:type="dxa"/>
            <w:hideMark/>
          </w:tcPr>
          <w:p w:rsidR="00442AAD" w:rsidRPr="00C56145" w:rsidRDefault="00442AAD" w:rsidP="008D6D87">
            <w:pPr>
              <w:pStyle w:val="NormalWeb"/>
              <w:jc w:val="center"/>
              <w:rPr>
                <w:sz w:val="18"/>
                <w:szCs w:val="18"/>
              </w:rPr>
            </w:pPr>
            <w:r w:rsidRPr="00C56145">
              <w:rPr>
                <w:sz w:val="18"/>
                <w:szCs w:val="18"/>
              </w:rPr>
              <w:t>89.3 (0–101.1)</w:t>
            </w:r>
          </w:p>
        </w:tc>
        <w:tc>
          <w:tcPr>
            <w:tcW w:w="1761" w:type="dxa"/>
            <w:hideMark/>
          </w:tcPr>
          <w:p w:rsidR="00442AAD" w:rsidRPr="00C56145" w:rsidRDefault="00442AAD" w:rsidP="008D6D87">
            <w:pPr>
              <w:pStyle w:val="NormalWeb"/>
              <w:jc w:val="center"/>
              <w:rPr>
                <w:sz w:val="18"/>
                <w:szCs w:val="18"/>
              </w:rPr>
            </w:pPr>
            <w:r w:rsidRPr="00C56145">
              <w:rPr>
                <w:sz w:val="18"/>
                <w:szCs w:val="18"/>
              </w:rPr>
              <w:t>94.2 (37.0–137.9)</w:t>
            </w:r>
          </w:p>
        </w:tc>
        <w:tc>
          <w:tcPr>
            <w:tcW w:w="1762" w:type="dxa"/>
            <w:hideMark/>
          </w:tcPr>
          <w:p w:rsidR="00442AAD" w:rsidRPr="00C56145" w:rsidRDefault="00442AAD" w:rsidP="008D6D87">
            <w:pPr>
              <w:pStyle w:val="NormalWeb"/>
              <w:jc w:val="center"/>
              <w:rPr>
                <w:sz w:val="18"/>
                <w:szCs w:val="18"/>
              </w:rPr>
            </w:pPr>
            <w:r w:rsidRPr="00C56145">
              <w:rPr>
                <w:sz w:val="18"/>
                <w:szCs w:val="18"/>
              </w:rPr>
              <w:t>91.9 (67.9–393)</w:t>
            </w:r>
          </w:p>
        </w:tc>
        <w:tc>
          <w:tcPr>
            <w:tcW w:w="1761" w:type="dxa"/>
            <w:hideMark/>
          </w:tcPr>
          <w:p w:rsidR="00442AAD" w:rsidRPr="00C56145" w:rsidRDefault="00442AAD" w:rsidP="008D6D87">
            <w:pPr>
              <w:pStyle w:val="NormalWeb"/>
              <w:jc w:val="center"/>
              <w:rPr>
                <w:sz w:val="18"/>
                <w:szCs w:val="18"/>
              </w:rPr>
            </w:pPr>
            <w:r w:rsidRPr="00C56145">
              <w:rPr>
                <w:sz w:val="18"/>
                <w:szCs w:val="18"/>
              </w:rPr>
              <w:t>91.1 (11.5–100)</w:t>
            </w:r>
          </w:p>
        </w:tc>
        <w:tc>
          <w:tcPr>
            <w:tcW w:w="1761" w:type="dxa"/>
            <w:hideMark/>
          </w:tcPr>
          <w:p w:rsidR="00442AAD" w:rsidRPr="00C56145" w:rsidRDefault="00442AAD" w:rsidP="008D6D87">
            <w:pPr>
              <w:pStyle w:val="NormalWeb"/>
              <w:jc w:val="center"/>
              <w:rPr>
                <w:sz w:val="18"/>
                <w:szCs w:val="18"/>
              </w:rPr>
            </w:pPr>
            <w:r w:rsidRPr="00C56145">
              <w:rPr>
                <w:sz w:val="18"/>
                <w:szCs w:val="18"/>
              </w:rPr>
              <w:t>93.6 (22.9–128.3)</w:t>
            </w:r>
          </w:p>
        </w:tc>
        <w:tc>
          <w:tcPr>
            <w:tcW w:w="1762" w:type="dxa"/>
            <w:hideMark/>
          </w:tcPr>
          <w:p w:rsidR="00442AAD" w:rsidRPr="00C56145" w:rsidRDefault="00442AAD" w:rsidP="008D6D87">
            <w:pPr>
              <w:jc w:val="center"/>
              <w:rPr>
                <w:sz w:val="18"/>
                <w:szCs w:val="18"/>
              </w:rPr>
            </w:pPr>
          </w:p>
        </w:tc>
      </w:tr>
      <w:tr w:rsidR="007B013F" w:rsidRPr="00C56145" w:rsidTr="007B013F">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C56145" w:rsidRDefault="00442AAD">
            <w:pPr>
              <w:pStyle w:val="NormalWeb"/>
              <w:rPr>
                <w:sz w:val="18"/>
                <w:szCs w:val="18"/>
              </w:rPr>
            </w:pPr>
            <w:r w:rsidRPr="00C56145">
              <w:rPr>
                <w:sz w:val="18"/>
                <w:szCs w:val="18"/>
              </w:rPr>
              <w:t>Timeliness of notification (days)</w:t>
            </w:r>
          </w:p>
        </w:tc>
        <w:tc>
          <w:tcPr>
            <w:tcW w:w="1761" w:type="dxa"/>
            <w:hideMark/>
          </w:tcPr>
          <w:p w:rsidR="00442AAD" w:rsidRPr="00C56145" w:rsidRDefault="00442AAD" w:rsidP="008D6D87">
            <w:pPr>
              <w:pStyle w:val="NormalWeb"/>
              <w:jc w:val="center"/>
              <w:rPr>
                <w:sz w:val="18"/>
                <w:szCs w:val="18"/>
              </w:rPr>
            </w:pPr>
            <w:r w:rsidRPr="00C56145">
              <w:rPr>
                <w:sz w:val="18"/>
                <w:szCs w:val="18"/>
              </w:rPr>
              <w:t>4 (0–40)</w:t>
            </w:r>
          </w:p>
        </w:tc>
        <w:tc>
          <w:tcPr>
            <w:tcW w:w="1761" w:type="dxa"/>
            <w:hideMark/>
          </w:tcPr>
          <w:p w:rsidR="00442AAD" w:rsidRPr="00C56145" w:rsidRDefault="00442AAD" w:rsidP="008D6D87">
            <w:pPr>
              <w:pStyle w:val="NormalWeb"/>
              <w:jc w:val="center"/>
              <w:rPr>
                <w:sz w:val="18"/>
                <w:szCs w:val="18"/>
              </w:rPr>
            </w:pPr>
            <w:r w:rsidRPr="00C56145">
              <w:rPr>
                <w:sz w:val="18"/>
                <w:szCs w:val="18"/>
              </w:rPr>
              <w:t>4 (0–17)</w:t>
            </w:r>
          </w:p>
        </w:tc>
        <w:tc>
          <w:tcPr>
            <w:tcW w:w="1761" w:type="dxa"/>
            <w:hideMark/>
          </w:tcPr>
          <w:p w:rsidR="00442AAD" w:rsidRPr="00C56145" w:rsidRDefault="00442AAD" w:rsidP="008D6D87">
            <w:pPr>
              <w:pStyle w:val="NormalWeb"/>
              <w:jc w:val="center"/>
              <w:rPr>
                <w:sz w:val="18"/>
                <w:szCs w:val="18"/>
              </w:rPr>
            </w:pPr>
            <w:r w:rsidRPr="00C56145">
              <w:rPr>
                <w:sz w:val="18"/>
                <w:szCs w:val="18"/>
              </w:rPr>
              <w:t>3 (0–24)</w:t>
            </w:r>
          </w:p>
        </w:tc>
        <w:tc>
          <w:tcPr>
            <w:tcW w:w="1762" w:type="dxa"/>
            <w:hideMark/>
          </w:tcPr>
          <w:p w:rsidR="00442AAD" w:rsidRPr="00C56145" w:rsidRDefault="00442AAD" w:rsidP="008D6D87">
            <w:pPr>
              <w:pStyle w:val="NormalWeb"/>
              <w:jc w:val="center"/>
              <w:rPr>
                <w:sz w:val="18"/>
                <w:szCs w:val="18"/>
              </w:rPr>
            </w:pPr>
            <w:r w:rsidRPr="00C56145">
              <w:rPr>
                <w:sz w:val="18"/>
                <w:szCs w:val="18"/>
              </w:rPr>
              <w:t>4 (0–10)</w:t>
            </w:r>
          </w:p>
        </w:tc>
        <w:tc>
          <w:tcPr>
            <w:tcW w:w="1761" w:type="dxa"/>
            <w:hideMark/>
          </w:tcPr>
          <w:p w:rsidR="00442AAD" w:rsidRPr="00C56145" w:rsidRDefault="00442AAD" w:rsidP="008D6D87">
            <w:pPr>
              <w:pStyle w:val="NormalWeb"/>
              <w:jc w:val="center"/>
              <w:rPr>
                <w:sz w:val="18"/>
                <w:szCs w:val="18"/>
              </w:rPr>
            </w:pPr>
            <w:r w:rsidRPr="00C56145">
              <w:rPr>
                <w:sz w:val="18"/>
                <w:szCs w:val="18"/>
              </w:rPr>
              <w:t>5 (0–16)</w:t>
            </w:r>
          </w:p>
        </w:tc>
        <w:tc>
          <w:tcPr>
            <w:tcW w:w="1761" w:type="dxa"/>
            <w:hideMark/>
          </w:tcPr>
          <w:p w:rsidR="00442AAD" w:rsidRPr="00C56145" w:rsidRDefault="00442AAD" w:rsidP="008D6D87">
            <w:pPr>
              <w:pStyle w:val="NormalWeb"/>
              <w:jc w:val="center"/>
              <w:rPr>
                <w:sz w:val="18"/>
                <w:szCs w:val="18"/>
              </w:rPr>
            </w:pPr>
            <w:r w:rsidRPr="00C56145">
              <w:rPr>
                <w:sz w:val="18"/>
                <w:szCs w:val="18"/>
              </w:rPr>
              <w:t>4 (0–40)</w:t>
            </w:r>
          </w:p>
        </w:tc>
        <w:tc>
          <w:tcPr>
            <w:tcW w:w="1762" w:type="dxa"/>
            <w:hideMark/>
          </w:tcPr>
          <w:p w:rsidR="00442AAD" w:rsidRPr="00C56145" w:rsidRDefault="00442AAD" w:rsidP="008D6D87">
            <w:pPr>
              <w:pStyle w:val="NormalWeb"/>
              <w:jc w:val="center"/>
              <w:rPr>
                <w:sz w:val="18"/>
                <w:szCs w:val="18"/>
              </w:rPr>
            </w:pPr>
            <w:r w:rsidRPr="00C56145">
              <w:rPr>
                <w:sz w:val="18"/>
                <w:szCs w:val="18"/>
              </w:rPr>
              <w:t>3 (0–37)</w:t>
            </w:r>
          </w:p>
        </w:tc>
      </w:tr>
    </w:tbl>
    <w:p w:rsidR="00124EE6" w:rsidRDefault="00124EE6" w:rsidP="00A46AFC">
      <w:pPr>
        <w:sectPr w:rsidR="00124EE6" w:rsidSect="00124EE6">
          <w:pgSz w:w="16838" w:h="11906" w:orient="landscape"/>
          <w:pgMar w:top="720" w:right="720" w:bottom="720" w:left="1134" w:header="709" w:footer="284" w:gutter="0"/>
          <w:cols w:space="708"/>
          <w:titlePg/>
          <w:docGrid w:linePitch="360"/>
        </w:sectPr>
      </w:pPr>
    </w:p>
    <w:p w:rsidR="00442AAD" w:rsidRDefault="00442AAD" w:rsidP="00A46AFC">
      <w:r>
        <w:lastRenderedPageBreak/>
        <w:t xml:space="preserve">There were 793 hospitalisations, a median case hospitalisation rate of 9.1% (median 5.3% to 13.1% in subgroup LHDs), and 338 deaths (range 0 to 10 per outbreak) with a case fatality rate (CFR) of up to 50% per outbreak (median 0% to 5.7% in subgroup LHDs). </w:t>
      </w:r>
    </w:p>
    <w:p w:rsidR="00442AAD" w:rsidRDefault="00442AAD" w:rsidP="00A46AFC">
      <w:r>
        <w:t xml:space="preserve">The NSW median outbreak duration was 8 days (median 8 to 10 days in subgroup LHDs) and the median resident vaccination coverage was 93.2% (median 89.3% to 94.2% in subgroup LHDs) (Table 3). </w:t>
      </w:r>
    </w:p>
    <w:p w:rsidR="00442AAD" w:rsidRPr="00A46AFC" w:rsidRDefault="00442AAD" w:rsidP="00A46AFC">
      <w:pPr>
        <w:pStyle w:val="Heading2"/>
      </w:pPr>
      <w:r w:rsidRPr="00A46AFC">
        <w:t xml:space="preserve">Response </w:t>
      </w:r>
    </w:p>
    <w:p w:rsidR="00442AAD" w:rsidRDefault="00442AAD" w:rsidP="00A46AFC">
      <w:r>
        <w:t xml:space="preserve">Median notification timeliness was 4 days for NSW overall (median 3 to 5 days in subgroup LHDs) (Table 3); however, in 16.0% of outbreaks, notification was made more than 7 days after onset. Antiviral use for prophylaxis was reported in 57.6% of outbreaks (28.9% to 100% in subgroup LHDs) and for treatment in 74.7% of outbreaks (39.1% to 94.6% in subgroup LHDs) (Table 4). </w:t>
      </w:r>
    </w:p>
    <w:p w:rsidR="00442AAD" w:rsidRDefault="00442AAD" w:rsidP="00A46AFC">
      <w:pPr>
        <w:pStyle w:val="CDIFigures"/>
      </w:pPr>
      <w:r>
        <w:t>Table 4: Use of antivirals for treatment and prophylaxis in ACF influenza outbreaks in NSW and subgroup LHDs,</w:t>
      </w:r>
      <w:r w:rsidR="00854724">
        <w:t> </w:t>
      </w:r>
      <w:r>
        <w:t>2017</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For all NSW outbreaks combined, antiviral treatment was used in 74.7% of outbreaks and antiviral prophylaxis was used in 57.6% of outbreaks.  Use of antiviral prophylaxis in subgroup local health districts varied between 28.9 and 100%.&#10;"/>
      </w:tblPr>
      <w:tblGrid>
        <w:gridCol w:w="1998"/>
        <w:gridCol w:w="703"/>
        <w:gridCol w:w="704"/>
        <w:gridCol w:w="703"/>
        <w:gridCol w:w="704"/>
        <w:gridCol w:w="703"/>
        <w:gridCol w:w="704"/>
        <w:gridCol w:w="703"/>
        <w:gridCol w:w="704"/>
        <w:gridCol w:w="703"/>
        <w:gridCol w:w="704"/>
        <w:gridCol w:w="703"/>
        <w:gridCol w:w="704"/>
      </w:tblGrid>
      <w:tr w:rsidR="00E15413" w:rsidRPr="00D73E98" w:rsidTr="00FD5A4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right w:val="single" w:sz="2" w:space="0" w:color="FFFFFF" w:themeColor="background1"/>
            </w:tcBorders>
            <w:hideMark/>
          </w:tcPr>
          <w:p w:rsidR="00E15413" w:rsidRPr="00D73E98" w:rsidRDefault="00E15413">
            <w:pPr>
              <w:pStyle w:val="NormalWeb"/>
              <w:rPr>
                <w:color w:val="FFFFFF" w:themeColor="background1"/>
                <w:sz w:val="18"/>
              </w:rPr>
            </w:pPr>
            <w:r w:rsidRPr="00D73E98">
              <w:rPr>
                <w:color w:val="FFFFFF" w:themeColor="background1"/>
                <w:sz w:val="18"/>
              </w:rPr>
              <w:t>Variable</w:t>
            </w:r>
          </w:p>
        </w:tc>
        <w:tc>
          <w:tcPr>
            <w:tcW w:w="1407" w:type="dxa"/>
            <w:gridSpan w:val="2"/>
            <w:tcBorders>
              <w:left w:val="single" w:sz="2" w:space="0" w:color="FFFFFF" w:themeColor="background1"/>
              <w:bottom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NSW total</w:t>
            </w:r>
          </w:p>
        </w:tc>
        <w:tc>
          <w:tcPr>
            <w:tcW w:w="1407" w:type="dxa"/>
            <w:gridSpan w:val="2"/>
            <w:tcBorders>
              <w:left w:val="single" w:sz="2" w:space="0" w:color="FFFFFF" w:themeColor="background1"/>
              <w:bottom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LHD1</w:t>
            </w:r>
          </w:p>
        </w:tc>
        <w:tc>
          <w:tcPr>
            <w:tcW w:w="1407" w:type="dxa"/>
            <w:gridSpan w:val="2"/>
            <w:tcBorders>
              <w:left w:val="single" w:sz="2" w:space="0" w:color="FFFFFF" w:themeColor="background1"/>
              <w:bottom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LHD2</w:t>
            </w:r>
          </w:p>
        </w:tc>
        <w:tc>
          <w:tcPr>
            <w:tcW w:w="1407" w:type="dxa"/>
            <w:gridSpan w:val="2"/>
            <w:tcBorders>
              <w:left w:val="single" w:sz="2" w:space="0" w:color="FFFFFF" w:themeColor="background1"/>
              <w:bottom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LHD3</w:t>
            </w:r>
          </w:p>
        </w:tc>
        <w:tc>
          <w:tcPr>
            <w:tcW w:w="1407" w:type="dxa"/>
            <w:gridSpan w:val="2"/>
            <w:tcBorders>
              <w:left w:val="single" w:sz="2" w:space="0" w:color="FFFFFF" w:themeColor="background1"/>
              <w:bottom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LHD4</w:t>
            </w:r>
          </w:p>
        </w:tc>
        <w:tc>
          <w:tcPr>
            <w:tcW w:w="1407" w:type="dxa"/>
            <w:gridSpan w:val="2"/>
            <w:tcBorders>
              <w:left w:val="single" w:sz="2" w:space="0" w:color="FFFFFF" w:themeColor="background1"/>
              <w:bottom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LHD5</w:t>
            </w:r>
          </w:p>
        </w:tc>
      </w:tr>
      <w:tr w:rsidR="00E15413" w:rsidRPr="00D73E98" w:rsidTr="00FD5A49">
        <w:trPr>
          <w:cnfStyle w:val="100000000000" w:firstRow="1" w:lastRow="0" w:firstColumn="0" w:lastColumn="0" w:oddVBand="0" w:evenVBand="0" w:oddHBand="0" w:evenHBand="0" w:firstRowFirstColumn="0" w:firstRowLastColumn="0" w:lastRowFirstColumn="0" w:lastRowLastColumn="0"/>
          <w:tblHeader/>
        </w:trPr>
        <w:tc>
          <w:tcPr>
            <w:tcW w:w="0" w:type="auto"/>
            <w:vMerge/>
            <w:tcBorders>
              <w:right w:val="single" w:sz="2" w:space="0" w:color="FFFFFF" w:themeColor="background1"/>
            </w:tcBorders>
            <w:hideMark/>
          </w:tcPr>
          <w:p w:rsidR="00E15413" w:rsidRPr="00D73E98" w:rsidRDefault="00E15413">
            <w:pPr>
              <w:rPr>
                <w:color w:val="FFFFFF" w:themeColor="background1"/>
                <w:sz w:val="18"/>
              </w:rPr>
            </w:pPr>
          </w:p>
        </w:tc>
        <w:tc>
          <w:tcPr>
            <w:tcW w:w="703"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szCs w:val="24"/>
              </w:rPr>
            </w:pPr>
            <w:r w:rsidRPr="00D73E98">
              <w:rPr>
                <w:color w:val="FFFFFF" w:themeColor="background1"/>
                <w:sz w:val="18"/>
              </w:rPr>
              <w:t>N</w:t>
            </w:r>
          </w:p>
        </w:tc>
        <w:tc>
          <w:tcPr>
            <w:tcW w:w="704"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w:t>
            </w:r>
          </w:p>
        </w:tc>
        <w:tc>
          <w:tcPr>
            <w:tcW w:w="703"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N</w:t>
            </w:r>
          </w:p>
        </w:tc>
        <w:tc>
          <w:tcPr>
            <w:tcW w:w="704"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w:t>
            </w:r>
          </w:p>
        </w:tc>
        <w:tc>
          <w:tcPr>
            <w:tcW w:w="703"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N</w:t>
            </w:r>
          </w:p>
        </w:tc>
        <w:tc>
          <w:tcPr>
            <w:tcW w:w="704"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w:t>
            </w:r>
          </w:p>
        </w:tc>
        <w:tc>
          <w:tcPr>
            <w:tcW w:w="703"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N</w:t>
            </w:r>
          </w:p>
        </w:tc>
        <w:tc>
          <w:tcPr>
            <w:tcW w:w="704"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w:t>
            </w:r>
          </w:p>
        </w:tc>
        <w:tc>
          <w:tcPr>
            <w:tcW w:w="703"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N</w:t>
            </w:r>
          </w:p>
        </w:tc>
        <w:tc>
          <w:tcPr>
            <w:tcW w:w="704"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w:t>
            </w:r>
          </w:p>
        </w:tc>
        <w:tc>
          <w:tcPr>
            <w:tcW w:w="703" w:type="dxa"/>
            <w:tcBorders>
              <w:top w:val="single" w:sz="2" w:space="0" w:color="FFFFFF" w:themeColor="background1"/>
              <w:left w:val="single" w:sz="2" w:space="0" w:color="FFFFFF" w:themeColor="background1"/>
              <w:righ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N</w:t>
            </w:r>
          </w:p>
        </w:tc>
        <w:tc>
          <w:tcPr>
            <w:tcW w:w="704" w:type="dxa"/>
            <w:tcBorders>
              <w:top w:val="single" w:sz="2" w:space="0" w:color="FFFFFF" w:themeColor="background1"/>
              <w:left w:val="single" w:sz="2" w:space="0" w:color="FFFFFF" w:themeColor="background1"/>
            </w:tcBorders>
            <w:hideMark/>
          </w:tcPr>
          <w:p w:rsidR="00E15413" w:rsidRPr="00D73E98" w:rsidRDefault="00E15413" w:rsidP="00F243A7">
            <w:pPr>
              <w:pStyle w:val="NormalWeb"/>
              <w:jc w:val="center"/>
              <w:rPr>
                <w:color w:val="FFFFFF" w:themeColor="background1"/>
                <w:sz w:val="18"/>
              </w:rPr>
            </w:pPr>
            <w:r w:rsidRPr="00D73E98">
              <w:rPr>
                <w:color w:val="FFFFFF" w:themeColor="background1"/>
                <w:sz w:val="18"/>
              </w:rPr>
              <w:t>%</w:t>
            </w:r>
          </w:p>
        </w:tc>
      </w:tr>
      <w:tr w:rsidR="00F243A7" w:rsidRPr="00D73E98" w:rsidTr="00FD5A49">
        <w:tc>
          <w:tcPr>
            <w:tcW w:w="0" w:type="auto"/>
            <w:hideMark/>
          </w:tcPr>
          <w:p w:rsidR="00442AAD" w:rsidRPr="00D73E98" w:rsidRDefault="00442AAD">
            <w:pPr>
              <w:pStyle w:val="NormalWeb"/>
              <w:rPr>
                <w:sz w:val="18"/>
              </w:rPr>
            </w:pPr>
            <w:r w:rsidRPr="00D73E98">
              <w:rPr>
                <w:sz w:val="18"/>
              </w:rPr>
              <w:t>Antiviral prophylaxis used</w:t>
            </w:r>
          </w:p>
        </w:tc>
        <w:tc>
          <w:tcPr>
            <w:tcW w:w="703" w:type="dxa"/>
            <w:hideMark/>
          </w:tcPr>
          <w:p w:rsidR="00442AAD" w:rsidRPr="00D73E98" w:rsidRDefault="00442AAD" w:rsidP="00F243A7">
            <w:pPr>
              <w:pStyle w:val="NormalWeb"/>
              <w:jc w:val="center"/>
              <w:rPr>
                <w:sz w:val="18"/>
              </w:rPr>
            </w:pPr>
            <w:r w:rsidRPr="00D73E98">
              <w:rPr>
                <w:sz w:val="18"/>
              </w:rPr>
              <w:t>310</w:t>
            </w:r>
          </w:p>
        </w:tc>
        <w:tc>
          <w:tcPr>
            <w:tcW w:w="704" w:type="dxa"/>
            <w:hideMark/>
          </w:tcPr>
          <w:p w:rsidR="00442AAD" w:rsidRPr="00D73E98" w:rsidRDefault="00442AAD" w:rsidP="00F243A7">
            <w:pPr>
              <w:pStyle w:val="NormalWeb"/>
              <w:jc w:val="center"/>
              <w:rPr>
                <w:sz w:val="18"/>
              </w:rPr>
            </w:pPr>
            <w:r w:rsidRPr="00D73E98">
              <w:rPr>
                <w:sz w:val="18"/>
              </w:rPr>
              <w:t>57.6</w:t>
            </w:r>
          </w:p>
        </w:tc>
        <w:tc>
          <w:tcPr>
            <w:tcW w:w="703" w:type="dxa"/>
            <w:hideMark/>
          </w:tcPr>
          <w:p w:rsidR="00442AAD" w:rsidRPr="00D73E98" w:rsidRDefault="00442AAD" w:rsidP="00F243A7">
            <w:pPr>
              <w:pStyle w:val="NormalWeb"/>
              <w:jc w:val="center"/>
              <w:rPr>
                <w:sz w:val="18"/>
              </w:rPr>
            </w:pPr>
            <w:r w:rsidRPr="00D73E98">
              <w:rPr>
                <w:sz w:val="18"/>
              </w:rPr>
              <w:t>28</w:t>
            </w:r>
          </w:p>
        </w:tc>
        <w:tc>
          <w:tcPr>
            <w:tcW w:w="704" w:type="dxa"/>
            <w:hideMark/>
          </w:tcPr>
          <w:p w:rsidR="00442AAD" w:rsidRPr="00D73E98" w:rsidRDefault="00442AAD" w:rsidP="00F243A7">
            <w:pPr>
              <w:pStyle w:val="NormalWeb"/>
              <w:jc w:val="center"/>
              <w:rPr>
                <w:sz w:val="18"/>
              </w:rPr>
            </w:pPr>
            <w:r w:rsidRPr="00D73E98">
              <w:rPr>
                <w:sz w:val="18"/>
              </w:rPr>
              <w:t>75.7</w:t>
            </w:r>
          </w:p>
        </w:tc>
        <w:tc>
          <w:tcPr>
            <w:tcW w:w="703" w:type="dxa"/>
            <w:hideMark/>
          </w:tcPr>
          <w:p w:rsidR="00442AAD" w:rsidRPr="00D73E98" w:rsidRDefault="00442AAD" w:rsidP="00F243A7">
            <w:pPr>
              <w:pStyle w:val="NormalWeb"/>
              <w:jc w:val="center"/>
              <w:rPr>
                <w:sz w:val="18"/>
              </w:rPr>
            </w:pPr>
            <w:r w:rsidRPr="00D73E98">
              <w:rPr>
                <w:sz w:val="18"/>
              </w:rPr>
              <w:t>45</w:t>
            </w:r>
          </w:p>
        </w:tc>
        <w:tc>
          <w:tcPr>
            <w:tcW w:w="704" w:type="dxa"/>
            <w:hideMark/>
          </w:tcPr>
          <w:p w:rsidR="00442AAD" w:rsidRPr="00D73E98" w:rsidRDefault="00442AAD" w:rsidP="00F243A7">
            <w:pPr>
              <w:pStyle w:val="NormalWeb"/>
              <w:jc w:val="center"/>
              <w:rPr>
                <w:sz w:val="18"/>
              </w:rPr>
            </w:pPr>
            <w:r w:rsidRPr="00D73E98">
              <w:rPr>
                <w:sz w:val="18"/>
              </w:rPr>
              <w:t>66.2</w:t>
            </w:r>
          </w:p>
        </w:tc>
        <w:tc>
          <w:tcPr>
            <w:tcW w:w="703" w:type="dxa"/>
            <w:hideMark/>
          </w:tcPr>
          <w:p w:rsidR="00442AAD" w:rsidRPr="00D73E98" w:rsidRDefault="00442AAD" w:rsidP="00F243A7">
            <w:pPr>
              <w:pStyle w:val="NormalWeb"/>
              <w:jc w:val="center"/>
              <w:rPr>
                <w:sz w:val="18"/>
              </w:rPr>
            </w:pPr>
            <w:r w:rsidRPr="00D73E98">
              <w:rPr>
                <w:sz w:val="18"/>
              </w:rPr>
              <w:t>24</w:t>
            </w:r>
          </w:p>
        </w:tc>
        <w:tc>
          <w:tcPr>
            <w:tcW w:w="704" w:type="dxa"/>
            <w:hideMark/>
          </w:tcPr>
          <w:p w:rsidR="00442AAD" w:rsidRPr="00D73E98" w:rsidRDefault="00442AAD" w:rsidP="00F243A7">
            <w:pPr>
              <w:pStyle w:val="NormalWeb"/>
              <w:jc w:val="center"/>
              <w:rPr>
                <w:sz w:val="18"/>
              </w:rPr>
            </w:pPr>
            <w:r w:rsidRPr="00D73E98">
              <w:rPr>
                <w:sz w:val="18"/>
              </w:rPr>
              <w:t>100</w:t>
            </w:r>
          </w:p>
        </w:tc>
        <w:tc>
          <w:tcPr>
            <w:tcW w:w="703" w:type="dxa"/>
            <w:hideMark/>
          </w:tcPr>
          <w:p w:rsidR="00442AAD" w:rsidRPr="00D73E98" w:rsidRDefault="00442AAD" w:rsidP="00F243A7">
            <w:pPr>
              <w:pStyle w:val="NormalWeb"/>
              <w:jc w:val="center"/>
              <w:rPr>
                <w:sz w:val="18"/>
              </w:rPr>
            </w:pPr>
            <w:r w:rsidRPr="00D73E98">
              <w:rPr>
                <w:sz w:val="18"/>
              </w:rPr>
              <w:t>7</w:t>
            </w:r>
          </w:p>
        </w:tc>
        <w:tc>
          <w:tcPr>
            <w:tcW w:w="704" w:type="dxa"/>
            <w:hideMark/>
          </w:tcPr>
          <w:p w:rsidR="00442AAD" w:rsidRPr="00D73E98" w:rsidRDefault="00442AAD" w:rsidP="00F243A7">
            <w:pPr>
              <w:pStyle w:val="NormalWeb"/>
              <w:jc w:val="center"/>
              <w:rPr>
                <w:sz w:val="18"/>
              </w:rPr>
            </w:pPr>
            <w:r w:rsidRPr="00D73E98">
              <w:rPr>
                <w:sz w:val="18"/>
              </w:rPr>
              <w:t>30.4</w:t>
            </w:r>
          </w:p>
        </w:tc>
        <w:tc>
          <w:tcPr>
            <w:tcW w:w="703" w:type="dxa"/>
            <w:hideMark/>
          </w:tcPr>
          <w:p w:rsidR="00442AAD" w:rsidRPr="00D73E98" w:rsidRDefault="00442AAD" w:rsidP="00F243A7">
            <w:pPr>
              <w:pStyle w:val="NormalWeb"/>
              <w:jc w:val="center"/>
              <w:rPr>
                <w:sz w:val="18"/>
              </w:rPr>
            </w:pPr>
            <w:r w:rsidRPr="00D73E98">
              <w:rPr>
                <w:sz w:val="18"/>
              </w:rPr>
              <w:t>26</w:t>
            </w:r>
          </w:p>
        </w:tc>
        <w:tc>
          <w:tcPr>
            <w:tcW w:w="704" w:type="dxa"/>
            <w:hideMark/>
          </w:tcPr>
          <w:p w:rsidR="00442AAD" w:rsidRPr="00D73E98" w:rsidRDefault="00442AAD" w:rsidP="00F243A7">
            <w:pPr>
              <w:pStyle w:val="NormalWeb"/>
              <w:jc w:val="center"/>
              <w:rPr>
                <w:sz w:val="18"/>
              </w:rPr>
            </w:pPr>
            <w:r w:rsidRPr="00D73E98">
              <w:rPr>
                <w:sz w:val="18"/>
              </w:rPr>
              <w:t>28.9</w:t>
            </w:r>
          </w:p>
        </w:tc>
      </w:tr>
      <w:tr w:rsidR="005C6579" w:rsidRPr="00D73E98" w:rsidTr="00FD5A49">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D73E98" w:rsidRDefault="00442AAD">
            <w:pPr>
              <w:pStyle w:val="NormalWeb"/>
              <w:rPr>
                <w:sz w:val="18"/>
              </w:rPr>
            </w:pPr>
            <w:r w:rsidRPr="00D73E98">
              <w:rPr>
                <w:sz w:val="18"/>
              </w:rPr>
              <w:t>Antiviral treatment used</w:t>
            </w:r>
          </w:p>
        </w:tc>
        <w:tc>
          <w:tcPr>
            <w:tcW w:w="703" w:type="dxa"/>
            <w:hideMark/>
          </w:tcPr>
          <w:p w:rsidR="00442AAD" w:rsidRPr="00D73E98" w:rsidRDefault="00442AAD" w:rsidP="00F243A7">
            <w:pPr>
              <w:pStyle w:val="NormalWeb"/>
              <w:jc w:val="center"/>
              <w:rPr>
                <w:sz w:val="18"/>
              </w:rPr>
            </w:pPr>
            <w:r w:rsidRPr="00D73E98">
              <w:rPr>
                <w:sz w:val="18"/>
              </w:rPr>
              <w:t>402</w:t>
            </w:r>
          </w:p>
        </w:tc>
        <w:tc>
          <w:tcPr>
            <w:tcW w:w="704" w:type="dxa"/>
            <w:hideMark/>
          </w:tcPr>
          <w:p w:rsidR="00442AAD" w:rsidRPr="00D73E98" w:rsidRDefault="00442AAD" w:rsidP="00F243A7">
            <w:pPr>
              <w:pStyle w:val="NormalWeb"/>
              <w:jc w:val="center"/>
              <w:rPr>
                <w:sz w:val="18"/>
              </w:rPr>
            </w:pPr>
            <w:r w:rsidRPr="00D73E98">
              <w:rPr>
                <w:sz w:val="18"/>
              </w:rPr>
              <w:t>74.7</w:t>
            </w:r>
          </w:p>
        </w:tc>
        <w:tc>
          <w:tcPr>
            <w:tcW w:w="703" w:type="dxa"/>
            <w:hideMark/>
          </w:tcPr>
          <w:p w:rsidR="00442AAD" w:rsidRPr="00D73E98" w:rsidRDefault="00442AAD" w:rsidP="00F243A7">
            <w:pPr>
              <w:pStyle w:val="NormalWeb"/>
              <w:jc w:val="center"/>
              <w:rPr>
                <w:sz w:val="18"/>
              </w:rPr>
            </w:pPr>
            <w:r w:rsidRPr="00D73E98">
              <w:rPr>
                <w:sz w:val="18"/>
              </w:rPr>
              <w:t>35</w:t>
            </w:r>
          </w:p>
        </w:tc>
        <w:tc>
          <w:tcPr>
            <w:tcW w:w="704" w:type="dxa"/>
            <w:hideMark/>
          </w:tcPr>
          <w:p w:rsidR="00442AAD" w:rsidRPr="00D73E98" w:rsidRDefault="00442AAD" w:rsidP="00F243A7">
            <w:pPr>
              <w:pStyle w:val="NormalWeb"/>
              <w:jc w:val="center"/>
              <w:rPr>
                <w:sz w:val="18"/>
              </w:rPr>
            </w:pPr>
            <w:r w:rsidRPr="00D73E98">
              <w:rPr>
                <w:sz w:val="18"/>
              </w:rPr>
              <w:t>94.6</w:t>
            </w:r>
          </w:p>
        </w:tc>
        <w:tc>
          <w:tcPr>
            <w:tcW w:w="703" w:type="dxa"/>
            <w:hideMark/>
          </w:tcPr>
          <w:p w:rsidR="00442AAD" w:rsidRPr="00D73E98" w:rsidRDefault="00442AAD" w:rsidP="00F243A7">
            <w:pPr>
              <w:pStyle w:val="NormalWeb"/>
              <w:jc w:val="center"/>
              <w:rPr>
                <w:sz w:val="18"/>
              </w:rPr>
            </w:pPr>
            <w:r w:rsidRPr="00D73E98">
              <w:rPr>
                <w:sz w:val="18"/>
              </w:rPr>
              <w:t>53</w:t>
            </w:r>
          </w:p>
        </w:tc>
        <w:tc>
          <w:tcPr>
            <w:tcW w:w="704" w:type="dxa"/>
            <w:hideMark/>
          </w:tcPr>
          <w:p w:rsidR="00442AAD" w:rsidRPr="00D73E98" w:rsidRDefault="00442AAD" w:rsidP="00F243A7">
            <w:pPr>
              <w:pStyle w:val="NormalWeb"/>
              <w:jc w:val="center"/>
              <w:rPr>
                <w:sz w:val="18"/>
              </w:rPr>
            </w:pPr>
            <w:r w:rsidRPr="00D73E98">
              <w:rPr>
                <w:sz w:val="18"/>
              </w:rPr>
              <w:t>77.9</w:t>
            </w:r>
          </w:p>
        </w:tc>
        <w:tc>
          <w:tcPr>
            <w:tcW w:w="703" w:type="dxa"/>
            <w:hideMark/>
          </w:tcPr>
          <w:p w:rsidR="00442AAD" w:rsidRPr="00D73E98" w:rsidRDefault="00442AAD" w:rsidP="00F243A7">
            <w:pPr>
              <w:pStyle w:val="NormalWeb"/>
              <w:jc w:val="center"/>
              <w:rPr>
                <w:sz w:val="18"/>
              </w:rPr>
            </w:pPr>
            <w:r w:rsidRPr="00D73E98">
              <w:rPr>
                <w:sz w:val="18"/>
              </w:rPr>
              <w:t>22</w:t>
            </w:r>
          </w:p>
        </w:tc>
        <w:tc>
          <w:tcPr>
            <w:tcW w:w="704" w:type="dxa"/>
            <w:hideMark/>
          </w:tcPr>
          <w:p w:rsidR="00442AAD" w:rsidRPr="00D73E98" w:rsidRDefault="00442AAD" w:rsidP="00F243A7">
            <w:pPr>
              <w:pStyle w:val="NormalWeb"/>
              <w:jc w:val="center"/>
              <w:rPr>
                <w:sz w:val="18"/>
              </w:rPr>
            </w:pPr>
            <w:r w:rsidRPr="00D73E98">
              <w:rPr>
                <w:sz w:val="18"/>
              </w:rPr>
              <w:t>91.7</w:t>
            </w:r>
          </w:p>
        </w:tc>
        <w:tc>
          <w:tcPr>
            <w:tcW w:w="703" w:type="dxa"/>
            <w:hideMark/>
          </w:tcPr>
          <w:p w:rsidR="00442AAD" w:rsidRPr="00D73E98" w:rsidRDefault="00442AAD" w:rsidP="00F243A7">
            <w:pPr>
              <w:pStyle w:val="NormalWeb"/>
              <w:jc w:val="center"/>
              <w:rPr>
                <w:sz w:val="18"/>
              </w:rPr>
            </w:pPr>
            <w:r w:rsidRPr="00D73E98">
              <w:rPr>
                <w:sz w:val="18"/>
              </w:rPr>
              <w:t>9</w:t>
            </w:r>
          </w:p>
        </w:tc>
        <w:tc>
          <w:tcPr>
            <w:tcW w:w="704" w:type="dxa"/>
            <w:hideMark/>
          </w:tcPr>
          <w:p w:rsidR="00442AAD" w:rsidRPr="00D73E98" w:rsidRDefault="00442AAD" w:rsidP="00F243A7">
            <w:pPr>
              <w:pStyle w:val="NormalWeb"/>
              <w:jc w:val="center"/>
              <w:rPr>
                <w:sz w:val="18"/>
              </w:rPr>
            </w:pPr>
            <w:r w:rsidRPr="00D73E98">
              <w:rPr>
                <w:sz w:val="18"/>
              </w:rPr>
              <w:t>39.1</w:t>
            </w:r>
          </w:p>
        </w:tc>
        <w:tc>
          <w:tcPr>
            <w:tcW w:w="703" w:type="dxa"/>
            <w:hideMark/>
          </w:tcPr>
          <w:p w:rsidR="00442AAD" w:rsidRPr="00D73E98" w:rsidRDefault="00442AAD" w:rsidP="00F243A7">
            <w:pPr>
              <w:pStyle w:val="NormalWeb"/>
              <w:jc w:val="center"/>
              <w:rPr>
                <w:sz w:val="18"/>
              </w:rPr>
            </w:pPr>
            <w:r w:rsidRPr="00D73E98">
              <w:rPr>
                <w:sz w:val="18"/>
              </w:rPr>
              <w:t>62</w:t>
            </w:r>
          </w:p>
        </w:tc>
        <w:tc>
          <w:tcPr>
            <w:tcW w:w="704" w:type="dxa"/>
            <w:hideMark/>
          </w:tcPr>
          <w:p w:rsidR="00442AAD" w:rsidRPr="00D73E98" w:rsidRDefault="00442AAD" w:rsidP="00F243A7">
            <w:pPr>
              <w:pStyle w:val="NormalWeb"/>
              <w:jc w:val="center"/>
              <w:rPr>
                <w:sz w:val="18"/>
              </w:rPr>
            </w:pPr>
            <w:r w:rsidRPr="00D73E98">
              <w:rPr>
                <w:sz w:val="18"/>
              </w:rPr>
              <w:t>68.9</w:t>
            </w:r>
          </w:p>
        </w:tc>
      </w:tr>
    </w:tbl>
    <w:p w:rsidR="00442AAD" w:rsidRPr="007E102C" w:rsidRDefault="00442AAD" w:rsidP="007E102C">
      <w:pPr>
        <w:pStyle w:val="Heading2"/>
      </w:pPr>
      <w:r w:rsidRPr="007E102C">
        <w:rPr>
          <w:rStyle w:val="Strong"/>
          <w:b/>
          <w:bCs/>
        </w:rPr>
        <w:t xml:space="preserve">Data quality </w:t>
      </w:r>
    </w:p>
    <w:p w:rsidR="00442AAD" w:rsidRDefault="00442AAD" w:rsidP="00A60D9A">
      <w:r>
        <w:t>Data were corrected in three outbreaks that had either a calculated outbreak duration of less than 0 days or a hospitalisation rate over 100%. No further data cleaning was conducted. Numbers of potentially non-credible calculated variables included in the final dataset are summarised in Table 5 and reflect a problem with the validity of some recorded data. Calculated resident vaccination coverage was in excess of 100% for 15 outbreaks and two outbreaks had a negative value for timeliness of notification. There was no further assessment of data validity.</w:t>
      </w:r>
    </w:p>
    <w:p w:rsidR="00442AAD" w:rsidRDefault="00442AAD" w:rsidP="00A60D9A">
      <w:pPr>
        <w:pStyle w:val="CDIFigures"/>
      </w:pPr>
      <w:r>
        <w:t>Table 5: Potentially non-credible calculated values included in the final dataset</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re were no outbreaks with duration less than 0 days nor with attack rate or hospitalisation rates exceeding 100% after data cleaning. However, fifteen outbreaks with calculated resident vaccination coverage of over 100% were included but are non-credible.  &#10;"/>
      </w:tblPr>
      <w:tblGrid>
        <w:gridCol w:w="2874"/>
        <w:gridCol w:w="3425"/>
        <w:gridCol w:w="4141"/>
      </w:tblGrid>
      <w:tr w:rsidR="00A60D9A" w:rsidRPr="00293E49" w:rsidTr="00CF4B3B">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rsidR="00442AAD" w:rsidRPr="00293E49" w:rsidRDefault="00442AAD">
            <w:pPr>
              <w:pStyle w:val="NormalWeb"/>
              <w:rPr>
                <w:color w:val="FFFFFF" w:themeColor="background1"/>
                <w:sz w:val="18"/>
              </w:rPr>
            </w:pPr>
            <w:r w:rsidRPr="00293E49">
              <w:rPr>
                <w:color w:val="FFFFFF" w:themeColor="background1"/>
                <w:sz w:val="18"/>
              </w:rPr>
              <w:t>Variable</w:t>
            </w:r>
          </w:p>
        </w:tc>
        <w:tc>
          <w:tcPr>
            <w:tcW w:w="3425" w:type="dxa"/>
            <w:tcBorders>
              <w:left w:val="single" w:sz="2" w:space="0" w:color="FFFFFF" w:themeColor="background1"/>
              <w:right w:val="single" w:sz="2" w:space="0" w:color="FFFFFF" w:themeColor="background1"/>
            </w:tcBorders>
            <w:hideMark/>
          </w:tcPr>
          <w:p w:rsidR="00442AAD" w:rsidRPr="00293E49" w:rsidRDefault="00442AAD" w:rsidP="00A60D9A">
            <w:pPr>
              <w:pStyle w:val="NormalWeb"/>
              <w:jc w:val="center"/>
              <w:rPr>
                <w:color w:val="FFFFFF" w:themeColor="background1"/>
                <w:sz w:val="18"/>
              </w:rPr>
            </w:pPr>
            <w:r w:rsidRPr="00293E49">
              <w:rPr>
                <w:color w:val="FFFFFF" w:themeColor="background1"/>
                <w:sz w:val="18"/>
              </w:rPr>
              <w:t>Criterion</w:t>
            </w:r>
          </w:p>
        </w:tc>
        <w:tc>
          <w:tcPr>
            <w:tcW w:w="4141" w:type="dxa"/>
            <w:tcBorders>
              <w:left w:val="single" w:sz="2" w:space="0" w:color="FFFFFF" w:themeColor="background1"/>
            </w:tcBorders>
            <w:hideMark/>
          </w:tcPr>
          <w:p w:rsidR="00442AAD" w:rsidRPr="00293E49" w:rsidRDefault="00442AAD" w:rsidP="00A60D9A">
            <w:pPr>
              <w:pStyle w:val="NormalWeb"/>
              <w:jc w:val="center"/>
              <w:rPr>
                <w:color w:val="FFFFFF" w:themeColor="background1"/>
                <w:sz w:val="18"/>
              </w:rPr>
            </w:pPr>
            <w:r w:rsidRPr="00293E49">
              <w:rPr>
                <w:color w:val="FFFFFF" w:themeColor="background1"/>
                <w:sz w:val="18"/>
              </w:rPr>
              <w:t>NSW</w:t>
            </w:r>
            <w:r w:rsidR="007E102C" w:rsidRPr="00293E49">
              <w:rPr>
                <w:color w:val="FFFFFF" w:themeColor="background1"/>
                <w:sz w:val="18"/>
              </w:rPr>
              <w:br/>
            </w:r>
            <w:r w:rsidRPr="00293E49">
              <w:rPr>
                <w:color w:val="FFFFFF" w:themeColor="background1"/>
                <w:sz w:val="18"/>
              </w:rPr>
              <w:t>(Number of outbreaks)</w:t>
            </w:r>
          </w:p>
        </w:tc>
      </w:tr>
      <w:tr w:rsidR="00442AAD" w:rsidRPr="00293E49" w:rsidTr="00CF4B3B">
        <w:tc>
          <w:tcPr>
            <w:tcW w:w="0" w:type="auto"/>
            <w:hideMark/>
          </w:tcPr>
          <w:p w:rsidR="00442AAD" w:rsidRPr="00293E49" w:rsidRDefault="00442AAD">
            <w:pPr>
              <w:pStyle w:val="NormalWeb"/>
              <w:rPr>
                <w:sz w:val="18"/>
              </w:rPr>
            </w:pPr>
            <w:r w:rsidRPr="00293E49">
              <w:rPr>
                <w:sz w:val="18"/>
              </w:rPr>
              <w:t>Duration</w:t>
            </w:r>
          </w:p>
        </w:tc>
        <w:tc>
          <w:tcPr>
            <w:tcW w:w="3425" w:type="dxa"/>
            <w:hideMark/>
          </w:tcPr>
          <w:p w:rsidR="00442AAD" w:rsidRPr="00293E49" w:rsidRDefault="00442AAD" w:rsidP="00A60D9A">
            <w:pPr>
              <w:pStyle w:val="NormalWeb"/>
              <w:jc w:val="center"/>
              <w:rPr>
                <w:sz w:val="18"/>
              </w:rPr>
            </w:pPr>
            <w:r w:rsidRPr="00293E49">
              <w:rPr>
                <w:sz w:val="18"/>
              </w:rPr>
              <w:t>&lt; 0 days</w:t>
            </w:r>
          </w:p>
        </w:tc>
        <w:tc>
          <w:tcPr>
            <w:tcW w:w="4141" w:type="dxa"/>
            <w:hideMark/>
          </w:tcPr>
          <w:p w:rsidR="00442AAD" w:rsidRPr="00293E49" w:rsidRDefault="00442AAD" w:rsidP="00A60D9A">
            <w:pPr>
              <w:pStyle w:val="NormalWeb"/>
              <w:jc w:val="center"/>
              <w:rPr>
                <w:sz w:val="18"/>
              </w:rPr>
            </w:pPr>
            <w:r w:rsidRPr="00293E49">
              <w:rPr>
                <w:sz w:val="18"/>
              </w:rPr>
              <w:t>0</w:t>
            </w:r>
          </w:p>
        </w:tc>
      </w:tr>
      <w:tr w:rsidR="00442AAD" w:rsidRPr="00293E49" w:rsidTr="00CF4B3B">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293E49" w:rsidRDefault="00442AAD">
            <w:pPr>
              <w:pStyle w:val="NormalWeb"/>
              <w:rPr>
                <w:sz w:val="18"/>
              </w:rPr>
            </w:pPr>
            <w:r w:rsidRPr="00293E49">
              <w:rPr>
                <w:sz w:val="18"/>
              </w:rPr>
              <w:t>Attack rate</w:t>
            </w:r>
          </w:p>
        </w:tc>
        <w:tc>
          <w:tcPr>
            <w:tcW w:w="3425" w:type="dxa"/>
            <w:hideMark/>
          </w:tcPr>
          <w:p w:rsidR="00442AAD" w:rsidRPr="00293E49" w:rsidRDefault="00442AAD" w:rsidP="00A60D9A">
            <w:pPr>
              <w:pStyle w:val="NormalWeb"/>
              <w:jc w:val="center"/>
              <w:rPr>
                <w:sz w:val="18"/>
              </w:rPr>
            </w:pPr>
            <w:r w:rsidRPr="00293E49">
              <w:rPr>
                <w:sz w:val="18"/>
              </w:rPr>
              <w:t>&gt; 100%</w:t>
            </w:r>
          </w:p>
        </w:tc>
        <w:tc>
          <w:tcPr>
            <w:tcW w:w="4141" w:type="dxa"/>
            <w:hideMark/>
          </w:tcPr>
          <w:p w:rsidR="00442AAD" w:rsidRPr="00293E49" w:rsidRDefault="00442AAD" w:rsidP="00A60D9A">
            <w:pPr>
              <w:pStyle w:val="NormalWeb"/>
              <w:jc w:val="center"/>
              <w:rPr>
                <w:sz w:val="18"/>
              </w:rPr>
            </w:pPr>
            <w:r w:rsidRPr="00293E49">
              <w:rPr>
                <w:sz w:val="18"/>
              </w:rPr>
              <w:t>0</w:t>
            </w:r>
          </w:p>
        </w:tc>
      </w:tr>
      <w:tr w:rsidR="00442AAD" w:rsidRPr="00293E49" w:rsidTr="00CF4B3B">
        <w:tc>
          <w:tcPr>
            <w:tcW w:w="0" w:type="auto"/>
            <w:hideMark/>
          </w:tcPr>
          <w:p w:rsidR="00442AAD" w:rsidRPr="00293E49" w:rsidRDefault="00442AAD">
            <w:pPr>
              <w:pStyle w:val="NormalWeb"/>
              <w:rPr>
                <w:sz w:val="18"/>
              </w:rPr>
            </w:pPr>
            <w:r w:rsidRPr="00293E49">
              <w:rPr>
                <w:sz w:val="18"/>
              </w:rPr>
              <w:t>Hospitalisation rate</w:t>
            </w:r>
          </w:p>
        </w:tc>
        <w:tc>
          <w:tcPr>
            <w:tcW w:w="3425" w:type="dxa"/>
            <w:hideMark/>
          </w:tcPr>
          <w:p w:rsidR="00442AAD" w:rsidRPr="00293E49" w:rsidRDefault="00442AAD" w:rsidP="00A60D9A">
            <w:pPr>
              <w:pStyle w:val="NormalWeb"/>
              <w:jc w:val="center"/>
              <w:rPr>
                <w:sz w:val="18"/>
              </w:rPr>
            </w:pPr>
            <w:r w:rsidRPr="00293E49">
              <w:rPr>
                <w:sz w:val="18"/>
              </w:rPr>
              <w:t>&gt; 100%</w:t>
            </w:r>
          </w:p>
        </w:tc>
        <w:tc>
          <w:tcPr>
            <w:tcW w:w="4141" w:type="dxa"/>
            <w:hideMark/>
          </w:tcPr>
          <w:p w:rsidR="00442AAD" w:rsidRPr="00293E49" w:rsidRDefault="00442AAD" w:rsidP="00A60D9A">
            <w:pPr>
              <w:pStyle w:val="NormalWeb"/>
              <w:jc w:val="center"/>
              <w:rPr>
                <w:sz w:val="18"/>
              </w:rPr>
            </w:pPr>
            <w:r w:rsidRPr="00293E49">
              <w:rPr>
                <w:sz w:val="18"/>
              </w:rPr>
              <w:t>0</w:t>
            </w:r>
          </w:p>
        </w:tc>
      </w:tr>
      <w:tr w:rsidR="00442AAD" w:rsidRPr="00293E49" w:rsidTr="00CF4B3B">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293E49" w:rsidRDefault="00442AAD">
            <w:pPr>
              <w:pStyle w:val="NormalWeb"/>
              <w:rPr>
                <w:sz w:val="18"/>
              </w:rPr>
            </w:pPr>
            <w:r w:rsidRPr="00293E49">
              <w:rPr>
                <w:sz w:val="18"/>
              </w:rPr>
              <w:t>Case fatality rate</w:t>
            </w:r>
          </w:p>
        </w:tc>
        <w:tc>
          <w:tcPr>
            <w:tcW w:w="3425" w:type="dxa"/>
            <w:hideMark/>
          </w:tcPr>
          <w:p w:rsidR="00442AAD" w:rsidRPr="00293E49" w:rsidRDefault="00442AAD" w:rsidP="00A60D9A">
            <w:pPr>
              <w:pStyle w:val="NormalWeb"/>
              <w:jc w:val="center"/>
              <w:rPr>
                <w:sz w:val="18"/>
              </w:rPr>
            </w:pPr>
            <w:r w:rsidRPr="00293E49">
              <w:rPr>
                <w:sz w:val="18"/>
              </w:rPr>
              <w:t>&gt; 100%</w:t>
            </w:r>
          </w:p>
        </w:tc>
        <w:tc>
          <w:tcPr>
            <w:tcW w:w="4141" w:type="dxa"/>
            <w:hideMark/>
          </w:tcPr>
          <w:p w:rsidR="00442AAD" w:rsidRPr="00293E49" w:rsidRDefault="00442AAD" w:rsidP="00A60D9A">
            <w:pPr>
              <w:pStyle w:val="NormalWeb"/>
              <w:jc w:val="center"/>
              <w:rPr>
                <w:sz w:val="18"/>
              </w:rPr>
            </w:pPr>
            <w:r w:rsidRPr="00293E49">
              <w:rPr>
                <w:sz w:val="18"/>
              </w:rPr>
              <w:t>0</w:t>
            </w:r>
          </w:p>
        </w:tc>
      </w:tr>
      <w:tr w:rsidR="00442AAD" w:rsidRPr="00293E49" w:rsidTr="00CF4B3B">
        <w:tc>
          <w:tcPr>
            <w:tcW w:w="0" w:type="auto"/>
            <w:hideMark/>
          </w:tcPr>
          <w:p w:rsidR="00442AAD" w:rsidRPr="00293E49" w:rsidRDefault="00442AAD">
            <w:pPr>
              <w:pStyle w:val="NormalWeb"/>
              <w:rPr>
                <w:sz w:val="18"/>
              </w:rPr>
            </w:pPr>
            <w:r w:rsidRPr="00293E49">
              <w:rPr>
                <w:sz w:val="18"/>
              </w:rPr>
              <w:t>Timeliness of notification</w:t>
            </w:r>
          </w:p>
        </w:tc>
        <w:tc>
          <w:tcPr>
            <w:tcW w:w="3425" w:type="dxa"/>
            <w:hideMark/>
          </w:tcPr>
          <w:p w:rsidR="00442AAD" w:rsidRPr="00293E49" w:rsidRDefault="00442AAD" w:rsidP="00A60D9A">
            <w:pPr>
              <w:pStyle w:val="NormalWeb"/>
              <w:jc w:val="center"/>
              <w:rPr>
                <w:sz w:val="18"/>
              </w:rPr>
            </w:pPr>
            <w:r w:rsidRPr="00293E49">
              <w:rPr>
                <w:sz w:val="18"/>
              </w:rPr>
              <w:t>&lt; 0 days</w:t>
            </w:r>
          </w:p>
        </w:tc>
        <w:tc>
          <w:tcPr>
            <w:tcW w:w="4141" w:type="dxa"/>
            <w:hideMark/>
          </w:tcPr>
          <w:p w:rsidR="00442AAD" w:rsidRPr="00293E49" w:rsidRDefault="00442AAD" w:rsidP="00A60D9A">
            <w:pPr>
              <w:pStyle w:val="NormalWeb"/>
              <w:jc w:val="center"/>
              <w:rPr>
                <w:sz w:val="18"/>
              </w:rPr>
            </w:pPr>
            <w:r w:rsidRPr="00293E49">
              <w:rPr>
                <w:sz w:val="18"/>
              </w:rPr>
              <w:t>2</w:t>
            </w:r>
          </w:p>
        </w:tc>
      </w:tr>
      <w:tr w:rsidR="00442AAD" w:rsidRPr="00293E49" w:rsidTr="00CF4B3B">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293E49" w:rsidRDefault="00442AAD">
            <w:pPr>
              <w:pStyle w:val="NormalWeb"/>
              <w:rPr>
                <w:sz w:val="18"/>
              </w:rPr>
            </w:pPr>
            <w:r w:rsidRPr="00293E49">
              <w:rPr>
                <w:sz w:val="18"/>
              </w:rPr>
              <w:t>Resident vaccination coverage</w:t>
            </w:r>
          </w:p>
        </w:tc>
        <w:tc>
          <w:tcPr>
            <w:tcW w:w="3425" w:type="dxa"/>
            <w:hideMark/>
          </w:tcPr>
          <w:p w:rsidR="00442AAD" w:rsidRPr="00293E49" w:rsidRDefault="00442AAD" w:rsidP="00A60D9A">
            <w:pPr>
              <w:pStyle w:val="NormalWeb"/>
              <w:jc w:val="center"/>
              <w:rPr>
                <w:sz w:val="18"/>
              </w:rPr>
            </w:pPr>
            <w:r w:rsidRPr="00293E49">
              <w:rPr>
                <w:sz w:val="18"/>
              </w:rPr>
              <w:t>&gt; 100%</w:t>
            </w:r>
          </w:p>
        </w:tc>
        <w:tc>
          <w:tcPr>
            <w:tcW w:w="4141" w:type="dxa"/>
            <w:hideMark/>
          </w:tcPr>
          <w:p w:rsidR="00442AAD" w:rsidRPr="00293E49" w:rsidRDefault="00442AAD" w:rsidP="00A60D9A">
            <w:pPr>
              <w:pStyle w:val="NormalWeb"/>
              <w:jc w:val="center"/>
              <w:rPr>
                <w:sz w:val="18"/>
              </w:rPr>
            </w:pPr>
            <w:r w:rsidRPr="00293E49">
              <w:rPr>
                <w:sz w:val="18"/>
              </w:rPr>
              <w:t>15</w:t>
            </w:r>
          </w:p>
        </w:tc>
      </w:tr>
      <w:tr w:rsidR="00442AAD" w:rsidRPr="00293E49" w:rsidTr="00CF4B3B">
        <w:tc>
          <w:tcPr>
            <w:tcW w:w="0" w:type="auto"/>
            <w:hideMark/>
          </w:tcPr>
          <w:p w:rsidR="00442AAD" w:rsidRPr="00293E49" w:rsidRDefault="00442AAD">
            <w:pPr>
              <w:pStyle w:val="NormalWeb"/>
              <w:rPr>
                <w:sz w:val="18"/>
              </w:rPr>
            </w:pPr>
            <w:r w:rsidRPr="00293E49">
              <w:rPr>
                <w:sz w:val="18"/>
              </w:rPr>
              <w:t>Antiviral prophylaxis timeliness (days)</w:t>
            </w:r>
          </w:p>
        </w:tc>
        <w:tc>
          <w:tcPr>
            <w:tcW w:w="3425" w:type="dxa"/>
            <w:hideMark/>
          </w:tcPr>
          <w:p w:rsidR="00442AAD" w:rsidRPr="00293E49" w:rsidRDefault="00442AAD" w:rsidP="00A60D9A">
            <w:pPr>
              <w:pStyle w:val="NormalWeb"/>
              <w:jc w:val="center"/>
              <w:rPr>
                <w:sz w:val="18"/>
              </w:rPr>
            </w:pPr>
            <w:r w:rsidRPr="00293E49">
              <w:rPr>
                <w:sz w:val="18"/>
              </w:rPr>
              <w:t xml:space="preserve">&lt; 0 </w:t>
            </w:r>
            <w:proofErr w:type="spellStart"/>
            <w:r w:rsidRPr="00293E49">
              <w:rPr>
                <w:sz w:val="18"/>
              </w:rPr>
              <w:t>days</w:t>
            </w:r>
            <w:r w:rsidRPr="00293E49">
              <w:rPr>
                <w:sz w:val="18"/>
                <w:vertAlign w:val="superscript"/>
              </w:rPr>
              <w:t>a</w:t>
            </w:r>
            <w:proofErr w:type="spellEnd"/>
          </w:p>
        </w:tc>
        <w:tc>
          <w:tcPr>
            <w:tcW w:w="4141" w:type="dxa"/>
            <w:hideMark/>
          </w:tcPr>
          <w:p w:rsidR="00442AAD" w:rsidRPr="00293E49" w:rsidRDefault="00442AAD" w:rsidP="00A60D9A">
            <w:pPr>
              <w:pStyle w:val="NormalWeb"/>
              <w:jc w:val="center"/>
              <w:rPr>
                <w:sz w:val="18"/>
              </w:rPr>
            </w:pPr>
            <w:r w:rsidRPr="00293E49">
              <w:rPr>
                <w:sz w:val="18"/>
              </w:rPr>
              <w:t>9</w:t>
            </w:r>
          </w:p>
        </w:tc>
      </w:tr>
      <w:tr w:rsidR="00442AAD" w:rsidRPr="00293E49" w:rsidTr="00CF4B3B">
        <w:trPr>
          <w:cnfStyle w:val="000000010000" w:firstRow="0" w:lastRow="0" w:firstColumn="0" w:lastColumn="0" w:oddVBand="0" w:evenVBand="0" w:oddHBand="0" w:evenHBand="1" w:firstRowFirstColumn="0" w:firstRowLastColumn="0" w:lastRowFirstColumn="0" w:lastRowLastColumn="0"/>
        </w:trPr>
        <w:tc>
          <w:tcPr>
            <w:tcW w:w="0" w:type="auto"/>
            <w:hideMark/>
          </w:tcPr>
          <w:p w:rsidR="00442AAD" w:rsidRPr="00293E49" w:rsidRDefault="00442AAD">
            <w:pPr>
              <w:pStyle w:val="NormalWeb"/>
              <w:rPr>
                <w:sz w:val="18"/>
              </w:rPr>
            </w:pPr>
            <w:r w:rsidRPr="00293E49">
              <w:rPr>
                <w:sz w:val="18"/>
              </w:rPr>
              <w:t>Antiviral treatment timeliness (days)</w:t>
            </w:r>
          </w:p>
        </w:tc>
        <w:tc>
          <w:tcPr>
            <w:tcW w:w="3425" w:type="dxa"/>
            <w:hideMark/>
          </w:tcPr>
          <w:p w:rsidR="00442AAD" w:rsidRPr="00293E49" w:rsidRDefault="00442AAD" w:rsidP="00A60D9A">
            <w:pPr>
              <w:pStyle w:val="NormalWeb"/>
              <w:jc w:val="center"/>
              <w:rPr>
                <w:sz w:val="18"/>
              </w:rPr>
            </w:pPr>
            <w:r w:rsidRPr="00293E49">
              <w:rPr>
                <w:sz w:val="18"/>
              </w:rPr>
              <w:t xml:space="preserve">&lt; 0 </w:t>
            </w:r>
            <w:proofErr w:type="spellStart"/>
            <w:r w:rsidRPr="00293E49">
              <w:rPr>
                <w:sz w:val="18"/>
              </w:rPr>
              <w:t>days</w:t>
            </w:r>
            <w:r w:rsidRPr="00293E49">
              <w:rPr>
                <w:sz w:val="18"/>
                <w:vertAlign w:val="superscript"/>
              </w:rPr>
              <w:t>a</w:t>
            </w:r>
            <w:proofErr w:type="spellEnd"/>
          </w:p>
        </w:tc>
        <w:tc>
          <w:tcPr>
            <w:tcW w:w="4141" w:type="dxa"/>
            <w:hideMark/>
          </w:tcPr>
          <w:p w:rsidR="00442AAD" w:rsidRPr="00293E49" w:rsidRDefault="00442AAD" w:rsidP="00A60D9A">
            <w:pPr>
              <w:pStyle w:val="NormalWeb"/>
              <w:jc w:val="center"/>
              <w:rPr>
                <w:sz w:val="18"/>
              </w:rPr>
            </w:pPr>
            <w:r w:rsidRPr="00293E49">
              <w:rPr>
                <w:sz w:val="18"/>
              </w:rPr>
              <w:t>56</w:t>
            </w:r>
          </w:p>
        </w:tc>
      </w:tr>
    </w:tbl>
    <w:p w:rsidR="00442AAD" w:rsidRDefault="00442AAD" w:rsidP="00A60D9A">
      <w:pPr>
        <w:pStyle w:val="CDIfootnotes"/>
      </w:pPr>
      <w:proofErr w:type="spellStart"/>
      <w:proofErr w:type="gramStart"/>
      <w:r>
        <w:t>a</w:t>
      </w:r>
      <w:proofErr w:type="spellEnd"/>
      <w:proofErr w:type="gramEnd"/>
      <w:r>
        <w:tab/>
        <w:t>Some negative values are correct, i.e. antiviral use commenced prior to notification.</w:t>
      </w:r>
    </w:p>
    <w:p w:rsidR="00442AAD" w:rsidRDefault="00442AAD" w:rsidP="00A60D9A">
      <w:r>
        <w:t xml:space="preserve">Across the 132 variables exported from NCIMS, a total of 87 (66%) had data missing for more than 20% of outbreaks in NSW. </w:t>
      </w:r>
    </w:p>
    <w:p w:rsidR="00442AAD" w:rsidRDefault="00442AAD" w:rsidP="00A60D9A">
      <w:r>
        <w:t xml:space="preserve">NSW data were assessed as sufficiently complete (missing in less than or equal to 10% of outbreaks) to reliably describe: the number of outbreaks; number of residents with ILI; attack rates; hospitalisation rates; timeliness of notification; and facility use of antivirals for treatment during the outbreak. </w:t>
      </w:r>
    </w:p>
    <w:p w:rsidR="00442AAD" w:rsidRDefault="00442AAD" w:rsidP="00A60D9A">
      <w:r>
        <w:lastRenderedPageBreak/>
        <w:t xml:space="preserve">The following key variables had data missing for over 10% and up to 20% of outbreaks in NSW: onset date for last resident (used to calculate outbreak duration); number of residents who died; number of residents with fever; number of residents with cough; number of residents vaccinated prior to the outbreak; and whether prophylactic antivirals had been used in the facility. These fields were assessed, but the results should be interpreted with care given the level of data completeness. </w:t>
      </w:r>
    </w:p>
    <w:p w:rsidR="00442AAD" w:rsidRDefault="00442AAD" w:rsidP="00A60D9A">
      <w:r>
        <w:t xml:space="preserve">More than 20% of NSW outbreaks had data missing for number of staff vaccinated prior to the outbreak and commencement date for antiviral prophylaxis. Data quality was thus assessed as inadequate to further assess staff vaccination coverage and timeliness of antiviral prophylaxis. </w:t>
      </w:r>
    </w:p>
    <w:p w:rsidR="00442AAD" w:rsidRDefault="00442AAD" w:rsidP="00A60D9A">
      <w:r>
        <w:t>For the 19 variables assessed by district, levels of missing data varied considerably between LHDs (Table 6). For example, onset date for last resident, critical for determining the duration of outbreaks, was missing in 13.6% of outbreaks overall in NSW and for between 3.3% and 39.1% of outbreaks in subgroup LHDs. The median “Index of variation” was 11 (range 2–44).</w:t>
      </w:r>
    </w:p>
    <w:p w:rsidR="005D52C8" w:rsidRDefault="005D52C8" w:rsidP="005D52C8">
      <w:pPr>
        <w:pStyle w:val="CDIFigures"/>
        <w:sectPr w:rsidR="005D52C8" w:rsidSect="00A30C37">
          <w:pgSz w:w="11906" w:h="16838"/>
          <w:pgMar w:top="720" w:right="720" w:bottom="1134" w:left="720" w:header="709" w:footer="284" w:gutter="0"/>
          <w:cols w:space="708"/>
          <w:titlePg/>
          <w:docGrid w:linePitch="360"/>
        </w:sectPr>
      </w:pPr>
    </w:p>
    <w:p w:rsidR="00442AAD" w:rsidRDefault="00442AAD" w:rsidP="005D52C8">
      <w:pPr>
        <w:pStyle w:val="CDIFigures"/>
      </w:pPr>
      <w:r>
        <w:lastRenderedPageBreak/>
        <w:t xml:space="preserve">Table 6: Percent of missing NCIMS data and index of variation for ACF influenza outbreak variables, NSW and subgroup </w:t>
      </w:r>
      <w:proofErr w:type="spellStart"/>
      <w:r>
        <w:t>LHDs</w:t>
      </w:r>
      <w:proofErr w:type="gramStart"/>
      <w:r>
        <w:t>,</w:t>
      </w:r>
      <w:r w:rsidRPr="00A60D9A">
        <w:rPr>
          <w:vertAlign w:val="superscript"/>
        </w:rPr>
        <w:t>a</w:t>
      </w:r>
      <w:proofErr w:type="spellEnd"/>
      <w:proofErr w:type="gramEnd"/>
      <w:r>
        <w:t xml:space="preserve"> 2017</w:t>
      </w:r>
      <w:r w:rsidRPr="00A60D9A">
        <w:rPr>
          <w:vertAlign w:val="superscript"/>
        </w:rPr>
        <w:t>b</w:t>
      </w:r>
    </w:p>
    <w:tbl>
      <w:tblPr>
        <w:tblStyle w:val="CDI-StandardTable"/>
        <w:tblW w:w="0" w:type="auto"/>
        <w:tblLayout w:type="fixed"/>
        <w:tblCellMar>
          <w:top w:w="113" w:type="dxa"/>
          <w:left w:w="57" w:type="dxa"/>
          <w:bottom w:w="113" w:type="dxa"/>
          <w:right w:w="57" w:type="dxa"/>
        </w:tblCellMar>
        <w:tblLook w:val="04A0" w:firstRow="1" w:lastRow="0" w:firstColumn="1" w:lastColumn="0" w:noHBand="0" w:noVBand="1"/>
        <w:tblDescription w:val="Data completeness for 19 surveillance variables and 8 calculated variables are presented. Reliable variables with data missing for less than 10% of outbreaks included notification date, number of residents with illness and number of residents hospitalised. Problematically high levels of missing data were identified for other key variables including outbreak duration, use of antivirals for prophylaxis and staff vaccination overage. "/>
      </w:tblPr>
      <w:tblGrid>
        <w:gridCol w:w="4680"/>
        <w:gridCol w:w="1282"/>
        <w:gridCol w:w="1283"/>
        <w:gridCol w:w="1282"/>
        <w:gridCol w:w="1283"/>
        <w:gridCol w:w="1282"/>
        <w:gridCol w:w="1283"/>
        <w:gridCol w:w="1282"/>
        <w:gridCol w:w="1283"/>
      </w:tblGrid>
      <w:tr w:rsidR="00A60D9A" w:rsidRPr="00CF4B3B" w:rsidTr="00B42F26">
        <w:trPr>
          <w:cnfStyle w:val="100000000000" w:firstRow="1" w:lastRow="0" w:firstColumn="0" w:lastColumn="0" w:oddVBand="0" w:evenVBand="0" w:oddHBand="0" w:evenHBand="0" w:firstRowFirstColumn="0" w:firstRowLastColumn="0" w:lastRowFirstColumn="0" w:lastRowLastColumn="0"/>
          <w:tblHeader/>
        </w:trPr>
        <w:tc>
          <w:tcPr>
            <w:tcW w:w="4680" w:type="dxa"/>
            <w:tcBorders>
              <w:right w:val="single" w:sz="2" w:space="0" w:color="FFFFFF" w:themeColor="background1"/>
            </w:tcBorders>
            <w:hideMark/>
          </w:tcPr>
          <w:p w:rsidR="00442AAD" w:rsidRPr="00CF4B3B" w:rsidRDefault="00442AAD">
            <w:pPr>
              <w:pStyle w:val="NormalWeb"/>
              <w:rPr>
                <w:color w:val="FFFFFF" w:themeColor="background1"/>
                <w:sz w:val="18"/>
                <w:szCs w:val="18"/>
              </w:rPr>
            </w:pPr>
            <w:r w:rsidRPr="00CF4B3B">
              <w:rPr>
                <w:color w:val="FFFFFF" w:themeColor="background1"/>
                <w:sz w:val="18"/>
                <w:szCs w:val="18"/>
              </w:rPr>
              <w:t>Variable</w:t>
            </w:r>
          </w:p>
        </w:tc>
        <w:tc>
          <w:tcPr>
            <w:tcW w:w="1282" w:type="dxa"/>
            <w:tcBorders>
              <w:left w:val="single" w:sz="2" w:space="0" w:color="FFFFFF" w:themeColor="background1"/>
              <w:right w:val="single" w:sz="2" w:space="0" w:color="FFFFFF" w:themeColor="background1"/>
            </w:tcBorders>
            <w:hideMark/>
          </w:tcPr>
          <w:p w:rsidR="00442AAD" w:rsidRPr="00CF4B3B" w:rsidRDefault="00442AAD" w:rsidP="00AB1E94">
            <w:pPr>
              <w:pStyle w:val="NormalWeb"/>
              <w:jc w:val="center"/>
              <w:rPr>
                <w:color w:val="FFFFFF" w:themeColor="background1"/>
                <w:sz w:val="18"/>
                <w:szCs w:val="18"/>
              </w:rPr>
            </w:pPr>
            <w:r w:rsidRPr="00CF4B3B">
              <w:rPr>
                <w:color w:val="FFFFFF" w:themeColor="background1"/>
                <w:sz w:val="18"/>
                <w:szCs w:val="18"/>
              </w:rPr>
              <w:t>NSW total (%)</w:t>
            </w:r>
            <w:r w:rsidR="00AB1E94" w:rsidRPr="00CF4B3B">
              <w:rPr>
                <w:color w:val="FFFFFF" w:themeColor="background1"/>
                <w:sz w:val="18"/>
                <w:szCs w:val="18"/>
              </w:rPr>
              <w:br/>
            </w:r>
            <w:r w:rsidRPr="00CF4B3B">
              <w:rPr>
                <w:color w:val="FFFFFF" w:themeColor="background1"/>
                <w:sz w:val="18"/>
                <w:szCs w:val="18"/>
              </w:rPr>
              <w:t>N = 538</w:t>
            </w:r>
          </w:p>
        </w:tc>
        <w:tc>
          <w:tcPr>
            <w:tcW w:w="1283" w:type="dxa"/>
            <w:tcBorders>
              <w:left w:val="single" w:sz="2" w:space="0" w:color="FFFFFF" w:themeColor="background1"/>
              <w:right w:val="single" w:sz="2" w:space="0" w:color="FFFFFF" w:themeColor="background1"/>
            </w:tcBorders>
            <w:hideMark/>
          </w:tcPr>
          <w:p w:rsidR="00442AAD" w:rsidRPr="00CF4B3B" w:rsidRDefault="00442AAD" w:rsidP="00AB1E94">
            <w:pPr>
              <w:pStyle w:val="NormalWeb"/>
              <w:jc w:val="center"/>
              <w:rPr>
                <w:color w:val="FFFFFF" w:themeColor="background1"/>
                <w:sz w:val="18"/>
                <w:szCs w:val="18"/>
              </w:rPr>
            </w:pPr>
            <w:proofErr w:type="gramStart"/>
            <w:r w:rsidRPr="00CF4B3B">
              <w:rPr>
                <w:color w:val="FFFFFF" w:themeColor="background1"/>
                <w:sz w:val="18"/>
                <w:szCs w:val="18"/>
              </w:rPr>
              <w:t>LHD1</w:t>
            </w:r>
            <w:proofErr w:type="gramEnd"/>
            <w:r w:rsidR="00AB1E94" w:rsidRPr="00CF4B3B">
              <w:rPr>
                <w:color w:val="FFFFFF" w:themeColor="background1"/>
                <w:sz w:val="18"/>
                <w:szCs w:val="18"/>
              </w:rPr>
              <w:br/>
            </w:r>
            <w:r w:rsidRPr="00CF4B3B">
              <w:rPr>
                <w:color w:val="FFFFFF" w:themeColor="background1"/>
                <w:sz w:val="18"/>
                <w:szCs w:val="18"/>
              </w:rPr>
              <w:t>(%)</w:t>
            </w:r>
            <w:r w:rsidR="00AB1E94" w:rsidRPr="00CF4B3B">
              <w:rPr>
                <w:color w:val="FFFFFF" w:themeColor="background1"/>
                <w:sz w:val="18"/>
                <w:szCs w:val="18"/>
              </w:rPr>
              <w:br/>
            </w:r>
            <w:r w:rsidRPr="00CF4B3B">
              <w:rPr>
                <w:color w:val="FFFFFF" w:themeColor="background1"/>
                <w:sz w:val="18"/>
                <w:szCs w:val="18"/>
              </w:rPr>
              <w:t>N = 37</w:t>
            </w:r>
          </w:p>
        </w:tc>
        <w:tc>
          <w:tcPr>
            <w:tcW w:w="1282" w:type="dxa"/>
            <w:tcBorders>
              <w:left w:val="single" w:sz="2" w:space="0" w:color="FFFFFF" w:themeColor="background1"/>
              <w:right w:val="single" w:sz="2" w:space="0" w:color="FFFFFF" w:themeColor="background1"/>
            </w:tcBorders>
            <w:hideMark/>
          </w:tcPr>
          <w:p w:rsidR="00442AAD" w:rsidRPr="00CF4B3B" w:rsidRDefault="00442AAD" w:rsidP="00AB1E94">
            <w:pPr>
              <w:pStyle w:val="NormalWeb"/>
              <w:jc w:val="center"/>
              <w:rPr>
                <w:color w:val="FFFFFF" w:themeColor="background1"/>
                <w:sz w:val="18"/>
                <w:szCs w:val="18"/>
              </w:rPr>
            </w:pPr>
            <w:proofErr w:type="gramStart"/>
            <w:r w:rsidRPr="00CF4B3B">
              <w:rPr>
                <w:color w:val="FFFFFF" w:themeColor="background1"/>
                <w:sz w:val="18"/>
                <w:szCs w:val="18"/>
              </w:rPr>
              <w:t>LHD2</w:t>
            </w:r>
            <w:proofErr w:type="gramEnd"/>
            <w:r w:rsidR="00AB1E94" w:rsidRPr="00CF4B3B">
              <w:rPr>
                <w:color w:val="FFFFFF" w:themeColor="background1"/>
                <w:sz w:val="18"/>
                <w:szCs w:val="18"/>
              </w:rPr>
              <w:br/>
            </w:r>
            <w:r w:rsidRPr="00CF4B3B">
              <w:rPr>
                <w:color w:val="FFFFFF" w:themeColor="background1"/>
                <w:sz w:val="18"/>
                <w:szCs w:val="18"/>
              </w:rPr>
              <w:t>(%)</w:t>
            </w:r>
            <w:r w:rsidR="00AB1E94" w:rsidRPr="00CF4B3B">
              <w:rPr>
                <w:color w:val="FFFFFF" w:themeColor="background1"/>
                <w:sz w:val="18"/>
                <w:szCs w:val="18"/>
              </w:rPr>
              <w:br/>
            </w:r>
            <w:r w:rsidRPr="00CF4B3B">
              <w:rPr>
                <w:color w:val="FFFFFF" w:themeColor="background1"/>
                <w:sz w:val="18"/>
                <w:szCs w:val="18"/>
              </w:rPr>
              <w:t>N = 68</w:t>
            </w:r>
          </w:p>
        </w:tc>
        <w:tc>
          <w:tcPr>
            <w:tcW w:w="1283" w:type="dxa"/>
            <w:tcBorders>
              <w:left w:val="single" w:sz="2" w:space="0" w:color="FFFFFF" w:themeColor="background1"/>
              <w:right w:val="single" w:sz="2" w:space="0" w:color="FFFFFF" w:themeColor="background1"/>
            </w:tcBorders>
            <w:hideMark/>
          </w:tcPr>
          <w:p w:rsidR="00442AAD" w:rsidRPr="00CF4B3B" w:rsidRDefault="00442AAD" w:rsidP="00AB1E94">
            <w:pPr>
              <w:pStyle w:val="NormalWeb"/>
              <w:jc w:val="center"/>
              <w:rPr>
                <w:color w:val="FFFFFF" w:themeColor="background1"/>
                <w:sz w:val="18"/>
                <w:szCs w:val="18"/>
              </w:rPr>
            </w:pPr>
            <w:proofErr w:type="gramStart"/>
            <w:r w:rsidRPr="00CF4B3B">
              <w:rPr>
                <w:color w:val="FFFFFF" w:themeColor="background1"/>
                <w:sz w:val="18"/>
                <w:szCs w:val="18"/>
              </w:rPr>
              <w:t>LHD3</w:t>
            </w:r>
            <w:proofErr w:type="gramEnd"/>
            <w:r w:rsidR="00AB1E94" w:rsidRPr="00CF4B3B">
              <w:rPr>
                <w:color w:val="FFFFFF" w:themeColor="background1"/>
                <w:sz w:val="18"/>
                <w:szCs w:val="18"/>
              </w:rPr>
              <w:br/>
            </w:r>
            <w:r w:rsidRPr="00CF4B3B">
              <w:rPr>
                <w:color w:val="FFFFFF" w:themeColor="background1"/>
                <w:sz w:val="18"/>
                <w:szCs w:val="18"/>
              </w:rPr>
              <w:t>(%)</w:t>
            </w:r>
            <w:r w:rsidR="00AB1E94" w:rsidRPr="00CF4B3B">
              <w:rPr>
                <w:color w:val="FFFFFF" w:themeColor="background1"/>
                <w:sz w:val="18"/>
                <w:szCs w:val="18"/>
              </w:rPr>
              <w:br/>
            </w:r>
            <w:r w:rsidRPr="00CF4B3B">
              <w:rPr>
                <w:color w:val="FFFFFF" w:themeColor="background1"/>
                <w:sz w:val="18"/>
                <w:szCs w:val="18"/>
              </w:rPr>
              <w:t>N = 24</w:t>
            </w:r>
          </w:p>
        </w:tc>
        <w:tc>
          <w:tcPr>
            <w:tcW w:w="1282" w:type="dxa"/>
            <w:tcBorders>
              <w:left w:val="single" w:sz="2" w:space="0" w:color="FFFFFF" w:themeColor="background1"/>
              <w:right w:val="single" w:sz="2" w:space="0" w:color="FFFFFF" w:themeColor="background1"/>
            </w:tcBorders>
            <w:hideMark/>
          </w:tcPr>
          <w:p w:rsidR="00442AAD" w:rsidRPr="00CF4B3B" w:rsidRDefault="00442AAD" w:rsidP="00AB1E94">
            <w:pPr>
              <w:pStyle w:val="NormalWeb"/>
              <w:jc w:val="center"/>
              <w:rPr>
                <w:color w:val="FFFFFF" w:themeColor="background1"/>
                <w:sz w:val="18"/>
                <w:szCs w:val="18"/>
              </w:rPr>
            </w:pPr>
            <w:proofErr w:type="gramStart"/>
            <w:r w:rsidRPr="00CF4B3B">
              <w:rPr>
                <w:color w:val="FFFFFF" w:themeColor="background1"/>
                <w:sz w:val="18"/>
                <w:szCs w:val="18"/>
              </w:rPr>
              <w:t>LHD4</w:t>
            </w:r>
            <w:proofErr w:type="gramEnd"/>
            <w:r w:rsidR="00AB1E94" w:rsidRPr="00CF4B3B">
              <w:rPr>
                <w:color w:val="FFFFFF" w:themeColor="background1"/>
                <w:sz w:val="18"/>
                <w:szCs w:val="18"/>
              </w:rPr>
              <w:br/>
            </w:r>
            <w:r w:rsidRPr="00CF4B3B">
              <w:rPr>
                <w:color w:val="FFFFFF" w:themeColor="background1"/>
                <w:sz w:val="18"/>
                <w:szCs w:val="18"/>
              </w:rPr>
              <w:t>(%)</w:t>
            </w:r>
            <w:r w:rsidR="00AB1E94" w:rsidRPr="00CF4B3B">
              <w:rPr>
                <w:color w:val="FFFFFF" w:themeColor="background1"/>
                <w:sz w:val="18"/>
                <w:szCs w:val="18"/>
              </w:rPr>
              <w:br/>
            </w:r>
            <w:r w:rsidRPr="00CF4B3B">
              <w:rPr>
                <w:color w:val="FFFFFF" w:themeColor="background1"/>
                <w:sz w:val="18"/>
                <w:szCs w:val="18"/>
              </w:rPr>
              <w:t>N = 23</w:t>
            </w:r>
          </w:p>
        </w:tc>
        <w:tc>
          <w:tcPr>
            <w:tcW w:w="1283" w:type="dxa"/>
            <w:tcBorders>
              <w:left w:val="single" w:sz="2" w:space="0" w:color="FFFFFF" w:themeColor="background1"/>
              <w:right w:val="single" w:sz="2" w:space="0" w:color="FFFFFF" w:themeColor="background1"/>
            </w:tcBorders>
            <w:hideMark/>
          </w:tcPr>
          <w:p w:rsidR="00442AAD" w:rsidRPr="00CF4B3B" w:rsidRDefault="00442AAD" w:rsidP="00AB1E94">
            <w:pPr>
              <w:pStyle w:val="NormalWeb"/>
              <w:jc w:val="center"/>
              <w:rPr>
                <w:color w:val="FFFFFF" w:themeColor="background1"/>
                <w:sz w:val="18"/>
                <w:szCs w:val="18"/>
              </w:rPr>
            </w:pPr>
            <w:proofErr w:type="gramStart"/>
            <w:r w:rsidRPr="00CF4B3B">
              <w:rPr>
                <w:color w:val="FFFFFF" w:themeColor="background1"/>
                <w:sz w:val="18"/>
                <w:szCs w:val="18"/>
              </w:rPr>
              <w:t>LHD5</w:t>
            </w:r>
            <w:proofErr w:type="gramEnd"/>
            <w:r w:rsidR="00AB1E94" w:rsidRPr="00CF4B3B">
              <w:rPr>
                <w:color w:val="FFFFFF" w:themeColor="background1"/>
                <w:sz w:val="18"/>
                <w:szCs w:val="18"/>
              </w:rPr>
              <w:br/>
            </w:r>
            <w:r w:rsidRPr="00CF4B3B">
              <w:rPr>
                <w:color w:val="FFFFFF" w:themeColor="background1"/>
                <w:sz w:val="18"/>
                <w:szCs w:val="18"/>
              </w:rPr>
              <w:t>(%)</w:t>
            </w:r>
            <w:r w:rsidR="00AB1E94" w:rsidRPr="00CF4B3B">
              <w:rPr>
                <w:color w:val="FFFFFF" w:themeColor="background1"/>
                <w:sz w:val="18"/>
                <w:szCs w:val="18"/>
              </w:rPr>
              <w:br/>
            </w:r>
            <w:r w:rsidRPr="00CF4B3B">
              <w:rPr>
                <w:color w:val="FFFFFF" w:themeColor="background1"/>
                <w:sz w:val="18"/>
                <w:szCs w:val="18"/>
              </w:rPr>
              <w:t>N = 90</w:t>
            </w:r>
          </w:p>
        </w:tc>
        <w:tc>
          <w:tcPr>
            <w:tcW w:w="1282" w:type="dxa"/>
            <w:tcBorders>
              <w:left w:val="single" w:sz="2" w:space="0" w:color="FFFFFF" w:themeColor="background1"/>
              <w:right w:val="single" w:sz="2" w:space="0" w:color="FFFFFF" w:themeColor="background1"/>
            </w:tcBorders>
            <w:hideMark/>
          </w:tcPr>
          <w:p w:rsidR="00442AAD" w:rsidRPr="00CF4B3B" w:rsidRDefault="00442AAD" w:rsidP="00A60D9A">
            <w:pPr>
              <w:pStyle w:val="NormalWeb"/>
              <w:jc w:val="center"/>
              <w:rPr>
                <w:color w:val="FFFFFF" w:themeColor="background1"/>
                <w:sz w:val="18"/>
                <w:szCs w:val="18"/>
              </w:rPr>
            </w:pPr>
            <w:proofErr w:type="gramStart"/>
            <w:r w:rsidRPr="00CF4B3B">
              <w:rPr>
                <w:color w:val="FFFFFF" w:themeColor="background1"/>
                <w:sz w:val="18"/>
                <w:szCs w:val="18"/>
              </w:rPr>
              <w:t>LHD6</w:t>
            </w:r>
            <w:proofErr w:type="gramEnd"/>
            <w:r w:rsidR="00AB1E94" w:rsidRPr="00CF4B3B">
              <w:rPr>
                <w:color w:val="FFFFFF" w:themeColor="background1"/>
                <w:sz w:val="18"/>
                <w:szCs w:val="18"/>
              </w:rPr>
              <w:br/>
            </w:r>
            <w:r w:rsidRPr="00CF4B3B">
              <w:rPr>
                <w:color w:val="FFFFFF" w:themeColor="background1"/>
                <w:sz w:val="18"/>
                <w:szCs w:val="18"/>
              </w:rPr>
              <w:t>(%)</w:t>
            </w:r>
            <w:r w:rsidR="00AB1E94" w:rsidRPr="00CF4B3B">
              <w:rPr>
                <w:color w:val="FFFFFF" w:themeColor="background1"/>
                <w:sz w:val="18"/>
                <w:szCs w:val="18"/>
              </w:rPr>
              <w:br/>
            </w:r>
            <w:r w:rsidRPr="00CF4B3B">
              <w:rPr>
                <w:color w:val="FFFFFF" w:themeColor="background1"/>
                <w:sz w:val="18"/>
                <w:szCs w:val="18"/>
              </w:rPr>
              <w:t>N = 77</w:t>
            </w:r>
          </w:p>
        </w:tc>
        <w:tc>
          <w:tcPr>
            <w:tcW w:w="1283" w:type="dxa"/>
            <w:tcBorders>
              <w:left w:val="single" w:sz="2" w:space="0" w:color="FFFFFF" w:themeColor="background1"/>
            </w:tcBorders>
            <w:hideMark/>
          </w:tcPr>
          <w:p w:rsidR="00442AAD" w:rsidRPr="00CF4B3B" w:rsidRDefault="00442AAD" w:rsidP="00A60D9A">
            <w:pPr>
              <w:pStyle w:val="NormalWeb"/>
              <w:jc w:val="center"/>
              <w:rPr>
                <w:color w:val="FFFFFF" w:themeColor="background1"/>
                <w:sz w:val="18"/>
                <w:szCs w:val="18"/>
              </w:rPr>
            </w:pPr>
            <w:r w:rsidRPr="00CF4B3B">
              <w:rPr>
                <w:color w:val="FFFFFF" w:themeColor="background1"/>
                <w:sz w:val="18"/>
                <w:szCs w:val="18"/>
              </w:rPr>
              <w:t xml:space="preserve">Index of variation between subgroup </w:t>
            </w:r>
            <w:proofErr w:type="spellStart"/>
            <w:r w:rsidRPr="00CF4B3B">
              <w:rPr>
                <w:color w:val="FFFFFF" w:themeColor="background1"/>
                <w:sz w:val="18"/>
                <w:szCs w:val="18"/>
              </w:rPr>
              <w:t>LHDs</w:t>
            </w:r>
            <w:r w:rsidRPr="00CF4B3B">
              <w:rPr>
                <w:color w:val="FFFFFF" w:themeColor="background1"/>
                <w:sz w:val="18"/>
                <w:szCs w:val="18"/>
                <w:vertAlign w:val="superscript"/>
              </w:rPr>
              <w:t>c</w:t>
            </w:r>
            <w:proofErr w:type="spellEnd"/>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Date of onset for first resident</w:t>
            </w:r>
          </w:p>
        </w:tc>
        <w:tc>
          <w:tcPr>
            <w:tcW w:w="1282" w:type="dxa"/>
            <w:hideMark/>
          </w:tcPr>
          <w:p w:rsidR="00442AAD" w:rsidRPr="00CF4B3B" w:rsidRDefault="00442AAD" w:rsidP="00A60D9A">
            <w:pPr>
              <w:pStyle w:val="NormalWeb"/>
              <w:jc w:val="center"/>
              <w:rPr>
                <w:sz w:val="18"/>
                <w:szCs w:val="18"/>
              </w:rPr>
            </w:pPr>
            <w:r w:rsidRPr="00CF4B3B">
              <w:rPr>
                <w:sz w:val="18"/>
                <w:szCs w:val="18"/>
              </w:rPr>
              <w:t>2.8</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1.5</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8.7</w:t>
            </w:r>
          </w:p>
        </w:tc>
        <w:tc>
          <w:tcPr>
            <w:tcW w:w="1283" w:type="dxa"/>
            <w:hideMark/>
          </w:tcPr>
          <w:p w:rsidR="00442AAD" w:rsidRPr="00CF4B3B" w:rsidRDefault="00442AAD" w:rsidP="00A60D9A">
            <w:pPr>
              <w:pStyle w:val="NormalWeb"/>
              <w:jc w:val="center"/>
              <w:rPr>
                <w:sz w:val="18"/>
                <w:szCs w:val="18"/>
              </w:rPr>
            </w:pPr>
            <w:r w:rsidRPr="00CF4B3B">
              <w:rPr>
                <w:sz w:val="18"/>
                <w:szCs w:val="18"/>
              </w:rPr>
              <w:t>1.1</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9</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Date of onset for last resident</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13.6</w:t>
            </w:r>
          </w:p>
        </w:tc>
        <w:tc>
          <w:tcPr>
            <w:tcW w:w="1283" w:type="dxa"/>
            <w:hideMark/>
          </w:tcPr>
          <w:p w:rsidR="00442AAD" w:rsidRPr="00CF4B3B" w:rsidRDefault="00442AAD" w:rsidP="00A60D9A">
            <w:pPr>
              <w:pStyle w:val="NormalWeb"/>
              <w:jc w:val="center"/>
              <w:rPr>
                <w:sz w:val="18"/>
                <w:szCs w:val="18"/>
              </w:rPr>
            </w:pPr>
            <w:r w:rsidRPr="00CF4B3B">
              <w:rPr>
                <w:sz w:val="18"/>
                <w:szCs w:val="18"/>
              </w:rPr>
              <w:t>5.4</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13.2</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16.7</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39.1</w:t>
            </w:r>
          </w:p>
        </w:tc>
        <w:tc>
          <w:tcPr>
            <w:tcW w:w="1283" w:type="dxa"/>
            <w:hideMark/>
          </w:tcPr>
          <w:p w:rsidR="00442AAD" w:rsidRPr="00CF4B3B" w:rsidRDefault="00442AAD" w:rsidP="00A60D9A">
            <w:pPr>
              <w:pStyle w:val="NormalWeb"/>
              <w:jc w:val="center"/>
              <w:rPr>
                <w:sz w:val="18"/>
                <w:szCs w:val="18"/>
              </w:rPr>
            </w:pPr>
            <w:r w:rsidRPr="00CF4B3B">
              <w:rPr>
                <w:sz w:val="18"/>
                <w:szCs w:val="18"/>
              </w:rPr>
              <w:t>3.3</w:t>
            </w:r>
          </w:p>
        </w:tc>
        <w:tc>
          <w:tcPr>
            <w:tcW w:w="1282" w:type="dxa"/>
            <w:hideMark/>
          </w:tcPr>
          <w:p w:rsidR="00442AAD" w:rsidRPr="00CF4B3B" w:rsidRDefault="00442AAD" w:rsidP="00A60D9A">
            <w:pPr>
              <w:pStyle w:val="NormalWeb"/>
              <w:jc w:val="center"/>
              <w:rPr>
                <w:sz w:val="18"/>
                <w:szCs w:val="18"/>
              </w:rPr>
            </w:pPr>
            <w:r w:rsidRPr="00CF4B3B">
              <w:rPr>
                <w:sz w:val="18"/>
                <w:szCs w:val="18"/>
              </w:rPr>
              <w:t>7.8</w:t>
            </w:r>
          </w:p>
        </w:tc>
        <w:tc>
          <w:tcPr>
            <w:tcW w:w="1283" w:type="dxa"/>
            <w:hideMark/>
          </w:tcPr>
          <w:p w:rsidR="00442AAD" w:rsidRPr="00CF4B3B" w:rsidRDefault="00442AAD" w:rsidP="00A60D9A">
            <w:pPr>
              <w:pStyle w:val="NormalWeb"/>
              <w:jc w:val="center"/>
              <w:rPr>
                <w:sz w:val="18"/>
                <w:szCs w:val="18"/>
              </w:rPr>
            </w:pPr>
            <w:r w:rsidRPr="00CF4B3B">
              <w:rPr>
                <w:sz w:val="18"/>
                <w:szCs w:val="18"/>
              </w:rPr>
              <w:t>12</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Number residents at risk of illness</w:t>
            </w:r>
          </w:p>
        </w:tc>
        <w:tc>
          <w:tcPr>
            <w:tcW w:w="1282" w:type="dxa"/>
            <w:hideMark/>
          </w:tcPr>
          <w:p w:rsidR="00442AAD" w:rsidRPr="00CF4B3B" w:rsidRDefault="00442AAD" w:rsidP="00A60D9A">
            <w:pPr>
              <w:pStyle w:val="NormalWeb"/>
              <w:jc w:val="center"/>
              <w:rPr>
                <w:sz w:val="18"/>
                <w:szCs w:val="18"/>
              </w:rPr>
            </w:pPr>
            <w:r w:rsidRPr="00CF4B3B">
              <w:rPr>
                <w:sz w:val="18"/>
                <w:szCs w:val="18"/>
              </w:rPr>
              <w:t>1.5</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13.0</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13</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Number residents died</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12.1</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16.2</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25.0</w:t>
            </w:r>
          </w:p>
        </w:tc>
        <w:tc>
          <w:tcPr>
            <w:tcW w:w="1283" w:type="dxa"/>
            <w:hideMark/>
          </w:tcPr>
          <w:p w:rsidR="00442AAD" w:rsidRPr="00CF4B3B" w:rsidRDefault="00442AAD" w:rsidP="00A60D9A">
            <w:pPr>
              <w:pStyle w:val="NormalWeb"/>
              <w:jc w:val="center"/>
              <w:rPr>
                <w:sz w:val="18"/>
                <w:szCs w:val="18"/>
              </w:rPr>
            </w:pPr>
            <w:r w:rsidRPr="00CF4B3B">
              <w:rPr>
                <w:sz w:val="18"/>
                <w:szCs w:val="18"/>
              </w:rPr>
              <w:t>8.3</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17.4</w:t>
            </w:r>
          </w:p>
        </w:tc>
        <w:tc>
          <w:tcPr>
            <w:tcW w:w="1283" w:type="dxa"/>
            <w:hideMark/>
          </w:tcPr>
          <w:p w:rsidR="00442AAD" w:rsidRPr="00CF4B3B" w:rsidRDefault="00442AAD" w:rsidP="00A60D9A">
            <w:pPr>
              <w:pStyle w:val="NormalWeb"/>
              <w:jc w:val="center"/>
              <w:rPr>
                <w:sz w:val="18"/>
                <w:szCs w:val="18"/>
              </w:rPr>
            </w:pPr>
            <w:r w:rsidRPr="00CF4B3B">
              <w:rPr>
                <w:sz w:val="18"/>
                <w:szCs w:val="18"/>
              </w:rPr>
              <w:t>2.2</w:t>
            </w:r>
          </w:p>
        </w:tc>
        <w:tc>
          <w:tcPr>
            <w:tcW w:w="1282" w:type="dxa"/>
            <w:hideMark/>
          </w:tcPr>
          <w:p w:rsidR="00442AAD" w:rsidRPr="00CF4B3B" w:rsidRDefault="00442AAD" w:rsidP="00A60D9A">
            <w:pPr>
              <w:pStyle w:val="NormalWeb"/>
              <w:jc w:val="center"/>
              <w:rPr>
                <w:sz w:val="18"/>
                <w:szCs w:val="18"/>
              </w:rPr>
            </w:pPr>
            <w:r w:rsidRPr="00CF4B3B">
              <w:rPr>
                <w:sz w:val="18"/>
                <w:szCs w:val="18"/>
              </w:rPr>
              <w:t>2.6</w:t>
            </w:r>
          </w:p>
        </w:tc>
        <w:tc>
          <w:tcPr>
            <w:tcW w:w="1283" w:type="dxa"/>
            <w:hideMark/>
          </w:tcPr>
          <w:p w:rsidR="00442AAD" w:rsidRPr="00CF4B3B" w:rsidRDefault="00442AAD" w:rsidP="00A60D9A">
            <w:pPr>
              <w:pStyle w:val="NormalWeb"/>
              <w:jc w:val="center"/>
              <w:rPr>
                <w:sz w:val="18"/>
                <w:szCs w:val="18"/>
              </w:rPr>
            </w:pPr>
            <w:r w:rsidRPr="00CF4B3B">
              <w:rPr>
                <w:sz w:val="18"/>
                <w:szCs w:val="18"/>
              </w:rPr>
              <w:t>11</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Number residents hospitalised</w:t>
            </w:r>
          </w:p>
        </w:tc>
        <w:tc>
          <w:tcPr>
            <w:tcW w:w="1282" w:type="dxa"/>
            <w:hideMark/>
          </w:tcPr>
          <w:p w:rsidR="00442AAD" w:rsidRPr="00CF4B3B" w:rsidRDefault="00442AAD" w:rsidP="00A60D9A">
            <w:pPr>
              <w:pStyle w:val="NormalWeb"/>
              <w:jc w:val="center"/>
              <w:rPr>
                <w:sz w:val="18"/>
                <w:szCs w:val="18"/>
              </w:rPr>
            </w:pPr>
            <w:r w:rsidRPr="00CF4B3B">
              <w:rPr>
                <w:sz w:val="18"/>
                <w:szCs w:val="18"/>
              </w:rPr>
              <w:t>8.2</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10.8</w:t>
            </w:r>
          </w:p>
        </w:tc>
        <w:tc>
          <w:tcPr>
            <w:tcW w:w="1282" w:type="dxa"/>
            <w:hideMark/>
          </w:tcPr>
          <w:p w:rsidR="00442AAD" w:rsidRPr="00CF4B3B" w:rsidRDefault="00442AAD" w:rsidP="00A60D9A">
            <w:pPr>
              <w:pStyle w:val="NormalWeb"/>
              <w:jc w:val="center"/>
              <w:rPr>
                <w:sz w:val="18"/>
                <w:szCs w:val="18"/>
              </w:rPr>
            </w:pPr>
            <w:r w:rsidRPr="00CF4B3B">
              <w:rPr>
                <w:sz w:val="18"/>
                <w:szCs w:val="18"/>
              </w:rPr>
              <w:t>8.8</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8.7</w:t>
            </w:r>
          </w:p>
        </w:tc>
        <w:tc>
          <w:tcPr>
            <w:tcW w:w="1283" w:type="dxa"/>
            <w:hideMark/>
          </w:tcPr>
          <w:p w:rsidR="00442AAD" w:rsidRPr="00CF4B3B" w:rsidRDefault="00442AAD" w:rsidP="00A60D9A">
            <w:pPr>
              <w:pStyle w:val="NormalWeb"/>
              <w:jc w:val="center"/>
              <w:rPr>
                <w:sz w:val="18"/>
                <w:szCs w:val="18"/>
              </w:rPr>
            </w:pPr>
            <w:r w:rsidRPr="00CF4B3B">
              <w:rPr>
                <w:sz w:val="18"/>
                <w:szCs w:val="18"/>
              </w:rPr>
              <w:t>2.2</w:t>
            </w:r>
          </w:p>
        </w:tc>
        <w:tc>
          <w:tcPr>
            <w:tcW w:w="1282" w:type="dxa"/>
            <w:hideMark/>
          </w:tcPr>
          <w:p w:rsidR="00442AAD" w:rsidRPr="00CF4B3B" w:rsidRDefault="00442AAD" w:rsidP="00A60D9A">
            <w:pPr>
              <w:pStyle w:val="NormalWeb"/>
              <w:jc w:val="center"/>
              <w:rPr>
                <w:sz w:val="18"/>
                <w:szCs w:val="18"/>
              </w:rPr>
            </w:pPr>
            <w:r w:rsidRPr="00CF4B3B">
              <w:rPr>
                <w:sz w:val="18"/>
                <w:szCs w:val="18"/>
              </w:rPr>
              <w:t>3.9</w:t>
            </w:r>
          </w:p>
        </w:tc>
        <w:tc>
          <w:tcPr>
            <w:tcW w:w="1283" w:type="dxa"/>
            <w:hideMark/>
          </w:tcPr>
          <w:p w:rsidR="00442AAD" w:rsidRPr="00CF4B3B" w:rsidRDefault="00442AAD" w:rsidP="00A60D9A">
            <w:pPr>
              <w:pStyle w:val="NormalWeb"/>
              <w:jc w:val="center"/>
              <w:rPr>
                <w:sz w:val="18"/>
                <w:szCs w:val="18"/>
              </w:rPr>
            </w:pPr>
            <w:r w:rsidRPr="00CF4B3B">
              <w:rPr>
                <w:sz w:val="18"/>
                <w:szCs w:val="18"/>
              </w:rPr>
              <w:t>11</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Number residents with symptoms (ILI)</w:t>
            </w:r>
          </w:p>
        </w:tc>
        <w:tc>
          <w:tcPr>
            <w:tcW w:w="1282" w:type="dxa"/>
            <w:hideMark/>
          </w:tcPr>
          <w:p w:rsidR="00442AAD" w:rsidRPr="00CF4B3B" w:rsidRDefault="00442AAD" w:rsidP="00A60D9A">
            <w:pPr>
              <w:pStyle w:val="NormalWeb"/>
              <w:jc w:val="center"/>
              <w:rPr>
                <w:sz w:val="18"/>
                <w:szCs w:val="18"/>
              </w:rPr>
            </w:pPr>
            <w:r w:rsidRPr="00CF4B3B">
              <w:rPr>
                <w:sz w:val="18"/>
                <w:szCs w:val="18"/>
              </w:rPr>
              <w:t>2.0</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4.4</w:t>
            </w:r>
          </w:p>
        </w:tc>
        <w:tc>
          <w:tcPr>
            <w:tcW w:w="1283" w:type="dxa"/>
            <w:hideMark/>
          </w:tcPr>
          <w:p w:rsidR="00442AAD" w:rsidRPr="00CF4B3B" w:rsidRDefault="00442AAD" w:rsidP="00A60D9A">
            <w:pPr>
              <w:pStyle w:val="NormalWeb"/>
              <w:jc w:val="center"/>
              <w:rPr>
                <w:sz w:val="18"/>
                <w:szCs w:val="18"/>
              </w:rPr>
            </w:pPr>
            <w:r w:rsidRPr="00CF4B3B">
              <w:rPr>
                <w:sz w:val="18"/>
                <w:szCs w:val="18"/>
              </w:rPr>
              <w:t>1.1</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4</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Number residents laboratory confirmed</w:t>
            </w:r>
          </w:p>
        </w:tc>
        <w:tc>
          <w:tcPr>
            <w:tcW w:w="1282" w:type="dxa"/>
            <w:hideMark/>
          </w:tcPr>
          <w:p w:rsidR="00442AAD" w:rsidRPr="00CF4B3B" w:rsidRDefault="00442AAD" w:rsidP="00A60D9A">
            <w:pPr>
              <w:pStyle w:val="NormalWeb"/>
              <w:jc w:val="center"/>
              <w:rPr>
                <w:sz w:val="18"/>
                <w:szCs w:val="18"/>
              </w:rPr>
            </w:pPr>
            <w:r w:rsidRPr="00CF4B3B">
              <w:rPr>
                <w:sz w:val="18"/>
                <w:szCs w:val="18"/>
              </w:rPr>
              <w:t>2.8</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5.9</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6</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Number residents with fever</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16.7</w:t>
            </w:r>
          </w:p>
        </w:tc>
        <w:tc>
          <w:tcPr>
            <w:tcW w:w="1283" w:type="dxa"/>
            <w:hideMark/>
          </w:tcPr>
          <w:p w:rsidR="00442AAD" w:rsidRPr="00CF4B3B" w:rsidRDefault="00442AAD" w:rsidP="00A60D9A">
            <w:pPr>
              <w:pStyle w:val="NormalWeb"/>
              <w:jc w:val="center"/>
              <w:rPr>
                <w:sz w:val="18"/>
                <w:szCs w:val="18"/>
              </w:rPr>
            </w:pPr>
            <w:r w:rsidRPr="00CF4B3B">
              <w:rPr>
                <w:sz w:val="18"/>
                <w:szCs w:val="18"/>
              </w:rPr>
              <w:t>2.7</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13.2</w:t>
            </w:r>
          </w:p>
        </w:tc>
        <w:tc>
          <w:tcPr>
            <w:tcW w:w="1283" w:type="dxa"/>
            <w:hideMark/>
          </w:tcPr>
          <w:p w:rsidR="00442AAD" w:rsidRPr="00CF4B3B" w:rsidRDefault="00442AAD" w:rsidP="00A60D9A">
            <w:pPr>
              <w:pStyle w:val="NormalWeb"/>
              <w:jc w:val="center"/>
              <w:rPr>
                <w:sz w:val="18"/>
                <w:szCs w:val="18"/>
              </w:rPr>
            </w:pPr>
            <w:r w:rsidRPr="00CF4B3B">
              <w:rPr>
                <w:sz w:val="18"/>
                <w:szCs w:val="18"/>
              </w:rPr>
              <w:t>4.2</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21.7</w:t>
            </w:r>
          </w:p>
        </w:tc>
        <w:tc>
          <w:tcPr>
            <w:tcW w:w="1283" w:type="dxa"/>
            <w:hideMark/>
          </w:tcPr>
          <w:p w:rsidR="00442AAD" w:rsidRPr="00CF4B3B" w:rsidRDefault="00442AAD" w:rsidP="00A60D9A">
            <w:pPr>
              <w:pStyle w:val="NormalWeb"/>
              <w:jc w:val="center"/>
              <w:rPr>
                <w:sz w:val="18"/>
                <w:szCs w:val="18"/>
              </w:rPr>
            </w:pPr>
            <w:r w:rsidRPr="00CF4B3B">
              <w:rPr>
                <w:sz w:val="18"/>
                <w:szCs w:val="18"/>
              </w:rPr>
              <w:t>10.0</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8</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Number residents with cough</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10.8</w:t>
            </w:r>
          </w:p>
        </w:tc>
        <w:tc>
          <w:tcPr>
            <w:tcW w:w="1283" w:type="dxa"/>
            <w:hideMark/>
          </w:tcPr>
          <w:p w:rsidR="00442AAD" w:rsidRPr="00CF4B3B" w:rsidRDefault="00442AAD" w:rsidP="00A60D9A">
            <w:pPr>
              <w:pStyle w:val="NormalWeb"/>
              <w:jc w:val="center"/>
              <w:rPr>
                <w:sz w:val="18"/>
                <w:szCs w:val="18"/>
              </w:rPr>
            </w:pPr>
            <w:r w:rsidRPr="00CF4B3B">
              <w:rPr>
                <w:sz w:val="18"/>
                <w:szCs w:val="18"/>
              </w:rPr>
              <w:t>2.7</w:t>
            </w:r>
          </w:p>
        </w:tc>
        <w:tc>
          <w:tcPr>
            <w:tcW w:w="1282" w:type="dxa"/>
            <w:hideMark/>
          </w:tcPr>
          <w:p w:rsidR="00442AAD" w:rsidRPr="00CF4B3B" w:rsidRDefault="00442AAD" w:rsidP="00A60D9A">
            <w:pPr>
              <w:pStyle w:val="NormalWeb"/>
              <w:jc w:val="center"/>
              <w:rPr>
                <w:sz w:val="18"/>
                <w:szCs w:val="18"/>
              </w:rPr>
            </w:pPr>
            <w:r w:rsidRPr="00CF4B3B">
              <w:rPr>
                <w:sz w:val="18"/>
                <w:szCs w:val="18"/>
              </w:rPr>
              <w:t>4.4</w:t>
            </w:r>
          </w:p>
        </w:tc>
        <w:tc>
          <w:tcPr>
            <w:tcW w:w="1283" w:type="dxa"/>
            <w:hideMark/>
          </w:tcPr>
          <w:p w:rsidR="00442AAD" w:rsidRPr="00CF4B3B" w:rsidRDefault="00442AAD" w:rsidP="00A60D9A">
            <w:pPr>
              <w:pStyle w:val="NormalWeb"/>
              <w:jc w:val="center"/>
              <w:rPr>
                <w:sz w:val="18"/>
                <w:szCs w:val="18"/>
              </w:rPr>
            </w:pPr>
            <w:r w:rsidRPr="00CF4B3B">
              <w:rPr>
                <w:sz w:val="18"/>
                <w:szCs w:val="18"/>
              </w:rPr>
              <w:t>8.3</w:t>
            </w:r>
          </w:p>
        </w:tc>
        <w:tc>
          <w:tcPr>
            <w:tcW w:w="1282" w:type="dxa"/>
            <w:hideMark/>
          </w:tcPr>
          <w:p w:rsidR="00442AAD" w:rsidRPr="00CF4B3B" w:rsidRDefault="00442AAD" w:rsidP="00A60D9A">
            <w:pPr>
              <w:pStyle w:val="NormalWeb"/>
              <w:jc w:val="center"/>
              <w:rPr>
                <w:sz w:val="18"/>
                <w:szCs w:val="18"/>
              </w:rPr>
            </w:pPr>
            <w:r w:rsidRPr="00CF4B3B">
              <w:rPr>
                <w:sz w:val="18"/>
                <w:szCs w:val="18"/>
              </w:rPr>
              <w:t>8.7</w:t>
            </w:r>
          </w:p>
        </w:tc>
        <w:tc>
          <w:tcPr>
            <w:tcW w:w="1283" w:type="dxa"/>
            <w:hideMark/>
          </w:tcPr>
          <w:p w:rsidR="00442AAD" w:rsidRPr="00CF4B3B" w:rsidRDefault="00442AAD" w:rsidP="00A60D9A">
            <w:pPr>
              <w:pStyle w:val="NormalWeb"/>
              <w:jc w:val="center"/>
              <w:rPr>
                <w:sz w:val="18"/>
                <w:szCs w:val="18"/>
              </w:rPr>
            </w:pPr>
            <w:r w:rsidRPr="00CF4B3B">
              <w:rPr>
                <w:sz w:val="18"/>
                <w:szCs w:val="18"/>
              </w:rPr>
              <w:t>6.7</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3</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Number residents vaccinated prior to outbreak</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12.8</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10.8</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19.1</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12.5</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21.7</w:t>
            </w:r>
          </w:p>
        </w:tc>
        <w:tc>
          <w:tcPr>
            <w:tcW w:w="1283" w:type="dxa"/>
            <w:hideMark/>
          </w:tcPr>
          <w:p w:rsidR="00442AAD" w:rsidRPr="00CF4B3B" w:rsidRDefault="00442AAD" w:rsidP="00A60D9A">
            <w:pPr>
              <w:pStyle w:val="NormalWeb"/>
              <w:jc w:val="center"/>
              <w:rPr>
                <w:sz w:val="18"/>
                <w:szCs w:val="18"/>
              </w:rPr>
            </w:pPr>
            <w:r w:rsidRPr="00CF4B3B">
              <w:rPr>
                <w:sz w:val="18"/>
                <w:szCs w:val="18"/>
              </w:rPr>
              <w:t>3.3</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7</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Number staff vaccinated prior to outbreak</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28.3</w:t>
            </w:r>
          </w:p>
        </w:tc>
        <w:tc>
          <w:tcPr>
            <w:tcW w:w="1283" w:type="dxa"/>
            <w:hideMark/>
          </w:tcPr>
          <w:p w:rsidR="00442AAD" w:rsidRPr="00CF4B3B" w:rsidRDefault="00442AAD" w:rsidP="00A60D9A">
            <w:pPr>
              <w:pStyle w:val="NormalWeb"/>
              <w:jc w:val="center"/>
              <w:rPr>
                <w:sz w:val="18"/>
                <w:szCs w:val="18"/>
              </w:rPr>
            </w:pPr>
            <w:r w:rsidRPr="00CF4B3B">
              <w:rPr>
                <w:sz w:val="18"/>
                <w:szCs w:val="18"/>
              </w:rPr>
              <w:t>8.1</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47.1</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20.8</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56.5</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12.2</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5</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Number of staff at risk of illness</w:t>
            </w:r>
          </w:p>
        </w:tc>
        <w:tc>
          <w:tcPr>
            <w:tcW w:w="1282" w:type="dxa"/>
            <w:hideMark/>
          </w:tcPr>
          <w:p w:rsidR="00442AAD" w:rsidRPr="00CF4B3B" w:rsidRDefault="00442AAD" w:rsidP="00A60D9A">
            <w:pPr>
              <w:pStyle w:val="NormalWeb"/>
              <w:jc w:val="center"/>
              <w:rPr>
                <w:sz w:val="18"/>
                <w:szCs w:val="18"/>
              </w:rPr>
            </w:pPr>
            <w:r w:rsidRPr="00CF4B3B">
              <w:rPr>
                <w:sz w:val="18"/>
                <w:szCs w:val="18"/>
              </w:rPr>
              <w:t>8.6</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8.8</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12.5</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43.5</w:t>
            </w:r>
          </w:p>
        </w:tc>
        <w:tc>
          <w:tcPr>
            <w:tcW w:w="1283" w:type="dxa"/>
            <w:hideMark/>
          </w:tcPr>
          <w:p w:rsidR="00442AAD" w:rsidRPr="00CF4B3B" w:rsidRDefault="00442AAD" w:rsidP="00A60D9A">
            <w:pPr>
              <w:pStyle w:val="NormalWeb"/>
              <w:jc w:val="center"/>
              <w:rPr>
                <w:sz w:val="18"/>
                <w:szCs w:val="18"/>
              </w:rPr>
            </w:pPr>
            <w:r w:rsidRPr="00CF4B3B">
              <w:rPr>
                <w:sz w:val="18"/>
                <w:szCs w:val="18"/>
              </w:rPr>
              <w:t>2.2</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44</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Use of antivirals for prophylaxis</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13.6</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13.5</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26.5</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17.4</w:t>
            </w:r>
          </w:p>
        </w:tc>
        <w:tc>
          <w:tcPr>
            <w:tcW w:w="1283" w:type="dxa"/>
            <w:hideMark/>
          </w:tcPr>
          <w:p w:rsidR="00442AAD" w:rsidRPr="00CF4B3B" w:rsidRDefault="00442AAD" w:rsidP="00A60D9A">
            <w:pPr>
              <w:pStyle w:val="NormalWeb"/>
              <w:jc w:val="center"/>
              <w:rPr>
                <w:sz w:val="18"/>
                <w:szCs w:val="18"/>
              </w:rPr>
            </w:pPr>
            <w:r w:rsidRPr="00CF4B3B">
              <w:rPr>
                <w:sz w:val="18"/>
                <w:szCs w:val="18"/>
              </w:rPr>
              <w:t>3.3</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17</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Use of antivirals for treatment</w:t>
            </w:r>
          </w:p>
        </w:tc>
        <w:tc>
          <w:tcPr>
            <w:tcW w:w="1282" w:type="dxa"/>
            <w:hideMark/>
          </w:tcPr>
          <w:p w:rsidR="00442AAD" w:rsidRPr="00CF4B3B" w:rsidRDefault="00442AAD" w:rsidP="00A60D9A">
            <w:pPr>
              <w:pStyle w:val="NormalWeb"/>
              <w:jc w:val="center"/>
              <w:rPr>
                <w:sz w:val="18"/>
                <w:szCs w:val="18"/>
              </w:rPr>
            </w:pPr>
            <w:r w:rsidRPr="00CF4B3B">
              <w:rPr>
                <w:sz w:val="18"/>
                <w:szCs w:val="18"/>
              </w:rPr>
              <w:t>7.6</w:t>
            </w:r>
          </w:p>
        </w:tc>
        <w:tc>
          <w:tcPr>
            <w:tcW w:w="1283" w:type="dxa"/>
            <w:hideMark/>
          </w:tcPr>
          <w:p w:rsidR="00442AAD" w:rsidRPr="00CF4B3B" w:rsidRDefault="00442AAD" w:rsidP="00A60D9A">
            <w:pPr>
              <w:pStyle w:val="NormalWeb"/>
              <w:jc w:val="center"/>
              <w:rPr>
                <w:sz w:val="18"/>
                <w:szCs w:val="18"/>
              </w:rPr>
            </w:pPr>
            <w:r w:rsidRPr="00CF4B3B">
              <w:rPr>
                <w:sz w:val="18"/>
                <w:szCs w:val="18"/>
              </w:rPr>
              <w:t>2.7</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19.1</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13.0</w:t>
            </w:r>
          </w:p>
        </w:tc>
        <w:tc>
          <w:tcPr>
            <w:tcW w:w="1283" w:type="dxa"/>
            <w:hideMark/>
          </w:tcPr>
          <w:p w:rsidR="00442AAD" w:rsidRPr="00CF4B3B" w:rsidRDefault="00442AAD" w:rsidP="00A60D9A">
            <w:pPr>
              <w:pStyle w:val="NormalWeb"/>
              <w:jc w:val="center"/>
              <w:rPr>
                <w:sz w:val="18"/>
                <w:szCs w:val="18"/>
              </w:rPr>
            </w:pPr>
            <w:r w:rsidRPr="00CF4B3B">
              <w:rPr>
                <w:sz w:val="18"/>
                <w:szCs w:val="18"/>
              </w:rPr>
              <w:t>1.1</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19</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Antiviral prophylaxis commenced date</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22.3</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10.7</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20.0</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12.5</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14.3</w:t>
            </w:r>
          </w:p>
        </w:tc>
        <w:tc>
          <w:tcPr>
            <w:tcW w:w="1283" w:type="dxa"/>
            <w:hideMark/>
          </w:tcPr>
          <w:p w:rsidR="00442AAD" w:rsidRPr="00CF4B3B" w:rsidRDefault="00442AAD" w:rsidP="00A60D9A">
            <w:pPr>
              <w:pStyle w:val="NormalWeb"/>
              <w:jc w:val="center"/>
              <w:rPr>
                <w:sz w:val="18"/>
                <w:szCs w:val="18"/>
              </w:rPr>
            </w:pPr>
            <w:r w:rsidRPr="00CF4B3B">
              <w:rPr>
                <w:sz w:val="18"/>
                <w:szCs w:val="18"/>
              </w:rPr>
              <w:t>3.9</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5</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Antiviral treatment commenced date</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15.2</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22.9</w:t>
            </w:r>
          </w:p>
        </w:tc>
        <w:tc>
          <w:tcPr>
            <w:tcW w:w="1282" w:type="dxa"/>
            <w:hideMark/>
          </w:tcPr>
          <w:p w:rsidR="00442AAD" w:rsidRPr="00CF4B3B" w:rsidRDefault="00442AAD" w:rsidP="00A60D9A">
            <w:pPr>
              <w:pStyle w:val="NormalWeb"/>
              <w:jc w:val="center"/>
              <w:rPr>
                <w:sz w:val="18"/>
                <w:szCs w:val="18"/>
              </w:rPr>
            </w:pPr>
            <w:r w:rsidRPr="00CF4B3B">
              <w:rPr>
                <w:sz w:val="18"/>
                <w:szCs w:val="18"/>
              </w:rPr>
              <w:t>9.4</w:t>
            </w:r>
          </w:p>
        </w:tc>
        <w:tc>
          <w:tcPr>
            <w:tcW w:w="1283" w:type="dxa"/>
            <w:hideMark/>
          </w:tcPr>
          <w:p w:rsidR="00442AAD" w:rsidRPr="00CF4B3B" w:rsidRDefault="00442AAD" w:rsidP="00A60D9A">
            <w:pPr>
              <w:pStyle w:val="NormalWeb"/>
              <w:jc w:val="center"/>
              <w:rPr>
                <w:sz w:val="18"/>
                <w:szCs w:val="18"/>
              </w:rPr>
            </w:pPr>
            <w:r w:rsidRPr="00CF4B3B">
              <w:rPr>
                <w:sz w:val="18"/>
                <w:szCs w:val="18"/>
              </w:rPr>
              <w:t>4.6</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1.6</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23</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Number resident cases given antiviral / antimicrobial prophylaxis</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14.8</w:t>
            </w:r>
          </w:p>
        </w:tc>
        <w:tc>
          <w:tcPr>
            <w:tcW w:w="1283" w:type="dxa"/>
            <w:hideMark/>
          </w:tcPr>
          <w:p w:rsidR="00442AAD" w:rsidRPr="00CF4B3B" w:rsidRDefault="00442AAD" w:rsidP="00A60D9A">
            <w:pPr>
              <w:pStyle w:val="NormalWeb"/>
              <w:jc w:val="center"/>
              <w:rPr>
                <w:sz w:val="18"/>
                <w:szCs w:val="18"/>
              </w:rPr>
            </w:pPr>
            <w:r w:rsidRPr="00CF4B3B">
              <w:rPr>
                <w:sz w:val="18"/>
                <w:szCs w:val="18"/>
              </w:rPr>
              <w:t>7.1</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33.3</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14.3</w:t>
            </w:r>
          </w:p>
        </w:tc>
        <w:tc>
          <w:tcPr>
            <w:tcW w:w="1283" w:type="dxa"/>
            <w:hideMark/>
          </w:tcPr>
          <w:p w:rsidR="00442AAD" w:rsidRPr="00CF4B3B" w:rsidRDefault="00442AAD" w:rsidP="00A60D9A">
            <w:pPr>
              <w:pStyle w:val="NormalWeb"/>
              <w:jc w:val="center"/>
              <w:rPr>
                <w:sz w:val="18"/>
                <w:szCs w:val="18"/>
              </w:rPr>
            </w:pPr>
            <w:r w:rsidRPr="00CF4B3B">
              <w:rPr>
                <w:sz w:val="18"/>
                <w:szCs w:val="18"/>
              </w:rPr>
              <w:t>3.9</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33</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Outbreak duration</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13.9</w:t>
            </w:r>
          </w:p>
        </w:tc>
        <w:tc>
          <w:tcPr>
            <w:tcW w:w="1283" w:type="dxa"/>
            <w:hideMark/>
          </w:tcPr>
          <w:p w:rsidR="00442AAD" w:rsidRPr="00CF4B3B" w:rsidRDefault="00442AAD" w:rsidP="00A60D9A">
            <w:pPr>
              <w:pStyle w:val="NormalWeb"/>
              <w:jc w:val="center"/>
              <w:rPr>
                <w:sz w:val="18"/>
                <w:szCs w:val="18"/>
              </w:rPr>
            </w:pPr>
            <w:r w:rsidRPr="00CF4B3B">
              <w:rPr>
                <w:sz w:val="18"/>
                <w:szCs w:val="18"/>
              </w:rPr>
              <w:t>5.4</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13.2</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16.7</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43.5</w:t>
            </w:r>
          </w:p>
        </w:tc>
        <w:tc>
          <w:tcPr>
            <w:tcW w:w="1283" w:type="dxa"/>
            <w:hideMark/>
          </w:tcPr>
          <w:p w:rsidR="00442AAD" w:rsidRPr="00CF4B3B" w:rsidRDefault="00442AAD" w:rsidP="00A60D9A">
            <w:pPr>
              <w:pStyle w:val="NormalWeb"/>
              <w:jc w:val="center"/>
              <w:rPr>
                <w:sz w:val="18"/>
                <w:szCs w:val="18"/>
              </w:rPr>
            </w:pPr>
            <w:r w:rsidRPr="00CF4B3B">
              <w:rPr>
                <w:sz w:val="18"/>
                <w:szCs w:val="18"/>
              </w:rPr>
              <w:t>4.4</w:t>
            </w:r>
          </w:p>
        </w:tc>
        <w:tc>
          <w:tcPr>
            <w:tcW w:w="1282" w:type="dxa"/>
            <w:hideMark/>
          </w:tcPr>
          <w:p w:rsidR="00442AAD" w:rsidRPr="00CF4B3B" w:rsidRDefault="00442AAD" w:rsidP="00A60D9A">
            <w:pPr>
              <w:pStyle w:val="NormalWeb"/>
              <w:jc w:val="center"/>
              <w:rPr>
                <w:sz w:val="18"/>
                <w:szCs w:val="18"/>
              </w:rPr>
            </w:pPr>
            <w:r w:rsidRPr="00CF4B3B">
              <w:rPr>
                <w:sz w:val="18"/>
                <w:szCs w:val="18"/>
              </w:rPr>
              <w:t>7.7</w:t>
            </w:r>
          </w:p>
        </w:tc>
        <w:tc>
          <w:tcPr>
            <w:tcW w:w="1283" w:type="dxa"/>
            <w:hideMark/>
          </w:tcPr>
          <w:p w:rsidR="00442AAD" w:rsidRPr="00CF4B3B" w:rsidRDefault="00442AAD" w:rsidP="00A60D9A">
            <w:pPr>
              <w:pStyle w:val="NormalWeb"/>
              <w:jc w:val="center"/>
              <w:rPr>
                <w:sz w:val="18"/>
                <w:szCs w:val="18"/>
              </w:rPr>
            </w:pPr>
            <w:r w:rsidRPr="00CF4B3B">
              <w:rPr>
                <w:sz w:val="18"/>
                <w:szCs w:val="18"/>
              </w:rPr>
              <w:t>10</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lastRenderedPageBreak/>
              <w:t>Attack rate</w:t>
            </w:r>
          </w:p>
        </w:tc>
        <w:tc>
          <w:tcPr>
            <w:tcW w:w="1282" w:type="dxa"/>
            <w:hideMark/>
          </w:tcPr>
          <w:p w:rsidR="00442AAD" w:rsidRPr="00CF4B3B" w:rsidRDefault="00442AAD" w:rsidP="00A60D9A">
            <w:pPr>
              <w:pStyle w:val="NormalWeb"/>
              <w:jc w:val="center"/>
              <w:rPr>
                <w:sz w:val="18"/>
                <w:szCs w:val="18"/>
              </w:rPr>
            </w:pPr>
            <w:r w:rsidRPr="00CF4B3B">
              <w:rPr>
                <w:sz w:val="18"/>
                <w:szCs w:val="18"/>
              </w:rPr>
              <w:t>2.4</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13.0</w:t>
            </w:r>
          </w:p>
        </w:tc>
        <w:tc>
          <w:tcPr>
            <w:tcW w:w="1283" w:type="dxa"/>
            <w:hideMark/>
          </w:tcPr>
          <w:p w:rsidR="00442AAD" w:rsidRPr="00CF4B3B" w:rsidRDefault="00442AAD" w:rsidP="00A60D9A">
            <w:pPr>
              <w:pStyle w:val="NormalWeb"/>
              <w:jc w:val="center"/>
              <w:rPr>
                <w:sz w:val="18"/>
                <w:szCs w:val="18"/>
              </w:rPr>
            </w:pPr>
            <w:r w:rsidRPr="00CF4B3B">
              <w:rPr>
                <w:sz w:val="18"/>
                <w:szCs w:val="18"/>
              </w:rPr>
              <w:t>1.1</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13</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Hospitalisation rate</w:t>
            </w:r>
          </w:p>
        </w:tc>
        <w:tc>
          <w:tcPr>
            <w:tcW w:w="1282" w:type="dxa"/>
            <w:hideMark/>
          </w:tcPr>
          <w:p w:rsidR="00442AAD" w:rsidRPr="00CF4B3B" w:rsidRDefault="00442AAD" w:rsidP="00A60D9A">
            <w:pPr>
              <w:pStyle w:val="NormalWeb"/>
              <w:jc w:val="center"/>
              <w:rPr>
                <w:sz w:val="18"/>
                <w:szCs w:val="18"/>
              </w:rPr>
            </w:pPr>
            <w:r w:rsidRPr="00CF4B3B">
              <w:rPr>
                <w:sz w:val="18"/>
                <w:szCs w:val="18"/>
              </w:rPr>
              <w:t>8.9</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10.8</w:t>
            </w:r>
          </w:p>
        </w:tc>
        <w:tc>
          <w:tcPr>
            <w:tcW w:w="1282" w:type="dxa"/>
            <w:hideMark/>
          </w:tcPr>
          <w:p w:rsidR="00442AAD" w:rsidRPr="00CF4B3B" w:rsidRDefault="00442AAD" w:rsidP="00A60D9A">
            <w:pPr>
              <w:pStyle w:val="NormalWeb"/>
              <w:jc w:val="center"/>
              <w:rPr>
                <w:sz w:val="18"/>
                <w:szCs w:val="18"/>
              </w:rPr>
            </w:pPr>
            <w:r w:rsidRPr="00CF4B3B">
              <w:rPr>
                <w:sz w:val="18"/>
                <w:szCs w:val="18"/>
              </w:rPr>
              <w:t>8.8</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13.0</w:t>
            </w:r>
          </w:p>
        </w:tc>
        <w:tc>
          <w:tcPr>
            <w:tcW w:w="1283" w:type="dxa"/>
            <w:hideMark/>
          </w:tcPr>
          <w:p w:rsidR="00442AAD" w:rsidRPr="00CF4B3B" w:rsidRDefault="00442AAD" w:rsidP="00A60D9A">
            <w:pPr>
              <w:pStyle w:val="NormalWeb"/>
              <w:jc w:val="center"/>
              <w:rPr>
                <w:sz w:val="18"/>
                <w:szCs w:val="18"/>
              </w:rPr>
            </w:pPr>
            <w:r w:rsidRPr="00CF4B3B">
              <w:rPr>
                <w:sz w:val="18"/>
                <w:szCs w:val="18"/>
              </w:rPr>
              <w:t>2.2</w:t>
            </w:r>
          </w:p>
        </w:tc>
        <w:tc>
          <w:tcPr>
            <w:tcW w:w="1282" w:type="dxa"/>
            <w:hideMark/>
          </w:tcPr>
          <w:p w:rsidR="00442AAD" w:rsidRPr="00CF4B3B" w:rsidRDefault="00442AAD" w:rsidP="00A60D9A">
            <w:pPr>
              <w:pStyle w:val="NormalWeb"/>
              <w:jc w:val="center"/>
              <w:rPr>
                <w:sz w:val="18"/>
                <w:szCs w:val="18"/>
              </w:rPr>
            </w:pPr>
            <w:r w:rsidRPr="00CF4B3B">
              <w:rPr>
                <w:sz w:val="18"/>
                <w:szCs w:val="18"/>
              </w:rPr>
              <w:t>3.9</w:t>
            </w:r>
          </w:p>
        </w:tc>
        <w:tc>
          <w:tcPr>
            <w:tcW w:w="1283" w:type="dxa"/>
            <w:hideMark/>
          </w:tcPr>
          <w:p w:rsidR="00442AAD" w:rsidRPr="00CF4B3B" w:rsidRDefault="00442AAD" w:rsidP="00A60D9A">
            <w:pPr>
              <w:pStyle w:val="NormalWeb"/>
              <w:jc w:val="center"/>
              <w:rPr>
                <w:sz w:val="18"/>
                <w:szCs w:val="18"/>
              </w:rPr>
            </w:pPr>
            <w:r w:rsidRPr="00CF4B3B">
              <w:rPr>
                <w:sz w:val="18"/>
                <w:szCs w:val="18"/>
              </w:rPr>
              <w:t>13</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Case fatality rate</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12.6</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16.2</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25.0</w:t>
            </w:r>
          </w:p>
        </w:tc>
        <w:tc>
          <w:tcPr>
            <w:tcW w:w="1283" w:type="dxa"/>
            <w:hideMark/>
          </w:tcPr>
          <w:p w:rsidR="00442AAD" w:rsidRPr="00CF4B3B" w:rsidRDefault="00442AAD" w:rsidP="00A60D9A">
            <w:pPr>
              <w:pStyle w:val="NormalWeb"/>
              <w:jc w:val="center"/>
              <w:rPr>
                <w:sz w:val="18"/>
                <w:szCs w:val="18"/>
              </w:rPr>
            </w:pPr>
            <w:r w:rsidRPr="00CF4B3B">
              <w:rPr>
                <w:sz w:val="18"/>
                <w:szCs w:val="18"/>
              </w:rPr>
              <w:t>8.3</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17.4</w:t>
            </w:r>
          </w:p>
        </w:tc>
        <w:tc>
          <w:tcPr>
            <w:tcW w:w="1283" w:type="dxa"/>
            <w:hideMark/>
          </w:tcPr>
          <w:p w:rsidR="00442AAD" w:rsidRPr="00CF4B3B" w:rsidRDefault="00442AAD" w:rsidP="00A60D9A">
            <w:pPr>
              <w:pStyle w:val="NormalWeb"/>
              <w:jc w:val="center"/>
              <w:rPr>
                <w:sz w:val="18"/>
                <w:szCs w:val="18"/>
              </w:rPr>
            </w:pPr>
            <w:r w:rsidRPr="00CF4B3B">
              <w:rPr>
                <w:sz w:val="18"/>
                <w:szCs w:val="18"/>
              </w:rPr>
              <w:t>2.2</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17</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Timeliness of notification</w:t>
            </w:r>
          </w:p>
        </w:tc>
        <w:tc>
          <w:tcPr>
            <w:tcW w:w="1282" w:type="dxa"/>
            <w:hideMark/>
          </w:tcPr>
          <w:p w:rsidR="00442AAD" w:rsidRPr="00CF4B3B" w:rsidRDefault="00442AAD" w:rsidP="00A60D9A">
            <w:pPr>
              <w:pStyle w:val="NormalWeb"/>
              <w:jc w:val="center"/>
              <w:rPr>
                <w:sz w:val="18"/>
                <w:szCs w:val="18"/>
              </w:rPr>
            </w:pPr>
            <w:r w:rsidRPr="00CF4B3B">
              <w:rPr>
                <w:sz w:val="18"/>
                <w:szCs w:val="18"/>
              </w:rPr>
              <w:t>2.8</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1.5</w:t>
            </w:r>
          </w:p>
        </w:tc>
        <w:tc>
          <w:tcPr>
            <w:tcW w:w="1283" w:type="dxa"/>
            <w:hideMark/>
          </w:tcPr>
          <w:p w:rsidR="00442AAD" w:rsidRPr="00CF4B3B" w:rsidRDefault="00442AAD" w:rsidP="00A60D9A">
            <w:pPr>
              <w:pStyle w:val="NormalWeb"/>
              <w:jc w:val="center"/>
              <w:rPr>
                <w:sz w:val="18"/>
                <w:szCs w:val="18"/>
              </w:rPr>
            </w:pPr>
            <w:r w:rsidRPr="00CF4B3B">
              <w:rPr>
                <w:sz w:val="18"/>
                <w:szCs w:val="18"/>
              </w:rPr>
              <w:t>0</w:t>
            </w:r>
          </w:p>
        </w:tc>
        <w:tc>
          <w:tcPr>
            <w:tcW w:w="1282" w:type="dxa"/>
            <w:hideMark/>
          </w:tcPr>
          <w:p w:rsidR="00442AAD" w:rsidRPr="00CF4B3B" w:rsidRDefault="00442AAD" w:rsidP="00A60D9A">
            <w:pPr>
              <w:pStyle w:val="NormalWeb"/>
              <w:jc w:val="center"/>
              <w:rPr>
                <w:sz w:val="18"/>
                <w:szCs w:val="18"/>
              </w:rPr>
            </w:pPr>
            <w:r w:rsidRPr="00CF4B3B">
              <w:rPr>
                <w:sz w:val="18"/>
                <w:szCs w:val="18"/>
              </w:rPr>
              <w:t>8.7</w:t>
            </w:r>
          </w:p>
        </w:tc>
        <w:tc>
          <w:tcPr>
            <w:tcW w:w="1283" w:type="dxa"/>
            <w:hideMark/>
          </w:tcPr>
          <w:p w:rsidR="00442AAD" w:rsidRPr="00CF4B3B" w:rsidRDefault="00442AAD" w:rsidP="00A60D9A">
            <w:pPr>
              <w:pStyle w:val="NormalWeb"/>
              <w:jc w:val="center"/>
              <w:rPr>
                <w:sz w:val="18"/>
                <w:szCs w:val="18"/>
              </w:rPr>
            </w:pPr>
            <w:r w:rsidRPr="00CF4B3B">
              <w:rPr>
                <w:sz w:val="18"/>
                <w:szCs w:val="18"/>
              </w:rPr>
              <w:t>1.1</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9</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Resident vaccination coverage</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13.2</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10.8</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19.1</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12.5</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26.1</w:t>
            </w:r>
          </w:p>
        </w:tc>
        <w:tc>
          <w:tcPr>
            <w:tcW w:w="1283" w:type="dxa"/>
            <w:hideMark/>
          </w:tcPr>
          <w:p w:rsidR="00442AAD" w:rsidRPr="00CF4B3B" w:rsidRDefault="00442AAD" w:rsidP="00A60D9A">
            <w:pPr>
              <w:pStyle w:val="NormalWeb"/>
              <w:jc w:val="center"/>
              <w:rPr>
                <w:sz w:val="18"/>
                <w:szCs w:val="18"/>
              </w:rPr>
            </w:pPr>
            <w:r w:rsidRPr="00CF4B3B">
              <w:rPr>
                <w:sz w:val="18"/>
                <w:szCs w:val="18"/>
              </w:rPr>
              <w:t>3.3</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8</w:t>
            </w:r>
          </w:p>
        </w:tc>
      </w:tr>
      <w:tr w:rsidR="005D52C8" w:rsidRPr="00CF4B3B" w:rsidTr="00B42F26">
        <w:trPr>
          <w:cnfStyle w:val="000000010000" w:firstRow="0" w:lastRow="0" w:firstColumn="0" w:lastColumn="0" w:oddVBand="0" w:evenVBand="0" w:oddHBand="0" w:evenHBand="1" w:firstRowFirstColumn="0" w:firstRowLastColumn="0" w:lastRowFirstColumn="0" w:lastRowLastColumn="0"/>
        </w:trPr>
        <w:tc>
          <w:tcPr>
            <w:tcW w:w="4680" w:type="dxa"/>
            <w:hideMark/>
          </w:tcPr>
          <w:p w:rsidR="00442AAD" w:rsidRPr="00CF4B3B" w:rsidRDefault="00442AAD">
            <w:pPr>
              <w:pStyle w:val="NormalWeb"/>
              <w:rPr>
                <w:sz w:val="18"/>
                <w:szCs w:val="18"/>
              </w:rPr>
            </w:pPr>
            <w:r w:rsidRPr="00CF4B3B">
              <w:rPr>
                <w:sz w:val="18"/>
                <w:szCs w:val="18"/>
              </w:rPr>
              <w:t>AV prophylaxis timeliness (days)</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22.3</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10.7</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22.2</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12.5</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14.3</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23.1</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2</w:t>
            </w:r>
          </w:p>
        </w:tc>
      </w:tr>
      <w:tr w:rsidR="005D52C8" w:rsidRPr="00CF4B3B" w:rsidTr="00B42F26">
        <w:tc>
          <w:tcPr>
            <w:tcW w:w="4680" w:type="dxa"/>
            <w:hideMark/>
          </w:tcPr>
          <w:p w:rsidR="00442AAD" w:rsidRPr="00CF4B3B" w:rsidRDefault="00442AAD">
            <w:pPr>
              <w:pStyle w:val="NormalWeb"/>
              <w:rPr>
                <w:sz w:val="18"/>
                <w:szCs w:val="18"/>
              </w:rPr>
            </w:pPr>
            <w:r w:rsidRPr="00CF4B3B">
              <w:rPr>
                <w:sz w:val="18"/>
                <w:szCs w:val="18"/>
              </w:rPr>
              <w:t>AV treatment timeliness (days)</w:t>
            </w:r>
          </w:p>
        </w:tc>
        <w:tc>
          <w:tcPr>
            <w:tcW w:w="1282" w:type="dxa"/>
            <w:hideMark/>
          </w:tcPr>
          <w:p w:rsidR="00442AAD" w:rsidRPr="00665390" w:rsidRDefault="00442AAD" w:rsidP="00A60D9A">
            <w:pPr>
              <w:pStyle w:val="NormalWeb"/>
              <w:jc w:val="center"/>
              <w:rPr>
                <w:sz w:val="18"/>
                <w:szCs w:val="18"/>
                <w:u w:val="single"/>
              </w:rPr>
            </w:pPr>
            <w:r w:rsidRPr="00665390">
              <w:rPr>
                <w:sz w:val="18"/>
                <w:szCs w:val="18"/>
                <w:u w:val="single"/>
              </w:rPr>
              <w:t>15.2</w:t>
            </w:r>
          </w:p>
        </w:tc>
        <w:tc>
          <w:tcPr>
            <w:tcW w:w="1283" w:type="dxa"/>
            <w:hideMark/>
          </w:tcPr>
          <w:p w:rsidR="00442AAD" w:rsidRPr="00665390" w:rsidRDefault="00442AAD" w:rsidP="00A60D9A">
            <w:pPr>
              <w:pStyle w:val="NormalWeb"/>
              <w:jc w:val="center"/>
              <w:rPr>
                <w:sz w:val="18"/>
                <w:szCs w:val="18"/>
                <w:u w:val="single"/>
              </w:rPr>
            </w:pPr>
            <w:r w:rsidRPr="00665390">
              <w:rPr>
                <w:sz w:val="18"/>
                <w:szCs w:val="18"/>
                <w:u w:val="single"/>
              </w:rPr>
              <w:t>22.9</w:t>
            </w:r>
          </w:p>
        </w:tc>
        <w:tc>
          <w:tcPr>
            <w:tcW w:w="1282" w:type="dxa"/>
            <w:hideMark/>
          </w:tcPr>
          <w:p w:rsidR="00442AAD" w:rsidRPr="00CF4B3B" w:rsidRDefault="00442AAD" w:rsidP="00A60D9A">
            <w:pPr>
              <w:pStyle w:val="NormalWeb"/>
              <w:jc w:val="center"/>
              <w:rPr>
                <w:sz w:val="18"/>
                <w:szCs w:val="18"/>
              </w:rPr>
            </w:pPr>
            <w:r w:rsidRPr="00CF4B3B">
              <w:rPr>
                <w:sz w:val="18"/>
                <w:szCs w:val="18"/>
              </w:rPr>
              <w:t>9.4</w:t>
            </w:r>
          </w:p>
        </w:tc>
        <w:tc>
          <w:tcPr>
            <w:tcW w:w="1283" w:type="dxa"/>
            <w:hideMark/>
          </w:tcPr>
          <w:p w:rsidR="00442AAD" w:rsidRPr="00CF4B3B" w:rsidRDefault="00442AAD" w:rsidP="00A60D9A">
            <w:pPr>
              <w:pStyle w:val="NormalWeb"/>
              <w:jc w:val="center"/>
              <w:rPr>
                <w:sz w:val="18"/>
                <w:szCs w:val="18"/>
              </w:rPr>
            </w:pPr>
            <w:r w:rsidRPr="00CF4B3B">
              <w:rPr>
                <w:sz w:val="18"/>
                <w:szCs w:val="18"/>
              </w:rPr>
              <w:t>4.6</w:t>
            </w:r>
          </w:p>
        </w:tc>
        <w:tc>
          <w:tcPr>
            <w:tcW w:w="1282" w:type="dxa"/>
            <w:hideMark/>
          </w:tcPr>
          <w:p w:rsidR="00442AAD" w:rsidRPr="00CF4B3B" w:rsidRDefault="00442AAD" w:rsidP="00A60D9A">
            <w:pPr>
              <w:pStyle w:val="NormalWeb"/>
              <w:jc w:val="center"/>
              <w:rPr>
                <w:sz w:val="18"/>
                <w:szCs w:val="18"/>
              </w:rPr>
            </w:pPr>
            <w:r w:rsidRPr="00CF4B3B">
              <w:rPr>
                <w:sz w:val="18"/>
                <w:szCs w:val="18"/>
              </w:rPr>
              <w:t>0</w:t>
            </w:r>
          </w:p>
        </w:tc>
        <w:tc>
          <w:tcPr>
            <w:tcW w:w="1283" w:type="dxa"/>
            <w:hideMark/>
          </w:tcPr>
          <w:p w:rsidR="00442AAD" w:rsidRPr="00CF4B3B" w:rsidRDefault="00442AAD" w:rsidP="00A60D9A">
            <w:pPr>
              <w:pStyle w:val="NormalWeb"/>
              <w:jc w:val="center"/>
              <w:rPr>
                <w:sz w:val="18"/>
                <w:szCs w:val="18"/>
              </w:rPr>
            </w:pPr>
            <w:r w:rsidRPr="00CF4B3B">
              <w:rPr>
                <w:sz w:val="18"/>
                <w:szCs w:val="18"/>
              </w:rPr>
              <w:t>1.6</w:t>
            </w:r>
          </w:p>
        </w:tc>
        <w:tc>
          <w:tcPr>
            <w:tcW w:w="1282" w:type="dxa"/>
            <w:hideMark/>
          </w:tcPr>
          <w:p w:rsidR="00442AAD" w:rsidRPr="00CF4B3B" w:rsidRDefault="00442AAD" w:rsidP="00A60D9A">
            <w:pPr>
              <w:jc w:val="center"/>
              <w:rPr>
                <w:sz w:val="18"/>
                <w:szCs w:val="18"/>
              </w:rPr>
            </w:pPr>
          </w:p>
        </w:tc>
        <w:tc>
          <w:tcPr>
            <w:tcW w:w="1283" w:type="dxa"/>
            <w:hideMark/>
          </w:tcPr>
          <w:p w:rsidR="00442AAD" w:rsidRPr="00CF4B3B" w:rsidRDefault="00442AAD" w:rsidP="00A60D9A">
            <w:pPr>
              <w:pStyle w:val="NormalWeb"/>
              <w:jc w:val="center"/>
              <w:rPr>
                <w:sz w:val="18"/>
                <w:szCs w:val="18"/>
              </w:rPr>
            </w:pPr>
            <w:r w:rsidRPr="00CF4B3B">
              <w:rPr>
                <w:sz w:val="18"/>
                <w:szCs w:val="18"/>
              </w:rPr>
              <w:t>23</w:t>
            </w:r>
          </w:p>
        </w:tc>
      </w:tr>
    </w:tbl>
    <w:p w:rsidR="00442AAD" w:rsidRDefault="00442AAD" w:rsidP="00A60D9A">
      <w:pPr>
        <w:pStyle w:val="CDIfootnotes"/>
      </w:pPr>
      <w:proofErr w:type="gramStart"/>
      <w:r>
        <w:t>a</w:t>
      </w:r>
      <w:proofErr w:type="gramEnd"/>
      <w:r>
        <w:tab/>
        <w:t>Local Health District.</w:t>
      </w:r>
    </w:p>
    <w:p w:rsidR="00442AAD" w:rsidRDefault="00442AAD" w:rsidP="00A60D9A">
      <w:pPr>
        <w:pStyle w:val="CDIfootnotes"/>
      </w:pPr>
      <w:proofErr w:type="gramStart"/>
      <w:r>
        <w:t>b</w:t>
      </w:r>
      <w:proofErr w:type="gramEnd"/>
      <w:r>
        <w:tab/>
        <w:t xml:space="preserve">Fields with missing data in over 10% of outbreaks are </w:t>
      </w:r>
      <w:r w:rsidR="00665390">
        <w:t>underlined</w:t>
      </w:r>
      <w:r>
        <w:t>.</w:t>
      </w:r>
    </w:p>
    <w:p w:rsidR="005D52C8" w:rsidRDefault="00442AAD" w:rsidP="00A60D9A">
      <w:pPr>
        <w:pStyle w:val="CDIfootnotes"/>
        <w:sectPr w:rsidR="005D52C8" w:rsidSect="005D52C8">
          <w:pgSz w:w="16838" w:h="11906" w:orient="landscape"/>
          <w:pgMar w:top="720" w:right="720" w:bottom="720" w:left="1134" w:header="709" w:footer="284" w:gutter="0"/>
          <w:cols w:space="708"/>
          <w:titlePg/>
          <w:docGrid w:linePitch="360"/>
        </w:sectPr>
      </w:pPr>
      <w:proofErr w:type="gramStart"/>
      <w:r>
        <w:t>c</w:t>
      </w:r>
      <w:proofErr w:type="gramEnd"/>
      <w:r>
        <w:tab/>
        <w:t>Ratio of highest to lowest percentage of missing data amongst subgroup LHDs. Zero values were replaced with a value of one for index calculation.</w:t>
      </w:r>
    </w:p>
    <w:p w:rsidR="00442AAD" w:rsidRPr="00A60D9A" w:rsidRDefault="00442AAD" w:rsidP="00A60D9A">
      <w:pPr>
        <w:pStyle w:val="Heading1"/>
      </w:pPr>
      <w:r w:rsidRPr="00A60D9A">
        <w:lastRenderedPageBreak/>
        <w:t xml:space="preserve">Discussion </w:t>
      </w:r>
    </w:p>
    <w:p w:rsidR="00442AAD" w:rsidRDefault="00442AAD" w:rsidP="00A60D9A">
      <w:r>
        <w:t xml:space="preserve">Ongoing assessment of the year-to-year incidence and severity of influenza outbreaks in ACFs provides important information on the rationale and effectiveness of key health interventions, including resident and staff immunisation programs, infection control measures, clinical treatment of cases and antiviral prophylaxis. To fully understand the epidemiology, these data need to be collected and analysed by treating each institutional outbreak as a cohort. </w:t>
      </w:r>
    </w:p>
    <w:p w:rsidR="00442AAD" w:rsidRDefault="00442AAD" w:rsidP="00A60D9A">
      <w:r>
        <w:t>The record number of ACF outbreaks in NSW in 2017 had a major impact on the NSW ACF resident population</w:t>
      </w:r>
      <w:r w:rsidR="00477241">
        <w:t>.</w:t>
      </w:r>
      <w:r>
        <w:t xml:space="preserve"> In total there were 7,613 residents notified with ILI, 793 hospitalisations and 338 deaths recorded. Based on reported ACF bed numbers of 68,967 in the state, an estimated 11% of residents developed ILI as part of a notified outbreak in 2017.</w:t>
      </w:r>
      <w:r>
        <w:rPr>
          <w:vertAlign w:val="superscript"/>
        </w:rPr>
        <w:t>18</w:t>
      </w:r>
      <w:r>
        <w:t xml:space="preserve"> This impact occurred despite reported resident vaccination coverage of over 90% in most facilities, higher than community coverage of 72.3% for NSW adults over 65 years of age in 2017.</w:t>
      </w:r>
      <w:r>
        <w:rPr>
          <w:vertAlign w:val="superscript"/>
        </w:rPr>
        <w:t>19</w:t>
      </w:r>
      <w:r>
        <w:t xml:space="preserve"> Clearly, vaccination of residents is inadequate, in isolation, to prevent influenza outbreaks in these settings. </w:t>
      </w:r>
    </w:p>
    <w:p w:rsidR="00442AAD" w:rsidRDefault="00442AAD" w:rsidP="00A60D9A">
      <w:r>
        <w:t xml:space="preserve">There was also a major impact on facilities and families, with extra demands on staff during outbreak response and potential restrictions on access for visitors. The collection and reporting of outbreak data by ACFs places additional burdens on facilities during these busy periods, and competing demands likely contribute to poor data quality at times. The 2017 outbreak season also imposed considerable demands on PHU staff responsible for supporting facilities and capturing surveillance data. </w:t>
      </w:r>
    </w:p>
    <w:p w:rsidR="00442AAD" w:rsidRDefault="00442AAD" w:rsidP="00A60D9A">
      <w:r>
        <w:t>The timeliness of outbreak response measures is known to influence the course of an influenza outbreak﻿</w:t>
      </w:r>
      <w:r>
        <w:rPr>
          <w:vertAlign w:val="superscript"/>
        </w:rPr>
        <w:t>14</w:t>
      </w:r>
      <w:r>
        <w:t xml:space="preserve"> and these data identified opportunities for improvement. Reliable data on the timing of many specific response elements were not available; however, we found that time from illness onset in the first case to outbreak notification was more than 7 days for 16% of NSW outbreaks. </w:t>
      </w:r>
    </w:p>
    <w:p w:rsidR="00442AAD" w:rsidRDefault="00442AAD" w:rsidP="00A60D9A">
      <w:r>
        <w:t>Differences between subgroup LHDs were considerable. The distribution of notified outbreaks was not uniform across the state; differences may reflect real variation in influenza activity, or other factors such as levels of testing, completeness of influenza detection and differences in reporting. Reduced access to testing is likely in more rural settings, and while outbreaks are likely to be under-reported overall, it is not clear whether testing access contributed to differences between districts.</w:t>
      </w:r>
      <w:r>
        <w:rPr>
          <w:vertAlign w:val="superscript"/>
        </w:rPr>
        <w:t xml:space="preserve">20 </w:t>
      </w:r>
    </w:p>
    <w:p w:rsidR="00442AAD" w:rsidRDefault="00442AAD" w:rsidP="00A60D9A">
      <w:r>
        <w:t xml:space="preserve">Amongst subgroup LHDs, there was also considerable variation in the use of antivirals for both treatment (used in 39.1% to 94.6% of outbreaks) and prophylaxis (used in 28.9% to 100% of outbreaks). The reasons for different practice were not investigated; but, as the evidence base for prophylactic use of antivirals was incomplete, and guidelines varied substantially between jurisdictions at this </w:t>
      </w:r>
      <w:proofErr w:type="gramStart"/>
      <w:r>
        <w:t>time﻿,</w:t>
      </w:r>
      <w:r>
        <w:rPr>
          <w:vertAlign w:val="superscript"/>
        </w:rPr>
        <w:t>21</w:t>
      </w:r>
      <w:proofErr w:type="gramEnd"/>
      <w:r>
        <w:rPr>
          <w:vertAlign w:val="superscript"/>
        </w:rPr>
        <w:t>-23</w:t>
      </w:r>
      <w:r>
        <w:t xml:space="preserve"> we expect these were important contributing</w:t>
      </w:r>
      <w:r w:rsidR="008D6D87">
        <w:t> </w:t>
      </w:r>
      <w:r>
        <w:t xml:space="preserve">factors. </w:t>
      </w:r>
    </w:p>
    <w:p w:rsidR="00442AAD" w:rsidRDefault="00442AAD" w:rsidP="00A60D9A">
      <w:r>
        <w:t>Substantial variability in data quality between subgroup LHDs was evident for a broad range of variables. As the Australian Commission on Safety and Quality in Health Care notes, variation that appropriately addresses local needs and preferences is useful, but unwanted variation likely indicates an opportunity for health system improvement.</w:t>
      </w:r>
      <w:r>
        <w:rPr>
          <w:vertAlign w:val="superscript"/>
        </w:rPr>
        <w:t>24</w:t>
      </w:r>
      <w:r>
        <w:t xml:space="preserve"> </w:t>
      </w:r>
    </w:p>
    <w:p w:rsidR="00442AAD" w:rsidRDefault="00442AAD" w:rsidP="00A60D9A">
      <w:r>
        <w:t xml:space="preserve">Levels of data completeness for key fields were problematic as demonstrated at our, perhaps arbitrary, cut-offs of 10% and 20%. Key parameters with fewer than 10% of outbreaks missing relevant data included outbreak numbers, onset date, total resident ILI cases and numbers hospitalised. However, important epidemiological and policy-determining variables such as resident and staff vaccination coverage prior to the outbreak, the use and timing of antiviral prophylaxis and the number of influenza-related deaths among residents were incomplete. </w:t>
      </w:r>
    </w:p>
    <w:p w:rsidR="00442AAD" w:rsidRDefault="00442AAD" w:rsidP="00A60D9A">
      <w:r>
        <w:t xml:space="preserve">There were also indications that some recorded data were not accurate. For example, resident vaccination coverage was calculated to be in excess of 100% for 15 outbreaks. Additionally, the criteria used by facilities when reporting deaths were not reviewed, and it is possible that some deaths reported during outbreaks were from unrelated </w:t>
      </w:r>
      <w:r>
        <w:lastRenderedPageBreak/>
        <w:t xml:space="preserve">causes. The primary focus of this analysis was on data completeness and we acknowledge that we did not systematically consider the quality of data as provided to PHUs. </w:t>
      </w:r>
    </w:p>
    <w:p w:rsidR="00442AAD" w:rsidRDefault="00442AAD" w:rsidP="00A60D9A">
      <w:r>
        <w:t xml:space="preserve">Several limitations constrain this analysis. The limited data completeness restricted the set of variables which could be confidently assessed and there was limited capacity to assess the validity of data supplied by ACFs. Furthermore, there was no capacity to assess the thoroughness with which key outbreak response measures were actually implemented by facilities. </w:t>
      </w:r>
    </w:p>
    <w:p w:rsidR="00442AAD" w:rsidRDefault="00442AAD" w:rsidP="00A60D9A">
      <w:r>
        <w:t xml:space="preserve">In response to the data quality issues identified in our analysis, the following options should be considered: </w:t>
      </w:r>
    </w:p>
    <w:p w:rsidR="00442AAD" w:rsidRPr="00A60D9A" w:rsidRDefault="00442AAD" w:rsidP="004305AF">
      <w:pPr>
        <w:pStyle w:val="ListParagraph"/>
        <w:numPr>
          <w:ilvl w:val="0"/>
          <w:numId w:val="13"/>
        </w:numPr>
        <w:rPr>
          <w:rFonts w:eastAsia="Times New Roman"/>
        </w:rPr>
      </w:pPr>
      <w:r w:rsidRPr="00A60D9A">
        <w:rPr>
          <w:rFonts w:eastAsia="Times New Roman"/>
        </w:rPr>
        <w:t xml:space="preserve">Rationalising the 132 data fields collected in NCIMS related to influenza outbreaks; </w:t>
      </w:r>
    </w:p>
    <w:p w:rsidR="00442AAD" w:rsidRPr="00A60D9A" w:rsidRDefault="00442AAD" w:rsidP="004305AF">
      <w:pPr>
        <w:pStyle w:val="ListParagraph"/>
        <w:numPr>
          <w:ilvl w:val="0"/>
          <w:numId w:val="13"/>
        </w:numPr>
        <w:rPr>
          <w:rFonts w:eastAsia="Times New Roman"/>
        </w:rPr>
      </w:pPr>
      <w:r w:rsidRPr="00A60D9A">
        <w:rPr>
          <w:rFonts w:eastAsia="Times New Roman"/>
        </w:rPr>
        <w:t xml:space="preserve">Introducing measures to improve data quality for a number of selected high-value fields including timeliness of outbreak notification, resident and staff vaccination coverage and details of antiviral use; and </w:t>
      </w:r>
    </w:p>
    <w:p w:rsidR="00442AAD" w:rsidRPr="00A60D9A" w:rsidRDefault="00442AAD" w:rsidP="004305AF">
      <w:pPr>
        <w:pStyle w:val="ListParagraph"/>
        <w:numPr>
          <w:ilvl w:val="0"/>
          <w:numId w:val="13"/>
        </w:numPr>
        <w:rPr>
          <w:rFonts w:eastAsia="Times New Roman"/>
        </w:rPr>
      </w:pPr>
      <w:r w:rsidRPr="00A60D9A">
        <w:rPr>
          <w:rFonts w:eastAsia="Times New Roman"/>
        </w:rPr>
        <w:t xml:space="preserve">Using sentinel sites or special studies to address specific surveillance questions (e.g. antiviral impacts). </w:t>
      </w:r>
    </w:p>
    <w:p w:rsidR="00442AAD" w:rsidRDefault="00442AAD" w:rsidP="00A60D9A">
      <w:r>
        <w:t xml:space="preserve">We recommend that these strategies to improve the value of ACF influenza outbreak data be considered by public health agencies. Regular review of the quality of influenza outbreak data should be conducted and included with annual summaries as part of routine influenza surveillance reporting. </w:t>
      </w:r>
    </w:p>
    <w:p w:rsidR="00442AAD" w:rsidRDefault="00442AAD" w:rsidP="00A60D9A">
      <w:r>
        <w:t xml:space="preserve">Finally, all jurisdictions should consider the benefits of implementing cohort-based respiratory outbreak registration. The COVID-19 pandemic has acutely demonstrated the potential impact of respiratory virus outbreaks on aged care residents and has emphasised the need for effective surveillance and outbreak response in this setting. Robust reliable surveillance data in ACFs might have forewarned of the challenges and varying capacity in the industry and better prepared it for the COVID-19 pandemic and future threats. </w:t>
      </w:r>
    </w:p>
    <w:p w:rsidR="004305AF" w:rsidRDefault="004305AF">
      <w:pPr>
        <w:rPr>
          <w:rFonts w:asciiTheme="majorHAnsi" w:eastAsiaTheme="majorEastAsia" w:hAnsiTheme="majorHAnsi" w:cstheme="majorBidi"/>
          <w:b/>
          <w:bCs/>
          <w:sz w:val="32"/>
          <w:szCs w:val="28"/>
        </w:rPr>
      </w:pPr>
      <w:r>
        <w:br w:type="page"/>
      </w:r>
    </w:p>
    <w:p w:rsidR="00442AAD" w:rsidRPr="00A60D9A" w:rsidRDefault="00442AAD" w:rsidP="00A60D9A">
      <w:pPr>
        <w:pStyle w:val="Heading1"/>
      </w:pPr>
      <w:r w:rsidRPr="00A60D9A">
        <w:lastRenderedPageBreak/>
        <w:t xml:space="preserve">Author details </w:t>
      </w:r>
    </w:p>
    <w:p w:rsidR="004305AF" w:rsidRDefault="00442AAD" w:rsidP="00A60D9A">
      <w:pPr>
        <w:rPr>
          <w:vertAlign w:val="superscript"/>
        </w:rPr>
      </w:pPr>
      <w:r>
        <w:t>Dr Tony D Merritt</w:t>
      </w:r>
      <w:r>
        <w:rPr>
          <w:vertAlign w:val="superscript"/>
        </w:rPr>
        <w:t xml:space="preserve">1 </w:t>
      </w:r>
    </w:p>
    <w:p w:rsidR="004305AF" w:rsidRDefault="00442AAD" w:rsidP="00A60D9A">
      <w:pPr>
        <w:rPr>
          <w:vertAlign w:val="superscript"/>
        </w:rPr>
      </w:pPr>
      <w:r>
        <w:t>Dr Craig B Dalton</w:t>
      </w:r>
      <w:r>
        <w:rPr>
          <w:vertAlign w:val="superscript"/>
        </w:rPr>
        <w:t xml:space="preserve">1 </w:t>
      </w:r>
    </w:p>
    <w:p w:rsidR="004305AF" w:rsidRDefault="00442AAD" w:rsidP="00A60D9A">
      <w:pPr>
        <w:rPr>
          <w:vertAlign w:val="superscript"/>
        </w:rPr>
      </w:pPr>
      <w:r>
        <w:t>Dr Sheena R Kakar</w:t>
      </w:r>
      <w:r>
        <w:rPr>
          <w:vertAlign w:val="superscript"/>
        </w:rPr>
        <w:t xml:space="preserve">2 </w:t>
      </w:r>
    </w:p>
    <w:p w:rsidR="004305AF" w:rsidRDefault="00442AAD" w:rsidP="00A60D9A">
      <w:pPr>
        <w:rPr>
          <w:vertAlign w:val="superscript"/>
        </w:rPr>
      </w:pPr>
      <w:r>
        <w:t>Professor Mark J Ferson</w:t>
      </w:r>
      <w:r>
        <w:rPr>
          <w:vertAlign w:val="superscript"/>
        </w:rPr>
        <w:t>3</w:t>
      </w:r>
      <w:proofErr w:type="gramStart"/>
      <w:r>
        <w:rPr>
          <w:vertAlign w:val="superscript"/>
        </w:rPr>
        <w:t>,4</w:t>
      </w:r>
      <w:proofErr w:type="gramEnd"/>
      <w:r>
        <w:rPr>
          <w:vertAlign w:val="superscript"/>
        </w:rPr>
        <w:t xml:space="preserve"> </w:t>
      </w:r>
    </w:p>
    <w:p w:rsidR="004305AF" w:rsidRDefault="00442AAD" w:rsidP="00A60D9A">
      <w:pPr>
        <w:rPr>
          <w:vertAlign w:val="superscript"/>
        </w:rPr>
      </w:pPr>
      <w:r>
        <w:t>Ms Priscilla Stanley</w:t>
      </w:r>
      <w:r>
        <w:rPr>
          <w:vertAlign w:val="superscript"/>
        </w:rPr>
        <w:t xml:space="preserve">5 </w:t>
      </w:r>
    </w:p>
    <w:p w:rsidR="00442AAD" w:rsidRDefault="00442AAD" w:rsidP="00A60D9A">
      <w:r>
        <w:t>Ms Robin E Gilmour</w:t>
      </w:r>
      <w:r>
        <w:rPr>
          <w:vertAlign w:val="superscript"/>
        </w:rPr>
        <w:t xml:space="preserve">6 </w:t>
      </w:r>
    </w:p>
    <w:p w:rsidR="00442AAD" w:rsidRPr="00A60D9A" w:rsidRDefault="00442AAD" w:rsidP="00A60D9A">
      <w:pPr>
        <w:pStyle w:val="ListParagraph"/>
        <w:numPr>
          <w:ilvl w:val="0"/>
          <w:numId w:val="11"/>
        </w:numPr>
        <w:rPr>
          <w:rFonts w:eastAsia="Times New Roman"/>
        </w:rPr>
      </w:pPr>
      <w:r w:rsidRPr="00A60D9A">
        <w:rPr>
          <w:rFonts w:eastAsia="Times New Roman"/>
        </w:rPr>
        <w:t xml:space="preserve">Public Health Physician, Hunter New England Local Health District </w:t>
      </w:r>
    </w:p>
    <w:p w:rsidR="00442AAD" w:rsidRPr="00A60D9A" w:rsidRDefault="00442AAD" w:rsidP="00A60D9A">
      <w:pPr>
        <w:pStyle w:val="ListParagraph"/>
        <w:numPr>
          <w:ilvl w:val="0"/>
          <w:numId w:val="11"/>
        </w:numPr>
        <w:rPr>
          <w:rFonts w:eastAsia="Times New Roman"/>
        </w:rPr>
      </w:pPr>
      <w:r w:rsidRPr="00A60D9A">
        <w:rPr>
          <w:rFonts w:eastAsia="Times New Roman"/>
        </w:rPr>
        <w:t xml:space="preserve">Public Health Physician, Nepean Blue Mountains Local Health District </w:t>
      </w:r>
    </w:p>
    <w:p w:rsidR="00442AAD" w:rsidRPr="00A60D9A" w:rsidRDefault="00442AAD" w:rsidP="00A60D9A">
      <w:pPr>
        <w:pStyle w:val="ListParagraph"/>
        <w:numPr>
          <w:ilvl w:val="0"/>
          <w:numId w:val="11"/>
        </w:numPr>
        <w:rPr>
          <w:rFonts w:eastAsia="Times New Roman"/>
        </w:rPr>
      </w:pPr>
      <w:r w:rsidRPr="00A60D9A">
        <w:rPr>
          <w:rFonts w:eastAsia="Times New Roman"/>
        </w:rPr>
        <w:t xml:space="preserve">Director, Public Health Unit, South Eastern Sydney Local Health District </w:t>
      </w:r>
    </w:p>
    <w:p w:rsidR="00442AAD" w:rsidRPr="00A60D9A" w:rsidRDefault="00442AAD" w:rsidP="00A60D9A">
      <w:pPr>
        <w:pStyle w:val="ListParagraph"/>
        <w:numPr>
          <w:ilvl w:val="0"/>
          <w:numId w:val="11"/>
        </w:numPr>
        <w:rPr>
          <w:rFonts w:eastAsia="Times New Roman"/>
        </w:rPr>
      </w:pPr>
      <w:r w:rsidRPr="00A60D9A">
        <w:rPr>
          <w:rFonts w:eastAsia="Times New Roman"/>
        </w:rPr>
        <w:t xml:space="preserve">Adjunct Professor, School of Population Health, UNSW Sydney </w:t>
      </w:r>
    </w:p>
    <w:p w:rsidR="00442AAD" w:rsidRPr="00A60D9A" w:rsidRDefault="00442AAD" w:rsidP="00A60D9A">
      <w:pPr>
        <w:pStyle w:val="ListParagraph"/>
        <w:numPr>
          <w:ilvl w:val="0"/>
          <w:numId w:val="11"/>
        </w:numPr>
        <w:rPr>
          <w:rFonts w:eastAsia="Times New Roman"/>
        </w:rPr>
      </w:pPr>
      <w:r w:rsidRPr="00A60D9A">
        <w:rPr>
          <w:rFonts w:eastAsia="Times New Roman"/>
        </w:rPr>
        <w:t xml:space="preserve">Manager Health Protection, Far West and Western Local Health Districts </w:t>
      </w:r>
    </w:p>
    <w:p w:rsidR="00442AAD" w:rsidRPr="00A60D9A" w:rsidRDefault="00442AAD" w:rsidP="00A60D9A">
      <w:pPr>
        <w:pStyle w:val="ListParagraph"/>
        <w:numPr>
          <w:ilvl w:val="0"/>
          <w:numId w:val="11"/>
        </w:numPr>
        <w:rPr>
          <w:rFonts w:eastAsia="Times New Roman"/>
        </w:rPr>
      </w:pPr>
      <w:r w:rsidRPr="00A60D9A">
        <w:rPr>
          <w:rFonts w:eastAsia="Times New Roman"/>
        </w:rPr>
        <w:t xml:space="preserve">Respiratory Epidemiologist, Health Protection NSW </w:t>
      </w:r>
    </w:p>
    <w:p w:rsidR="004305AF" w:rsidRDefault="004305AF" w:rsidP="00A60D9A">
      <w:pPr>
        <w:pStyle w:val="Heading2"/>
      </w:pPr>
    </w:p>
    <w:p w:rsidR="00442AAD" w:rsidRPr="00A60D9A" w:rsidRDefault="00442AAD" w:rsidP="00A60D9A">
      <w:pPr>
        <w:pStyle w:val="Heading2"/>
      </w:pPr>
      <w:r w:rsidRPr="00A60D9A">
        <w:t xml:space="preserve">Corresponding author </w:t>
      </w:r>
    </w:p>
    <w:p w:rsidR="00442AAD" w:rsidRDefault="00442AAD" w:rsidP="00A60D9A">
      <w:r>
        <w:t xml:space="preserve">Dr Tony D Merritt </w:t>
      </w:r>
    </w:p>
    <w:p w:rsidR="004305AF" w:rsidRDefault="00442AAD" w:rsidP="00A60D9A">
      <w:r>
        <w:t>Address: Hunter New England Population Health, Lo</w:t>
      </w:r>
      <w:r w:rsidR="009336A1">
        <w:t>cked Bag 10, Wallsend, NSW 2287</w:t>
      </w:r>
    </w:p>
    <w:p w:rsidR="004305AF" w:rsidRDefault="00442AAD" w:rsidP="00A60D9A">
      <w:r>
        <w:t xml:space="preserve">Phone: 02 49246477 </w:t>
      </w:r>
    </w:p>
    <w:p w:rsidR="00442AAD" w:rsidRDefault="00442AAD" w:rsidP="00A60D9A">
      <w:r>
        <w:t xml:space="preserve">Email: Tony.Merritt@health.nsw.gov.au </w:t>
      </w:r>
    </w:p>
    <w:p w:rsidR="00114736" w:rsidRDefault="00114736">
      <w:pPr>
        <w:rPr>
          <w:rFonts w:asciiTheme="majorHAnsi" w:eastAsiaTheme="majorEastAsia" w:hAnsiTheme="majorHAnsi" w:cstheme="majorBidi"/>
          <w:b/>
          <w:bCs/>
          <w:sz w:val="32"/>
          <w:szCs w:val="28"/>
        </w:rPr>
      </w:pPr>
      <w:r>
        <w:br w:type="page"/>
      </w:r>
    </w:p>
    <w:p w:rsidR="00442AAD" w:rsidRPr="00A60D9A" w:rsidRDefault="00442AAD" w:rsidP="00A60D9A">
      <w:pPr>
        <w:pStyle w:val="Heading1"/>
      </w:pPr>
      <w:r w:rsidRPr="00A60D9A">
        <w:lastRenderedPageBreak/>
        <w:t xml:space="preserve">References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New South Wales Government Department of Health. </w:t>
      </w:r>
      <w:r w:rsidRPr="00415370">
        <w:rPr>
          <w:rStyle w:val="Emphasis"/>
          <w:rFonts w:eastAsia="Times New Roman"/>
          <w:b w:val="0"/>
        </w:rPr>
        <w:t>Influenza monthly epidemiology report, NSW; December 2017 (including a summary for the year 2017)</w:t>
      </w:r>
      <w:r w:rsidRPr="00A60D9A">
        <w:rPr>
          <w:rFonts w:eastAsia="Times New Roman"/>
        </w:rPr>
        <w:t xml:space="preserve">. Sydney: New South Wales Government Department of Health; 2018. [Accessed during December 2019.] Available from: https://www.health.nsw.gov.au/Infectious/Influenza/Publications/2017/december-flu-report.pdf </w:t>
      </w:r>
    </w:p>
    <w:p w:rsidR="00442AAD" w:rsidRPr="00A60D9A" w:rsidRDefault="00442AAD" w:rsidP="00A60D9A">
      <w:pPr>
        <w:pStyle w:val="ListParagraph"/>
        <w:numPr>
          <w:ilvl w:val="0"/>
          <w:numId w:val="12"/>
        </w:numPr>
        <w:rPr>
          <w:rFonts w:eastAsia="Times New Roman"/>
        </w:rPr>
      </w:pPr>
      <w:proofErr w:type="spellStart"/>
      <w:r w:rsidRPr="00A60D9A">
        <w:rPr>
          <w:rFonts w:eastAsia="Times New Roman"/>
        </w:rPr>
        <w:t>Simonsen</w:t>
      </w:r>
      <w:proofErr w:type="spellEnd"/>
      <w:r w:rsidRPr="00A60D9A">
        <w:rPr>
          <w:rFonts w:eastAsia="Times New Roman"/>
        </w:rPr>
        <w:t xml:space="preserve"> L, Fukuda K, </w:t>
      </w:r>
      <w:proofErr w:type="spellStart"/>
      <w:r w:rsidRPr="00A60D9A">
        <w:rPr>
          <w:rFonts w:eastAsia="Times New Roman"/>
        </w:rPr>
        <w:t>Schonberger</w:t>
      </w:r>
      <w:proofErr w:type="spellEnd"/>
      <w:r w:rsidRPr="00A60D9A">
        <w:rPr>
          <w:rFonts w:eastAsia="Times New Roman"/>
        </w:rPr>
        <w:t xml:space="preserve"> LB, Cox NJ. The impact of influenza epidemics on hospitalizations. </w:t>
      </w:r>
      <w:r w:rsidRPr="00415370">
        <w:rPr>
          <w:rStyle w:val="Emphasis"/>
          <w:rFonts w:eastAsia="Times New Roman"/>
          <w:b w:val="0"/>
        </w:rPr>
        <w:t>J Infect Dis</w:t>
      </w:r>
      <w:r w:rsidRPr="00A60D9A">
        <w:rPr>
          <w:rFonts w:eastAsia="Times New Roman"/>
        </w:rPr>
        <w:t>. 2000</w:t>
      </w:r>
      <w:proofErr w:type="gramStart"/>
      <w:r w:rsidRPr="00A60D9A">
        <w:rPr>
          <w:rFonts w:eastAsia="Times New Roman"/>
        </w:rPr>
        <w:t>;181</w:t>
      </w:r>
      <w:proofErr w:type="gramEnd"/>
      <w:r w:rsidRPr="00A60D9A">
        <w:rPr>
          <w:rFonts w:eastAsia="Times New Roman"/>
        </w:rPr>
        <w:t xml:space="preserve">(3):831–7.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Kelly H, Peck HA, Laurie KL, Wu P, Nishiura H, Cowling BJ. The age-specific cumulative incidence of infection with pandemic influenza H1N1 2009 was similar in various countries prior to vaccination. </w:t>
      </w:r>
      <w:proofErr w:type="spellStart"/>
      <w:r w:rsidRPr="00415370">
        <w:rPr>
          <w:rStyle w:val="Emphasis"/>
          <w:rFonts w:eastAsia="Times New Roman"/>
          <w:b w:val="0"/>
        </w:rPr>
        <w:t>PLoS</w:t>
      </w:r>
      <w:proofErr w:type="spellEnd"/>
      <w:r w:rsidRPr="00415370">
        <w:rPr>
          <w:rStyle w:val="Emphasis"/>
          <w:rFonts w:eastAsia="Times New Roman"/>
          <w:b w:val="0"/>
        </w:rPr>
        <w:t xml:space="preserve"> One</w:t>
      </w:r>
      <w:r w:rsidRPr="00A60D9A">
        <w:rPr>
          <w:rFonts w:eastAsia="Times New Roman"/>
        </w:rPr>
        <w:t>. 2011</w:t>
      </w:r>
      <w:proofErr w:type="gramStart"/>
      <w:r w:rsidRPr="00A60D9A">
        <w:rPr>
          <w:rFonts w:eastAsia="Times New Roman"/>
        </w:rPr>
        <w:t>;6</w:t>
      </w:r>
      <w:proofErr w:type="gramEnd"/>
      <w:r w:rsidRPr="00A60D9A">
        <w:rPr>
          <w:rFonts w:eastAsia="Times New Roman"/>
        </w:rPr>
        <w:t xml:space="preserve">(8):e21828.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Van </w:t>
      </w:r>
      <w:proofErr w:type="spellStart"/>
      <w:r w:rsidRPr="00A60D9A">
        <w:rPr>
          <w:rFonts w:eastAsia="Times New Roman"/>
        </w:rPr>
        <w:t>Kerkhove</w:t>
      </w:r>
      <w:proofErr w:type="spellEnd"/>
      <w:r w:rsidRPr="00A60D9A">
        <w:rPr>
          <w:rFonts w:eastAsia="Times New Roman"/>
        </w:rPr>
        <w:t xml:space="preserve"> MD, </w:t>
      </w:r>
      <w:proofErr w:type="spellStart"/>
      <w:r w:rsidRPr="00A60D9A">
        <w:rPr>
          <w:rFonts w:eastAsia="Times New Roman"/>
        </w:rPr>
        <w:t>Hirve</w:t>
      </w:r>
      <w:proofErr w:type="spellEnd"/>
      <w:r w:rsidRPr="00A60D9A">
        <w:rPr>
          <w:rFonts w:eastAsia="Times New Roman"/>
        </w:rPr>
        <w:t xml:space="preserve"> S, </w:t>
      </w:r>
      <w:proofErr w:type="spellStart"/>
      <w:r w:rsidRPr="00A60D9A">
        <w:rPr>
          <w:rFonts w:eastAsia="Times New Roman"/>
        </w:rPr>
        <w:t>Koukounari</w:t>
      </w:r>
      <w:proofErr w:type="spellEnd"/>
      <w:r w:rsidRPr="00A60D9A">
        <w:rPr>
          <w:rFonts w:eastAsia="Times New Roman"/>
        </w:rPr>
        <w:t xml:space="preserve"> A, Mounts AW, H1N1pdm serology working group. Estimating age-specific cumulative incidence for the 2009 influenza pandemic: a meta-analysis of </w:t>
      </w:r>
      <w:proofErr w:type="gramStart"/>
      <w:r w:rsidRPr="00A60D9A">
        <w:rPr>
          <w:rFonts w:eastAsia="Times New Roman"/>
        </w:rPr>
        <w:t>A(</w:t>
      </w:r>
      <w:proofErr w:type="gramEnd"/>
      <w:r w:rsidRPr="00A60D9A">
        <w:rPr>
          <w:rFonts w:eastAsia="Times New Roman"/>
        </w:rPr>
        <w:t xml:space="preserve">H1N1)pdm09 serological studies from 19 countries. </w:t>
      </w:r>
      <w:r w:rsidRPr="00415370">
        <w:rPr>
          <w:rStyle w:val="Emphasis"/>
          <w:rFonts w:eastAsia="Times New Roman"/>
          <w:b w:val="0"/>
        </w:rPr>
        <w:t xml:space="preserve">Influenza Other </w:t>
      </w:r>
      <w:proofErr w:type="spellStart"/>
      <w:r w:rsidRPr="00415370">
        <w:rPr>
          <w:rStyle w:val="Emphasis"/>
          <w:rFonts w:eastAsia="Times New Roman"/>
          <w:b w:val="0"/>
        </w:rPr>
        <w:t>Respir</w:t>
      </w:r>
      <w:proofErr w:type="spellEnd"/>
      <w:r w:rsidRPr="00415370">
        <w:rPr>
          <w:rStyle w:val="Emphasis"/>
          <w:rFonts w:eastAsia="Times New Roman"/>
          <w:b w:val="0"/>
        </w:rPr>
        <w:t xml:space="preserve"> Viruses</w:t>
      </w:r>
      <w:r w:rsidRPr="00A60D9A">
        <w:rPr>
          <w:rFonts w:eastAsia="Times New Roman"/>
        </w:rPr>
        <w:t>. 2013</w:t>
      </w:r>
      <w:proofErr w:type="gramStart"/>
      <w:r w:rsidRPr="00A60D9A">
        <w:rPr>
          <w:rFonts w:eastAsia="Times New Roman"/>
        </w:rPr>
        <w:t>;7</w:t>
      </w:r>
      <w:proofErr w:type="gramEnd"/>
      <w:r w:rsidRPr="00A60D9A">
        <w:rPr>
          <w:rFonts w:eastAsia="Times New Roman"/>
        </w:rPr>
        <w:t xml:space="preserve">(5):872–86.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Australian Government Department of Health. </w:t>
      </w:r>
      <w:r w:rsidRPr="00415370">
        <w:rPr>
          <w:rStyle w:val="Emphasis"/>
          <w:rFonts w:eastAsia="Times New Roman"/>
          <w:b w:val="0"/>
        </w:rPr>
        <w:t>Information brief: 2017 influenza season in Australia</w:t>
      </w:r>
      <w:r w:rsidRPr="00A60D9A">
        <w:rPr>
          <w:rFonts w:eastAsia="Times New Roman"/>
        </w:rPr>
        <w:t xml:space="preserve">. Canberra: Australian Government Department of Health; 22 November 2017. [Accessed during December 2019.] Available from: http://www.health.gov.au/internet/main/publishing.nsf/Content/097F15A91C05FBE7CA2581E20017F09E/$File/2017-season-summary-22112017.pdf.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Australian Government Productivity Commission. Changing dynamics of residential aged care. [Technical paper.] Canberra: Australian Government Productivity Commission; 24 May 2011. [Accessed during December 2019.] Available from: https://www.pc.gov.au/inquiries/completed/aged-care/residential-care-dynamics.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Australian Government Department of Health. Guidelines for the prevention, control and public health management of influenza outbreaks in residential care facilities in Australia. [Internet.] Canberra: Australian Government Department of Health; 17 July 2017. [Accessed during December 2019.] Available from: http://www.health.gov.au/internet/main/publishing.nsf/Content/cdna-flu-guidelines.htm. </w:t>
      </w:r>
    </w:p>
    <w:p w:rsidR="00442AAD" w:rsidRPr="00A60D9A" w:rsidRDefault="00442AAD" w:rsidP="00A60D9A">
      <w:pPr>
        <w:pStyle w:val="ListParagraph"/>
        <w:numPr>
          <w:ilvl w:val="0"/>
          <w:numId w:val="12"/>
        </w:numPr>
        <w:rPr>
          <w:rFonts w:eastAsia="Times New Roman"/>
        </w:rPr>
      </w:pPr>
      <w:proofErr w:type="spellStart"/>
      <w:r w:rsidRPr="00A60D9A">
        <w:rPr>
          <w:rFonts w:eastAsia="Times New Roman"/>
        </w:rPr>
        <w:t>Gozalo</w:t>
      </w:r>
      <w:proofErr w:type="spellEnd"/>
      <w:r w:rsidRPr="00A60D9A">
        <w:rPr>
          <w:rFonts w:eastAsia="Times New Roman"/>
        </w:rPr>
        <w:t xml:space="preserve"> PL, Pop-</w:t>
      </w:r>
      <w:proofErr w:type="spellStart"/>
      <w:r w:rsidRPr="00A60D9A">
        <w:rPr>
          <w:rFonts w:eastAsia="Times New Roman"/>
        </w:rPr>
        <w:t>Vicas</w:t>
      </w:r>
      <w:proofErr w:type="spellEnd"/>
      <w:r w:rsidRPr="00A60D9A">
        <w:rPr>
          <w:rFonts w:eastAsia="Times New Roman"/>
        </w:rPr>
        <w:t xml:space="preserve"> A, Feng Z, </w:t>
      </w:r>
      <w:proofErr w:type="spellStart"/>
      <w:r w:rsidRPr="00A60D9A">
        <w:rPr>
          <w:rFonts w:eastAsia="Times New Roman"/>
        </w:rPr>
        <w:t>Gravenstein</w:t>
      </w:r>
      <w:proofErr w:type="spellEnd"/>
      <w:r w:rsidRPr="00A60D9A">
        <w:rPr>
          <w:rFonts w:eastAsia="Times New Roman"/>
        </w:rPr>
        <w:t xml:space="preserve"> S, </w:t>
      </w:r>
      <w:proofErr w:type="spellStart"/>
      <w:r w:rsidRPr="00A60D9A">
        <w:rPr>
          <w:rFonts w:eastAsia="Times New Roman"/>
        </w:rPr>
        <w:t>Mor</w:t>
      </w:r>
      <w:proofErr w:type="spellEnd"/>
      <w:r w:rsidRPr="00A60D9A">
        <w:rPr>
          <w:rFonts w:eastAsia="Times New Roman"/>
        </w:rPr>
        <w:t xml:space="preserve"> V. Effect of influenza on functional decline.</w:t>
      </w:r>
      <w:r w:rsidRPr="00415370">
        <w:rPr>
          <w:rStyle w:val="Emphasis"/>
          <w:rFonts w:eastAsia="Times New Roman"/>
          <w:b w:val="0"/>
        </w:rPr>
        <w:t xml:space="preserve"> J Am </w:t>
      </w:r>
      <w:proofErr w:type="spellStart"/>
      <w:r w:rsidRPr="00415370">
        <w:rPr>
          <w:rStyle w:val="Emphasis"/>
          <w:rFonts w:eastAsia="Times New Roman"/>
          <w:b w:val="0"/>
        </w:rPr>
        <w:t>Geriatr</w:t>
      </w:r>
      <w:proofErr w:type="spellEnd"/>
      <w:r w:rsidRPr="00415370">
        <w:rPr>
          <w:rStyle w:val="Emphasis"/>
          <w:rFonts w:eastAsia="Times New Roman"/>
          <w:b w:val="0"/>
        </w:rPr>
        <w:t xml:space="preserve"> Soc</w:t>
      </w:r>
      <w:r w:rsidRPr="00A60D9A">
        <w:rPr>
          <w:rFonts w:eastAsia="Times New Roman"/>
        </w:rPr>
        <w:t>. 2012</w:t>
      </w:r>
      <w:proofErr w:type="gramStart"/>
      <w:r w:rsidRPr="00A60D9A">
        <w:rPr>
          <w:rFonts w:eastAsia="Times New Roman"/>
        </w:rPr>
        <w:t>;60</w:t>
      </w:r>
      <w:proofErr w:type="gramEnd"/>
      <w:r w:rsidRPr="00A60D9A">
        <w:rPr>
          <w:rFonts w:eastAsia="Times New Roman"/>
        </w:rPr>
        <w:t xml:space="preserve">(7):1260–7. </w:t>
      </w:r>
    </w:p>
    <w:p w:rsidR="00442AAD" w:rsidRPr="00A60D9A" w:rsidRDefault="00442AAD" w:rsidP="00A60D9A">
      <w:pPr>
        <w:pStyle w:val="ListParagraph"/>
        <w:numPr>
          <w:ilvl w:val="0"/>
          <w:numId w:val="12"/>
        </w:numPr>
        <w:rPr>
          <w:rFonts w:eastAsia="Times New Roman"/>
        </w:rPr>
      </w:pPr>
      <w:proofErr w:type="spellStart"/>
      <w:r w:rsidRPr="00A60D9A">
        <w:rPr>
          <w:rFonts w:eastAsia="Times New Roman"/>
        </w:rPr>
        <w:t>Gruneir</w:t>
      </w:r>
      <w:proofErr w:type="spellEnd"/>
      <w:r w:rsidRPr="00A60D9A">
        <w:rPr>
          <w:rFonts w:eastAsia="Times New Roman"/>
        </w:rPr>
        <w:t xml:space="preserve"> A, Bell CM, </w:t>
      </w:r>
      <w:proofErr w:type="spellStart"/>
      <w:r w:rsidRPr="00A60D9A">
        <w:rPr>
          <w:rFonts w:eastAsia="Times New Roman"/>
        </w:rPr>
        <w:t>Bronskill</w:t>
      </w:r>
      <w:proofErr w:type="spellEnd"/>
      <w:r w:rsidRPr="00A60D9A">
        <w:rPr>
          <w:rFonts w:eastAsia="Times New Roman"/>
        </w:rPr>
        <w:t xml:space="preserve"> SE, Schull M, Anderson GM, </w:t>
      </w:r>
      <w:proofErr w:type="spellStart"/>
      <w:r w:rsidRPr="00A60D9A">
        <w:rPr>
          <w:rFonts w:eastAsia="Times New Roman"/>
        </w:rPr>
        <w:t>Rochon</w:t>
      </w:r>
      <w:proofErr w:type="spellEnd"/>
      <w:r w:rsidRPr="00A60D9A">
        <w:rPr>
          <w:rFonts w:eastAsia="Times New Roman"/>
        </w:rPr>
        <w:t xml:space="preserve"> PA. Frequency and pattern of emergency department visits by long-term care residents - a population-based study. </w:t>
      </w:r>
      <w:r w:rsidRPr="00415370">
        <w:rPr>
          <w:rStyle w:val="Emphasis"/>
          <w:rFonts w:eastAsia="Times New Roman"/>
          <w:b w:val="0"/>
        </w:rPr>
        <w:t xml:space="preserve">J Am </w:t>
      </w:r>
      <w:proofErr w:type="spellStart"/>
      <w:r w:rsidRPr="00415370">
        <w:rPr>
          <w:rStyle w:val="Emphasis"/>
          <w:rFonts w:eastAsia="Times New Roman"/>
          <w:b w:val="0"/>
        </w:rPr>
        <w:t>Geriatr</w:t>
      </w:r>
      <w:proofErr w:type="spellEnd"/>
      <w:r w:rsidRPr="00415370">
        <w:rPr>
          <w:rStyle w:val="Emphasis"/>
          <w:rFonts w:eastAsia="Times New Roman"/>
          <w:b w:val="0"/>
        </w:rPr>
        <w:t xml:space="preserve"> Soc</w:t>
      </w:r>
      <w:r w:rsidRPr="00A60D9A">
        <w:rPr>
          <w:rFonts w:eastAsia="Times New Roman"/>
        </w:rPr>
        <w:t>. 2010</w:t>
      </w:r>
      <w:proofErr w:type="gramStart"/>
      <w:r w:rsidRPr="00A60D9A">
        <w:rPr>
          <w:rFonts w:eastAsia="Times New Roman"/>
        </w:rPr>
        <w:t>;58</w:t>
      </w:r>
      <w:proofErr w:type="gramEnd"/>
      <w:r w:rsidRPr="00A60D9A">
        <w:rPr>
          <w:rFonts w:eastAsia="Times New Roman"/>
        </w:rPr>
        <w:t xml:space="preserve">(3):510–7. </w:t>
      </w:r>
    </w:p>
    <w:p w:rsidR="00442AAD" w:rsidRPr="00A60D9A" w:rsidRDefault="00442AAD" w:rsidP="00A60D9A">
      <w:pPr>
        <w:pStyle w:val="ListParagraph"/>
        <w:numPr>
          <w:ilvl w:val="0"/>
          <w:numId w:val="12"/>
        </w:numPr>
        <w:rPr>
          <w:rFonts w:eastAsia="Times New Roman"/>
        </w:rPr>
      </w:pPr>
      <w:proofErr w:type="spellStart"/>
      <w:r w:rsidRPr="00A60D9A">
        <w:rPr>
          <w:rFonts w:eastAsia="Times New Roman"/>
        </w:rPr>
        <w:t>Gaillat</w:t>
      </w:r>
      <w:proofErr w:type="spellEnd"/>
      <w:r w:rsidRPr="00A60D9A">
        <w:rPr>
          <w:rFonts w:eastAsia="Times New Roman"/>
        </w:rPr>
        <w:t xml:space="preserve"> J, </w:t>
      </w:r>
      <w:proofErr w:type="spellStart"/>
      <w:r w:rsidRPr="00A60D9A">
        <w:rPr>
          <w:rFonts w:eastAsia="Times New Roman"/>
        </w:rPr>
        <w:t>Chidiac</w:t>
      </w:r>
      <w:proofErr w:type="spellEnd"/>
      <w:r w:rsidRPr="00A60D9A">
        <w:rPr>
          <w:rFonts w:eastAsia="Times New Roman"/>
        </w:rPr>
        <w:t xml:space="preserve"> C, </w:t>
      </w:r>
      <w:proofErr w:type="spellStart"/>
      <w:r w:rsidRPr="00A60D9A">
        <w:rPr>
          <w:rFonts w:eastAsia="Times New Roman"/>
        </w:rPr>
        <w:t>Fagnani</w:t>
      </w:r>
      <w:proofErr w:type="spellEnd"/>
      <w:r w:rsidRPr="00A60D9A">
        <w:rPr>
          <w:rFonts w:eastAsia="Times New Roman"/>
        </w:rPr>
        <w:t xml:space="preserve"> F, Pecking M, </w:t>
      </w:r>
      <w:proofErr w:type="spellStart"/>
      <w:r w:rsidRPr="00A60D9A">
        <w:rPr>
          <w:rFonts w:eastAsia="Times New Roman"/>
        </w:rPr>
        <w:t>Salom</w:t>
      </w:r>
      <w:proofErr w:type="spellEnd"/>
      <w:r w:rsidRPr="00A60D9A">
        <w:rPr>
          <w:rFonts w:eastAsia="Times New Roman"/>
        </w:rPr>
        <w:t xml:space="preserve"> M, </w:t>
      </w:r>
      <w:proofErr w:type="spellStart"/>
      <w:r w:rsidRPr="00A60D9A">
        <w:rPr>
          <w:rFonts w:eastAsia="Times New Roman"/>
        </w:rPr>
        <w:t>Veyssier</w:t>
      </w:r>
      <w:proofErr w:type="spellEnd"/>
      <w:r w:rsidRPr="00A60D9A">
        <w:rPr>
          <w:rFonts w:eastAsia="Times New Roman"/>
        </w:rPr>
        <w:t xml:space="preserve"> P et al. Morbidity and mortality associated with influenza exposure in long-term care facilities for dependent elderly people. </w:t>
      </w:r>
      <w:proofErr w:type="spellStart"/>
      <w:r w:rsidRPr="00415370">
        <w:rPr>
          <w:rStyle w:val="Emphasis"/>
          <w:rFonts w:eastAsia="Times New Roman"/>
          <w:b w:val="0"/>
        </w:rPr>
        <w:t>Eur</w:t>
      </w:r>
      <w:proofErr w:type="spellEnd"/>
      <w:r w:rsidRPr="00415370">
        <w:rPr>
          <w:rStyle w:val="Emphasis"/>
          <w:rFonts w:eastAsia="Times New Roman"/>
          <w:b w:val="0"/>
        </w:rPr>
        <w:t xml:space="preserve"> J </w:t>
      </w:r>
      <w:proofErr w:type="spellStart"/>
      <w:r w:rsidRPr="00415370">
        <w:rPr>
          <w:rStyle w:val="Emphasis"/>
          <w:rFonts w:eastAsia="Times New Roman"/>
          <w:b w:val="0"/>
        </w:rPr>
        <w:t>Clin</w:t>
      </w:r>
      <w:proofErr w:type="spellEnd"/>
      <w:r w:rsidRPr="00415370">
        <w:rPr>
          <w:rStyle w:val="Emphasis"/>
          <w:rFonts w:eastAsia="Times New Roman"/>
          <w:b w:val="0"/>
        </w:rPr>
        <w:t xml:space="preserve"> </w:t>
      </w:r>
      <w:proofErr w:type="spellStart"/>
      <w:r w:rsidRPr="00415370">
        <w:rPr>
          <w:rStyle w:val="Emphasis"/>
          <w:rFonts w:eastAsia="Times New Roman"/>
          <w:b w:val="0"/>
        </w:rPr>
        <w:t>Microbiol</w:t>
      </w:r>
      <w:proofErr w:type="spellEnd"/>
      <w:r w:rsidRPr="00415370">
        <w:rPr>
          <w:rStyle w:val="Emphasis"/>
          <w:rFonts w:eastAsia="Times New Roman"/>
          <w:b w:val="0"/>
        </w:rPr>
        <w:t xml:space="preserve"> Infect Dis</w:t>
      </w:r>
      <w:r w:rsidRPr="00A60D9A">
        <w:rPr>
          <w:rFonts w:eastAsia="Times New Roman"/>
        </w:rPr>
        <w:t>. 2009</w:t>
      </w:r>
      <w:proofErr w:type="gramStart"/>
      <w:r w:rsidRPr="00A60D9A">
        <w:rPr>
          <w:rFonts w:eastAsia="Times New Roman"/>
        </w:rPr>
        <w:t>;28</w:t>
      </w:r>
      <w:proofErr w:type="gramEnd"/>
      <w:r w:rsidRPr="00A60D9A">
        <w:rPr>
          <w:rFonts w:eastAsia="Times New Roman"/>
        </w:rPr>
        <w:t xml:space="preserve">(9):1077–86.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Ellis SE, Coffey CS, Mitchel EF, </w:t>
      </w:r>
      <w:proofErr w:type="spellStart"/>
      <w:r w:rsidRPr="00A60D9A">
        <w:rPr>
          <w:rFonts w:eastAsia="Times New Roman"/>
        </w:rPr>
        <w:t>Dittus</w:t>
      </w:r>
      <w:proofErr w:type="spellEnd"/>
      <w:r w:rsidRPr="00A60D9A">
        <w:rPr>
          <w:rFonts w:eastAsia="Times New Roman"/>
        </w:rPr>
        <w:t xml:space="preserve"> RS, Griffin MR. Influenza- and respiratory syncytial virus-associated morbidity and mortality in the nursing home population. </w:t>
      </w:r>
      <w:r w:rsidRPr="00415370">
        <w:rPr>
          <w:rStyle w:val="Emphasis"/>
          <w:rFonts w:eastAsia="Times New Roman"/>
          <w:b w:val="0"/>
        </w:rPr>
        <w:t xml:space="preserve">J Am </w:t>
      </w:r>
      <w:proofErr w:type="spellStart"/>
      <w:r w:rsidRPr="00415370">
        <w:rPr>
          <w:rStyle w:val="Emphasis"/>
          <w:rFonts w:eastAsia="Times New Roman"/>
          <w:b w:val="0"/>
        </w:rPr>
        <w:t>Geriatr</w:t>
      </w:r>
      <w:proofErr w:type="spellEnd"/>
      <w:r w:rsidRPr="00415370">
        <w:rPr>
          <w:rStyle w:val="Emphasis"/>
          <w:rFonts w:eastAsia="Times New Roman"/>
          <w:b w:val="0"/>
        </w:rPr>
        <w:t xml:space="preserve"> Soc</w:t>
      </w:r>
      <w:r w:rsidRPr="00A60D9A">
        <w:rPr>
          <w:rFonts w:eastAsia="Times New Roman"/>
        </w:rPr>
        <w:t>. 2003</w:t>
      </w:r>
      <w:proofErr w:type="gramStart"/>
      <w:r w:rsidRPr="00A60D9A">
        <w:rPr>
          <w:rFonts w:eastAsia="Times New Roman"/>
        </w:rPr>
        <w:t>;51</w:t>
      </w:r>
      <w:proofErr w:type="gramEnd"/>
      <w:r w:rsidRPr="00A60D9A">
        <w:rPr>
          <w:rFonts w:eastAsia="Times New Roman"/>
        </w:rPr>
        <w:t xml:space="preserve">(6):761–7.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Masse S, </w:t>
      </w:r>
      <w:proofErr w:type="spellStart"/>
      <w:r w:rsidRPr="00A60D9A">
        <w:rPr>
          <w:rFonts w:eastAsia="Times New Roman"/>
        </w:rPr>
        <w:t>Capai</w:t>
      </w:r>
      <w:proofErr w:type="spellEnd"/>
      <w:r w:rsidRPr="00A60D9A">
        <w:rPr>
          <w:rFonts w:eastAsia="Times New Roman"/>
        </w:rPr>
        <w:t xml:space="preserve"> L, </w:t>
      </w:r>
      <w:proofErr w:type="spellStart"/>
      <w:r w:rsidRPr="00A60D9A">
        <w:rPr>
          <w:rFonts w:eastAsia="Times New Roman"/>
        </w:rPr>
        <w:t>Falchi</w:t>
      </w:r>
      <w:proofErr w:type="spellEnd"/>
      <w:r w:rsidRPr="00A60D9A">
        <w:rPr>
          <w:rFonts w:eastAsia="Times New Roman"/>
        </w:rPr>
        <w:t xml:space="preserve"> A. Epidemiology of respiratory pathogens among elderly nursing home residents with acute respiratory infections in Corsica, France, 2013–2017. </w:t>
      </w:r>
      <w:r w:rsidRPr="00415370">
        <w:rPr>
          <w:rStyle w:val="Emphasis"/>
          <w:rFonts w:eastAsia="Times New Roman"/>
          <w:b w:val="0"/>
        </w:rPr>
        <w:t>Biomed Res Int</w:t>
      </w:r>
      <w:r w:rsidRPr="00A60D9A">
        <w:rPr>
          <w:rFonts w:eastAsia="Times New Roman"/>
        </w:rPr>
        <w:t>. 2017</w:t>
      </w:r>
      <w:proofErr w:type="gramStart"/>
      <w:r w:rsidRPr="00A60D9A">
        <w:rPr>
          <w:rFonts w:eastAsia="Times New Roman"/>
        </w:rPr>
        <w:t>;2017</w:t>
      </w:r>
      <w:proofErr w:type="gramEnd"/>
      <w:r w:rsidRPr="00A60D9A">
        <w:rPr>
          <w:rFonts w:eastAsia="Times New Roman"/>
        </w:rPr>
        <w:t xml:space="preserve">. </w:t>
      </w:r>
      <w:proofErr w:type="spellStart"/>
      <w:proofErr w:type="gramStart"/>
      <w:r w:rsidRPr="00A60D9A">
        <w:rPr>
          <w:rFonts w:eastAsia="Times New Roman"/>
        </w:rPr>
        <w:t>doi</w:t>
      </w:r>
      <w:proofErr w:type="spellEnd"/>
      <w:proofErr w:type="gramEnd"/>
      <w:r w:rsidRPr="00A60D9A">
        <w:rPr>
          <w:rFonts w:eastAsia="Times New Roman"/>
        </w:rPr>
        <w:t xml:space="preserve">: https://doi.org/10.1155/2017/1423718. </w:t>
      </w:r>
    </w:p>
    <w:p w:rsidR="00442AAD" w:rsidRPr="00A60D9A" w:rsidRDefault="00442AAD" w:rsidP="00A60D9A">
      <w:pPr>
        <w:pStyle w:val="ListParagraph"/>
        <w:numPr>
          <w:ilvl w:val="0"/>
          <w:numId w:val="12"/>
        </w:numPr>
        <w:rPr>
          <w:rFonts w:eastAsia="Times New Roman"/>
        </w:rPr>
      </w:pPr>
      <w:proofErr w:type="spellStart"/>
      <w:r w:rsidRPr="00A60D9A">
        <w:rPr>
          <w:rFonts w:eastAsia="Times New Roman"/>
        </w:rPr>
        <w:t>Enserink</w:t>
      </w:r>
      <w:proofErr w:type="spellEnd"/>
      <w:r w:rsidRPr="00A60D9A">
        <w:rPr>
          <w:rFonts w:eastAsia="Times New Roman"/>
        </w:rPr>
        <w:t xml:space="preserve"> R, Meijer A, </w:t>
      </w:r>
      <w:proofErr w:type="spellStart"/>
      <w:r w:rsidRPr="00A60D9A">
        <w:rPr>
          <w:rFonts w:eastAsia="Times New Roman"/>
        </w:rPr>
        <w:t>Dijkstra</w:t>
      </w:r>
      <w:proofErr w:type="spellEnd"/>
      <w:r w:rsidRPr="00A60D9A">
        <w:rPr>
          <w:rFonts w:eastAsia="Times New Roman"/>
        </w:rPr>
        <w:t xml:space="preserve"> F, van </w:t>
      </w:r>
      <w:proofErr w:type="spellStart"/>
      <w:r w:rsidRPr="00A60D9A">
        <w:rPr>
          <w:rFonts w:eastAsia="Times New Roman"/>
        </w:rPr>
        <w:t>Benthem</w:t>
      </w:r>
      <w:proofErr w:type="spellEnd"/>
      <w:r w:rsidRPr="00A60D9A">
        <w:rPr>
          <w:rFonts w:eastAsia="Times New Roman"/>
        </w:rPr>
        <w:t xml:space="preserve"> B, van der Steen JT, </w:t>
      </w:r>
      <w:proofErr w:type="spellStart"/>
      <w:r w:rsidRPr="00A60D9A">
        <w:rPr>
          <w:rFonts w:eastAsia="Times New Roman"/>
        </w:rPr>
        <w:t>Haenen</w:t>
      </w:r>
      <w:proofErr w:type="spellEnd"/>
      <w:r w:rsidRPr="00A60D9A">
        <w:rPr>
          <w:rFonts w:eastAsia="Times New Roman"/>
        </w:rPr>
        <w:t xml:space="preserve"> A et al. Absence of influenza A(H1N1) during seasonal and pandemic seasons in a sentinel nursing home surveillance network in the Netherlands. </w:t>
      </w:r>
      <w:r w:rsidRPr="00415370">
        <w:rPr>
          <w:rStyle w:val="Emphasis"/>
          <w:rFonts w:eastAsia="Times New Roman"/>
          <w:b w:val="0"/>
        </w:rPr>
        <w:t xml:space="preserve">J Am </w:t>
      </w:r>
      <w:proofErr w:type="spellStart"/>
      <w:r w:rsidRPr="00415370">
        <w:rPr>
          <w:rStyle w:val="Emphasis"/>
          <w:rFonts w:eastAsia="Times New Roman"/>
          <w:b w:val="0"/>
        </w:rPr>
        <w:t>Geriatr</w:t>
      </w:r>
      <w:proofErr w:type="spellEnd"/>
      <w:r w:rsidRPr="00415370">
        <w:rPr>
          <w:rStyle w:val="Emphasis"/>
          <w:rFonts w:eastAsia="Times New Roman"/>
          <w:b w:val="0"/>
        </w:rPr>
        <w:t xml:space="preserve"> Soc</w:t>
      </w:r>
      <w:r w:rsidRPr="00A60D9A">
        <w:rPr>
          <w:rFonts w:eastAsia="Times New Roman"/>
        </w:rPr>
        <w:t>. 2011</w:t>
      </w:r>
      <w:proofErr w:type="gramStart"/>
      <w:r w:rsidRPr="00A60D9A">
        <w:rPr>
          <w:rFonts w:eastAsia="Times New Roman"/>
        </w:rPr>
        <w:t>;59</w:t>
      </w:r>
      <w:proofErr w:type="gramEnd"/>
      <w:r w:rsidRPr="00A60D9A">
        <w:rPr>
          <w:rFonts w:eastAsia="Times New Roman"/>
        </w:rPr>
        <w:t xml:space="preserve">(12):2301–5.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Vaux S, </w:t>
      </w:r>
      <w:proofErr w:type="spellStart"/>
      <w:r w:rsidRPr="00A60D9A">
        <w:rPr>
          <w:rFonts w:eastAsia="Times New Roman"/>
        </w:rPr>
        <w:t>Poujol</w:t>
      </w:r>
      <w:proofErr w:type="spellEnd"/>
      <w:r w:rsidRPr="00A60D9A">
        <w:rPr>
          <w:rFonts w:eastAsia="Times New Roman"/>
        </w:rPr>
        <w:t xml:space="preserve"> I, </w:t>
      </w:r>
      <w:proofErr w:type="spellStart"/>
      <w:r w:rsidRPr="00A60D9A">
        <w:rPr>
          <w:rFonts w:eastAsia="Times New Roman"/>
        </w:rPr>
        <w:t>Bonmarin</w:t>
      </w:r>
      <w:proofErr w:type="spellEnd"/>
      <w:r w:rsidRPr="00A60D9A">
        <w:rPr>
          <w:rFonts w:eastAsia="Times New Roman"/>
        </w:rPr>
        <w:t xml:space="preserve"> I, </w:t>
      </w:r>
      <w:proofErr w:type="spellStart"/>
      <w:r w:rsidRPr="00A60D9A">
        <w:rPr>
          <w:rFonts w:eastAsia="Times New Roman"/>
        </w:rPr>
        <w:t>Lévy-Bruhl</w:t>
      </w:r>
      <w:proofErr w:type="spellEnd"/>
      <w:r w:rsidRPr="00A60D9A">
        <w:rPr>
          <w:rFonts w:eastAsia="Times New Roman"/>
        </w:rPr>
        <w:t xml:space="preserve"> D, </w:t>
      </w:r>
      <w:proofErr w:type="spellStart"/>
      <w:r w:rsidRPr="00A60D9A">
        <w:rPr>
          <w:rFonts w:eastAsia="Times New Roman"/>
        </w:rPr>
        <w:t>Desenclos</w:t>
      </w:r>
      <w:proofErr w:type="spellEnd"/>
      <w:r w:rsidRPr="00A60D9A">
        <w:rPr>
          <w:rFonts w:eastAsia="Times New Roman"/>
        </w:rPr>
        <w:t xml:space="preserve"> JC. Surveillance of lower respiratory tract infections outbreaks in nursing homes in France. </w:t>
      </w:r>
      <w:proofErr w:type="spellStart"/>
      <w:r w:rsidRPr="00415370">
        <w:rPr>
          <w:rStyle w:val="Emphasis"/>
          <w:rFonts w:eastAsia="Times New Roman"/>
          <w:b w:val="0"/>
        </w:rPr>
        <w:t>Eur</w:t>
      </w:r>
      <w:proofErr w:type="spellEnd"/>
      <w:r w:rsidRPr="00415370">
        <w:rPr>
          <w:rStyle w:val="Emphasis"/>
          <w:rFonts w:eastAsia="Times New Roman"/>
          <w:b w:val="0"/>
        </w:rPr>
        <w:t xml:space="preserve"> J </w:t>
      </w:r>
      <w:proofErr w:type="spellStart"/>
      <w:r w:rsidRPr="00415370">
        <w:rPr>
          <w:rStyle w:val="Emphasis"/>
          <w:rFonts w:eastAsia="Times New Roman"/>
          <w:b w:val="0"/>
        </w:rPr>
        <w:t>Epidemiol</w:t>
      </w:r>
      <w:proofErr w:type="spellEnd"/>
      <w:r w:rsidRPr="00A60D9A">
        <w:rPr>
          <w:rFonts w:eastAsia="Times New Roman"/>
        </w:rPr>
        <w:t>. 2009</w:t>
      </w:r>
      <w:proofErr w:type="gramStart"/>
      <w:r w:rsidRPr="00A60D9A">
        <w:rPr>
          <w:rFonts w:eastAsia="Times New Roman"/>
        </w:rPr>
        <w:t>;24</w:t>
      </w:r>
      <w:proofErr w:type="gramEnd"/>
      <w:r w:rsidRPr="00A60D9A">
        <w:rPr>
          <w:rFonts w:eastAsia="Times New Roman"/>
        </w:rPr>
        <w:t xml:space="preserve">(3):149–55. </w:t>
      </w:r>
    </w:p>
    <w:p w:rsidR="00442AAD" w:rsidRPr="00A60D9A" w:rsidRDefault="00442AAD" w:rsidP="00A60D9A">
      <w:pPr>
        <w:pStyle w:val="ListParagraph"/>
        <w:numPr>
          <w:ilvl w:val="0"/>
          <w:numId w:val="12"/>
        </w:numPr>
        <w:rPr>
          <w:rFonts w:eastAsia="Times New Roman"/>
        </w:rPr>
      </w:pPr>
      <w:r w:rsidRPr="00A60D9A">
        <w:rPr>
          <w:rFonts w:eastAsia="Times New Roman"/>
        </w:rPr>
        <w:lastRenderedPageBreak/>
        <w:t xml:space="preserve">Mahmud SM, Thompson LH, </w:t>
      </w:r>
      <w:proofErr w:type="spellStart"/>
      <w:r w:rsidRPr="00A60D9A">
        <w:rPr>
          <w:rFonts w:eastAsia="Times New Roman"/>
        </w:rPr>
        <w:t>Nowicki</w:t>
      </w:r>
      <w:proofErr w:type="spellEnd"/>
      <w:r w:rsidRPr="00A60D9A">
        <w:rPr>
          <w:rFonts w:eastAsia="Times New Roman"/>
        </w:rPr>
        <w:t xml:space="preserve"> DL, </w:t>
      </w:r>
      <w:proofErr w:type="spellStart"/>
      <w:r w:rsidRPr="00A60D9A">
        <w:rPr>
          <w:rFonts w:eastAsia="Times New Roman"/>
        </w:rPr>
        <w:t>Plourde</w:t>
      </w:r>
      <w:proofErr w:type="spellEnd"/>
      <w:r w:rsidRPr="00A60D9A">
        <w:rPr>
          <w:rFonts w:eastAsia="Times New Roman"/>
        </w:rPr>
        <w:t xml:space="preserve"> PJ. Outbreaks of influenza-like illness in long-term care facilities in Winnipeg, Canada. </w:t>
      </w:r>
      <w:r w:rsidRPr="00415370">
        <w:rPr>
          <w:rStyle w:val="Emphasis"/>
          <w:rFonts w:eastAsia="Times New Roman"/>
          <w:b w:val="0"/>
        </w:rPr>
        <w:t xml:space="preserve">Influenza Other </w:t>
      </w:r>
      <w:proofErr w:type="spellStart"/>
      <w:r w:rsidRPr="00415370">
        <w:rPr>
          <w:rStyle w:val="Emphasis"/>
          <w:rFonts w:eastAsia="Times New Roman"/>
          <w:b w:val="0"/>
        </w:rPr>
        <w:t>Respir</w:t>
      </w:r>
      <w:proofErr w:type="spellEnd"/>
      <w:r w:rsidRPr="00415370">
        <w:rPr>
          <w:rStyle w:val="Emphasis"/>
          <w:rFonts w:eastAsia="Times New Roman"/>
          <w:b w:val="0"/>
        </w:rPr>
        <w:t xml:space="preserve"> Viruses</w:t>
      </w:r>
      <w:r w:rsidRPr="00A60D9A">
        <w:rPr>
          <w:rFonts w:eastAsia="Times New Roman"/>
        </w:rPr>
        <w:t>. 2013</w:t>
      </w:r>
      <w:proofErr w:type="gramStart"/>
      <w:r w:rsidRPr="00A60D9A">
        <w:rPr>
          <w:rFonts w:eastAsia="Times New Roman"/>
        </w:rPr>
        <w:t>;7</w:t>
      </w:r>
      <w:proofErr w:type="gramEnd"/>
      <w:r w:rsidRPr="00A60D9A">
        <w:rPr>
          <w:rFonts w:eastAsia="Times New Roman"/>
        </w:rPr>
        <w:t xml:space="preserve">(6):1055–61.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New South Wales Government Department of Health. Influenza control guideline. [Internet.] Sydney: New South Wales Government Department of Health; July 2018. [Accessed during January 2021.] Available from: https://www.health.nsw.gov.au/Infectious/controlguideline/Pages/influenza.aspx.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New South Wales Government Department of Health. </w:t>
      </w:r>
      <w:r w:rsidRPr="00415370">
        <w:rPr>
          <w:rStyle w:val="Emphasis"/>
          <w:rFonts w:eastAsia="Times New Roman"/>
          <w:b w:val="0"/>
        </w:rPr>
        <w:t>Influenza surveillance monthly report, December 2019 (weeks 49-52)</w:t>
      </w:r>
      <w:r w:rsidRPr="00A60D9A">
        <w:rPr>
          <w:rFonts w:eastAsia="Times New Roman"/>
        </w:rPr>
        <w:t>. Sydney: New South Wales Government Department of Health; 2020. [Accessed 12 March 2020.] Available from: https://www.health.nsw.gov.au/Infectious/Influenza/Publications/201</w:t>
      </w:r>
      <w:r w:rsidR="002D5F97">
        <w:rPr>
          <w:rFonts w:eastAsia="Times New Roman"/>
        </w:rPr>
        <w:t>9</w:t>
      </w:r>
      <w:r w:rsidRPr="00A60D9A">
        <w:rPr>
          <w:rFonts w:eastAsia="Times New Roman"/>
        </w:rPr>
        <w:t xml:space="preserve">/december-flu-report.pdf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Australian Institute of Health and Welfare (AIHW). Aged care data: explore services and places in aged care. [Internet.] Canberra: Australian Government, AIHW; 2019. [Accessed during December 2019.] Available from: https://www.gen-agedcaredata.gov.au/Topics/Services-and-places-in-aged-care/Explore-services-and-places-in-aged-care.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Centre for Epidemiology and Evidence. </w:t>
      </w:r>
      <w:proofErr w:type="spellStart"/>
      <w:r w:rsidRPr="00A60D9A">
        <w:rPr>
          <w:rFonts w:eastAsia="Times New Roman"/>
        </w:rPr>
        <w:t>HealthStats</w:t>
      </w:r>
      <w:proofErr w:type="spellEnd"/>
      <w:r w:rsidRPr="00A60D9A">
        <w:rPr>
          <w:rFonts w:eastAsia="Times New Roman"/>
        </w:rPr>
        <w:t xml:space="preserve"> NSW: Influenza and pneumococcal disease immunisation. [Internet.] Sydney: New South Wales Government Ministry of Health. [Accessed during December 2019.] Available from: http://www.healthstats.nsw.gov.au/Indicator/com_flupneumoimmu_age/com_flupneumoimmu_age_snap?&amp;topic=Immunisation&amp;topic1=topic_immunis&amp;code=immu. </w:t>
      </w:r>
    </w:p>
    <w:p w:rsidR="00442AAD" w:rsidRPr="00A60D9A" w:rsidRDefault="00442AAD" w:rsidP="00A60D9A">
      <w:pPr>
        <w:pStyle w:val="ListParagraph"/>
        <w:numPr>
          <w:ilvl w:val="0"/>
          <w:numId w:val="12"/>
        </w:numPr>
        <w:rPr>
          <w:rFonts w:eastAsia="Times New Roman"/>
        </w:rPr>
      </w:pPr>
      <w:proofErr w:type="spellStart"/>
      <w:r w:rsidRPr="00A60D9A">
        <w:rPr>
          <w:rFonts w:eastAsia="Times New Roman"/>
        </w:rPr>
        <w:t>Boonwaat</w:t>
      </w:r>
      <w:proofErr w:type="spellEnd"/>
      <w:r w:rsidRPr="00A60D9A">
        <w:rPr>
          <w:rFonts w:eastAsia="Times New Roman"/>
        </w:rPr>
        <w:t xml:space="preserve"> L, Fletcher-</w:t>
      </w:r>
      <w:proofErr w:type="spellStart"/>
      <w:r w:rsidRPr="00A60D9A">
        <w:rPr>
          <w:rFonts w:eastAsia="Times New Roman"/>
        </w:rPr>
        <w:t>Lartey</w:t>
      </w:r>
      <w:proofErr w:type="spellEnd"/>
      <w:r w:rsidRPr="00A60D9A">
        <w:rPr>
          <w:rFonts w:eastAsia="Times New Roman"/>
        </w:rPr>
        <w:t xml:space="preserve"> S, </w:t>
      </w:r>
      <w:proofErr w:type="spellStart"/>
      <w:r w:rsidRPr="00A60D9A">
        <w:rPr>
          <w:rFonts w:eastAsia="Times New Roman"/>
        </w:rPr>
        <w:t>Conaty</w:t>
      </w:r>
      <w:proofErr w:type="spellEnd"/>
      <w:r w:rsidRPr="00A60D9A">
        <w:rPr>
          <w:rFonts w:eastAsia="Times New Roman"/>
        </w:rPr>
        <w:t xml:space="preserve"> S. Underreporting of influenza outbreaks in aged care facilities in South Western Sydney, Australia, 2014. </w:t>
      </w:r>
      <w:r w:rsidRPr="00415370">
        <w:rPr>
          <w:rStyle w:val="Emphasis"/>
          <w:rFonts w:eastAsia="Times New Roman"/>
          <w:b w:val="0"/>
        </w:rPr>
        <w:t xml:space="preserve">Western Pac </w:t>
      </w:r>
      <w:proofErr w:type="spellStart"/>
      <w:r w:rsidRPr="00415370">
        <w:rPr>
          <w:rStyle w:val="Emphasis"/>
          <w:rFonts w:eastAsia="Times New Roman"/>
          <w:b w:val="0"/>
        </w:rPr>
        <w:t>Surveill</w:t>
      </w:r>
      <w:proofErr w:type="spellEnd"/>
      <w:r w:rsidRPr="00415370">
        <w:rPr>
          <w:rStyle w:val="Emphasis"/>
          <w:rFonts w:eastAsia="Times New Roman"/>
          <w:b w:val="0"/>
        </w:rPr>
        <w:t xml:space="preserve"> Response J</w:t>
      </w:r>
      <w:r w:rsidRPr="00A60D9A">
        <w:rPr>
          <w:rFonts w:eastAsia="Times New Roman"/>
        </w:rPr>
        <w:t>. 2016</w:t>
      </w:r>
      <w:proofErr w:type="gramStart"/>
      <w:r w:rsidRPr="00A60D9A">
        <w:rPr>
          <w:rFonts w:eastAsia="Times New Roman"/>
        </w:rPr>
        <w:t>;7</w:t>
      </w:r>
      <w:proofErr w:type="gramEnd"/>
      <w:r w:rsidRPr="00A60D9A">
        <w:rPr>
          <w:rFonts w:eastAsia="Times New Roman"/>
        </w:rPr>
        <w:t xml:space="preserve">(1):32–4.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The Academy of Medical Sciences. </w:t>
      </w:r>
      <w:r w:rsidRPr="00415370">
        <w:rPr>
          <w:rStyle w:val="Emphasis"/>
          <w:rFonts w:eastAsia="Times New Roman"/>
          <w:b w:val="0"/>
        </w:rPr>
        <w:t xml:space="preserve">Use of </w:t>
      </w:r>
      <w:proofErr w:type="spellStart"/>
      <w:r w:rsidRPr="00415370">
        <w:rPr>
          <w:rStyle w:val="Emphasis"/>
          <w:rFonts w:eastAsia="Times New Roman"/>
          <w:b w:val="0"/>
        </w:rPr>
        <w:t>neurominidase</w:t>
      </w:r>
      <w:proofErr w:type="spellEnd"/>
      <w:r w:rsidRPr="00415370">
        <w:rPr>
          <w:rStyle w:val="Emphasis"/>
          <w:rFonts w:eastAsia="Times New Roman"/>
          <w:b w:val="0"/>
        </w:rPr>
        <w:t xml:space="preserve"> inhibitors in influenza; October 2015</w:t>
      </w:r>
      <w:r w:rsidRPr="00A60D9A">
        <w:rPr>
          <w:rFonts w:eastAsia="Times New Roman"/>
        </w:rPr>
        <w:t xml:space="preserve">. London: Academy of Medical Sciences; 2015. [Accessed during December 2019.] Available from: https://acmedsci.ac.uk/file-download/38069-561595082cd83.pdf. </w:t>
      </w:r>
    </w:p>
    <w:p w:rsidR="00442AAD" w:rsidRPr="00A60D9A" w:rsidRDefault="00442AAD" w:rsidP="00A60D9A">
      <w:pPr>
        <w:pStyle w:val="ListParagraph"/>
        <w:numPr>
          <w:ilvl w:val="0"/>
          <w:numId w:val="12"/>
        </w:numPr>
        <w:rPr>
          <w:rFonts w:eastAsia="Times New Roman"/>
        </w:rPr>
      </w:pPr>
      <w:r w:rsidRPr="00A60D9A">
        <w:rPr>
          <w:rFonts w:eastAsia="Times New Roman"/>
        </w:rPr>
        <w:t xml:space="preserve">Merritt T, Hope K, Butler M, Durrheim D, Gupta L, Najjar Z et al. Effect of antiviral prophylaxis on influenza outbreaks in aged care facilities in three local health districts in New South Wales, Australia, 2014. </w:t>
      </w:r>
      <w:r w:rsidRPr="00415370">
        <w:rPr>
          <w:rStyle w:val="Emphasis"/>
          <w:rFonts w:eastAsia="Times New Roman"/>
          <w:b w:val="0"/>
        </w:rPr>
        <w:t xml:space="preserve">Western Pac </w:t>
      </w:r>
      <w:proofErr w:type="spellStart"/>
      <w:r w:rsidRPr="00415370">
        <w:rPr>
          <w:rStyle w:val="Emphasis"/>
          <w:rFonts w:eastAsia="Times New Roman"/>
          <w:b w:val="0"/>
        </w:rPr>
        <w:t>Surveill</w:t>
      </w:r>
      <w:proofErr w:type="spellEnd"/>
      <w:r w:rsidRPr="00415370">
        <w:rPr>
          <w:rStyle w:val="Emphasis"/>
          <w:rFonts w:eastAsia="Times New Roman"/>
          <w:b w:val="0"/>
        </w:rPr>
        <w:t xml:space="preserve"> Response J</w:t>
      </w:r>
      <w:r w:rsidRPr="00A60D9A">
        <w:rPr>
          <w:rFonts w:eastAsia="Times New Roman"/>
        </w:rPr>
        <w:t>. 2016</w:t>
      </w:r>
      <w:proofErr w:type="gramStart"/>
      <w:r w:rsidRPr="00A60D9A">
        <w:rPr>
          <w:rFonts w:eastAsia="Times New Roman"/>
        </w:rPr>
        <w:t>;7</w:t>
      </w:r>
      <w:proofErr w:type="gramEnd"/>
      <w:r w:rsidRPr="00A60D9A">
        <w:rPr>
          <w:rFonts w:eastAsia="Times New Roman"/>
        </w:rPr>
        <w:t xml:space="preserve">(1):14–20. </w:t>
      </w:r>
    </w:p>
    <w:p w:rsidR="00442AAD" w:rsidRPr="00A60D9A" w:rsidRDefault="00442AAD" w:rsidP="00A60D9A">
      <w:pPr>
        <w:pStyle w:val="ListParagraph"/>
        <w:numPr>
          <w:ilvl w:val="0"/>
          <w:numId w:val="12"/>
        </w:numPr>
        <w:rPr>
          <w:rFonts w:eastAsia="Times New Roman"/>
        </w:rPr>
      </w:pPr>
      <w:proofErr w:type="spellStart"/>
      <w:r w:rsidRPr="00A60D9A">
        <w:rPr>
          <w:rFonts w:eastAsia="Times New Roman"/>
        </w:rPr>
        <w:t>Centers</w:t>
      </w:r>
      <w:proofErr w:type="spellEnd"/>
      <w:r w:rsidRPr="00A60D9A">
        <w:rPr>
          <w:rFonts w:eastAsia="Times New Roman"/>
        </w:rPr>
        <w:t xml:space="preserve"> for Disease Control and Prevention (CDC). Interim guidance for influenza outbreak management in long-term care and post-acute facilities. [Internet.] Atlanta: United States Government Department of Health and Human Services, CDC; 2016. [Accessed during December 2019.] Available from: https://www.cdc.gov/flu/professionals/infectioncontrol/ltc-facility-guidance.htm. </w:t>
      </w:r>
    </w:p>
    <w:p w:rsidR="00442AAD" w:rsidRPr="00A60D9A" w:rsidRDefault="00442AAD" w:rsidP="00A60D9A">
      <w:pPr>
        <w:pStyle w:val="ListParagraph"/>
        <w:numPr>
          <w:ilvl w:val="0"/>
          <w:numId w:val="12"/>
        </w:numPr>
        <w:rPr>
          <w:rFonts w:eastAsia="Times New Roman"/>
        </w:rPr>
      </w:pPr>
      <w:r w:rsidRPr="00A60D9A">
        <w:rPr>
          <w:rFonts w:eastAsia="Times New Roman"/>
        </w:rPr>
        <w:t>Australian Commission on Safety and Quality in Health Care (ACSQHC). Australian Atlas of Healthcare Variation Series. [Internet.] Canberra: Australian Government, ACSQHC. [Accessed during December 2019.] Available from: https://www.safetyandquality.gov.au/atlas/#2</w:t>
      </w:r>
    </w:p>
    <w:p w:rsidR="008B5348" w:rsidRDefault="008B5348">
      <w:pPr>
        <w:rPr>
          <w:rStyle w:val="A10"/>
        </w:rPr>
        <w:sectPr w:rsidR="008B5348" w:rsidSect="00A30C37">
          <w:pgSz w:w="11906" w:h="16838"/>
          <w:pgMar w:top="720" w:right="720" w:bottom="1134" w:left="720" w:header="709" w:footer="284" w:gutter="0"/>
          <w:cols w:space="708"/>
          <w:titlePg/>
          <w:docGrid w:linePitch="360"/>
        </w:sectPr>
      </w:pPr>
    </w:p>
    <w:p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390" w:rsidRDefault="00665390" w:rsidP="00E54DBA">
      <w:r>
        <w:separator/>
      </w:r>
    </w:p>
    <w:p w:rsidR="00665390" w:rsidRDefault="00665390"/>
    <w:p w:rsidR="00665390" w:rsidRDefault="00665390" w:rsidP="008714B0"/>
  </w:endnote>
  <w:endnote w:type="continuationSeparator" w:id="0">
    <w:p w:rsidR="00665390" w:rsidRDefault="00665390" w:rsidP="00E54DBA">
      <w:r>
        <w:continuationSeparator/>
      </w:r>
    </w:p>
    <w:p w:rsidR="00665390" w:rsidRDefault="00665390"/>
    <w:p w:rsidR="00665390" w:rsidRDefault="0066539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Minion Pro SmBd">
    <w:altName w:val="Cambria Math"/>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390" w:rsidRPr="0042435E" w:rsidRDefault="00665390"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375C7">
      <w:rPr>
        <w:noProof/>
        <w:sz w:val="18"/>
      </w:rPr>
      <w:t>16</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375C7">
      <w:rPr>
        <w:noProof/>
        <w:sz w:val="18"/>
      </w:rPr>
      <w:t>16</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415370">
      <w:rPr>
        <w:i/>
        <w:sz w:val="18"/>
      </w:rPr>
      <w:t>Commun</w:t>
    </w:r>
    <w:proofErr w:type="spellEnd"/>
    <w:r w:rsidRPr="00415370">
      <w:rPr>
        <w:i/>
        <w:sz w:val="18"/>
      </w:rPr>
      <w:t xml:space="preserve"> Dis </w:t>
    </w:r>
    <w:proofErr w:type="spellStart"/>
    <w:r w:rsidRPr="00415370">
      <w:rPr>
        <w:i/>
        <w:sz w:val="18"/>
      </w:rPr>
      <w:t>Intell</w:t>
    </w:r>
    <w:proofErr w:type="spellEnd"/>
    <w:r w:rsidRPr="00415370">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375C7">
      <w:rPr>
        <w:sz w:val="18"/>
      </w:rPr>
      <w:t>https://doi.org/10.33321/cdi.2021.45.22</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D375C7">
      <w:rPr>
        <w:sz w:val="18"/>
      </w:rPr>
      <w:t>30/4/2021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390" w:rsidRPr="00BB5378" w:rsidRDefault="00665390"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375C7">
      <w:rPr>
        <w:noProof/>
        <w:sz w:val="18"/>
      </w:rPr>
      <w:t>11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375C7">
      <w:rPr>
        <w:noProof/>
        <w:sz w:val="18"/>
      </w:rPr>
      <w:t>16</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415370">
      <w:rPr>
        <w:i/>
        <w:sz w:val="18"/>
      </w:rPr>
      <w:t>Commun</w:t>
    </w:r>
    <w:proofErr w:type="spellEnd"/>
    <w:r w:rsidRPr="00415370">
      <w:rPr>
        <w:i/>
        <w:sz w:val="18"/>
      </w:rPr>
      <w:t xml:space="preserve"> Dis </w:t>
    </w:r>
    <w:proofErr w:type="spellStart"/>
    <w:r w:rsidRPr="00415370">
      <w:rPr>
        <w:i/>
        <w:sz w:val="18"/>
      </w:rPr>
      <w:t>Intell</w:t>
    </w:r>
    <w:proofErr w:type="spellEnd"/>
    <w:r w:rsidRPr="00415370">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375C7">
      <w:rPr>
        <w:sz w:val="18"/>
      </w:rPr>
      <w:t>https://doi.org/10.33321/cdi.2021.45.22</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D375C7">
      <w:rPr>
        <w:sz w:val="18"/>
      </w:rPr>
      <w:t>30/4/2021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390" w:rsidRDefault="00665390" w:rsidP="00E54DBA">
      <w:r>
        <w:separator/>
      </w:r>
    </w:p>
  </w:footnote>
  <w:footnote w:type="continuationSeparator" w:id="0">
    <w:p w:rsidR="00665390" w:rsidRDefault="00665390" w:rsidP="00E54DBA">
      <w:r>
        <w:continuationSeparator/>
      </w:r>
    </w:p>
  </w:footnote>
  <w:footnote w:type="continuationNotice" w:id="1">
    <w:p w:rsidR="00665390" w:rsidRPr="00224EFF" w:rsidRDefault="00665390"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390" w:rsidRPr="00A153B6" w:rsidRDefault="00D375C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65390">
          <w:t>Original article</w:t>
        </w:r>
      </w:sdtContent>
    </w:sdt>
    <w:r w:rsidR="00665390">
      <w:ptab w:relativeTo="margin" w:alignment="right" w:leader="none"/>
    </w:r>
    <w:r w:rsidR="00665390"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390" w:rsidRPr="000A5F42" w:rsidRDefault="00665390" w:rsidP="000A5F42">
    <w:pPr>
      <w:pStyle w:val="Header"/>
      <w:jc w:val="center"/>
      <w:rPr>
        <w:b/>
      </w:rPr>
    </w:pPr>
    <w:r w:rsidRPr="00E810C5">
      <w:rPr>
        <w:rFonts w:cs="Myriad Pro"/>
        <w:noProof/>
        <w:color w:val="211D1E"/>
        <w:sz w:val="16"/>
      </w:rPr>
      <w:drawing>
        <wp:inline distT="0" distB="0" distL="0" distR="0" wp14:anchorId="25D9237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437792"/>
    <w:multiLevelType w:val="multilevel"/>
    <w:tmpl w:val="E594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2762F7"/>
    <w:multiLevelType w:val="hybridMultilevel"/>
    <w:tmpl w:val="DEB8D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507C37"/>
    <w:multiLevelType w:val="hybridMultilevel"/>
    <w:tmpl w:val="1C5A0E6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AC11D7"/>
    <w:multiLevelType w:val="multilevel"/>
    <w:tmpl w:val="277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9C69B8"/>
    <w:multiLevelType w:val="hybridMultilevel"/>
    <w:tmpl w:val="02E2EA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60B5CF1"/>
    <w:multiLevelType w:val="hybridMultilevel"/>
    <w:tmpl w:val="95543A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7BD64AE"/>
    <w:multiLevelType w:val="multilevel"/>
    <w:tmpl w:val="7E30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7"/>
  </w:num>
  <w:num w:numId="4">
    <w:abstractNumId w:val="0"/>
  </w:num>
  <w:num w:numId="5">
    <w:abstractNumId w:val="8"/>
  </w:num>
  <w:num w:numId="6">
    <w:abstractNumId w:val="9"/>
  </w:num>
  <w:num w:numId="7">
    <w:abstractNumId w:val="5"/>
  </w:num>
  <w:num w:numId="8">
    <w:abstractNumId w:val="2"/>
  </w:num>
  <w:num w:numId="9">
    <w:abstractNumId w:val="12"/>
  </w:num>
  <w:num w:numId="10">
    <w:abstractNumId w:val="3"/>
  </w:num>
  <w:num w:numId="11">
    <w:abstractNumId w:val="1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en-AU" w:vendorID="64" w:dllVersion="131078" w:nlCheck="1" w:checkStyle="1"/>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16"/>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14736"/>
    <w:rsid w:val="001200CB"/>
    <w:rsid w:val="00124EE6"/>
    <w:rsid w:val="001378A3"/>
    <w:rsid w:val="00155582"/>
    <w:rsid w:val="00161590"/>
    <w:rsid w:val="00171CC0"/>
    <w:rsid w:val="00171E82"/>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1354"/>
    <w:rsid w:val="00234F21"/>
    <w:rsid w:val="00242659"/>
    <w:rsid w:val="002428F7"/>
    <w:rsid w:val="0024315F"/>
    <w:rsid w:val="0024631C"/>
    <w:rsid w:val="00252C9A"/>
    <w:rsid w:val="00256309"/>
    <w:rsid w:val="00257484"/>
    <w:rsid w:val="00260636"/>
    <w:rsid w:val="00275C78"/>
    <w:rsid w:val="00280594"/>
    <w:rsid w:val="00281EE3"/>
    <w:rsid w:val="00284E4A"/>
    <w:rsid w:val="00293E49"/>
    <w:rsid w:val="002A3799"/>
    <w:rsid w:val="002A3BCC"/>
    <w:rsid w:val="002A4516"/>
    <w:rsid w:val="002A569F"/>
    <w:rsid w:val="002A7066"/>
    <w:rsid w:val="002B001E"/>
    <w:rsid w:val="002B09B7"/>
    <w:rsid w:val="002B75A9"/>
    <w:rsid w:val="002C21B0"/>
    <w:rsid w:val="002D5F97"/>
    <w:rsid w:val="002E2FB3"/>
    <w:rsid w:val="002F327B"/>
    <w:rsid w:val="00301626"/>
    <w:rsid w:val="00304095"/>
    <w:rsid w:val="003059EC"/>
    <w:rsid w:val="00316CCD"/>
    <w:rsid w:val="00324F7E"/>
    <w:rsid w:val="00325587"/>
    <w:rsid w:val="003301CF"/>
    <w:rsid w:val="003323BC"/>
    <w:rsid w:val="00346D42"/>
    <w:rsid w:val="00346E11"/>
    <w:rsid w:val="00351721"/>
    <w:rsid w:val="003601C0"/>
    <w:rsid w:val="003635F5"/>
    <w:rsid w:val="00372A88"/>
    <w:rsid w:val="00381A0F"/>
    <w:rsid w:val="003A1B3A"/>
    <w:rsid w:val="003A3E64"/>
    <w:rsid w:val="003A40F5"/>
    <w:rsid w:val="003A40FC"/>
    <w:rsid w:val="003B5B8C"/>
    <w:rsid w:val="003C7E69"/>
    <w:rsid w:val="003D79B1"/>
    <w:rsid w:val="003E74EE"/>
    <w:rsid w:val="003F0552"/>
    <w:rsid w:val="003F3BC2"/>
    <w:rsid w:val="00401ED1"/>
    <w:rsid w:val="0040224C"/>
    <w:rsid w:val="00413EE1"/>
    <w:rsid w:val="00415370"/>
    <w:rsid w:val="004164BB"/>
    <w:rsid w:val="00421ECE"/>
    <w:rsid w:val="00422FEB"/>
    <w:rsid w:val="0042435E"/>
    <w:rsid w:val="004305AF"/>
    <w:rsid w:val="004315F5"/>
    <w:rsid w:val="00433456"/>
    <w:rsid w:val="00433DFA"/>
    <w:rsid w:val="00435D67"/>
    <w:rsid w:val="00442AAD"/>
    <w:rsid w:val="00447C99"/>
    <w:rsid w:val="00464A58"/>
    <w:rsid w:val="00473D2D"/>
    <w:rsid w:val="00477241"/>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579"/>
    <w:rsid w:val="005C66A6"/>
    <w:rsid w:val="005D2465"/>
    <w:rsid w:val="005D258C"/>
    <w:rsid w:val="005D422C"/>
    <w:rsid w:val="005D52C8"/>
    <w:rsid w:val="005E33DD"/>
    <w:rsid w:val="005E4229"/>
    <w:rsid w:val="005E540E"/>
    <w:rsid w:val="005E55FB"/>
    <w:rsid w:val="005F16BB"/>
    <w:rsid w:val="005F178B"/>
    <w:rsid w:val="00607115"/>
    <w:rsid w:val="00620768"/>
    <w:rsid w:val="006225E0"/>
    <w:rsid w:val="0062594B"/>
    <w:rsid w:val="00631406"/>
    <w:rsid w:val="006324FF"/>
    <w:rsid w:val="006351D6"/>
    <w:rsid w:val="00636E0D"/>
    <w:rsid w:val="0064142F"/>
    <w:rsid w:val="00643CB4"/>
    <w:rsid w:val="00656427"/>
    <w:rsid w:val="00660255"/>
    <w:rsid w:val="00665390"/>
    <w:rsid w:val="006971F3"/>
    <w:rsid w:val="006A4624"/>
    <w:rsid w:val="006C2366"/>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87158"/>
    <w:rsid w:val="00792C7D"/>
    <w:rsid w:val="00794A4D"/>
    <w:rsid w:val="007A5234"/>
    <w:rsid w:val="007B013F"/>
    <w:rsid w:val="007B68DB"/>
    <w:rsid w:val="007B7854"/>
    <w:rsid w:val="007C56A1"/>
    <w:rsid w:val="007C6454"/>
    <w:rsid w:val="007E01E0"/>
    <w:rsid w:val="007E102C"/>
    <w:rsid w:val="007F0B93"/>
    <w:rsid w:val="007F2ECA"/>
    <w:rsid w:val="00811708"/>
    <w:rsid w:val="00816B90"/>
    <w:rsid w:val="00817799"/>
    <w:rsid w:val="00822F5F"/>
    <w:rsid w:val="00824FD3"/>
    <w:rsid w:val="00826589"/>
    <w:rsid w:val="00834484"/>
    <w:rsid w:val="00834BCC"/>
    <w:rsid w:val="00850D54"/>
    <w:rsid w:val="00854724"/>
    <w:rsid w:val="00861C22"/>
    <w:rsid w:val="00866344"/>
    <w:rsid w:val="008714B0"/>
    <w:rsid w:val="00876331"/>
    <w:rsid w:val="00880726"/>
    <w:rsid w:val="008A3544"/>
    <w:rsid w:val="008B48B8"/>
    <w:rsid w:val="008B5348"/>
    <w:rsid w:val="008B58F8"/>
    <w:rsid w:val="008C0712"/>
    <w:rsid w:val="008C4520"/>
    <w:rsid w:val="008C5F09"/>
    <w:rsid w:val="008D470F"/>
    <w:rsid w:val="008D6D87"/>
    <w:rsid w:val="008E1F8F"/>
    <w:rsid w:val="008E4768"/>
    <w:rsid w:val="008E761E"/>
    <w:rsid w:val="008F77B3"/>
    <w:rsid w:val="009008F5"/>
    <w:rsid w:val="00904CC1"/>
    <w:rsid w:val="009066AF"/>
    <w:rsid w:val="00912050"/>
    <w:rsid w:val="00912E48"/>
    <w:rsid w:val="0092746F"/>
    <w:rsid w:val="009336A1"/>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46AFC"/>
    <w:rsid w:val="00A553F8"/>
    <w:rsid w:val="00A60D9A"/>
    <w:rsid w:val="00A6708F"/>
    <w:rsid w:val="00A71BF6"/>
    <w:rsid w:val="00A7483E"/>
    <w:rsid w:val="00A86F9A"/>
    <w:rsid w:val="00AA35E6"/>
    <w:rsid w:val="00AA50B6"/>
    <w:rsid w:val="00AB1E94"/>
    <w:rsid w:val="00AB3472"/>
    <w:rsid w:val="00AB3B2D"/>
    <w:rsid w:val="00AD0762"/>
    <w:rsid w:val="00AE3DCF"/>
    <w:rsid w:val="00AE4452"/>
    <w:rsid w:val="00AE7C38"/>
    <w:rsid w:val="00B01F99"/>
    <w:rsid w:val="00B02B37"/>
    <w:rsid w:val="00B05276"/>
    <w:rsid w:val="00B132DB"/>
    <w:rsid w:val="00B31427"/>
    <w:rsid w:val="00B33861"/>
    <w:rsid w:val="00B40DE2"/>
    <w:rsid w:val="00B42F26"/>
    <w:rsid w:val="00B50210"/>
    <w:rsid w:val="00B53955"/>
    <w:rsid w:val="00B6408A"/>
    <w:rsid w:val="00B714B8"/>
    <w:rsid w:val="00B82C2C"/>
    <w:rsid w:val="00B8720B"/>
    <w:rsid w:val="00B876EF"/>
    <w:rsid w:val="00BA4697"/>
    <w:rsid w:val="00BB5378"/>
    <w:rsid w:val="00BC0BD3"/>
    <w:rsid w:val="00BD0107"/>
    <w:rsid w:val="00BE0C33"/>
    <w:rsid w:val="00BE262C"/>
    <w:rsid w:val="00BE6C3D"/>
    <w:rsid w:val="00BF0B07"/>
    <w:rsid w:val="00C07606"/>
    <w:rsid w:val="00C12542"/>
    <w:rsid w:val="00C24725"/>
    <w:rsid w:val="00C30BA9"/>
    <w:rsid w:val="00C3541E"/>
    <w:rsid w:val="00C36A8F"/>
    <w:rsid w:val="00C42834"/>
    <w:rsid w:val="00C42FFA"/>
    <w:rsid w:val="00C507D8"/>
    <w:rsid w:val="00C54A54"/>
    <w:rsid w:val="00C56145"/>
    <w:rsid w:val="00C62EAC"/>
    <w:rsid w:val="00C63F9F"/>
    <w:rsid w:val="00C7723C"/>
    <w:rsid w:val="00C838F5"/>
    <w:rsid w:val="00CA1AF4"/>
    <w:rsid w:val="00CA6068"/>
    <w:rsid w:val="00CB15E1"/>
    <w:rsid w:val="00CB3D46"/>
    <w:rsid w:val="00CD1A87"/>
    <w:rsid w:val="00CD35F3"/>
    <w:rsid w:val="00CD5C93"/>
    <w:rsid w:val="00CD626A"/>
    <w:rsid w:val="00CE342B"/>
    <w:rsid w:val="00CF320C"/>
    <w:rsid w:val="00CF3A4B"/>
    <w:rsid w:val="00CF4001"/>
    <w:rsid w:val="00CF4B3B"/>
    <w:rsid w:val="00D05837"/>
    <w:rsid w:val="00D12D8A"/>
    <w:rsid w:val="00D13E0C"/>
    <w:rsid w:val="00D25896"/>
    <w:rsid w:val="00D373A1"/>
    <w:rsid w:val="00D375C7"/>
    <w:rsid w:val="00D37C0F"/>
    <w:rsid w:val="00D45661"/>
    <w:rsid w:val="00D45943"/>
    <w:rsid w:val="00D47D22"/>
    <w:rsid w:val="00D51865"/>
    <w:rsid w:val="00D51D0C"/>
    <w:rsid w:val="00D73E98"/>
    <w:rsid w:val="00D74140"/>
    <w:rsid w:val="00DA6E56"/>
    <w:rsid w:val="00DC24E5"/>
    <w:rsid w:val="00DC6705"/>
    <w:rsid w:val="00DD2DE8"/>
    <w:rsid w:val="00DE38B4"/>
    <w:rsid w:val="00DE5D02"/>
    <w:rsid w:val="00DF7516"/>
    <w:rsid w:val="00E005A9"/>
    <w:rsid w:val="00E1166E"/>
    <w:rsid w:val="00E15413"/>
    <w:rsid w:val="00E24DC0"/>
    <w:rsid w:val="00E2519C"/>
    <w:rsid w:val="00E25F2A"/>
    <w:rsid w:val="00E41455"/>
    <w:rsid w:val="00E42AD2"/>
    <w:rsid w:val="00E50856"/>
    <w:rsid w:val="00E538CC"/>
    <w:rsid w:val="00E54BBD"/>
    <w:rsid w:val="00E54DBA"/>
    <w:rsid w:val="00E63D7C"/>
    <w:rsid w:val="00E640D5"/>
    <w:rsid w:val="00E64CEB"/>
    <w:rsid w:val="00E66E2E"/>
    <w:rsid w:val="00E67691"/>
    <w:rsid w:val="00E92237"/>
    <w:rsid w:val="00E951EF"/>
    <w:rsid w:val="00EA3D54"/>
    <w:rsid w:val="00EA56D9"/>
    <w:rsid w:val="00EA5CE3"/>
    <w:rsid w:val="00EB51C1"/>
    <w:rsid w:val="00EB5AE1"/>
    <w:rsid w:val="00EB5E0B"/>
    <w:rsid w:val="00EC2171"/>
    <w:rsid w:val="00EC6EF0"/>
    <w:rsid w:val="00ED442D"/>
    <w:rsid w:val="00ED70C2"/>
    <w:rsid w:val="00EE18FF"/>
    <w:rsid w:val="00EE489F"/>
    <w:rsid w:val="00F0647F"/>
    <w:rsid w:val="00F10CE3"/>
    <w:rsid w:val="00F14F3B"/>
    <w:rsid w:val="00F16362"/>
    <w:rsid w:val="00F207C7"/>
    <w:rsid w:val="00F243A7"/>
    <w:rsid w:val="00F36B6D"/>
    <w:rsid w:val="00F43FA3"/>
    <w:rsid w:val="00F513FC"/>
    <w:rsid w:val="00F55648"/>
    <w:rsid w:val="00F629DA"/>
    <w:rsid w:val="00F70046"/>
    <w:rsid w:val="00F748C2"/>
    <w:rsid w:val="00F76C5C"/>
    <w:rsid w:val="00F81EF3"/>
    <w:rsid w:val="00F84496"/>
    <w:rsid w:val="00F85DCB"/>
    <w:rsid w:val="00F86F9C"/>
    <w:rsid w:val="00F90D76"/>
    <w:rsid w:val="00F9791D"/>
    <w:rsid w:val="00FA6522"/>
    <w:rsid w:val="00FC002E"/>
    <w:rsid w:val="00FC4C23"/>
    <w:rsid w:val="00FC642E"/>
    <w:rsid w:val="00FD1166"/>
    <w:rsid w:val="00FD5A49"/>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476A592-980F-47D0-BB05-97940363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9C3FE2-4514-43AF-ACB0-47B5F0FC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5</TotalTime>
  <Pages>16</Pages>
  <Words>5090</Words>
  <Characters>29061</Characters>
  <Application>Microsoft Office Word</Application>
  <DocSecurity>0</DocSecurity>
  <Lines>846</Lines>
  <Paragraphs>579</Paragraphs>
  <ScaleCrop>false</ScaleCrop>
  <HeadingPairs>
    <vt:vector size="2" baseType="variant">
      <vt:variant>
        <vt:lpstr>Title</vt:lpstr>
      </vt:variant>
      <vt:variant>
        <vt:i4>1</vt:i4>
      </vt:variant>
    </vt:vector>
  </HeadingPairs>
  <TitlesOfParts>
    <vt:vector size="1" baseType="lpstr">
      <vt:lpstr>Communicable Diseases Intelligence 2021 -  Influenza outbreaks in aged care facilities in New South Wales in 2017: impact and lessons for surveillance</vt:lpstr>
    </vt:vector>
  </TitlesOfParts>
  <Company>Australian Government, Department of Health</Company>
  <LinksUpToDate>false</LinksUpToDate>
  <CharactersWithSpaces>33623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Influenza outbreaks in aged care facilities in New South Wales in 2017: impact and lessons for surveillance</dc:title>
  <dc:subject>This report presents data on all influenza outbreaks in aged care facilities in NSW in 2017. A record number of outbreaks resulted in major impact on facilities with 7613 ill residents and 793 hospitalisations. Poor completeness limited the utility of current surveillance data.</dc:subject>
  <dc:creator>Tony Merritt;Craig Dalton;Sheena Kakar;Mark Ferson;Priscilla Stanley;Robin Gilmour</dc:creator>
  <cp:keywords>Influenza; outbreak; aged care facility; surveillance; data quality; New South Wales</cp:keywords>
  <dc:description>© Commonwealth of Australia CC BY-NC-ND ISSN: 2209-6051 (Online)</dc:description>
  <cp:lastModifiedBy>YOUSEFI, Kasra</cp:lastModifiedBy>
  <cp:revision>5</cp:revision>
  <cp:lastPrinted>2018-05-10T02:19:00Z</cp:lastPrinted>
  <dcterms:created xsi:type="dcterms:W3CDTF">2021-03-16T04:17:00Z</dcterms:created>
  <dcterms:modified xsi:type="dcterms:W3CDTF">2021-04-27T00:50:00Z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30/4/2021</vt:lpwstr>
  </property>
  <property fmtid="{D5CDD505-2E9C-101B-9397-08002B2CF9AE}" pid="5" name="DOI">
    <vt:lpwstr>https://doi.org/10.33321/cdi.2021.45.22</vt:lpwstr>
  </property>
</Properties>
</file>