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34FF4" w14:textId="4EDCCFA4" w:rsidR="00DC1B5A" w:rsidRPr="00F528CB" w:rsidRDefault="00DC1B5A" w:rsidP="00F528CB">
      <w:pPr>
        <w:pStyle w:val="Title"/>
      </w:pPr>
      <w:r w:rsidRPr="00F528CB">
        <w:t>COVID-19 Australia: Epidemiology Report 2</w:t>
      </w:r>
      <w:r w:rsidR="00FD75E9" w:rsidRPr="00F528CB">
        <w:t>3</w:t>
      </w:r>
      <w:r w:rsidR="008E589D">
        <w:rPr>
          <w:rStyle w:val="FootnoteReference"/>
        </w:rPr>
        <w:footnoteReference w:id="2"/>
      </w:r>
    </w:p>
    <w:p w14:paraId="472F3FCC" w14:textId="77777777" w:rsidR="00DC1B5A" w:rsidRPr="00F528CB" w:rsidRDefault="00DC1B5A" w:rsidP="00F528CB">
      <w:pPr>
        <w:pStyle w:val="Subtitle"/>
      </w:pPr>
      <w:r w:rsidRPr="00F528CB">
        <w:t xml:space="preserve">Fortnightly reporting period ending </w:t>
      </w:r>
      <w:r w:rsidR="00FD75E9" w:rsidRPr="00F528CB">
        <w:t>16</w:t>
      </w:r>
      <w:r w:rsidR="0085142C" w:rsidRPr="00F528CB">
        <w:t xml:space="preserve"> August</w:t>
      </w:r>
      <w:r w:rsidRPr="00F528CB">
        <w:t xml:space="preserve"> 2020 </w:t>
      </w:r>
    </w:p>
    <w:p w14:paraId="7AAF4E32" w14:textId="77777777" w:rsidR="00DC1B5A" w:rsidRPr="003E3CB2" w:rsidRDefault="00DC1B5A" w:rsidP="00F528CB">
      <w:r w:rsidRPr="003E3CB2">
        <w:t>COVID-19 National Incident Room Surveillance Team</w:t>
      </w:r>
    </w:p>
    <w:p w14:paraId="3257D33E" w14:textId="77777777" w:rsidR="00DC1B5A" w:rsidRPr="0012554A" w:rsidRDefault="00DC1B5A" w:rsidP="00F528CB">
      <w:pPr>
        <w:rPr>
          <w:rStyle w:val="Emphasis"/>
          <w:rFonts w:cstheme="minorHAnsi"/>
          <w:b w:val="0"/>
          <w:color w:val="000000" w:themeColor="text1"/>
        </w:rPr>
      </w:pPr>
      <w:r w:rsidRPr="00F528CB">
        <w:rPr>
          <w:rStyle w:val="Emphasis"/>
          <w:rFonts w:cstheme="minorHAnsi"/>
          <w:b w:val="0"/>
          <w:color w:val="000000" w:themeColor="text1"/>
        </w:rPr>
        <w:t xml:space="preserve">Unless indicated, the source of all data, including notified cases of COVID-19 and associated deaths, is the National Notifiable Diseases Surveillance System (NNDSS) to </w:t>
      </w:r>
      <w:r w:rsidR="00FD75E9" w:rsidRPr="003E3CB2">
        <w:t>16</w:t>
      </w:r>
      <w:r w:rsidR="0085142C" w:rsidRPr="003E3CB2">
        <w:t xml:space="preserve"> August</w:t>
      </w:r>
      <w:r w:rsidRPr="00F528CB">
        <w:rPr>
          <w:rStyle w:val="Emphasis"/>
          <w:rFonts w:cstheme="minorHAnsi"/>
          <w:b w:val="0"/>
          <w:color w:val="000000" w:themeColor="text1"/>
        </w:rPr>
        <w:t xml:space="preserve"> 2020. Due to the dynamic nature of NNDSS data, data in this report are subject to retrospective revision and may vary from data reported in published NNDSS reports and reports of notification data by states and territories. Case numbers for the most recent dates of illness onset may be subject to revision, due to reporting delays.</w:t>
      </w:r>
    </w:p>
    <w:tbl>
      <w:tblPr>
        <w:tblStyle w:val="CDI-Standard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reporting fortnight. Most new COVID-19 notifications (3,628/3,767) have been reported in Victoria, where most cases are locally acquired and a large number of recent cases remain under investigation. New South Wales has reported 125 new COVID-19 notifications, the majority of which are locally acquired. In other states and territories, new notifications are predominantly overseas-acquired."/>
      </w:tblPr>
      <w:tblGrid>
        <w:gridCol w:w="2799"/>
        <w:gridCol w:w="2509"/>
        <w:gridCol w:w="2509"/>
        <w:gridCol w:w="2639"/>
      </w:tblGrid>
      <w:tr w:rsidR="00381565" w:rsidRPr="003E3CB2" w14:paraId="0C7FB264" w14:textId="77777777" w:rsidTr="00131BA4">
        <w:trPr>
          <w:cnfStyle w:val="100000000000" w:firstRow="1" w:lastRow="0" w:firstColumn="0" w:lastColumn="0" w:oddVBand="0" w:evenVBand="0" w:oddHBand="0" w:evenHBand="0" w:firstRowFirstColumn="0" w:firstRowLastColumn="0" w:lastRowFirstColumn="0" w:lastRowLastColumn="0"/>
          <w:trHeight w:val="225"/>
          <w:tblHeader/>
        </w:trPr>
        <w:tc>
          <w:tcPr>
            <w:tcW w:w="1338" w:type="pct"/>
            <w:tcBorders>
              <w:bottom w:val="nil"/>
              <w:right w:val="single" w:sz="2" w:space="0" w:color="FFFFFF" w:themeColor="background1"/>
            </w:tcBorders>
            <w:hideMark/>
          </w:tcPr>
          <w:p w14:paraId="6E4FCDC2" w14:textId="77777777" w:rsidR="0085142C" w:rsidRPr="003E3CB2" w:rsidRDefault="0085142C" w:rsidP="00711842">
            <w:pPr>
              <w:pStyle w:val="NormalWeb"/>
              <w:spacing w:before="0" w:beforeAutospacing="0" w:after="0" w:afterAutospacing="0"/>
              <w:rPr>
                <w:rFonts w:cstheme="minorHAnsi"/>
                <w:color w:val="FFFFFF" w:themeColor="background1"/>
              </w:rPr>
            </w:pPr>
            <w:r w:rsidRPr="003E3CB2">
              <w:rPr>
                <w:rFonts w:cstheme="minorHAnsi"/>
                <w:color w:val="FFFFFF" w:themeColor="background1"/>
              </w:rPr>
              <w:t xml:space="preserve">Confirmed cases in Australia   </w:t>
            </w:r>
          </w:p>
        </w:tc>
        <w:tc>
          <w:tcPr>
            <w:tcW w:w="1200" w:type="pct"/>
            <w:tcBorders>
              <w:left w:val="single" w:sz="2" w:space="0" w:color="FFFFFF" w:themeColor="background1"/>
              <w:bottom w:val="nil"/>
              <w:right w:val="single" w:sz="2" w:space="0" w:color="FFFFFF" w:themeColor="background1"/>
            </w:tcBorders>
          </w:tcPr>
          <w:p w14:paraId="06957C53" w14:textId="42040CC0" w:rsidR="00FD75E9" w:rsidRPr="003E3CB2" w:rsidRDefault="00E04A61" w:rsidP="00FD75E9">
            <w:pPr>
              <w:pStyle w:val="NormalWeb"/>
              <w:spacing w:before="0" w:beforeAutospacing="0" w:after="0" w:afterAutospacing="0"/>
              <w:jc w:val="center"/>
              <w:rPr>
                <w:rFonts w:cstheme="minorHAnsi"/>
                <w:color w:val="FFFFFF" w:themeColor="background1"/>
              </w:rPr>
            </w:pPr>
            <w:r w:rsidRPr="003E3CB2">
              <w:rPr>
                <w:rFonts w:cstheme="minorHAnsi"/>
                <w:color w:val="FFFFFF" w:themeColor="background1"/>
              </w:rPr>
              <w:t>La</w:t>
            </w:r>
            <w:r w:rsidR="00CC40B9" w:rsidRPr="003E3CB2">
              <w:rPr>
                <w:rFonts w:cstheme="minorHAnsi"/>
                <w:color w:val="FFFFFF" w:themeColor="background1"/>
              </w:rPr>
              <w:t xml:space="preserve">st </w:t>
            </w:r>
            <w:r w:rsidR="00FD75E9" w:rsidRPr="003E3CB2">
              <w:rPr>
                <w:rFonts w:cstheme="minorHAnsi"/>
                <w:color w:val="FFFFFF" w:themeColor="background1"/>
              </w:rPr>
              <w:t>reporting period</w:t>
            </w:r>
            <w:r w:rsidR="007220B5" w:rsidRPr="003E3CB2">
              <w:rPr>
                <w:rFonts w:cstheme="minorHAnsi"/>
                <w:color w:val="FFFFFF" w:themeColor="background1"/>
              </w:rPr>
              <w:br/>
              <w:t>20 July</w:t>
            </w:r>
            <w:r w:rsidR="000E7C28">
              <w:rPr>
                <w:rFonts w:cstheme="minorHAnsi"/>
                <w:color w:val="FFFFFF" w:themeColor="background1"/>
              </w:rPr>
              <w:t xml:space="preserve"> </w:t>
            </w:r>
            <w:r w:rsidR="007220B5" w:rsidRPr="003E3CB2">
              <w:rPr>
                <w:rFonts w:cstheme="minorHAnsi"/>
                <w:color w:val="FFFFFF" w:themeColor="background1"/>
              </w:rPr>
              <w:t>—</w:t>
            </w:r>
            <w:r w:rsidR="000E7C28">
              <w:rPr>
                <w:rFonts w:cstheme="minorHAnsi"/>
                <w:color w:val="FFFFFF" w:themeColor="background1"/>
              </w:rPr>
              <w:t xml:space="preserve"> </w:t>
            </w:r>
            <w:r w:rsidR="007220B5" w:rsidRPr="003E3CB2">
              <w:rPr>
                <w:rFonts w:cstheme="minorHAnsi"/>
                <w:color w:val="FFFFFF" w:themeColor="background1"/>
              </w:rPr>
              <w:t>2 August</w:t>
            </w:r>
            <w:r w:rsidR="00C66D41" w:rsidRPr="003E3CB2">
              <w:rPr>
                <w:rFonts w:cstheme="minorHAnsi"/>
                <w:color w:val="FFFFFF" w:themeColor="background1"/>
                <w:vertAlign w:val="superscript"/>
              </w:rPr>
              <w:t>a</w:t>
            </w:r>
          </w:p>
          <w:p w14:paraId="2FCF1E8C" w14:textId="77777777" w:rsidR="0085142C" w:rsidRPr="003E3CB2" w:rsidRDefault="0085142C" w:rsidP="00FD75E9">
            <w:pPr>
              <w:pStyle w:val="NormalWeb"/>
              <w:spacing w:before="0" w:beforeAutospacing="0" w:after="0" w:afterAutospacing="0"/>
              <w:jc w:val="center"/>
              <w:rPr>
                <w:rFonts w:cstheme="minorHAnsi"/>
                <w:color w:val="FFFFFF" w:themeColor="background1"/>
              </w:rPr>
            </w:pPr>
          </w:p>
        </w:tc>
        <w:tc>
          <w:tcPr>
            <w:tcW w:w="1200" w:type="pct"/>
            <w:tcBorders>
              <w:left w:val="single" w:sz="2" w:space="0" w:color="FFFFFF" w:themeColor="background1"/>
              <w:bottom w:val="nil"/>
              <w:right w:val="single" w:sz="2" w:space="0" w:color="FFFFFF" w:themeColor="background1"/>
            </w:tcBorders>
          </w:tcPr>
          <w:p w14:paraId="37D3A2A6" w14:textId="77777777" w:rsidR="0085142C" w:rsidRPr="003E3CB2" w:rsidRDefault="00CC40B9" w:rsidP="00711842">
            <w:pPr>
              <w:pStyle w:val="NormalWeb"/>
              <w:spacing w:before="0" w:beforeAutospacing="0" w:after="0" w:afterAutospacing="0"/>
              <w:jc w:val="center"/>
              <w:rPr>
                <w:rFonts w:cstheme="minorHAnsi"/>
                <w:color w:val="FFFFFF" w:themeColor="background1"/>
              </w:rPr>
            </w:pPr>
            <w:r w:rsidRPr="003E3CB2">
              <w:rPr>
                <w:rFonts w:cstheme="minorHAnsi"/>
                <w:color w:val="FFFFFF" w:themeColor="background1"/>
              </w:rPr>
              <w:t>This reporting p</w:t>
            </w:r>
            <w:r w:rsidR="0085142C" w:rsidRPr="003E3CB2">
              <w:rPr>
                <w:rFonts w:cstheme="minorHAnsi"/>
                <w:color w:val="FFFFFF" w:themeColor="background1"/>
              </w:rPr>
              <w:t>eriod</w:t>
            </w:r>
          </w:p>
          <w:p w14:paraId="4D138036" w14:textId="77777777" w:rsidR="0085142C" w:rsidRPr="003E3CB2" w:rsidRDefault="00FD75E9" w:rsidP="00FD75E9">
            <w:pPr>
              <w:pStyle w:val="NormalWeb"/>
              <w:spacing w:before="0" w:beforeAutospacing="0" w:after="0" w:afterAutospacing="0"/>
              <w:jc w:val="center"/>
              <w:rPr>
                <w:rFonts w:cstheme="minorHAnsi"/>
                <w:color w:val="FFFFFF" w:themeColor="background1"/>
                <w:vertAlign w:val="superscript"/>
              </w:rPr>
            </w:pPr>
            <w:r w:rsidRPr="003E3CB2">
              <w:rPr>
                <w:rFonts w:cstheme="minorHAnsi"/>
                <w:color w:val="FFFFFF" w:themeColor="background1"/>
              </w:rPr>
              <w:t xml:space="preserve">3—16 </w:t>
            </w:r>
            <w:r w:rsidR="0085142C" w:rsidRPr="003E3CB2">
              <w:rPr>
                <w:rFonts w:cstheme="minorHAnsi"/>
                <w:color w:val="FFFFFF" w:themeColor="background1"/>
              </w:rPr>
              <w:t>August</w:t>
            </w:r>
            <w:r w:rsidR="00C66D41" w:rsidRPr="003E3CB2">
              <w:rPr>
                <w:rFonts w:cstheme="minorHAnsi"/>
                <w:color w:val="FFFFFF" w:themeColor="background1"/>
                <w:vertAlign w:val="superscript"/>
              </w:rPr>
              <w:t>a</w:t>
            </w:r>
          </w:p>
        </w:tc>
        <w:tc>
          <w:tcPr>
            <w:tcW w:w="1262" w:type="pct"/>
            <w:tcBorders>
              <w:left w:val="single" w:sz="2" w:space="0" w:color="FFFFFF" w:themeColor="background1"/>
              <w:bottom w:val="nil"/>
            </w:tcBorders>
          </w:tcPr>
          <w:p w14:paraId="002A8385" w14:textId="77777777" w:rsidR="0085142C" w:rsidRPr="003E3CB2" w:rsidRDefault="0085142C" w:rsidP="00711842">
            <w:pPr>
              <w:pStyle w:val="NormalWeb"/>
              <w:spacing w:before="0" w:beforeAutospacing="0" w:after="0" w:afterAutospacing="0"/>
              <w:jc w:val="center"/>
              <w:rPr>
                <w:rFonts w:cstheme="minorHAnsi"/>
                <w:color w:val="FFFFFF" w:themeColor="background1"/>
              </w:rPr>
            </w:pPr>
            <w:proofErr w:type="spellStart"/>
            <w:r w:rsidRPr="003E3CB2">
              <w:rPr>
                <w:rFonts w:cstheme="minorHAnsi"/>
                <w:color w:val="FFFFFF" w:themeColor="background1"/>
              </w:rPr>
              <w:t>Cumulative</w:t>
            </w:r>
            <w:r w:rsidR="00C66D41" w:rsidRPr="003E3CB2">
              <w:rPr>
                <w:rFonts w:cstheme="minorHAnsi"/>
                <w:color w:val="FFFFFF" w:themeColor="background1"/>
                <w:vertAlign w:val="superscript"/>
              </w:rPr>
              <w:t>b</w:t>
            </w:r>
            <w:proofErr w:type="spellEnd"/>
          </w:p>
          <w:p w14:paraId="7A042801" w14:textId="77777777" w:rsidR="0085142C" w:rsidRPr="003E3CB2" w:rsidRDefault="0085142C" w:rsidP="00FD75E9">
            <w:pPr>
              <w:pStyle w:val="NormalWeb"/>
              <w:spacing w:before="0" w:beforeAutospacing="0" w:after="0" w:afterAutospacing="0"/>
              <w:jc w:val="center"/>
              <w:rPr>
                <w:rFonts w:cstheme="minorHAnsi"/>
                <w:color w:val="FFFFFF" w:themeColor="background1"/>
              </w:rPr>
            </w:pPr>
            <w:r w:rsidRPr="003E3CB2">
              <w:rPr>
                <w:rFonts w:cstheme="minorHAnsi"/>
                <w:color w:val="FFFFFF" w:themeColor="background1"/>
              </w:rPr>
              <w:t xml:space="preserve">As at </w:t>
            </w:r>
            <w:r w:rsidR="00FD75E9" w:rsidRPr="003E3CB2">
              <w:rPr>
                <w:rFonts w:cstheme="minorHAnsi"/>
                <w:color w:val="FFFFFF" w:themeColor="background1"/>
              </w:rPr>
              <w:t>16</w:t>
            </w:r>
            <w:r w:rsidRPr="003E3CB2">
              <w:rPr>
                <w:rFonts w:cstheme="minorHAnsi"/>
                <w:color w:val="FFFFFF" w:themeColor="background1"/>
              </w:rPr>
              <w:t xml:space="preserve"> August 2020</w:t>
            </w:r>
          </w:p>
        </w:tc>
      </w:tr>
      <w:tr w:rsidR="009B60D2" w:rsidRPr="003E3CB2" w14:paraId="1054C831" w14:textId="77777777" w:rsidTr="00131BA4">
        <w:tc>
          <w:tcPr>
            <w:tcW w:w="1338" w:type="pct"/>
            <w:tcBorders>
              <w:top w:val="nil"/>
              <w:left w:val="nil"/>
              <w:bottom w:val="nil"/>
              <w:right w:val="nil"/>
            </w:tcBorders>
            <w:hideMark/>
          </w:tcPr>
          <w:p w14:paraId="19EB6A24" w14:textId="77777777" w:rsidR="009B60D2" w:rsidRPr="003E3CB2" w:rsidRDefault="009B60D2" w:rsidP="009B60D2">
            <w:pPr>
              <w:pStyle w:val="NormalWeb"/>
              <w:spacing w:before="0" w:beforeAutospacing="0" w:after="0" w:afterAutospacing="0"/>
              <w:rPr>
                <w:rFonts w:asciiTheme="minorHAnsi" w:hAnsiTheme="minorHAnsi" w:cstheme="minorHAnsi"/>
                <w:color w:val="000000" w:themeColor="text1"/>
                <w:szCs w:val="18"/>
              </w:rPr>
            </w:pPr>
            <w:r w:rsidRPr="003E3CB2">
              <w:rPr>
                <w:rFonts w:asciiTheme="minorHAnsi" w:hAnsiTheme="minorHAnsi" w:cstheme="minorHAnsi"/>
                <w:color w:val="000000" w:themeColor="text1"/>
                <w:szCs w:val="18"/>
              </w:rPr>
              <w:t>Notifications</w:t>
            </w:r>
          </w:p>
        </w:tc>
        <w:tc>
          <w:tcPr>
            <w:tcW w:w="1200" w:type="pct"/>
            <w:tcBorders>
              <w:top w:val="nil"/>
              <w:left w:val="nil"/>
              <w:bottom w:val="nil"/>
              <w:right w:val="nil"/>
            </w:tcBorders>
          </w:tcPr>
          <w:p w14:paraId="7753A950" w14:textId="77777777" w:rsidR="009B60D2" w:rsidRPr="003E3CB2" w:rsidRDefault="009B60D2" w:rsidP="009B60D2">
            <w:pPr>
              <w:pStyle w:val="NormalWeb"/>
              <w:spacing w:before="0" w:beforeAutospacing="0" w:after="0" w:afterAutospacing="0"/>
              <w:jc w:val="center"/>
              <w:rPr>
                <w:rFonts w:asciiTheme="minorHAnsi" w:hAnsiTheme="minorHAnsi" w:cstheme="minorHAnsi"/>
                <w:color w:val="000000" w:themeColor="text1"/>
                <w:sz w:val="20"/>
                <w:szCs w:val="18"/>
              </w:rPr>
            </w:pPr>
            <w:r w:rsidRPr="003E3CB2">
              <w:rPr>
                <w:rFonts w:asciiTheme="minorHAnsi" w:hAnsiTheme="minorHAnsi" w:cstheme="minorHAnsi"/>
                <w:color w:val="000000" w:themeColor="text1"/>
              </w:rPr>
              <w:t>5,944</w:t>
            </w:r>
          </w:p>
        </w:tc>
        <w:tc>
          <w:tcPr>
            <w:tcW w:w="1200" w:type="pct"/>
            <w:tcBorders>
              <w:top w:val="nil"/>
              <w:left w:val="nil"/>
              <w:bottom w:val="nil"/>
              <w:right w:val="nil"/>
            </w:tcBorders>
          </w:tcPr>
          <w:p w14:paraId="5F9351C7" w14:textId="77777777" w:rsidR="009B60D2" w:rsidRPr="003E3CB2" w:rsidRDefault="009B60D2" w:rsidP="009B60D2">
            <w:pPr>
              <w:pStyle w:val="NormalWeb"/>
              <w:spacing w:before="0" w:beforeAutospacing="0" w:after="0" w:afterAutospacing="0"/>
              <w:jc w:val="center"/>
              <w:rPr>
                <w:rFonts w:asciiTheme="minorHAnsi" w:hAnsiTheme="minorHAnsi" w:cstheme="minorHAnsi"/>
                <w:color w:val="000000" w:themeColor="text1"/>
                <w:sz w:val="20"/>
                <w:szCs w:val="18"/>
              </w:rPr>
            </w:pPr>
            <w:r w:rsidRPr="003E3CB2">
              <w:rPr>
                <w:rFonts w:asciiTheme="minorHAnsi" w:hAnsiTheme="minorHAnsi" w:cstheme="minorHAnsi"/>
                <w:color w:val="000000" w:themeColor="text1"/>
              </w:rPr>
              <w:t>3,767</w:t>
            </w:r>
          </w:p>
        </w:tc>
        <w:tc>
          <w:tcPr>
            <w:tcW w:w="1262" w:type="pct"/>
            <w:tcBorders>
              <w:top w:val="nil"/>
              <w:left w:val="nil"/>
              <w:bottom w:val="nil"/>
              <w:right w:val="nil"/>
            </w:tcBorders>
          </w:tcPr>
          <w:p w14:paraId="31B538E7" w14:textId="77777777" w:rsidR="009B60D2" w:rsidRPr="003E3CB2" w:rsidRDefault="009B60D2" w:rsidP="009B60D2">
            <w:pPr>
              <w:pStyle w:val="NormalWeb"/>
              <w:spacing w:before="0" w:beforeAutospacing="0" w:after="0" w:afterAutospacing="0"/>
              <w:jc w:val="center"/>
              <w:rPr>
                <w:rFonts w:asciiTheme="minorHAnsi" w:hAnsiTheme="minorHAnsi" w:cstheme="minorHAnsi"/>
                <w:color w:val="000000" w:themeColor="text1"/>
                <w:sz w:val="20"/>
                <w:szCs w:val="18"/>
              </w:rPr>
            </w:pPr>
            <w:r w:rsidRPr="003E3CB2">
              <w:rPr>
                <w:rFonts w:asciiTheme="minorHAnsi" w:hAnsiTheme="minorHAnsi" w:cstheme="minorHAnsi"/>
                <w:color w:val="000000" w:themeColor="text1"/>
              </w:rPr>
              <w:t>23,696</w:t>
            </w:r>
          </w:p>
        </w:tc>
      </w:tr>
      <w:tr w:rsidR="009B60D2" w:rsidRPr="003E3CB2" w14:paraId="2BF65E35" w14:textId="77777777" w:rsidTr="00131BA4">
        <w:trPr>
          <w:cnfStyle w:val="000000010000" w:firstRow="0" w:lastRow="0" w:firstColumn="0" w:lastColumn="0" w:oddVBand="0" w:evenVBand="0" w:oddHBand="0" w:evenHBand="1" w:firstRowFirstColumn="0" w:firstRowLastColumn="0" w:lastRowFirstColumn="0" w:lastRowLastColumn="0"/>
        </w:trPr>
        <w:tc>
          <w:tcPr>
            <w:tcW w:w="1338" w:type="pct"/>
            <w:tcBorders>
              <w:top w:val="nil"/>
              <w:left w:val="nil"/>
              <w:bottom w:val="nil"/>
              <w:right w:val="nil"/>
            </w:tcBorders>
            <w:hideMark/>
          </w:tcPr>
          <w:p w14:paraId="1F90C436" w14:textId="77777777" w:rsidR="009B60D2" w:rsidRPr="003E3CB2" w:rsidRDefault="009B60D2" w:rsidP="009B60D2">
            <w:pPr>
              <w:pStyle w:val="NormalWeb"/>
              <w:spacing w:before="0" w:beforeAutospacing="0" w:after="0" w:afterAutospacing="0"/>
              <w:rPr>
                <w:rFonts w:asciiTheme="minorHAnsi" w:hAnsiTheme="minorHAnsi" w:cstheme="minorHAnsi"/>
                <w:color w:val="000000" w:themeColor="text1"/>
                <w:szCs w:val="18"/>
              </w:rPr>
            </w:pPr>
            <w:r w:rsidRPr="003E3CB2">
              <w:rPr>
                <w:rFonts w:asciiTheme="minorHAnsi" w:hAnsiTheme="minorHAnsi" w:cstheme="minorHAnsi"/>
                <w:color w:val="000000" w:themeColor="text1"/>
                <w:szCs w:val="18"/>
              </w:rPr>
              <w:t>Deaths</w:t>
            </w:r>
          </w:p>
        </w:tc>
        <w:tc>
          <w:tcPr>
            <w:tcW w:w="1200" w:type="pct"/>
            <w:tcBorders>
              <w:top w:val="nil"/>
              <w:left w:val="nil"/>
              <w:bottom w:val="nil"/>
              <w:right w:val="nil"/>
            </w:tcBorders>
          </w:tcPr>
          <w:p w14:paraId="0FC41F3E" w14:textId="77777777" w:rsidR="009B60D2" w:rsidRPr="003E3CB2" w:rsidRDefault="009B60D2" w:rsidP="009B60D2">
            <w:pPr>
              <w:pStyle w:val="NormalWeb"/>
              <w:spacing w:before="0" w:beforeAutospacing="0" w:after="0" w:afterAutospacing="0"/>
              <w:jc w:val="center"/>
              <w:rPr>
                <w:rFonts w:asciiTheme="minorHAnsi" w:hAnsiTheme="minorHAnsi" w:cstheme="minorHAnsi"/>
                <w:color w:val="000000" w:themeColor="text1"/>
                <w:sz w:val="20"/>
                <w:szCs w:val="18"/>
              </w:rPr>
            </w:pPr>
            <w:r w:rsidRPr="003E3CB2">
              <w:rPr>
                <w:rFonts w:asciiTheme="minorHAnsi" w:hAnsiTheme="minorHAnsi" w:cstheme="minorHAnsi"/>
                <w:color w:val="000000" w:themeColor="text1"/>
              </w:rPr>
              <w:t>181</w:t>
            </w:r>
          </w:p>
        </w:tc>
        <w:tc>
          <w:tcPr>
            <w:tcW w:w="1200" w:type="pct"/>
            <w:tcBorders>
              <w:top w:val="nil"/>
              <w:left w:val="nil"/>
              <w:bottom w:val="nil"/>
              <w:right w:val="nil"/>
            </w:tcBorders>
          </w:tcPr>
          <w:p w14:paraId="71EF35E8" w14:textId="77777777" w:rsidR="009B60D2" w:rsidRPr="003E3CB2" w:rsidRDefault="009B60D2" w:rsidP="009B60D2">
            <w:pPr>
              <w:pStyle w:val="NormalWeb"/>
              <w:spacing w:before="0" w:beforeAutospacing="0" w:after="0" w:afterAutospacing="0"/>
              <w:jc w:val="center"/>
              <w:rPr>
                <w:rFonts w:asciiTheme="minorHAnsi" w:hAnsiTheme="minorHAnsi" w:cstheme="minorHAnsi"/>
                <w:color w:val="000000" w:themeColor="text1"/>
                <w:sz w:val="20"/>
                <w:szCs w:val="18"/>
              </w:rPr>
            </w:pPr>
            <w:r w:rsidRPr="003E3CB2">
              <w:rPr>
                <w:rFonts w:asciiTheme="minorHAnsi" w:hAnsiTheme="minorHAnsi" w:cstheme="minorHAnsi"/>
                <w:color w:val="000000" w:themeColor="text1"/>
              </w:rPr>
              <w:t>54</w:t>
            </w:r>
          </w:p>
        </w:tc>
        <w:tc>
          <w:tcPr>
            <w:tcW w:w="1262" w:type="pct"/>
            <w:tcBorders>
              <w:top w:val="nil"/>
              <w:left w:val="nil"/>
              <w:bottom w:val="nil"/>
              <w:right w:val="nil"/>
            </w:tcBorders>
          </w:tcPr>
          <w:p w14:paraId="00F401D1" w14:textId="77777777" w:rsidR="009B60D2" w:rsidRPr="003E3CB2" w:rsidRDefault="009B60D2" w:rsidP="009B60D2">
            <w:pPr>
              <w:pStyle w:val="NormalWeb"/>
              <w:spacing w:before="0" w:beforeAutospacing="0" w:after="0" w:afterAutospacing="0"/>
              <w:jc w:val="center"/>
              <w:rPr>
                <w:rFonts w:asciiTheme="minorHAnsi" w:hAnsiTheme="minorHAnsi" w:cstheme="minorHAnsi"/>
                <w:color w:val="000000" w:themeColor="text1"/>
                <w:sz w:val="20"/>
                <w:szCs w:val="18"/>
              </w:rPr>
            </w:pPr>
            <w:r w:rsidRPr="003E3CB2">
              <w:rPr>
                <w:rFonts w:asciiTheme="minorHAnsi" w:hAnsiTheme="minorHAnsi" w:cstheme="minorHAnsi"/>
                <w:color w:val="000000" w:themeColor="text1"/>
              </w:rPr>
              <w:t>428</w:t>
            </w:r>
          </w:p>
        </w:tc>
      </w:tr>
    </w:tbl>
    <w:p w14:paraId="2588E256" w14:textId="77777777" w:rsidR="00C66D41" w:rsidRPr="003E3CB2" w:rsidRDefault="00C66D41" w:rsidP="00C66D41">
      <w:pPr>
        <w:spacing w:after="0"/>
        <w:rPr>
          <w:color w:val="000000" w:themeColor="text1"/>
        </w:rPr>
      </w:pPr>
    </w:p>
    <w:p w14:paraId="0F5FBC5F" w14:textId="77777777" w:rsidR="00C66D41" w:rsidRPr="003E3CB2" w:rsidRDefault="00C66D41" w:rsidP="009F5857">
      <w:pPr>
        <w:pStyle w:val="CDIfootnotes"/>
        <w:numPr>
          <w:ilvl w:val="0"/>
          <w:numId w:val="38"/>
        </w:numPr>
        <w:spacing w:before="0" w:beforeAutospacing="0" w:after="0" w:afterAutospacing="0"/>
        <w:rPr>
          <w:color w:val="000000" w:themeColor="text1"/>
        </w:rPr>
      </w:pPr>
      <w:r w:rsidRPr="003E3CB2">
        <w:rPr>
          <w:color w:val="000000" w:themeColor="text1"/>
        </w:rPr>
        <w:t>Based on diagnosis date</w:t>
      </w:r>
    </w:p>
    <w:p w14:paraId="66CA5067" w14:textId="77777777" w:rsidR="00C66D41" w:rsidRPr="003E3CB2" w:rsidRDefault="00C66D41" w:rsidP="009F5857">
      <w:pPr>
        <w:pStyle w:val="CDIfootnotes"/>
        <w:numPr>
          <w:ilvl w:val="0"/>
          <w:numId w:val="38"/>
        </w:numPr>
        <w:spacing w:before="0" w:beforeAutospacing="0" w:after="0" w:afterAutospacing="0"/>
        <w:rPr>
          <w:color w:val="000000" w:themeColor="text1"/>
        </w:rPr>
      </w:pPr>
      <w:r w:rsidRPr="003E3CB2">
        <w:rPr>
          <w:color w:val="000000" w:themeColor="text1"/>
        </w:rPr>
        <w:t>Based on notification date</w:t>
      </w:r>
    </w:p>
    <w:p w14:paraId="7A7B7756" w14:textId="77777777" w:rsidR="00DC1B5A" w:rsidRPr="00F528CB" w:rsidRDefault="00DC1B5A" w:rsidP="00F528CB">
      <w:pPr>
        <w:pStyle w:val="Heading1"/>
      </w:pPr>
      <w:r w:rsidRPr="00F528CB">
        <w:t>Summary (</w:t>
      </w:r>
      <w:r w:rsidR="00FD75E9" w:rsidRPr="00F528CB">
        <w:t xml:space="preserve">3—16 </w:t>
      </w:r>
      <w:r w:rsidR="0085142C" w:rsidRPr="00F528CB">
        <w:t>August</w:t>
      </w:r>
      <w:r w:rsidRPr="00F528CB">
        <w:t xml:space="preserve">): </w:t>
      </w:r>
    </w:p>
    <w:p w14:paraId="6D9E26C2" w14:textId="68DE9174" w:rsidR="00363841" w:rsidRPr="003E3CB2" w:rsidRDefault="00880F5D" w:rsidP="00F528CB">
      <w:pPr>
        <w:pStyle w:val="ListParagraph"/>
        <w:numPr>
          <w:ilvl w:val="0"/>
          <w:numId w:val="34"/>
        </w:numPr>
      </w:pPr>
      <w:r w:rsidRPr="003E3CB2">
        <w:t>The number of new cases reported nationally</w:t>
      </w:r>
      <w:r w:rsidR="009B3C07" w:rsidRPr="003E3CB2">
        <w:t xml:space="preserve"> this fortnight was 3,767, a </w:t>
      </w:r>
      <w:r w:rsidR="00496CCB">
        <w:t>37</w:t>
      </w:r>
      <w:r w:rsidR="009B3C07" w:rsidRPr="003E3CB2">
        <w:t xml:space="preserve">% </w:t>
      </w:r>
      <w:r w:rsidRPr="003E3CB2">
        <w:t>decrease from the previous fortnight</w:t>
      </w:r>
      <w:r w:rsidR="009B3C07" w:rsidRPr="003E3CB2">
        <w:t xml:space="preserve"> (5,944)</w:t>
      </w:r>
      <w:r w:rsidRPr="003E3CB2">
        <w:t>.</w:t>
      </w:r>
      <w:r w:rsidR="00363841" w:rsidRPr="003E3CB2">
        <w:t xml:space="preserve"> On average this represented 269 cases diagnosed each day over the reporting period, a decrease from 425 cases per day over the previous reporting period.</w:t>
      </w:r>
    </w:p>
    <w:p w14:paraId="6741DEE1" w14:textId="66FAC92F" w:rsidR="00363841" w:rsidRPr="003E3CB2" w:rsidRDefault="0012554A" w:rsidP="00F528CB">
      <w:pPr>
        <w:pStyle w:val="ListParagraph"/>
        <w:numPr>
          <w:ilvl w:val="0"/>
          <w:numId w:val="34"/>
        </w:numPr>
      </w:pPr>
      <w:r w:rsidRPr="003E3CB2">
        <w:t>3,628</w:t>
      </w:r>
      <w:r w:rsidR="000332F4" w:rsidRPr="003E3CB2">
        <w:t xml:space="preserve"> (96%</w:t>
      </w:r>
      <w:r w:rsidRPr="003E3CB2">
        <w:t>) of all</w:t>
      </w:r>
      <w:r w:rsidR="0085142C" w:rsidRPr="003E3CB2">
        <w:t xml:space="preserve"> cases </w:t>
      </w:r>
      <w:r w:rsidRPr="003E3CB2">
        <w:t xml:space="preserve">were </w:t>
      </w:r>
      <w:r w:rsidR="00C77DAD" w:rsidRPr="003E3CB2">
        <w:t xml:space="preserve">reported in </w:t>
      </w:r>
      <w:r w:rsidR="0085142C" w:rsidRPr="003E3CB2">
        <w:t>Victoria</w:t>
      </w:r>
      <w:r w:rsidR="00496CCB">
        <w:t>,</w:t>
      </w:r>
      <w:r w:rsidR="00496CCB" w:rsidRPr="003E3CB2">
        <w:t xml:space="preserve"> </w:t>
      </w:r>
      <w:r w:rsidR="00363841" w:rsidRPr="003E3CB2">
        <w:t>with a smaller number of cases reported from NSW (125), Qld (2), WA (5), SA (6) and Tas (1).</w:t>
      </w:r>
    </w:p>
    <w:p w14:paraId="6510480F" w14:textId="1A13CD79" w:rsidR="000332F4" w:rsidRPr="003E3CB2" w:rsidRDefault="00363841" w:rsidP="00F528CB">
      <w:pPr>
        <w:pStyle w:val="ListParagraph"/>
        <w:numPr>
          <w:ilvl w:val="0"/>
          <w:numId w:val="34"/>
        </w:numPr>
      </w:pPr>
      <w:r w:rsidRPr="003E3CB2">
        <w:t>In Victoria, the majority of cases (</w:t>
      </w:r>
      <w:r w:rsidR="000332F4" w:rsidRPr="003E3CB2">
        <w:t>3,2</w:t>
      </w:r>
      <w:r w:rsidR="00754F7D">
        <w:t>84</w:t>
      </w:r>
      <w:r w:rsidRPr="003E3CB2">
        <w:t>;</w:t>
      </w:r>
      <w:r w:rsidR="003E3CB2" w:rsidRPr="003E3CB2">
        <w:t xml:space="preserve"> </w:t>
      </w:r>
      <w:r w:rsidR="0012554A" w:rsidRPr="003E3CB2">
        <w:t>90%</w:t>
      </w:r>
      <w:r w:rsidR="000332F4" w:rsidRPr="003E3CB2">
        <w:t>)</w:t>
      </w:r>
      <w:r w:rsidR="00C77DAD" w:rsidRPr="003E3CB2">
        <w:t xml:space="preserve"> </w:t>
      </w:r>
      <w:r w:rsidR="0085142C" w:rsidRPr="003E3CB2">
        <w:t>were locally acquire</w:t>
      </w:r>
      <w:r w:rsidR="0012554A" w:rsidRPr="003E3CB2">
        <w:t>d</w:t>
      </w:r>
      <w:r w:rsidRPr="003E3CB2">
        <w:t>, with</w:t>
      </w:r>
      <w:r w:rsidR="00496CCB">
        <w:t xml:space="preserve"> a</w:t>
      </w:r>
      <w:r w:rsidRPr="003E3CB2">
        <w:t xml:space="preserve"> further</w:t>
      </w:r>
      <w:r w:rsidR="0012554A" w:rsidRPr="003E3CB2">
        <w:t xml:space="preserve"> </w:t>
      </w:r>
      <w:r w:rsidR="000332F4" w:rsidRPr="003E3CB2">
        <w:t>344 (</w:t>
      </w:r>
      <w:r w:rsidR="0012554A" w:rsidRPr="003E3CB2">
        <w:t>10%</w:t>
      </w:r>
      <w:r w:rsidR="000332F4" w:rsidRPr="003E3CB2">
        <w:t>)</w:t>
      </w:r>
      <w:r w:rsidR="0012554A" w:rsidRPr="003E3CB2">
        <w:t xml:space="preserve"> under investigation</w:t>
      </w:r>
      <w:r w:rsidRPr="003E3CB2">
        <w:t xml:space="preserve"> at the time of analysis, but likely </w:t>
      </w:r>
      <w:r w:rsidR="00556E31">
        <w:t xml:space="preserve">also </w:t>
      </w:r>
      <w:r w:rsidRPr="003E3CB2">
        <w:t>to be locally acquired</w:t>
      </w:r>
      <w:r w:rsidR="00C77DAD" w:rsidRPr="003E3CB2">
        <w:t>.</w:t>
      </w:r>
    </w:p>
    <w:p w14:paraId="3CA95DFC" w14:textId="755B14C9" w:rsidR="0085142C" w:rsidRPr="003E3CB2" w:rsidRDefault="00C77DAD" w:rsidP="00F528CB">
      <w:pPr>
        <w:pStyle w:val="ListParagraph"/>
        <w:numPr>
          <w:ilvl w:val="0"/>
          <w:numId w:val="34"/>
        </w:numPr>
      </w:pPr>
      <w:r w:rsidRPr="003E3CB2">
        <w:t xml:space="preserve">Of the remaining </w:t>
      </w:r>
      <w:r w:rsidR="0012554A" w:rsidRPr="003E3CB2">
        <w:t>139 cases report</w:t>
      </w:r>
      <w:r w:rsidR="000332F4" w:rsidRPr="003E3CB2">
        <w:t>ed</w:t>
      </w:r>
      <w:r w:rsidR="0012554A" w:rsidRPr="003E3CB2">
        <w:t>, 26</w:t>
      </w:r>
      <w:r w:rsidR="000332F4" w:rsidRPr="003E3CB2">
        <w:t xml:space="preserve"> (19%) were overseas acquired; 110 (80%)</w:t>
      </w:r>
      <w:r w:rsidRPr="003E3CB2">
        <w:t xml:space="preserve"> </w:t>
      </w:r>
      <w:r w:rsidR="000332F4" w:rsidRPr="003E3CB2">
        <w:t>were locally acquired</w:t>
      </w:r>
      <w:r w:rsidR="00363841" w:rsidRPr="003E3CB2">
        <w:t>, predomina</w:t>
      </w:r>
      <w:r w:rsidR="00496CCB">
        <w:t>n</w:t>
      </w:r>
      <w:r w:rsidR="00363841" w:rsidRPr="003E3CB2">
        <w:t>tly in NSW,</w:t>
      </w:r>
      <w:r w:rsidR="000332F4" w:rsidRPr="003E3CB2">
        <w:t xml:space="preserve"> and 3 (2%) were reported as under investigation.</w:t>
      </w:r>
    </w:p>
    <w:p w14:paraId="48877406" w14:textId="6418D27C" w:rsidR="00363841" w:rsidRPr="003E3CB2" w:rsidRDefault="00363841" w:rsidP="00F528CB">
      <w:pPr>
        <w:pStyle w:val="ListParagraph"/>
        <w:numPr>
          <w:ilvl w:val="0"/>
          <w:numId w:val="34"/>
        </w:numPr>
      </w:pPr>
      <w:r w:rsidRPr="003E3CB2">
        <w:t xml:space="preserve">The decrease in </w:t>
      </w:r>
      <w:r w:rsidR="00496CCB">
        <w:t xml:space="preserve">new </w:t>
      </w:r>
      <w:r w:rsidRPr="003E3CB2">
        <w:t xml:space="preserve">cases observed this fortnight in Victoria is likely associated with the enhanced public health measures that are currently in place </w:t>
      </w:r>
      <w:r w:rsidR="00496CCB">
        <w:t xml:space="preserve">in </w:t>
      </w:r>
      <w:r w:rsidRPr="003E3CB2">
        <w:t>Victoria</w:t>
      </w:r>
      <w:r w:rsidR="009F5857">
        <w:t>.</w:t>
      </w:r>
    </w:p>
    <w:p w14:paraId="0F7ADE1A" w14:textId="1208C827" w:rsidR="00C77DAD" w:rsidRPr="003E3CB2" w:rsidRDefault="009842ED" w:rsidP="00F528CB">
      <w:pPr>
        <w:pStyle w:val="ListParagraph"/>
        <w:numPr>
          <w:ilvl w:val="0"/>
          <w:numId w:val="34"/>
        </w:numPr>
      </w:pPr>
      <w:r w:rsidRPr="003E3CB2">
        <w:t xml:space="preserve">A total of </w:t>
      </w:r>
      <w:r w:rsidR="00C90CDC" w:rsidRPr="003E3CB2">
        <w:t>54</w:t>
      </w:r>
      <w:r w:rsidR="00273D4D" w:rsidRPr="003E3CB2">
        <w:t xml:space="preserve"> </w:t>
      </w:r>
      <w:r w:rsidR="0085142C" w:rsidRPr="003E3CB2">
        <w:t>deaths wer</w:t>
      </w:r>
      <w:r w:rsidR="00273D4D" w:rsidRPr="003E3CB2">
        <w:t>e reported, all from Victoria</w:t>
      </w:r>
      <w:r w:rsidR="00496CCB">
        <w:t>:</w:t>
      </w:r>
      <w:r w:rsidR="00273D4D" w:rsidRPr="003E3CB2">
        <w:t xml:space="preserve"> </w:t>
      </w:r>
      <w:r w:rsidR="009469E1">
        <w:t>5</w:t>
      </w:r>
      <w:r w:rsidR="00C90CDC" w:rsidRPr="003E3CB2">
        <w:t>2</w:t>
      </w:r>
      <w:r w:rsidR="00273D4D" w:rsidRPr="003E3CB2">
        <w:t xml:space="preserve"> (</w:t>
      </w:r>
      <w:r w:rsidR="009469E1">
        <w:t>96</w:t>
      </w:r>
      <w:r w:rsidR="00273D4D" w:rsidRPr="003E3CB2">
        <w:t>%) were aged 70 years and over</w:t>
      </w:r>
      <w:r w:rsidR="00363841" w:rsidRPr="003E3CB2">
        <w:t>,</w:t>
      </w:r>
      <w:r w:rsidR="00273D4D" w:rsidRPr="003E3CB2">
        <w:t xml:space="preserve"> and </w:t>
      </w:r>
      <w:r w:rsidR="00C90CDC" w:rsidRPr="003E3CB2">
        <w:t>2</w:t>
      </w:r>
      <w:r w:rsidR="002E72C2" w:rsidRPr="003E3CB2">
        <w:t xml:space="preserve"> (</w:t>
      </w:r>
      <w:r w:rsidR="009469E1">
        <w:t>4</w:t>
      </w:r>
      <w:r w:rsidR="002E72C2" w:rsidRPr="003E3CB2">
        <w:t>%)</w:t>
      </w:r>
      <w:r w:rsidR="00273D4D" w:rsidRPr="003E3CB2">
        <w:t xml:space="preserve"> were aged 30 to </w:t>
      </w:r>
      <w:r w:rsidR="009469E1">
        <w:t>6</w:t>
      </w:r>
      <w:r w:rsidR="009469E1" w:rsidRPr="003E3CB2">
        <w:t xml:space="preserve">9 </w:t>
      </w:r>
      <w:r w:rsidR="00273D4D" w:rsidRPr="003E3CB2">
        <w:t>years</w:t>
      </w:r>
      <w:r w:rsidR="009F5857">
        <w:t>.</w:t>
      </w:r>
      <w:r w:rsidR="00273D4D" w:rsidRPr="003E3CB2">
        <w:t xml:space="preserve"> </w:t>
      </w:r>
    </w:p>
    <w:p w14:paraId="77A74FB4" w14:textId="77777777" w:rsidR="004C65FD" w:rsidRPr="003E3CB2" w:rsidRDefault="007A27CD" w:rsidP="00F528CB">
      <w:pPr>
        <w:pStyle w:val="ListParagraph"/>
        <w:numPr>
          <w:ilvl w:val="0"/>
          <w:numId w:val="34"/>
        </w:numPr>
      </w:pPr>
      <w:r w:rsidRPr="003E3CB2">
        <w:t>Testing rates remain high across all jurisdictions</w:t>
      </w:r>
      <w:r w:rsidR="00C059E6" w:rsidRPr="003E3CB2">
        <w:t>, with an overall positivity rate</w:t>
      </w:r>
      <w:r w:rsidR="009528DB" w:rsidRPr="003E3CB2">
        <w:t xml:space="preserve"> for the reporting period of 0.6</w:t>
      </w:r>
      <w:r w:rsidR="00C059E6" w:rsidRPr="003E3CB2">
        <w:t>%</w:t>
      </w:r>
      <w:r w:rsidR="004C65FD" w:rsidRPr="003E3CB2">
        <w:t>.</w:t>
      </w:r>
      <w:r w:rsidR="0085142C" w:rsidRPr="003E3CB2">
        <w:t xml:space="preserve"> </w:t>
      </w:r>
      <w:r w:rsidR="004C65FD" w:rsidRPr="003E3CB2">
        <w:t>Victoria r</w:t>
      </w:r>
      <w:r w:rsidR="00AA2DE1" w:rsidRPr="003E3CB2">
        <w:t>eported a positivity rate of 1.</w:t>
      </w:r>
      <w:r w:rsidR="004C65FD" w:rsidRPr="003E3CB2">
        <w:t>7%</w:t>
      </w:r>
      <w:r w:rsidR="00C059E6" w:rsidRPr="003E3CB2">
        <w:t xml:space="preserve"> for this reporting period; in all other jurisdicti</w:t>
      </w:r>
      <w:r w:rsidR="009528DB" w:rsidRPr="003E3CB2">
        <w:t>ons the positivity rate was 0.05</w:t>
      </w:r>
      <w:r w:rsidR="00C059E6" w:rsidRPr="003E3CB2">
        <w:t>% or lower</w:t>
      </w:r>
      <w:r w:rsidR="004C65FD" w:rsidRPr="003E3CB2">
        <w:t>.</w:t>
      </w:r>
    </w:p>
    <w:p w14:paraId="68A9986F" w14:textId="77777777" w:rsidR="00F102ED" w:rsidRPr="0012554A" w:rsidRDefault="00DC1B5A" w:rsidP="00F528CB">
      <w:r w:rsidRPr="0012554A">
        <w:t xml:space="preserve">Keywords: SARS-CoV-2; novel coronavirus; 2019-nCoV; coronavirus disease 2019; COVID-19; acute respiratory disease; epidemiology; Australia </w:t>
      </w:r>
    </w:p>
    <w:p w14:paraId="4D49D7D4" w14:textId="47FF6E30" w:rsidR="00F102ED" w:rsidRPr="0012554A" w:rsidRDefault="00F102ED" w:rsidP="00F102ED">
      <w:pPr>
        <w:pStyle w:val="CDIFigures"/>
        <w:spacing w:line="240" w:lineRule="auto"/>
        <w:rPr>
          <w:rFonts w:cstheme="minorHAnsi"/>
          <w:color w:val="000000" w:themeColor="text1"/>
        </w:rPr>
      </w:pPr>
      <w:r w:rsidRPr="0090453A">
        <w:rPr>
          <w:rFonts w:cstheme="minorHAnsi"/>
          <w:color w:val="000000" w:themeColor="text1"/>
        </w:rPr>
        <w:lastRenderedPageBreak/>
        <w:t>Figure 1</w:t>
      </w:r>
      <w:r w:rsidR="00EA1280">
        <w:rPr>
          <w:rFonts w:cstheme="minorHAnsi"/>
          <w:color w:val="000000" w:themeColor="text1"/>
        </w:rPr>
        <w:t>.</w:t>
      </w:r>
      <w:r w:rsidRPr="0012554A">
        <w:rPr>
          <w:rFonts w:cstheme="minorHAnsi"/>
          <w:color w:val="000000" w:themeColor="text1"/>
        </w:rPr>
        <w:t xml:space="preserve"> New and cumulative COVID-19 notifications by </w:t>
      </w:r>
      <w:r w:rsidR="00DC57F1" w:rsidRPr="0012554A">
        <w:rPr>
          <w:rFonts w:cstheme="minorHAnsi"/>
          <w:color w:val="000000" w:themeColor="text1"/>
        </w:rPr>
        <w:t xml:space="preserve">diagnosis </w:t>
      </w:r>
      <w:r w:rsidRPr="0012554A">
        <w:rPr>
          <w:rFonts w:cstheme="minorHAnsi"/>
          <w:color w:val="000000" w:themeColor="text1"/>
        </w:rPr>
        <w:t>date</w:t>
      </w:r>
      <w:r w:rsidR="009F5857">
        <w:rPr>
          <w:rFonts w:cstheme="minorHAnsi"/>
          <w:color w:val="000000" w:themeColor="text1"/>
        </w:rPr>
        <w:t>,</w:t>
      </w:r>
      <w:r w:rsidR="009A70CE" w:rsidRPr="009A70CE">
        <w:rPr>
          <w:rFonts w:cstheme="minorHAnsi"/>
          <w:color w:val="000000" w:themeColor="text1"/>
          <w:vertAlign w:val="superscript"/>
        </w:rPr>
        <w:t xml:space="preserve"> </w:t>
      </w:r>
      <w:r w:rsidR="009A70CE" w:rsidRPr="0012554A">
        <w:rPr>
          <w:rFonts w:cstheme="minorHAnsi"/>
          <w:color w:val="000000" w:themeColor="text1"/>
          <w:vertAlign w:val="superscript"/>
        </w:rPr>
        <w:t>a</w:t>
      </w:r>
      <w:r w:rsidRPr="0012554A">
        <w:rPr>
          <w:rFonts w:cstheme="minorHAnsi"/>
          <w:color w:val="000000" w:themeColor="text1"/>
        </w:rPr>
        <w:t xml:space="preserve"> Australia</w:t>
      </w:r>
    </w:p>
    <w:p w14:paraId="24E9C35F" w14:textId="3C177E32" w:rsidR="00F102ED" w:rsidRPr="0012554A" w:rsidRDefault="00C94277" w:rsidP="00F102ED">
      <w:pPr>
        <w:spacing w:line="240" w:lineRule="auto"/>
        <w:rPr>
          <w:rFonts w:eastAsia="Times New Roman" w:cstheme="minorHAnsi"/>
          <w:color w:val="000000" w:themeColor="text1"/>
        </w:rPr>
      </w:pPr>
      <w:r>
        <w:rPr>
          <w:rFonts w:eastAsia="Times New Roman" w:cstheme="minorHAnsi"/>
          <w:color w:val="000000" w:themeColor="text1"/>
        </w:rPr>
        <w:pict w14:anchorId="2E83F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r chart showing COVID-19 notifications by diagnosis date, for the 18,367 Australian cases. Notifications for the cases shown have onset dates ranging from 13 January 2020 to 16 August 2020. The chart also shows the curve of cumulative cases, which rises steeply between 15 and 25 March before levelling off to a much more gradual rise from April through until mid-June, followed by another substantial increase in cases.&#10;" style="width:521.15pt;height:188.55pt;mso-position-vertical:absolute">
            <v:imagedata r:id="rId12" o:title="figures"/>
          </v:shape>
        </w:pict>
      </w:r>
    </w:p>
    <w:p w14:paraId="36F8E7CF" w14:textId="619DEB87" w:rsidR="00F102ED" w:rsidRPr="00F528CB" w:rsidRDefault="00F528CB" w:rsidP="00F528CB">
      <w:pPr>
        <w:pStyle w:val="CDIfootnotes"/>
      </w:pPr>
      <w:proofErr w:type="gramStart"/>
      <w:r>
        <w:t>a</w:t>
      </w:r>
      <w:proofErr w:type="gramEnd"/>
      <w:r>
        <w:tab/>
      </w:r>
      <w:r w:rsidR="00F102ED" w:rsidRPr="00F528CB">
        <w:t>Illnes</w:t>
      </w:r>
      <w:r w:rsidR="00293E89" w:rsidRPr="00F528CB">
        <w:t xml:space="preserve">ses that began </w:t>
      </w:r>
      <w:r w:rsidR="00913882" w:rsidRPr="00F528CB">
        <w:t xml:space="preserve">within </w:t>
      </w:r>
      <w:r w:rsidR="00293E89" w:rsidRPr="00F528CB">
        <w:t>7 days prior to 16</w:t>
      </w:r>
      <w:r w:rsidR="00F102ED" w:rsidRPr="00F528CB">
        <w:t xml:space="preserve"> August may not yet be reported and interpretation of trends during this period should be undertaken with caution.</w:t>
      </w:r>
    </w:p>
    <w:p w14:paraId="05E1B0F1" w14:textId="4A6C75A1" w:rsidR="00DA369F" w:rsidRPr="00F528CB" w:rsidRDefault="00DC1B5A" w:rsidP="00F528CB">
      <w:pPr>
        <w:pStyle w:val="Heading1"/>
      </w:pPr>
      <w:r w:rsidRPr="00F528CB">
        <w:t xml:space="preserve">In focus: </w:t>
      </w:r>
      <w:r w:rsidR="00913882" w:rsidRPr="00F528CB">
        <w:t>c</w:t>
      </w:r>
      <w:r w:rsidR="002B5D7A" w:rsidRPr="00F528CB">
        <w:t xml:space="preserve">ommunity and </w:t>
      </w:r>
      <w:r w:rsidR="00913882" w:rsidRPr="00F528CB">
        <w:t>p</w:t>
      </w:r>
      <w:r w:rsidR="002B5D7A" w:rsidRPr="00F528CB">
        <w:t xml:space="preserve">rimary </w:t>
      </w:r>
      <w:r w:rsidR="00913882" w:rsidRPr="00F528CB">
        <w:t>c</w:t>
      </w:r>
      <w:r w:rsidR="002B5D7A" w:rsidRPr="00F528CB">
        <w:t xml:space="preserve">are </w:t>
      </w:r>
      <w:r w:rsidR="00913882" w:rsidRPr="00F528CB">
        <w:t>s</w:t>
      </w:r>
      <w:r w:rsidR="002B5D7A" w:rsidRPr="00F528CB">
        <w:t>urveillance</w:t>
      </w:r>
    </w:p>
    <w:p w14:paraId="3E4DBEA1" w14:textId="77777777" w:rsidR="009D6D8F" w:rsidRPr="003E3CB2" w:rsidRDefault="009D6D8F" w:rsidP="00F528CB">
      <w:r w:rsidRPr="003E3CB2">
        <w:t xml:space="preserve">Our current understanding of COVID-19 indicates that approximately 80% of infections are mild and that the most common symptoms are consistent with an acute respiratory illness (ARI) and/or influenza-like illness (ILI). It is therefore important to monitor trends in the number of people reporting symptoms of mild respiratory illnesses (syndromic surveillance) in the community and in primary care settings. </w:t>
      </w:r>
    </w:p>
    <w:p w14:paraId="4796FF5A" w14:textId="26C2441F" w:rsidR="009D6D8F" w:rsidRPr="003E3CB2" w:rsidRDefault="0042480C" w:rsidP="00F528CB">
      <w:r w:rsidRPr="003E3CB2">
        <w:t>At a national level</w:t>
      </w:r>
      <w:r w:rsidR="009A70CE">
        <w:t>,</w:t>
      </w:r>
      <w:r w:rsidRPr="003E3CB2">
        <w:t xml:space="preserve"> t</w:t>
      </w:r>
      <w:r w:rsidR="009D6D8F" w:rsidRPr="003E3CB2">
        <w:t xml:space="preserve">he surveillance systems and programs that provide </w:t>
      </w:r>
      <w:r w:rsidRPr="003E3CB2">
        <w:t xml:space="preserve">this </w:t>
      </w:r>
      <w:r w:rsidR="009D6D8F" w:rsidRPr="003E3CB2">
        <w:t xml:space="preserve">information </w:t>
      </w:r>
      <w:r w:rsidRPr="003E3CB2">
        <w:t xml:space="preserve">within Australia </w:t>
      </w:r>
      <w:r w:rsidR="00785873" w:rsidRPr="003E3CB2">
        <w:t>are the</w:t>
      </w:r>
      <w:r w:rsidRPr="003E3CB2">
        <w:t xml:space="preserve"> internet-based</w:t>
      </w:r>
      <w:r w:rsidR="009D6D8F" w:rsidRPr="003E3CB2">
        <w:t xml:space="preserve"> FluTracking syndromic surveillance system, the </w:t>
      </w:r>
      <w:r w:rsidR="007D2B0D" w:rsidRPr="007D2B0D">
        <w:t xml:space="preserve">Australian Sentinel Practices Research Network (ASPREN) </w:t>
      </w:r>
      <w:r w:rsidR="009D6D8F" w:rsidRPr="003E3CB2">
        <w:t xml:space="preserve">and </w:t>
      </w:r>
      <w:r w:rsidR="007D2B0D" w:rsidRPr="007D2B0D">
        <w:t>Victoria Sentinel Practice Influenza Network (</w:t>
      </w:r>
      <w:proofErr w:type="spellStart"/>
      <w:r w:rsidR="007D2B0D" w:rsidRPr="007D2B0D">
        <w:t>VicSPIN</w:t>
      </w:r>
      <w:proofErr w:type="spellEnd"/>
      <w:r w:rsidR="007D2B0D" w:rsidRPr="007D2B0D">
        <w:t xml:space="preserve">) </w:t>
      </w:r>
      <w:r w:rsidR="009D6D8F" w:rsidRPr="003E3CB2">
        <w:t>general practice (GP) sentinel surveillance systems, and the Commonwealth GP Respiratory Clinics. These systems are not specific to COVID-19; they monitor any respiratory illness experienced</w:t>
      </w:r>
      <w:r w:rsidRPr="003E3CB2">
        <w:t xml:space="preserve"> in the reporting period</w:t>
      </w:r>
      <w:r w:rsidR="009D6D8F" w:rsidRPr="003E3CB2">
        <w:t xml:space="preserve">.  </w:t>
      </w:r>
    </w:p>
    <w:p w14:paraId="06CF09DF" w14:textId="77777777" w:rsidR="009D6D8F" w:rsidRPr="003E3CB2" w:rsidRDefault="009D6D8F" w:rsidP="00F528CB">
      <w:r w:rsidRPr="003E3CB2">
        <w:t xml:space="preserve">FluTracking is an online syndromic surveillance system which monitors </w:t>
      </w:r>
      <w:r w:rsidR="00F102ED" w:rsidRPr="003E3CB2">
        <w:t>ILI</w:t>
      </w:r>
      <w:r w:rsidRPr="003E3CB2">
        <w:t xml:space="preserve"> in the community. During the influenza season, participants receive a weekly email survey which collects data on the rate of ILI-related symptoms and healthcare seeking behaviour in communities. The survey usually commences at the beginning of May each year but commenced at the end of February in 2020 to support the COVID-19 response. Approximately 70,000</w:t>
      </w:r>
      <w:r w:rsidR="00F102ED" w:rsidRPr="003E3CB2">
        <w:t xml:space="preserve"> to</w:t>
      </w:r>
      <w:r w:rsidRPr="003E3CB2">
        <w:t xml:space="preserve"> 85,000 people participate </w:t>
      </w:r>
      <w:r w:rsidR="00F102ED" w:rsidRPr="003E3CB2">
        <w:t xml:space="preserve">in FluTracking </w:t>
      </w:r>
      <w:r w:rsidRPr="003E3CB2">
        <w:t xml:space="preserve">across Australia each week. </w:t>
      </w:r>
    </w:p>
    <w:p w14:paraId="4FBA723F" w14:textId="4E8BCC58" w:rsidR="009D6D8F" w:rsidRPr="003E3CB2" w:rsidRDefault="009D6D8F" w:rsidP="00F528CB">
      <w:r w:rsidRPr="003E3CB2">
        <w:t xml:space="preserve">Based on self-reported FluTracking data, fever and cough in the community </w:t>
      </w:r>
      <w:r w:rsidR="0076269A">
        <w:t>continues to be</w:t>
      </w:r>
      <w:r w:rsidRPr="003E3CB2">
        <w:t xml:space="preserve"> low nationally</w:t>
      </w:r>
      <w:r w:rsidR="00913882">
        <w:t>,</w:t>
      </w:r>
      <w:r w:rsidR="0076269A">
        <w:t xml:space="preserve"> much</w:t>
      </w:r>
      <w:r w:rsidRPr="003E3CB2">
        <w:t xml:space="preserve"> lower than the historical average for this time of year (</w:t>
      </w:r>
      <w:r w:rsidR="00293E89" w:rsidRPr="003E3CB2">
        <w:t>Figure 2</w:t>
      </w:r>
      <w:r w:rsidRPr="003E3CB2">
        <w:t xml:space="preserve">). </w:t>
      </w:r>
    </w:p>
    <w:p w14:paraId="21E0961C" w14:textId="5ADBB1C6" w:rsidR="00913882" w:rsidRPr="00F528CB" w:rsidRDefault="003E3CB2">
      <w:r w:rsidRPr="003E3CB2">
        <w:t xml:space="preserve">Rates of fever and cough in self-reported health care worker populations over the last fortnight were similar to </w:t>
      </w:r>
      <w:r w:rsidR="00913882">
        <w:t>those</w:t>
      </w:r>
      <w:r w:rsidR="00913882" w:rsidRPr="003E3CB2">
        <w:t xml:space="preserve"> </w:t>
      </w:r>
      <w:r w:rsidRPr="003E3CB2">
        <w:t>o</w:t>
      </w:r>
      <w:r>
        <w:t>bserved in the wider community</w:t>
      </w:r>
      <w:r w:rsidRPr="003E3CB2">
        <w:t xml:space="preserve">. </w:t>
      </w:r>
    </w:p>
    <w:p w14:paraId="05DF210D" w14:textId="77777777" w:rsidR="00B9636C" w:rsidRDefault="00B9636C">
      <w:pPr>
        <w:rPr>
          <w:b/>
        </w:rPr>
      </w:pPr>
      <w:r>
        <w:br w:type="page"/>
      </w:r>
    </w:p>
    <w:p w14:paraId="684B8CFC" w14:textId="0140F3D3" w:rsidR="00962F30" w:rsidRPr="00D54AE3" w:rsidRDefault="00293E89" w:rsidP="00D54AE3">
      <w:pPr>
        <w:pStyle w:val="CDIFigures"/>
      </w:pPr>
      <w:r w:rsidRPr="00D54AE3">
        <w:lastRenderedPageBreak/>
        <w:t>Figure 2</w:t>
      </w:r>
      <w:r w:rsidR="009D6D8F" w:rsidRPr="00D54AE3">
        <w:t>. Weekly trends in respiratory illness amongst FluTracking survey participants (age standa</w:t>
      </w:r>
      <w:r w:rsidRPr="00D54AE3">
        <w:t>rdised),</w:t>
      </w:r>
      <w:r w:rsidR="00560708" w:rsidRPr="00D54AE3">
        <w:t xml:space="preserve"> 2020 and average of the previous five </w:t>
      </w:r>
      <w:proofErr w:type="spellStart"/>
      <w:r w:rsidR="00560708" w:rsidRPr="00D54AE3">
        <w:t>years</w:t>
      </w:r>
      <w:r w:rsidR="002F1043" w:rsidRPr="00D54AE3">
        <w:rPr>
          <w:vertAlign w:val="superscript"/>
        </w:rPr>
        <w:t>a</w:t>
      </w:r>
      <w:proofErr w:type="spellEnd"/>
    </w:p>
    <w:p w14:paraId="33D69EE6" w14:textId="77777777" w:rsidR="00560708" w:rsidRPr="00560708" w:rsidRDefault="00560708" w:rsidP="00560708">
      <w:pPr>
        <w:autoSpaceDE w:val="0"/>
        <w:autoSpaceDN w:val="0"/>
        <w:adjustRightInd w:val="0"/>
        <w:spacing w:after="0" w:line="240" w:lineRule="auto"/>
        <w:rPr>
          <w:rFonts w:ascii="Segoe UI" w:hAnsi="Segoe UI" w:cs="Segoe UI"/>
          <w:color w:val="000000"/>
          <w:sz w:val="21"/>
          <w:szCs w:val="21"/>
        </w:rPr>
      </w:pPr>
    </w:p>
    <w:p w14:paraId="356C8E71" w14:textId="02BE00A4" w:rsidR="00FD75E9" w:rsidRPr="0012554A" w:rsidRDefault="00C94277" w:rsidP="00EA1280">
      <w:pPr>
        <w:pStyle w:val="Heading1"/>
        <w:spacing w:before="0"/>
        <w:rPr>
          <w:rFonts w:asciiTheme="minorHAnsi" w:hAnsiTheme="minorHAnsi" w:cstheme="minorHAnsi"/>
        </w:rPr>
      </w:pPr>
      <w:r>
        <w:rPr>
          <w:rFonts w:asciiTheme="minorHAnsi" w:hAnsiTheme="minorHAnsi" w:cstheme="minorHAnsi"/>
          <w:noProof/>
        </w:rPr>
        <w:pict w14:anchorId="0D4CA6A7">
          <v:shape id="_x0000_i1026" type="#_x0000_t75" alt="Line graph comparing weekly fever and cough notifications, as an age-standardised percentage of FluTracking survey participants, since 1 March 2020 with the averaged notifications each week for the years 2015–2019. Notifications for much of March this year were around 1.5% but from April through to 16 August have consistently remained below 0.5%. While in previous years, FluTracking notifications have only been reported from May onwards, it is evident from the trend of notifications for this year than they are well below the average for the previous five years, for which the reporting rate is typically between 2% and 2.5% across the weeks from the start of May to mid-August." style="width:521.15pt;height:340.3pt">
            <v:imagedata r:id="rId13" o:title="figures1"/>
          </v:shape>
        </w:pict>
      </w:r>
    </w:p>
    <w:p w14:paraId="17EB1FEF" w14:textId="7C8A1389" w:rsidR="00EA1280" w:rsidRPr="00F528CB" w:rsidRDefault="00293E89" w:rsidP="00F528CB">
      <w:pPr>
        <w:pStyle w:val="CDIfootnotes"/>
      </w:pPr>
      <w:r w:rsidRPr="003E3CB2">
        <w:t>a</w:t>
      </w:r>
      <w:r w:rsidR="003F2231">
        <w:tab/>
      </w:r>
      <w:r w:rsidR="009D6D8F" w:rsidRPr="003E3CB2">
        <w:t>FluTracking commenced 10 weeks early in 2020 in response to COVID-19. Historical data are not available for the ‘runny nose and sore throat’ syndrome.</w:t>
      </w:r>
    </w:p>
    <w:p w14:paraId="68C52DE1" w14:textId="58EF2EF9" w:rsidR="00362C63" w:rsidRPr="003E3CB2" w:rsidRDefault="00362C63" w:rsidP="00F528CB">
      <w:r w:rsidRPr="003E3CB2">
        <w:t>Based on data from F</w:t>
      </w:r>
      <w:r w:rsidR="0076269A">
        <w:t>luTracking, a higher proportion</w:t>
      </w:r>
      <w:r w:rsidRPr="003E3CB2">
        <w:t xml:space="preserve"> of those in the community with ‘fever and cough’</w:t>
      </w:r>
      <w:r w:rsidR="0076269A">
        <w:t>,</w:t>
      </w:r>
      <w:r w:rsidRPr="003E3CB2">
        <w:t xml:space="preserve"> </w:t>
      </w:r>
      <w:r w:rsidR="0076269A">
        <w:t>compared to those</w:t>
      </w:r>
      <w:r w:rsidRPr="003E3CB2">
        <w:t xml:space="preserve"> with ‘runny nose and sore throat’</w:t>
      </w:r>
      <w:r w:rsidR="0076269A">
        <w:t xml:space="preserve">, presented to a health service. Regardless of symptom profile, the majority of these healthcare presentations were tested </w:t>
      </w:r>
      <w:r w:rsidR="00556E31">
        <w:t xml:space="preserve">for </w:t>
      </w:r>
      <w:r w:rsidR="0076269A">
        <w:t>SARS-CoV-2</w:t>
      </w:r>
      <w:r w:rsidRPr="003E3CB2">
        <w:t xml:space="preserve">. Both presentation and testing rates were highest in those jurisdictions with active community transmission. </w:t>
      </w:r>
    </w:p>
    <w:p w14:paraId="6F7DFB82" w14:textId="48B87A2E" w:rsidR="00362C63" w:rsidRPr="003E3CB2" w:rsidRDefault="00362C63" w:rsidP="00F528CB">
      <w:r w:rsidRPr="003E3CB2">
        <w:t>It is recommended that anyone experiencing cold</w:t>
      </w:r>
      <w:r w:rsidR="00556E31">
        <w:t>-</w:t>
      </w:r>
      <w:r w:rsidRPr="003E3CB2">
        <w:t xml:space="preserve"> or flu</w:t>
      </w:r>
      <w:r w:rsidR="00556E31">
        <w:t>-</w:t>
      </w:r>
      <w:r w:rsidRPr="003E3CB2">
        <w:t>like symptoms, such as a cough, fever, sore throat, shortness of breath or runny nose, even if these are mild, should get tested for COVID-19 as soon as possible.</w:t>
      </w:r>
    </w:p>
    <w:p w14:paraId="4F26A436" w14:textId="177F85BA" w:rsidR="009D6D8F" w:rsidRPr="003E3CB2" w:rsidRDefault="009D6D8F" w:rsidP="00F528CB">
      <w:r w:rsidRPr="003E3CB2">
        <w:t>ASPREN is a year-round sentinel GP</w:t>
      </w:r>
      <w:r w:rsidR="002D325D">
        <w:t xml:space="preserve"> </w:t>
      </w:r>
      <w:r w:rsidRPr="003E3CB2">
        <w:t xml:space="preserve">surveillance system in which general and nurse practitioners report de-identified information on the number of ILI patient presentations seen in participating practices each week. Swab tests are also systematically conducted on a nominated proportion of the patients who present with ILI. In patients experiencing ILI in the last fortnight, the most frequent respiratory viruses detected through the ASPREN and </w:t>
      </w:r>
      <w:proofErr w:type="spellStart"/>
      <w:r w:rsidRPr="003E3CB2">
        <w:t>VicSPIN</w:t>
      </w:r>
      <w:proofErr w:type="spellEnd"/>
      <w:r w:rsidRPr="003E3CB2">
        <w:t xml:space="preserve"> sentinel system were rhinoviruses (Figure </w:t>
      </w:r>
      <w:r w:rsidR="00EA1280">
        <w:t>3</w:t>
      </w:r>
      <w:r w:rsidRPr="003E3CB2">
        <w:t>).</w:t>
      </w:r>
    </w:p>
    <w:p w14:paraId="58ED080E" w14:textId="77777777" w:rsidR="00560708" w:rsidRDefault="00560708">
      <w:pPr>
        <w:rPr>
          <w:b/>
        </w:rPr>
      </w:pPr>
      <w:r>
        <w:br w:type="page"/>
      </w:r>
    </w:p>
    <w:p w14:paraId="18767A5F" w14:textId="17C0C25C" w:rsidR="00962F30" w:rsidRPr="00F528CB" w:rsidRDefault="00962F30" w:rsidP="00F528CB">
      <w:pPr>
        <w:pStyle w:val="CDIFigures"/>
      </w:pPr>
      <w:r w:rsidRPr="00F528CB">
        <w:lastRenderedPageBreak/>
        <w:t>F</w:t>
      </w:r>
      <w:r w:rsidR="003E3CB2" w:rsidRPr="00F528CB">
        <w:t>igure 3</w:t>
      </w:r>
      <w:r w:rsidR="009D6D8F" w:rsidRPr="00F528CB">
        <w:t>. Respiratory virus detection by week of 2020 through ASPREN/</w:t>
      </w:r>
      <w:proofErr w:type="spellStart"/>
      <w:r w:rsidR="009D6D8F" w:rsidRPr="00F528CB">
        <w:t>VicSPIN</w:t>
      </w:r>
      <w:proofErr w:type="spellEnd"/>
      <w:r w:rsidR="009D6D8F" w:rsidRPr="00F528CB">
        <w:t>.</w:t>
      </w:r>
    </w:p>
    <w:p w14:paraId="14413E52" w14:textId="5395BE67" w:rsidR="00962F30" w:rsidRPr="0012554A" w:rsidRDefault="00C94277" w:rsidP="00362C63">
      <w:pPr>
        <w:pStyle w:val="CDIFigures"/>
        <w:spacing w:before="0" w:beforeAutospacing="0"/>
        <w:rPr>
          <w:rFonts w:cstheme="minorHAnsi"/>
        </w:rPr>
      </w:pPr>
      <w:r>
        <w:rPr>
          <w:rFonts w:cstheme="minorHAnsi"/>
          <w:noProof/>
        </w:rPr>
        <w:pict w14:anchorId="738AF8DD">
          <v:shape id="_x0000_i1027" type="#_x0000_t75" alt="Stacked bar graph summarising weekly detections of various respiratory viruses (Influenza A, Influenza B, Respiratory syncytial virus, Parainfluenza, Adenovirus, Rhinovirus, Metapneumovirus and SARS-CoV-2) throughout 2020, as reported through the ASPREN/VicSPIN sentinel system. While some detection of influenza A and influenza B infections was reported across January to March, respiratory virus detection from mid-May onwards has been notably dominated by rhinovirus." style="width:522.85pt;height:328.3pt">
            <v:imagedata r:id="rId14" o:title="figures2"/>
          </v:shape>
        </w:pict>
      </w:r>
    </w:p>
    <w:p w14:paraId="26007EEC" w14:textId="1BDE5A3A" w:rsidR="009D6D8F" w:rsidRPr="003E3CB2" w:rsidRDefault="009D6D8F" w:rsidP="00F528CB">
      <w:r w:rsidRPr="003E3CB2">
        <w:t xml:space="preserve">In response to COVID-19, the Australian </w:t>
      </w:r>
      <w:r w:rsidR="004E17BC" w:rsidRPr="003E3CB2">
        <w:t>Government rapidly established GP R</w:t>
      </w:r>
      <w:r w:rsidRPr="003E3CB2">
        <w:t xml:space="preserve">espiratory </w:t>
      </w:r>
      <w:r w:rsidR="004E17BC" w:rsidRPr="003E3CB2">
        <w:t>C</w:t>
      </w:r>
      <w:r w:rsidRPr="003E3CB2">
        <w:t>linics throughout Australia for clinical assessment of people with mild to moderate respiratory symptoms</w:t>
      </w:r>
      <w:r w:rsidR="0042480C" w:rsidRPr="003E3CB2">
        <w:t xml:space="preserve"> and/or fever. While t</w:t>
      </w:r>
      <w:r w:rsidRPr="003E3CB2">
        <w:t xml:space="preserve">hese clinics </w:t>
      </w:r>
      <w:r w:rsidR="0042480C" w:rsidRPr="003E3CB2">
        <w:t xml:space="preserve">diagnose </w:t>
      </w:r>
      <w:r w:rsidRPr="003E3CB2">
        <w:t>only a small proportion</w:t>
      </w:r>
      <w:r w:rsidR="00342B12" w:rsidRPr="003E3CB2">
        <w:t xml:space="preserve"> of COVID-19 cases in Australia</w:t>
      </w:r>
      <w:r w:rsidR="0042480C" w:rsidRPr="003E3CB2">
        <w:t>,</w:t>
      </w:r>
      <w:r w:rsidRPr="003E3CB2">
        <w:t xml:space="preserve"> the case histories obtained by these clinics are comprehensive and also offer a unique opportunity to compare and contrast COVID-19 and non-COVID-19 respiratory illness. </w:t>
      </w:r>
      <w:r w:rsidR="0042480C" w:rsidRPr="003E3CB2">
        <w:t>For surveillance purposes a relatively strict case definition of ARI is used</w:t>
      </w:r>
      <w:r w:rsidR="00754F7D">
        <w:t>:</w:t>
      </w:r>
      <w:r w:rsidR="0042480C" w:rsidRPr="003E3CB2">
        <w:t xml:space="preserve"> ‘acute onset of at least one of the following: shortness of breath, cough, sore throat, runny nose or fever’. However, to ensure access to care and testing</w:t>
      </w:r>
      <w:r w:rsidR="00754F7D">
        <w:t>,</w:t>
      </w:r>
      <w:r w:rsidR="0042480C" w:rsidRPr="003E3CB2">
        <w:t xml:space="preserve"> clinics are open to those with other symptoms such as tiredness, joint pains and muscle aches.  </w:t>
      </w:r>
    </w:p>
    <w:p w14:paraId="7C11E0DF" w14:textId="5F2FCDF0" w:rsidR="00785873" w:rsidRPr="003E3CB2" w:rsidRDefault="00785873" w:rsidP="00F528CB">
      <w:r w:rsidRPr="003E3CB2">
        <w:t>Over the two</w:t>
      </w:r>
      <w:r w:rsidR="00556E31">
        <w:t>-</w:t>
      </w:r>
      <w:r w:rsidRPr="003E3CB2">
        <w:t>week reporting period</w:t>
      </w:r>
      <w:r w:rsidR="00556E31">
        <w:t>,</w:t>
      </w:r>
      <w:r w:rsidRPr="003E3CB2">
        <w:t xml:space="preserve"> 68,845 assessments were recorded for patients who consented to share information</w:t>
      </w:r>
      <w:r w:rsidR="00754F7D">
        <w:t>,</w:t>
      </w:r>
      <w:r w:rsidRPr="003E3CB2">
        <w:t xml:space="preserve"> of whom 66,873 (97.1%) had tests taken, 107 of which were positive for COVID-19 (numbers were correct as at 2</w:t>
      </w:r>
      <w:r w:rsidR="00556E31">
        <w:t xml:space="preserve"> </w:t>
      </w:r>
      <w:r w:rsidRPr="003E3CB2">
        <w:t>am 18 August 2020). Patients are given the option of whether they consent to share de-identified information on their consultation (including demographics, clinical presentation and details on tests taken). During the reporting period</w:t>
      </w:r>
      <w:r w:rsidR="00556E31">
        <w:t>,</w:t>
      </w:r>
      <w:r w:rsidRPr="003E3CB2">
        <w:t xml:space="preserve"> there were 76</w:t>
      </w:r>
      <w:r w:rsidR="00556E31">
        <w:t>,</w:t>
      </w:r>
      <w:r w:rsidRPr="003E3CB2">
        <w:t>694 assessments recorded for the reporting period</w:t>
      </w:r>
      <w:r w:rsidR="00556E31">
        <w:t>;</w:t>
      </w:r>
      <w:r w:rsidRPr="003E3CB2">
        <w:t xml:space="preserve"> 89.7% of assessments had patient consent to share information. Of these assessments and positive cases, 63,363 assessments and 81 cases met the ARI surveillance case definition (above). </w:t>
      </w:r>
    </w:p>
    <w:p w14:paraId="54ECD39B" w14:textId="43F2B30B" w:rsidR="009D6D8F" w:rsidRPr="003E3CB2" w:rsidRDefault="009D6D8F" w:rsidP="00F528CB">
      <w:r w:rsidRPr="003E3CB2">
        <w:t>Based on all respiratory presentations to these clinics to date, the principal symptoms reported in COVID-19 cases were cough (44%), sore throat (35%), tiredness (31%), runny nose (26%), and fever (22%) (</w:t>
      </w:r>
      <w:r w:rsidR="004E17BC" w:rsidRPr="003E3CB2">
        <w:t xml:space="preserve">Figure </w:t>
      </w:r>
      <w:r w:rsidR="00EA1280">
        <w:t>4</w:t>
      </w:r>
      <w:r w:rsidRPr="003E3CB2">
        <w:t xml:space="preserve">). Other symptoms reported include headache (18%), pain (any kind) (11%), myalgia (9%), shortness of breath (7%), loss of taste or smell (5%), nausea (3%), arthralgia (3%), diarrhoea (2%), chest pain (2%), or sneezing (1%). </w:t>
      </w:r>
    </w:p>
    <w:p w14:paraId="1C7EC03F" w14:textId="11F8F5EC" w:rsidR="0042480C" w:rsidRPr="003E3CB2" w:rsidRDefault="0042480C" w:rsidP="00F528CB">
      <w:r w:rsidRPr="00BC799D">
        <w:lastRenderedPageBreak/>
        <w:t>It is recommended that anyone experiencing cold</w:t>
      </w:r>
      <w:r w:rsidR="00E35611">
        <w:t>-</w:t>
      </w:r>
      <w:r w:rsidRPr="00BC799D">
        <w:t xml:space="preserve"> or flu</w:t>
      </w:r>
      <w:r w:rsidR="00E35611">
        <w:t>-</w:t>
      </w:r>
      <w:r w:rsidRPr="00BC799D">
        <w:t>like symptoms, such as a cough, fever, sore throat, shortness of breath or runny nose, even if these are mild, should get tested for COVID-19 as soon as possible.</w:t>
      </w:r>
    </w:p>
    <w:p w14:paraId="45A1E9AF" w14:textId="578E65A3" w:rsidR="00962F30" w:rsidRPr="00F528CB" w:rsidRDefault="00EA1280" w:rsidP="00F528CB">
      <w:pPr>
        <w:pStyle w:val="CDIFigures"/>
      </w:pPr>
      <w:r w:rsidRPr="00F528CB">
        <w:t>Figure 4</w:t>
      </w:r>
      <w:r w:rsidR="009D6D8F" w:rsidRPr="00F528CB">
        <w:t>. Symptom profile in COVID-19 vs non-COVID-19 presentations, Australia, epidemic to date</w:t>
      </w:r>
    </w:p>
    <w:p w14:paraId="6F8EAC46" w14:textId="26B667B5" w:rsidR="00962F30" w:rsidRPr="0012554A" w:rsidRDefault="00C94277" w:rsidP="007220B5">
      <w:pPr>
        <w:pStyle w:val="CDIFigures"/>
        <w:spacing w:before="0" w:beforeAutospacing="0" w:after="0" w:afterAutospacing="0"/>
        <w:rPr>
          <w:rFonts w:cstheme="minorHAnsi"/>
        </w:rPr>
      </w:pPr>
      <w:r>
        <w:rPr>
          <w:rFonts w:cstheme="minorHAnsi"/>
          <w:noProof/>
        </w:rPr>
        <w:pict w14:anchorId="6BF0E112">
          <v:shape id="_x0000_i1028" type="#_x0000_t75" alt="Bar chart comparing symptom reporting among patients presenting with positive SARS-CoV-2 tests versus those testing negative for SARS-CoV-2, during the course of the epidemic to date. It is notable that of the five most commonly-reported symptoms of COVID-19 (cough, sore throat, tiredness, runny nose, and fever), only fever (reported in 22% of those with COVID-19, and in 16% of those testing negative) is reported more frequently among cases than among non-cases. Based on the respective symptom profiles of positive-testing versus negative-testing patients, the symptoms most likely to indicated COVID-19 infection are loss of smell and loss of taste, each seen in around 6% of positive presentations but in less than 2% of negative presentations. Nonetheless, it is apparent that there is no unique symptom which can be strongly considered indicative of COVID-19." style="width:521.15pt;height:319.7pt">
            <v:imagedata r:id="rId15" o:title="figures3"/>
          </v:shape>
        </w:pict>
      </w:r>
    </w:p>
    <w:p w14:paraId="4F73E121" w14:textId="77777777" w:rsidR="00DC1B5A" w:rsidRPr="00F528CB" w:rsidRDefault="009564FA" w:rsidP="00F528CB">
      <w:pPr>
        <w:pStyle w:val="Heading1"/>
      </w:pPr>
      <w:r w:rsidRPr="00F528CB">
        <w:t>A</w:t>
      </w:r>
      <w:r w:rsidR="00DC1B5A" w:rsidRPr="00F528CB">
        <w:t xml:space="preserve">ustralian cases: descriptive epidemiology </w:t>
      </w:r>
    </w:p>
    <w:p w14:paraId="2B9097D1" w14:textId="77777777" w:rsidR="00B32FE3" w:rsidRPr="00F528CB" w:rsidRDefault="00B32FE3" w:rsidP="00F528CB">
      <w:pPr>
        <w:pStyle w:val="Heading2"/>
      </w:pPr>
      <w:r w:rsidRPr="00F528CB">
        <w:t>Transmission trends</w:t>
      </w:r>
    </w:p>
    <w:p w14:paraId="651CE4D2" w14:textId="04B604E3" w:rsidR="00CD358E" w:rsidRPr="003E3CB2" w:rsidRDefault="00FD75E9" w:rsidP="00F528CB">
      <w:r w:rsidRPr="003E3CB2">
        <w:t>Up to 16</w:t>
      </w:r>
      <w:r w:rsidR="00102D7C" w:rsidRPr="003E3CB2">
        <w:t xml:space="preserve"> August 2020 there were </w:t>
      </w:r>
      <w:r w:rsidR="00CC22EE" w:rsidRPr="003E3CB2">
        <w:t xml:space="preserve">23,696 </w:t>
      </w:r>
      <w:r w:rsidR="006378E3" w:rsidRPr="003E3CB2">
        <w:t xml:space="preserve">COVID-19 </w:t>
      </w:r>
      <w:r w:rsidR="00102D7C" w:rsidRPr="003E3CB2">
        <w:t xml:space="preserve">cases, including </w:t>
      </w:r>
      <w:r w:rsidR="00CD358E" w:rsidRPr="003E3CB2">
        <w:t>42</w:t>
      </w:r>
      <w:r w:rsidR="00CC22EE" w:rsidRPr="003E3CB2">
        <w:t>8</w:t>
      </w:r>
      <w:r w:rsidR="00102D7C" w:rsidRPr="003E3CB2">
        <w:t xml:space="preserve"> deaths</w:t>
      </w:r>
      <w:r w:rsidR="0069238B" w:rsidRPr="003E3CB2">
        <w:t>,</w:t>
      </w:r>
      <w:r w:rsidR="00102D7C" w:rsidRPr="003E3CB2">
        <w:t xml:space="preserve"> reported nationally</w:t>
      </w:r>
      <w:r w:rsidR="00CC22EE" w:rsidRPr="003E3CB2">
        <w:t xml:space="preserve"> </w:t>
      </w:r>
      <w:r w:rsidR="007220B5" w:rsidRPr="003E3CB2">
        <w:t>with</w:t>
      </w:r>
      <w:r w:rsidR="00CC22EE" w:rsidRPr="003E3CB2">
        <w:t xml:space="preserve"> two distinct </w:t>
      </w:r>
      <w:r w:rsidR="007220B5" w:rsidRPr="003E3CB2">
        <w:t>peaks</w:t>
      </w:r>
      <w:r w:rsidR="00363841" w:rsidRPr="003E3CB2">
        <w:t xml:space="preserve"> in March and July</w:t>
      </w:r>
      <w:r w:rsidR="00CC22EE" w:rsidRPr="003E3CB2">
        <w:t xml:space="preserve"> (Figure </w:t>
      </w:r>
      <w:r w:rsidR="007220B5" w:rsidRPr="003E3CB2">
        <w:t>1</w:t>
      </w:r>
      <w:r w:rsidR="00CC22EE" w:rsidRPr="003E3CB2">
        <w:t>)</w:t>
      </w:r>
      <w:r w:rsidR="00102D7C" w:rsidRPr="003E3CB2">
        <w:t xml:space="preserve">. </w:t>
      </w:r>
      <w:r w:rsidR="007220B5" w:rsidRPr="003E3CB2">
        <w:t>During this</w:t>
      </w:r>
      <w:r w:rsidR="0069238B" w:rsidRPr="003E3CB2">
        <w:t xml:space="preserve"> </w:t>
      </w:r>
      <w:r w:rsidR="006378E3" w:rsidRPr="003E3CB2">
        <w:t>reporting period</w:t>
      </w:r>
      <w:r w:rsidR="006B2609" w:rsidRPr="003E3CB2">
        <w:t>,</w:t>
      </w:r>
      <w:r w:rsidR="006378E3" w:rsidRPr="003E3CB2">
        <w:t xml:space="preserve"> there were </w:t>
      </w:r>
      <w:r w:rsidR="00807C4E" w:rsidRPr="003E3CB2">
        <w:t>3,</w:t>
      </w:r>
      <w:r w:rsidR="00CC22EE" w:rsidRPr="003E3CB2">
        <w:t>767</w:t>
      </w:r>
      <w:r w:rsidR="00807C4E" w:rsidRPr="003E3CB2">
        <w:t xml:space="preserve"> </w:t>
      </w:r>
      <w:r w:rsidR="006378E3" w:rsidRPr="003E3CB2">
        <w:t xml:space="preserve">cases, including </w:t>
      </w:r>
      <w:r w:rsidR="00CC22EE" w:rsidRPr="003E3CB2">
        <w:t>54</w:t>
      </w:r>
      <w:r w:rsidR="00102D7C" w:rsidRPr="003E3CB2">
        <w:t xml:space="preserve"> deaths. The majority of the recently</w:t>
      </w:r>
      <w:r w:rsidR="00A309A3">
        <w:t>-</w:t>
      </w:r>
      <w:r w:rsidR="00807C4E" w:rsidRPr="003E3CB2">
        <w:t>diagnosed</w:t>
      </w:r>
      <w:r w:rsidR="006378E3" w:rsidRPr="003E3CB2">
        <w:t xml:space="preserve"> cases were from Victoria (</w:t>
      </w:r>
      <w:r w:rsidR="00807C4E" w:rsidRPr="003E3CB2">
        <w:t>96.</w:t>
      </w:r>
      <w:r w:rsidR="00A309A3">
        <w:t>3</w:t>
      </w:r>
      <w:r w:rsidR="006378E3" w:rsidRPr="003E3CB2">
        <w:t xml:space="preserve">%), followed by </w:t>
      </w:r>
      <w:r w:rsidR="00102D7C" w:rsidRPr="003E3CB2">
        <w:t>New South Wales</w:t>
      </w:r>
      <w:r w:rsidR="009E32DC" w:rsidRPr="003E3CB2">
        <w:t xml:space="preserve"> (</w:t>
      </w:r>
      <w:r w:rsidR="00807C4E" w:rsidRPr="003E3CB2">
        <w:t>3.</w:t>
      </w:r>
      <w:r w:rsidR="00CC22EE" w:rsidRPr="003E3CB2">
        <w:t>3</w:t>
      </w:r>
      <w:r w:rsidR="006378E3" w:rsidRPr="003E3CB2">
        <w:t>%)</w:t>
      </w:r>
      <w:r w:rsidR="00102D7C" w:rsidRPr="003E3CB2">
        <w:t>. A small number of cases were also reported in Queensland, South Australia, Tasmania</w:t>
      </w:r>
      <w:r w:rsidR="00E35611">
        <w:t xml:space="preserve"> and</w:t>
      </w:r>
      <w:r w:rsidR="00E35611" w:rsidRPr="003E3CB2">
        <w:t xml:space="preserve"> </w:t>
      </w:r>
      <w:r w:rsidR="00102D7C" w:rsidRPr="003E3CB2">
        <w:t>Western Australia</w:t>
      </w:r>
      <w:r w:rsidR="009E32DC" w:rsidRPr="003E3CB2">
        <w:t xml:space="preserve"> (0.</w:t>
      </w:r>
      <w:r w:rsidR="0058543A" w:rsidRPr="003E3CB2">
        <w:t>4</w:t>
      </w:r>
      <w:r w:rsidR="009E32DC" w:rsidRPr="003E3CB2">
        <w:t>%)</w:t>
      </w:r>
      <w:r w:rsidR="00102D7C" w:rsidRPr="003E3CB2">
        <w:t xml:space="preserve">. </w:t>
      </w:r>
      <w:r w:rsidR="006378E3" w:rsidRPr="003E3CB2">
        <w:t xml:space="preserve">On average, </w:t>
      </w:r>
      <w:r w:rsidR="00807C4E" w:rsidRPr="003E3CB2">
        <w:t>2</w:t>
      </w:r>
      <w:r w:rsidR="00CC22EE" w:rsidRPr="003E3CB2">
        <w:t>69</w:t>
      </w:r>
      <w:r w:rsidR="006378E3" w:rsidRPr="003E3CB2">
        <w:t xml:space="preserve"> cases were </w:t>
      </w:r>
      <w:r w:rsidR="00807C4E" w:rsidRPr="003E3CB2">
        <w:t>diagnosed</w:t>
      </w:r>
      <w:r w:rsidR="006378E3" w:rsidRPr="003E3CB2">
        <w:t xml:space="preserve"> each day over the reporting period</w:t>
      </w:r>
      <w:r w:rsidR="006B2609" w:rsidRPr="003E3CB2">
        <w:t xml:space="preserve">, </w:t>
      </w:r>
      <w:r w:rsidR="0058543A" w:rsidRPr="003E3CB2">
        <w:t xml:space="preserve">a decrease </w:t>
      </w:r>
      <w:r w:rsidR="006378E3" w:rsidRPr="003E3CB2">
        <w:t xml:space="preserve">from </w:t>
      </w:r>
      <w:r w:rsidR="0058543A" w:rsidRPr="003E3CB2">
        <w:t>4</w:t>
      </w:r>
      <w:r w:rsidR="00807C4E" w:rsidRPr="003E3CB2">
        <w:t>25</w:t>
      </w:r>
      <w:r w:rsidR="006378E3" w:rsidRPr="003E3CB2">
        <w:t xml:space="preserve"> cases per day over the previous </w:t>
      </w:r>
      <w:r w:rsidR="009E32DC" w:rsidRPr="003E3CB2">
        <w:t>reporting period</w:t>
      </w:r>
      <w:r w:rsidR="006378E3" w:rsidRPr="003E3CB2">
        <w:t xml:space="preserve">. </w:t>
      </w:r>
    </w:p>
    <w:p w14:paraId="20833976" w14:textId="29ECE119" w:rsidR="00290615" w:rsidRPr="003E3CB2" w:rsidRDefault="00B848A8" w:rsidP="00F528CB">
      <w:r w:rsidRPr="003E3CB2">
        <w:t>The</w:t>
      </w:r>
      <w:r w:rsidR="00290615" w:rsidRPr="003E3CB2">
        <w:t xml:space="preserve"> national rate of infection in this reporting period was 14.8 cases per 100,000 population, which is a decrease from the rate observed in t</w:t>
      </w:r>
      <w:r w:rsidR="002E72C2" w:rsidRPr="003E3CB2">
        <w:t>he previous reporting period (</w:t>
      </w:r>
      <w:r w:rsidR="00290615" w:rsidRPr="003E3CB2">
        <w:t>23.2 cases per 100,000 population</w:t>
      </w:r>
      <w:r w:rsidR="002E72C2" w:rsidRPr="003E3CB2">
        <w:t>)</w:t>
      </w:r>
      <w:r w:rsidR="00290615" w:rsidRPr="003E3CB2">
        <w:t xml:space="preserve">. </w:t>
      </w:r>
      <w:r w:rsidR="002E72C2" w:rsidRPr="003E3CB2">
        <w:t xml:space="preserve">For Victoria, the rate of infection in this reporting period was </w:t>
      </w:r>
      <w:r w:rsidR="00290615" w:rsidRPr="003E3CB2">
        <w:t>55 cases per 100,000 population in this reporting period</w:t>
      </w:r>
      <w:r w:rsidR="00E35611">
        <w:t>,</w:t>
      </w:r>
      <w:r w:rsidR="00E35611" w:rsidRPr="003E3CB2">
        <w:t xml:space="preserve"> </w:t>
      </w:r>
      <w:r w:rsidR="002E72C2" w:rsidRPr="003E3CB2">
        <w:t xml:space="preserve">a decrease from </w:t>
      </w:r>
      <w:r w:rsidR="00290615" w:rsidRPr="003E3CB2">
        <w:t>86.3 cases per 100,000 population in the previous reporting period.</w:t>
      </w:r>
    </w:p>
    <w:p w14:paraId="53B5360C" w14:textId="44D14BE4" w:rsidR="00EA1280" w:rsidRPr="00F528CB" w:rsidRDefault="00102D7C" w:rsidP="0078439A">
      <w:r w:rsidRPr="0012554A">
        <w:t>Since the first case of COVID-19 was identified in Australia, all states and territories have experienced COVID-19 cases, with some jurisdictions experiencing higher numbers and more community</w:t>
      </w:r>
      <w:r w:rsidR="006B2609" w:rsidRPr="0012554A">
        <w:t>-</w:t>
      </w:r>
      <w:r w:rsidRPr="0012554A">
        <w:t xml:space="preserve">associated transmission. These differences arise from factors including state demographics, population size, </w:t>
      </w:r>
      <w:r w:rsidR="003E3CB2" w:rsidRPr="0012554A">
        <w:t>and patterns</w:t>
      </w:r>
      <w:r w:rsidRPr="0012554A">
        <w:t xml:space="preserve"> of overseas arrivals in the beginning of the pandemic, and ongoing repatriation flights. Cases in </w:t>
      </w:r>
      <w:r w:rsidRPr="0012554A">
        <w:lastRenderedPageBreak/>
        <w:t xml:space="preserve">Victoria are currently driven by community transmission, with numerous outbreaks occurring across a range of settings and locations in Greater Melbourne. </w:t>
      </w:r>
    </w:p>
    <w:p w14:paraId="5F552E48" w14:textId="77777777" w:rsidR="00902EB3" w:rsidRDefault="00902EB3">
      <w:pPr>
        <w:rPr>
          <w:rFonts w:asciiTheme="majorHAnsi" w:eastAsiaTheme="majorEastAsia" w:hAnsiTheme="majorHAnsi" w:cstheme="majorBidi"/>
          <w:b/>
          <w:bCs/>
          <w:sz w:val="26"/>
          <w:szCs w:val="26"/>
        </w:rPr>
      </w:pPr>
      <w:r>
        <w:br w:type="page"/>
      </w:r>
    </w:p>
    <w:p w14:paraId="6A899193" w14:textId="3DA78990" w:rsidR="00581A77" w:rsidRPr="00F528CB" w:rsidRDefault="00581A77" w:rsidP="00F528CB">
      <w:pPr>
        <w:pStyle w:val="Heading2"/>
      </w:pPr>
      <w:r w:rsidRPr="00F528CB">
        <w:lastRenderedPageBreak/>
        <w:t xml:space="preserve">Source of acquisition </w:t>
      </w:r>
    </w:p>
    <w:p w14:paraId="3AA2968F" w14:textId="77777777" w:rsidR="0058543A" w:rsidRPr="003E3CB2" w:rsidRDefault="00581A77" w:rsidP="00F528CB">
      <w:r w:rsidRPr="003E3CB2">
        <w:t xml:space="preserve">As at </w:t>
      </w:r>
      <w:r w:rsidR="00FD75E9" w:rsidRPr="003E3CB2">
        <w:t>16</w:t>
      </w:r>
      <w:r w:rsidRPr="003E3CB2">
        <w:t xml:space="preserve"> August 2020, Australia has recorded </w:t>
      </w:r>
      <w:r w:rsidR="00CC22EE" w:rsidRPr="003E3CB2">
        <w:t xml:space="preserve">23,696 </w:t>
      </w:r>
      <w:r w:rsidRPr="003E3CB2">
        <w:t>cases of COVID-19</w:t>
      </w:r>
      <w:r w:rsidR="00093673" w:rsidRPr="003E3CB2">
        <w:t xml:space="preserve"> and </w:t>
      </w:r>
      <w:r w:rsidR="0058543A" w:rsidRPr="003E3CB2">
        <w:t>42</w:t>
      </w:r>
      <w:r w:rsidR="00CC22EE" w:rsidRPr="003E3CB2">
        <w:t>8</w:t>
      </w:r>
      <w:r w:rsidR="0058543A" w:rsidRPr="003E3CB2">
        <w:t xml:space="preserve"> </w:t>
      </w:r>
      <w:r w:rsidR="00093673" w:rsidRPr="003E3CB2">
        <w:t>deaths</w:t>
      </w:r>
      <w:r w:rsidR="005C15F8" w:rsidRPr="003E3CB2">
        <w:t>:</w:t>
      </w:r>
      <w:r w:rsidRPr="003E3CB2">
        <w:t xml:space="preserve"> </w:t>
      </w:r>
      <w:r w:rsidR="0058543A" w:rsidRPr="003E3CB2">
        <w:t>75</w:t>
      </w:r>
      <w:r w:rsidRPr="003E3CB2">
        <w:t xml:space="preserve">% </w:t>
      </w:r>
      <w:r w:rsidR="00093673" w:rsidRPr="003E3CB2">
        <w:t xml:space="preserve">of cases </w:t>
      </w:r>
      <w:r w:rsidRPr="003E3CB2">
        <w:t>are reported a</w:t>
      </w:r>
      <w:r w:rsidR="005C15F8" w:rsidRPr="003E3CB2">
        <w:t>s locally acquired;</w:t>
      </w:r>
      <w:r w:rsidRPr="003E3CB2">
        <w:t xml:space="preserve"> </w:t>
      </w:r>
      <w:r w:rsidR="0058543A" w:rsidRPr="003E3CB2">
        <w:t>2</w:t>
      </w:r>
      <w:r w:rsidR="00CC22EE" w:rsidRPr="003E3CB2">
        <w:t>2</w:t>
      </w:r>
      <w:r w:rsidRPr="003E3CB2">
        <w:t>% ar</w:t>
      </w:r>
      <w:r w:rsidR="005C15F8" w:rsidRPr="003E3CB2">
        <w:t>e reported as overseas acquired;</w:t>
      </w:r>
      <w:r w:rsidRPr="003E3CB2">
        <w:t xml:space="preserve"> and </w:t>
      </w:r>
      <w:r w:rsidR="0058543A" w:rsidRPr="003E3CB2">
        <w:t>3</w:t>
      </w:r>
      <w:r w:rsidRPr="003E3CB2">
        <w:t>% remain under investigation</w:t>
      </w:r>
      <w:r w:rsidR="001819FF" w:rsidRPr="003E3CB2">
        <w:t>.</w:t>
      </w:r>
      <w:r w:rsidRPr="003E3CB2">
        <w:t xml:space="preserve"> </w:t>
      </w:r>
    </w:p>
    <w:p w14:paraId="0A76C3D8" w14:textId="55B5E6FC" w:rsidR="00FE12BB" w:rsidRPr="00EA1280" w:rsidRDefault="00FE12BB" w:rsidP="00F528CB">
      <w:r w:rsidRPr="003E3CB2">
        <w:t xml:space="preserve">Of all locally-acquired </w:t>
      </w:r>
      <w:r w:rsidRPr="00EA1280">
        <w:t xml:space="preserve">cases in this reporting period, the source of acquisition for </w:t>
      </w:r>
      <w:r w:rsidR="0058543A" w:rsidRPr="00EA1280">
        <w:t>1</w:t>
      </w:r>
      <w:r w:rsidR="008F5279" w:rsidRPr="00EA1280">
        <w:t>5</w:t>
      </w:r>
      <w:r w:rsidRPr="00EA1280">
        <w:t xml:space="preserve">% of cases </w:t>
      </w:r>
      <w:r w:rsidR="00E35611">
        <w:t>could not</w:t>
      </w:r>
      <w:r w:rsidR="0058543A" w:rsidRPr="00EA1280">
        <w:t xml:space="preserve"> be identified, a decrease from 2</w:t>
      </w:r>
      <w:r w:rsidR="008F5279" w:rsidRPr="00EA1280">
        <w:t>0</w:t>
      </w:r>
      <w:r w:rsidR="00E90EF3" w:rsidRPr="00EA1280">
        <w:t xml:space="preserve">% </w:t>
      </w:r>
      <w:r w:rsidR="00E35611">
        <w:t>which could not</w:t>
      </w:r>
      <w:r w:rsidR="00E90EF3" w:rsidRPr="00EA1280">
        <w:t xml:space="preserve"> be identified </w:t>
      </w:r>
      <w:r w:rsidR="0058543A" w:rsidRPr="00EA1280">
        <w:t>in the previous reporting period</w:t>
      </w:r>
      <w:r w:rsidRPr="00EA1280">
        <w:t xml:space="preserve">. This included </w:t>
      </w:r>
      <w:r w:rsidR="00CC22EE" w:rsidRPr="00EA1280">
        <w:t>6</w:t>
      </w:r>
      <w:r w:rsidRPr="00EA1280">
        <w:t xml:space="preserve"> cases </w:t>
      </w:r>
      <w:r w:rsidR="00E35611">
        <w:t xml:space="preserve">in this reporting period </w:t>
      </w:r>
      <w:r w:rsidRPr="00EA1280">
        <w:t xml:space="preserve">where a contact could not be identified but interstate travel had occurred. </w:t>
      </w:r>
    </w:p>
    <w:p w14:paraId="0943EB6C" w14:textId="3EF82C32" w:rsidR="00A40D61" w:rsidRPr="00EA1280" w:rsidRDefault="00DC1B5A" w:rsidP="00F528CB">
      <w:r w:rsidRPr="00EA1280">
        <w:t>In this reporting period,</w:t>
      </w:r>
      <w:r w:rsidR="00093673" w:rsidRPr="00EA1280">
        <w:t xml:space="preserve"> </w:t>
      </w:r>
      <w:r w:rsidR="00FE12BB" w:rsidRPr="00EA1280">
        <w:t>97% of</w:t>
      </w:r>
      <w:r w:rsidR="00D76D05" w:rsidRPr="00EA1280">
        <w:t xml:space="preserve"> cases </w:t>
      </w:r>
      <w:r w:rsidR="006B2609" w:rsidRPr="00EA1280">
        <w:t xml:space="preserve">have been </w:t>
      </w:r>
      <w:r w:rsidR="00D76D05" w:rsidRPr="00EA1280">
        <w:t xml:space="preserve">reported from </w:t>
      </w:r>
      <w:r w:rsidR="00093673" w:rsidRPr="00EA1280">
        <w:t>Victoria</w:t>
      </w:r>
      <w:r w:rsidR="00D76D05" w:rsidRPr="00EA1280">
        <w:t xml:space="preserve"> (</w:t>
      </w:r>
      <w:r w:rsidR="00CC22EE" w:rsidRPr="00EA1280">
        <w:t>3,628</w:t>
      </w:r>
      <w:r w:rsidR="00D76D05" w:rsidRPr="00EA1280">
        <w:t>). Of these</w:t>
      </w:r>
      <w:r w:rsidR="006B2609" w:rsidRPr="00EA1280">
        <w:t xml:space="preserve"> cases</w:t>
      </w:r>
      <w:r w:rsidR="00D76D05" w:rsidRPr="00EA1280">
        <w:t>,</w:t>
      </w:r>
      <w:r w:rsidR="00C00BF4" w:rsidRPr="00EA1280">
        <w:t xml:space="preserve"> </w:t>
      </w:r>
      <w:r w:rsidR="00E50E2B" w:rsidRPr="00EA1280">
        <w:t>75</w:t>
      </w:r>
      <w:r w:rsidR="00386E14" w:rsidRPr="00EA1280">
        <w:t>%</w:t>
      </w:r>
      <w:r w:rsidRPr="00EA1280">
        <w:t xml:space="preserve"> </w:t>
      </w:r>
      <w:r w:rsidR="00386E14" w:rsidRPr="00EA1280">
        <w:t xml:space="preserve">are reported </w:t>
      </w:r>
      <w:r w:rsidRPr="00EA1280">
        <w:t>a</w:t>
      </w:r>
      <w:r w:rsidR="00581A77" w:rsidRPr="00EA1280">
        <w:t>s locally acquired</w:t>
      </w:r>
      <w:r w:rsidR="00275F05" w:rsidRPr="00EA1280">
        <w:t xml:space="preserve"> with known </w:t>
      </w:r>
      <w:r w:rsidR="00386E14" w:rsidRPr="00EA1280">
        <w:t>source</w:t>
      </w:r>
      <w:r w:rsidR="00275F05" w:rsidRPr="00EA1280">
        <w:t>,</w:t>
      </w:r>
      <w:r w:rsidR="00386E14" w:rsidRPr="00EA1280">
        <w:t xml:space="preserve"> 1</w:t>
      </w:r>
      <w:r w:rsidR="00011068" w:rsidRPr="00EA1280">
        <w:t>5</w:t>
      </w:r>
      <w:r w:rsidR="00386E14" w:rsidRPr="00EA1280">
        <w:t>% as locally acquired</w:t>
      </w:r>
      <w:r w:rsidR="00275F05" w:rsidRPr="00EA1280">
        <w:t xml:space="preserve"> with unknown</w:t>
      </w:r>
      <w:r w:rsidR="004B0458" w:rsidRPr="00EA1280">
        <w:t xml:space="preserve"> source; </w:t>
      </w:r>
      <w:r w:rsidR="00CC22EE" w:rsidRPr="00EA1280">
        <w:t>9</w:t>
      </w:r>
      <w:r w:rsidR="00386E14" w:rsidRPr="00EA1280">
        <w:t>%</w:t>
      </w:r>
      <w:r w:rsidRPr="00EA1280">
        <w:t xml:space="preserve"> </w:t>
      </w:r>
      <w:r w:rsidR="00A309A3">
        <w:t>as</w:t>
      </w:r>
      <w:r w:rsidR="00A309A3" w:rsidRPr="00EA1280">
        <w:t xml:space="preserve"> </w:t>
      </w:r>
      <w:r w:rsidRPr="00EA1280">
        <w:t>under investigation, though likely locally</w:t>
      </w:r>
      <w:r w:rsidR="00275F05" w:rsidRPr="00EA1280">
        <w:t xml:space="preserve"> </w:t>
      </w:r>
      <w:r w:rsidRPr="00EA1280">
        <w:t>acquired</w:t>
      </w:r>
      <w:r w:rsidR="004B0458" w:rsidRPr="00EA1280">
        <w:t>; and no cases reported as overse</w:t>
      </w:r>
      <w:r w:rsidR="00A309A3">
        <w:t>a</w:t>
      </w:r>
      <w:r w:rsidR="004B0458" w:rsidRPr="00EA1280">
        <w:t>s acquired</w:t>
      </w:r>
      <w:r w:rsidR="00386E14" w:rsidRPr="00EA1280">
        <w:t xml:space="preserve"> </w:t>
      </w:r>
      <w:r w:rsidR="00D76D05" w:rsidRPr="00EA1280">
        <w:t xml:space="preserve">(Table </w:t>
      </w:r>
      <w:r w:rsidR="00443EA4" w:rsidRPr="00EA1280">
        <w:t>1</w:t>
      </w:r>
      <w:r w:rsidR="003959D3" w:rsidRPr="00EA1280">
        <w:t xml:space="preserve">, Figure </w:t>
      </w:r>
      <w:r w:rsidR="00D42F5A">
        <w:t>5</w:t>
      </w:r>
      <w:r w:rsidR="00D76D05" w:rsidRPr="00EA1280">
        <w:t>)</w:t>
      </w:r>
      <w:r w:rsidR="00386E14" w:rsidRPr="00EA1280">
        <w:t>.</w:t>
      </w:r>
      <w:r w:rsidR="00275F05" w:rsidRPr="00EA1280">
        <w:t xml:space="preserve"> </w:t>
      </w:r>
    </w:p>
    <w:p w14:paraId="0DAB3952" w14:textId="77777777" w:rsidR="00E50E2B" w:rsidRPr="00EA1280" w:rsidRDefault="00275F05" w:rsidP="00F528CB">
      <w:r w:rsidRPr="00EA1280">
        <w:t>For all other cases (</w:t>
      </w:r>
      <w:r w:rsidR="00E50E2B" w:rsidRPr="00EA1280">
        <w:t>13</w:t>
      </w:r>
      <w:r w:rsidR="00011068" w:rsidRPr="00EA1280">
        <w:t>9</w:t>
      </w:r>
      <w:r w:rsidRPr="00EA1280">
        <w:t xml:space="preserve">) in this reporting period: </w:t>
      </w:r>
      <w:r w:rsidR="00CE4343" w:rsidRPr="00EA1280">
        <w:t>6</w:t>
      </w:r>
      <w:r w:rsidR="00011068" w:rsidRPr="00EA1280">
        <w:t>8</w:t>
      </w:r>
      <w:r w:rsidR="00A40D61" w:rsidRPr="00EA1280">
        <w:t xml:space="preserve">% </w:t>
      </w:r>
      <w:r w:rsidR="00CE4343" w:rsidRPr="00EA1280">
        <w:t xml:space="preserve">of cases </w:t>
      </w:r>
      <w:r w:rsidR="00A40D61" w:rsidRPr="00EA1280">
        <w:t>are reported as locally acquired with known sourc</w:t>
      </w:r>
      <w:r w:rsidR="00DF24BD" w:rsidRPr="00EA1280">
        <w:t>e;</w:t>
      </w:r>
      <w:r w:rsidR="00A40D61" w:rsidRPr="00EA1280">
        <w:t xml:space="preserve"> </w:t>
      </w:r>
      <w:r w:rsidR="00CE4343" w:rsidRPr="00EA1280">
        <w:t>1</w:t>
      </w:r>
      <w:r w:rsidR="007A52AE" w:rsidRPr="00EA1280">
        <w:t>2</w:t>
      </w:r>
      <w:r w:rsidR="00A40D61" w:rsidRPr="00EA1280">
        <w:t>% of cases are reported as locally acquired with unknown source</w:t>
      </w:r>
      <w:r w:rsidR="00DF24BD" w:rsidRPr="00EA1280">
        <w:t>;</w:t>
      </w:r>
      <w:r w:rsidR="00A40D61" w:rsidRPr="00EA1280">
        <w:t xml:space="preserve"> </w:t>
      </w:r>
      <w:r w:rsidR="0064569D" w:rsidRPr="00EA1280">
        <w:t>19</w:t>
      </w:r>
      <w:r w:rsidR="00A40D61" w:rsidRPr="00EA1280">
        <w:t>% of cases are reported as overseas acquired</w:t>
      </w:r>
      <w:r w:rsidR="00DF24BD" w:rsidRPr="00EA1280">
        <w:t>;</w:t>
      </w:r>
      <w:r w:rsidR="00CE4343" w:rsidRPr="00EA1280">
        <w:t xml:space="preserve"> </w:t>
      </w:r>
      <w:r w:rsidR="00A40D61" w:rsidRPr="00EA1280">
        <w:t xml:space="preserve">and </w:t>
      </w:r>
      <w:r w:rsidR="007A52AE" w:rsidRPr="00EA1280">
        <w:t>2</w:t>
      </w:r>
      <w:r w:rsidR="00A40D61" w:rsidRPr="00EA1280">
        <w:t xml:space="preserve">% of cases reported are under investigation (Table </w:t>
      </w:r>
      <w:r w:rsidR="00443EA4" w:rsidRPr="00EA1280">
        <w:t>1</w:t>
      </w:r>
      <w:r w:rsidR="00A40D61" w:rsidRPr="00EA1280">
        <w:t>).</w:t>
      </w:r>
      <w:r w:rsidR="0064569D" w:rsidRPr="00EA1280">
        <w:t xml:space="preserve"> These proportions are similar to the previous reporting period. </w:t>
      </w:r>
      <w:r w:rsidR="0014640A" w:rsidRPr="00EA1280">
        <w:t>For cases excluding those reported in Victoria, the majority (90%) were reported by NSW.</w:t>
      </w:r>
      <w:r w:rsidR="00E50E2B" w:rsidRPr="00EA1280">
        <w:t xml:space="preserve"> </w:t>
      </w:r>
    </w:p>
    <w:p w14:paraId="7CC2C345" w14:textId="0A351A0E" w:rsidR="00581A77" w:rsidRPr="00EA1280" w:rsidRDefault="00A40D61" w:rsidP="00F528CB">
      <w:r w:rsidRPr="00EA1280">
        <w:t>Overseas</w:t>
      </w:r>
      <w:r w:rsidR="003959D3" w:rsidRPr="00EA1280">
        <w:t>-</w:t>
      </w:r>
      <w:r w:rsidRPr="00EA1280">
        <w:t>acquired cases in this fortnight were</w:t>
      </w:r>
      <w:r w:rsidR="00045E74" w:rsidRPr="00EA1280">
        <w:t xml:space="preserve"> reported</w:t>
      </w:r>
      <w:r w:rsidRPr="00EA1280">
        <w:t xml:space="preserve"> fr</w:t>
      </w:r>
      <w:r w:rsidR="00FF21B4" w:rsidRPr="00EA1280">
        <w:t>om NSW (</w:t>
      </w:r>
      <w:r w:rsidR="0064569D" w:rsidRPr="00EA1280">
        <w:t>17</w:t>
      </w:r>
      <w:r w:rsidR="00FF21B4" w:rsidRPr="00EA1280">
        <w:t xml:space="preserve">), </w:t>
      </w:r>
      <w:r w:rsidR="0064569D" w:rsidRPr="00EA1280">
        <w:t xml:space="preserve">SA (4), </w:t>
      </w:r>
      <w:r w:rsidR="00FF21B4" w:rsidRPr="00EA1280">
        <w:t>WA (</w:t>
      </w:r>
      <w:r w:rsidR="0064569D" w:rsidRPr="00EA1280">
        <w:t>3</w:t>
      </w:r>
      <w:r w:rsidR="00FF21B4" w:rsidRPr="00EA1280">
        <w:t>)</w:t>
      </w:r>
      <w:r w:rsidR="00E50E2B" w:rsidRPr="00EA1280">
        <w:t xml:space="preserve">, </w:t>
      </w:r>
      <w:r w:rsidR="00FF21B4" w:rsidRPr="00EA1280">
        <w:t>and Qld (</w:t>
      </w:r>
      <w:r w:rsidR="0064569D" w:rsidRPr="00EA1280">
        <w:t>2</w:t>
      </w:r>
      <w:r w:rsidR="00AA2DE1" w:rsidRPr="00EA1280">
        <w:t>)</w:t>
      </w:r>
      <w:r w:rsidR="00BB499B" w:rsidRPr="00EA1280">
        <w:t xml:space="preserve"> (Table</w:t>
      </w:r>
      <w:r w:rsidR="00EA1280">
        <w:t> </w:t>
      </w:r>
      <w:r w:rsidR="00BB499B" w:rsidRPr="00EA1280">
        <w:t>1</w:t>
      </w:r>
      <w:r w:rsidR="004B0458" w:rsidRPr="00EA1280">
        <w:t>). These cases</w:t>
      </w:r>
      <w:r w:rsidR="00AA2DE1" w:rsidRPr="00EA1280">
        <w:t xml:space="preserve"> </w:t>
      </w:r>
      <w:r w:rsidRPr="00EA1280">
        <w:t>were travellers in hotel quarantine from rep</w:t>
      </w:r>
      <w:r w:rsidR="004B0458" w:rsidRPr="00EA1280">
        <w:t>atriation flights</w:t>
      </w:r>
      <w:r w:rsidR="00E50E2B" w:rsidRPr="00EA1280">
        <w:t>.</w:t>
      </w:r>
    </w:p>
    <w:p w14:paraId="56CA2F04" w14:textId="3BC72B86" w:rsidR="00E50E2B" w:rsidRPr="00F528CB" w:rsidRDefault="00E50E2B" w:rsidP="00F528CB">
      <w:pPr>
        <w:pStyle w:val="CDIFigures"/>
      </w:pPr>
      <w:r w:rsidRPr="00F528CB">
        <w:t xml:space="preserve">Table </w:t>
      </w:r>
      <w:r w:rsidR="00443EA4" w:rsidRPr="00F528CB">
        <w:t>1</w:t>
      </w:r>
      <w:r w:rsidR="00EA1280" w:rsidRPr="00F528CB">
        <w:t>.</w:t>
      </w:r>
      <w:r w:rsidRPr="00F528CB">
        <w:t xml:space="preserve"> COVID-19 notifications by jurisdiction and source of acquisition, 3—16 August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reporting fortnight. Most new COVID-19 notifications (3,628/3,767) have been reported in Victoria, where most cases are locally acquired and a large number of recent cases remain under investigation. New South Wales has reported 125 new COVID-19 notifications, the majority of which are locally acquired. In other states and territories, new notifications are predominantly overseas-acquired.&#10;"/>
      </w:tblPr>
      <w:tblGrid>
        <w:gridCol w:w="2268"/>
        <w:gridCol w:w="851"/>
        <w:gridCol w:w="850"/>
        <w:gridCol w:w="851"/>
        <w:gridCol w:w="749"/>
        <w:gridCol w:w="918"/>
        <w:gridCol w:w="917"/>
        <w:gridCol w:w="918"/>
        <w:gridCol w:w="918"/>
        <w:gridCol w:w="1226"/>
      </w:tblGrid>
      <w:tr w:rsidR="00EA1280" w:rsidRPr="00EA1280" w14:paraId="1D067395" w14:textId="77777777" w:rsidTr="00EA1280">
        <w:trPr>
          <w:cnfStyle w:val="100000000000" w:firstRow="1" w:lastRow="0" w:firstColumn="0" w:lastColumn="0" w:oddVBand="0" w:evenVBand="0" w:oddHBand="0" w:evenHBand="0" w:firstRowFirstColumn="0" w:firstRowLastColumn="0" w:lastRowFirstColumn="0" w:lastRowLastColumn="0"/>
          <w:tblHeader/>
        </w:trPr>
        <w:tc>
          <w:tcPr>
            <w:tcW w:w="2268" w:type="dxa"/>
            <w:tcBorders>
              <w:right w:val="single" w:sz="2" w:space="0" w:color="FFFFFF" w:themeColor="background1"/>
            </w:tcBorders>
            <w:hideMark/>
          </w:tcPr>
          <w:p w14:paraId="257A9D86" w14:textId="77777777" w:rsidR="00E50E2B" w:rsidRPr="00EA1280" w:rsidRDefault="00E50E2B" w:rsidP="008F5279">
            <w:pPr>
              <w:pStyle w:val="NormalWeb"/>
              <w:rPr>
                <w:rFonts w:cstheme="minorHAnsi"/>
                <w:color w:val="FFFFFF" w:themeColor="background1"/>
                <w:sz w:val="18"/>
              </w:rPr>
            </w:pPr>
            <w:r w:rsidRPr="00EA1280">
              <w:rPr>
                <w:rFonts w:cstheme="minorHAnsi"/>
                <w:color w:val="FFFFFF" w:themeColor="background1"/>
                <w:sz w:val="18"/>
              </w:rPr>
              <w:t xml:space="preserve">Source </w:t>
            </w:r>
          </w:p>
        </w:tc>
        <w:tc>
          <w:tcPr>
            <w:tcW w:w="851" w:type="dxa"/>
            <w:tcBorders>
              <w:left w:val="single" w:sz="2" w:space="0" w:color="FFFFFF" w:themeColor="background1"/>
              <w:right w:val="single" w:sz="2" w:space="0" w:color="FFFFFF" w:themeColor="background1"/>
            </w:tcBorders>
            <w:hideMark/>
          </w:tcPr>
          <w:p w14:paraId="6BF9D4D3" w14:textId="77777777" w:rsidR="00E50E2B" w:rsidRPr="00EA1280" w:rsidRDefault="00E50E2B" w:rsidP="008F5279">
            <w:pPr>
              <w:pStyle w:val="NormalWeb"/>
              <w:jc w:val="center"/>
              <w:rPr>
                <w:rFonts w:cstheme="minorHAnsi"/>
                <w:color w:val="FFFFFF" w:themeColor="background1"/>
                <w:sz w:val="18"/>
              </w:rPr>
            </w:pPr>
            <w:r w:rsidRPr="00EA1280">
              <w:rPr>
                <w:rFonts w:cstheme="minorHAnsi"/>
                <w:color w:val="FFFFFF" w:themeColor="background1"/>
                <w:sz w:val="18"/>
              </w:rPr>
              <w:t>NSW</w:t>
            </w:r>
          </w:p>
        </w:tc>
        <w:tc>
          <w:tcPr>
            <w:tcW w:w="850" w:type="dxa"/>
            <w:tcBorders>
              <w:left w:val="single" w:sz="2" w:space="0" w:color="FFFFFF" w:themeColor="background1"/>
              <w:right w:val="single" w:sz="2" w:space="0" w:color="FFFFFF" w:themeColor="background1"/>
            </w:tcBorders>
            <w:hideMark/>
          </w:tcPr>
          <w:p w14:paraId="6A6696DD" w14:textId="77777777" w:rsidR="00E50E2B" w:rsidRPr="00EA1280" w:rsidRDefault="00E50E2B" w:rsidP="008F5279">
            <w:pPr>
              <w:pStyle w:val="NormalWeb"/>
              <w:jc w:val="center"/>
              <w:rPr>
                <w:rFonts w:cstheme="minorHAnsi"/>
                <w:color w:val="FFFFFF" w:themeColor="background1"/>
                <w:sz w:val="18"/>
              </w:rPr>
            </w:pPr>
            <w:r w:rsidRPr="00EA1280">
              <w:rPr>
                <w:rFonts w:cstheme="minorHAnsi"/>
                <w:color w:val="FFFFFF" w:themeColor="background1"/>
                <w:sz w:val="18"/>
              </w:rPr>
              <w:t>Vic</w:t>
            </w:r>
          </w:p>
        </w:tc>
        <w:tc>
          <w:tcPr>
            <w:tcW w:w="851" w:type="dxa"/>
            <w:tcBorders>
              <w:left w:val="single" w:sz="2" w:space="0" w:color="FFFFFF" w:themeColor="background1"/>
              <w:right w:val="single" w:sz="2" w:space="0" w:color="FFFFFF" w:themeColor="background1"/>
            </w:tcBorders>
            <w:hideMark/>
          </w:tcPr>
          <w:p w14:paraId="7CB691FE" w14:textId="77777777" w:rsidR="00E50E2B" w:rsidRPr="00EA1280" w:rsidRDefault="00E50E2B" w:rsidP="008F5279">
            <w:pPr>
              <w:pStyle w:val="NormalWeb"/>
              <w:jc w:val="center"/>
              <w:rPr>
                <w:rFonts w:cstheme="minorHAnsi"/>
                <w:color w:val="FFFFFF" w:themeColor="background1"/>
                <w:sz w:val="18"/>
              </w:rPr>
            </w:pPr>
            <w:r w:rsidRPr="00EA1280">
              <w:rPr>
                <w:rFonts w:cstheme="minorHAnsi"/>
                <w:color w:val="FFFFFF" w:themeColor="background1"/>
                <w:sz w:val="18"/>
              </w:rPr>
              <w:t>Qld</w:t>
            </w:r>
          </w:p>
        </w:tc>
        <w:tc>
          <w:tcPr>
            <w:tcW w:w="749" w:type="dxa"/>
            <w:tcBorders>
              <w:left w:val="single" w:sz="2" w:space="0" w:color="FFFFFF" w:themeColor="background1"/>
              <w:right w:val="single" w:sz="2" w:space="0" w:color="FFFFFF" w:themeColor="background1"/>
            </w:tcBorders>
            <w:hideMark/>
          </w:tcPr>
          <w:p w14:paraId="030BCB31" w14:textId="77777777" w:rsidR="00E50E2B" w:rsidRPr="00EA1280" w:rsidRDefault="00E50E2B" w:rsidP="008F5279">
            <w:pPr>
              <w:pStyle w:val="NormalWeb"/>
              <w:jc w:val="center"/>
              <w:rPr>
                <w:rFonts w:cstheme="minorHAnsi"/>
                <w:color w:val="FFFFFF" w:themeColor="background1"/>
                <w:sz w:val="18"/>
              </w:rPr>
            </w:pPr>
            <w:r w:rsidRPr="00EA1280">
              <w:rPr>
                <w:rFonts w:cstheme="minorHAnsi"/>
                <w:color w:val="FFFFFF" w:themeColor="background1"/>
                <w:sz w:val="18"/>
              </w:rPr>
              <w:t>WA</w:t>
            </w:r>
          </w:p>
        </w:tc>
        <w:tc>
          <w:tcPr>
            <w:tcW w:w="918" w:type="dxa"/>
            <w:tcBorders>
              <w:left w:val="single" w:sz="2" w:space="0" w:color="FFFFFF" w:themeColor="background1"/>
              <w:right w:val="single" w:sz="2" w:space="0" w:color="FFFFFF" w:themeColor="background1"/>
            </w:tcBorders>
            <w:hideMark/>
          </w:tcPr>
          <w:p w14:paraId="767ECB79" w14:textId="77777777" w:rsidR="00E50E2B" w:rsidRPr="00EA1280" w:rsidRDefault="00E50E2B" w:rsidP="008F5279">
            <w:pPr>
              <w:pStyle w:val="NormalWeb"/>
              <w:jc w:val="center"/>
              <w:rPr>
                <w:rFonts w:cstheme="minorHAnsi"/>
                <w:color w:val="FFFFFF" w:themeColor="background1"/>
                <w:sz w:val="18"/>
              </w:rPr>
            </w:pPr>
            <w:r w:rsidRPr="00EA1280">
              <w:rPr>
                <w:rFonts w:cstheme="minorHAnsi"/>
                <w:color w:val="FFFFFF" w:themeColor="background1"/>
                <w:sz w:val="18"/>
              </w:rPr>
              <w:t>SA</w:t>
            </w:r>
          </w:p>
        </w:tc>
        <w:tc>
          <w:tcPr>
            <w:tcW w:w="917" w:type="dxa"/>
            <w:tcBorders>
              <w:left w:val="single" w:sz="2" w:space="0" w:color="FFFFFF" w:themeColor="background1"/>
              <w:right w:val="single" w:sz="2" w:space="0" w:color="FFFFFF" w:themeColor="background1"/>
            </w:tcBorders>
            <w:hideMark/>
          </w:tcPr>
          <w:p w14:paraId="7950D565" w14:textId="77777777" w:rsidR="00E50E2B" w:rsidRPr="00EA1280" w:rsidRDefault="00E50E2B" w:rsidP="008F5279">
            <w:pPr>
              <w:pStyle w:val="NormalWeb"/>
              <w:jc w:val="center"/>
              <w:rPr>
                <w:rFonts w:cstheme="minorHAnsi"/>
                <w:color w:val="FFFFFF" w:themeColor="background1"/>
                <w:sz w:val="18"/>
              </w:rPr>
            </w:pPr>
            <w:r w:rsidRPr="00EA1280">
              <w:rPr>
                <w:rFonts w:cstheme="minorHAnsi"/>
                <w:color w:val="FFFFFF" w:themeColor="background1"/>
                <w:sz w:val="18"/>
              </w:rPr>
              <w:t>Tas</w:t>
            </w:r>
          </w:p>
        </w:tc>
        <w:tc>
          <w:tcPr>
            <w:tcW w:w="918" w:type="dxa"/>
            <w:tcBorders>
              <w:left w:val="single" w:sz="2" w:space="0" w:color="FFFFFF" w:themeColor="background1"/>
              <w:right w:val="single" w:sz="2" w:space="0" w:color="FFFFFF" w:themeColor="background1"/>
            </w:tcBorders>
            <w:hideMark/>
          </w:tcPr>
          <w:p w14:paraId="2D177EF3" w14:textId="77777777" w:rsidR="00E50E2B" w:rsidRPr="00EA1280" w:rsidRDefault="00E50E2B" w:rsidP="008F5279">
            <w:pPr>
              <w:pStyle w:val="NormalWeb"/>
              <w:jc w:val="center"/>
              <w:rPr>
                <w:rFonts w:cstheme="minorHAnsi"/>
                <w:color w:val="FFFFFF" w:themeColor="background1"/>
                <w:sz w:val="18"/>
              </w:rPr>
            </w:pPr>
            <w:r w:rsidRPr="00EA1280">
              <w:rPr>
                <w:rFonts w:cstheme="minorHAnsi"/>
                <w:color w:val="FFFFFF" w:themeColor="background1"/>
                <w:sz w:val="18"/>
              </w:rPr>
              <w:t>NT</w:t>
            </w:r>
          </w:p>
        </w:tc>
        <w:tc>
          <w:tcPr>
            <w:tcW w:w="918" w:type="dxa"/>
            <w:tcBorders>
              <w:left w:val="single" w:sz="2" w:space="0" w:color="FFFFFF" w:themeColor="background1"/>
              <w:right w:val="single" w:sz="2" w:space="0" w:color="FFFFFF" w:themeColor="background1"/>
            </w:tcBorders>
            <w:hideMark/>
          </w:tcPr>
          <w:p w14:paraId="796E0278" w14:textId="77777777" w:rsidR="00E50E2B" w:rsidRPr="00EA1280" w:rsidRDefault="00E50E2B" w:rsidP="008F5279">
            <w:pPr>
              <w:pStyle w:val="NormalWeb"/>
              <w:jc w:val="center"/>
              <w:rPr>
                <w:rFonts w:cstheme="minorHAnsi"/>
                <w:color w:val="FFFFFF" w:themeColor="background1"/>
                <w:sz w:val="18"/>
              </w:rPr>
            </w:pPr>
            <w:r w:rsidRPr="00EA1280">
              <w:rPr>
                <w:rFonts w:cstheme="minorHAnsi"/>
                <w:color w:val="FFFFFF" w:themeColor="background1"/>
                <w:sz w:val="18"/>
              </w:rPr>
              <w:t>ACT</w:t>
            </w:r>
          </w:p>
        </w:tc>
        <w:tc>
          <w:tcPr>
            <w:tcW w:w="1226" w:type="dxa"/>
            <w:tcBorders>
              <w:left w:val="single" w:sz="2" w:space="0" w:color="FFFFFF" w:themeColor="background1"/>
            </w:tcBorders>
            <w:hideMark/>
          </w:tcPr>
          <w:p w14:paraId="0C61BFC4" w14:textId="77777777" w:rsidR="00E50E2B" w:rsidRPr="00EA1280" w:rsidRDefault="00E50E2B" w:rsidP="008F5279">
            <w:pPr>
              <w:pStyle w:val="NormalWeb"/>
              <w:jc w:val="center"/>
              <w:rPr>
                <w:rFonts w:cstheme="minorHAnsi"/>
                <w:color w:val="FFFFFF" w:themeColor="background1"/>
                <w:sz w:val="18"/>
              </w:rPr>
            </w:pPr>
            <w:r w:rsidRPr="00EA1280">
              <w:rPr>
                <w:rFonts w:cstheme="minorHAnsi"/>
                <w:color w:val="FFFFFF" w:themeColor="background1"/>
                <w:sz w:val="18"/>
              </w:rPr>
              <w:t>Australia</w:t>
            </w:r>
          </w:p>
        </w:tc>
      </w:tr>
      <w:tr w:rsidR="00EA1280" w:rsidRPr="00EA1280" w14:paraId="4390BA5B" w14:textId="77777777" w:rsidTr="00EA1280">
        <w:tc>
          <w:tcPr>
            <w:tcW w:w="2268" w:type="dxa"/>
            <w:hideMark/>
          </w:tcPr>
          <w:p w14:paraId="1B8CE982" w14:textId="77777777" w:rsidR="007A52AE" w:rsidRPr="00EA1280" w:rsidRDefault="007A52AE" w:rsidP="007A52AE">
            <w:pPr>
              <w:pStyle w:val="NormalWeb"/>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Overseas</w:t>
            </w:r>
          </w:p>
        </w:tc>
        <w:tc>
          <w:tcPr>
            <w:tcW w:w="851" w:type="dxa"/>
            <w:hideMark/>
          </w:tcPr>
          <w:p w14:paraId="07E6D38E"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17</w:t>
            </w:r>
          </w:p>
        </w:tc>
        <w:tc>
          <w:tcPr>
            <w:tcW w:w="850" w:type="dxa"/>
            <w:hideMark/>
          </w:tcPr>
          <w:p w14:paraId="3D4EB252"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851" w:type="dxa"/>
            <w:hideMark/>
          </w:tcPr>
          <w:p w14:paraId="0F1BD56D"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2</w:t>
            </w:r>
          </w:p>
        </w:tc>
        <w:tc>
          <w:tcPr>
            <w:tcW w:w="749" w:type="dxa"/>
            <w:hideMark/>
          </w:tcPr>
          <w:p w14:paraId="39D75DB6"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3</w:t>
            </w:r>
          </w:p>
        </w:tc>
        <w:tc>
          <w:tcPr>
            <w:tcW w:w="918" w:type="dxa"/>
            <w:hideMark/>
          </w:tcPr>
          <w:p w14:paraId="1632E1EA"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4</w:t>
            </w:r>
          </w:p>
        </w:tc>
        <w:tc>
          <w:tcPr>
            <w:tcW w:w="917" w:type="dxa"/>
            <w:hideMark/>
          </w:tcPr>
          <w:p w14:paraId="39119CD5"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918" w:type="dxa"/>
            <w:hideMark/>
          </w:tcPr>
          <w:p w14:paraId="73BA7483"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918" w:type="dxa"/>
            <w:hideMark/>
          </w:tcPr>
          <w:p w14:paraId="5314BD53"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1226" w:type="dxa"/>
            <w:hideMark/>
          </w:tcPr>
          <w:p w14:paraId="5DAFFD2E"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26</w:t>
            </w:r>
          </w:p>
        </w:tc>
      </w:tr>
      <w:tr w:rsidR="00EA1280" w:rsidRPr="00EA1280" w14:paraId="674DD94F" w14:textId="77777777" w:rsidTr="00EA1280">
        <w:trPr>
          <w:cnfStyle w:val="000000010000" w:firstRow="0" w:lastRow="0" w:firstColumn="0" w:lastColumn="0" w:oddVBand="0" w:evenVBand="0" w:oddHBand="0" w:evenHBand="1" w:firstRowFirstColumn="0" w:firstRowLastColumn="0" w:lastRowFirstColumn="0" w:lastRowLastColumn="0"/>
        </w:trPr>
        <w:tc>
          <w:tcPr>
            <w:tcW w:w="2268" w:type="dxa"/>
            <w:hideMark/>
          </w:tcPr>
          <w:p w14:paraId="224A1D70" w14:textId="77777777" w:rsidR="007A52AE" w:rsidRPr="00EA1280" w:rsidRDefault="007A52AE" w:rsidP="007A52AE">
            <w:pPr>
              <w:pStyle w:val="NormalWeb"/>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Local—source known</w:t>
            </w:r>
          </w:p>
        </w:tc>
        <w:tc>
          <w:tcPr>
            <w:tcW w:w="851" w:type="dxa"/>
            <w:hideMark/>
          </w:tcPr>
          <w:p w14:paraId="10580624"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93</w:t>
            </w:r>
          </w:p>
        </w:tc>
        <w:tc>
          <w:tcPr>
            <w:tcW w:w="850" w:type="dxa"/>
            <w:hideMark/>
          </w:tcPr>
          <w:p w14:paraId="1BF04C40"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2,734</w:t>
            </w:r>
          </w:p>
        </w:tc>
        <w:tc>
          <w:tcPr>
            <w:tcW w:w="851" w:type="dxa"/>
            <w:hideMark/>
          </w:tcPr>
          <w:p w14:paraId="6CA9FD6D"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749" w:type="dxa"/>
            <w:hideMark/>
          </w:tcPr>
          <w:p w14:paraId="506C380E"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918" w:type="dxa"/>
            <w:hideMark/>
          </w:tcPr>
          <w:p w14:paraId="62AF5BDB"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1</w:t>
            </w:r>
          </w:p>
        </w:tc>
        <w:tc>
          <w:tcPr>
            <w:tcW w:w="917" w:type="dxa"/>
            <w:hideMark/>
          </w:tcPr>
          <w:p w14:paraId="7C63DA8A"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918" w:type="dxa"/>
            <w:hideMark/>
          </w:tcPr>
          <w:p w14:paraId="1DC3D540"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918" w:type="dxa"/>
            <w:hideMark/>
          </w:tcPr>
          <w:p w14:paraId="7CD8A820"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1226" w:type="dxa"/>
            <w:hideMark/>
          </w:tcPr>
          <w:p w14:paraId="1EB6D674"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2,828</w:t>
            </w:r>
          </w:p>
        </w:tc>
      </w:tr>
      <w:tr w:rsidR="00EA1280" w:rsidRPr="00EA1280" w14:paraId="7BED279A" w14:textId="77777777" w:rsidTr="00EA1280">
        <w:tc>
          <w:tcPr>
            <w:tcW w:w="2268" w:type="dxa"/>
            <w:hideMark/>
          </w:tcPr>
          <w:p w14:paraId="30969C3E" w14:textId="77777777" w:rsidR="007A52AE" w:rsidRPr="00EA1280" w:rsidRDefault="007A52AE" w:rsidP="007A52AE">
            <w:pPr>
              <w:pStyle w:val="NormalWeb"/>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Local—source unknown</w:t>
            </w:r>
          </w:p>
        </w:tc>
        <w:tc>
          <w:tcPr>
            <w:tcW w:w="851" w:type="dxa"/>
            <w:hideMark/>
          </w:tcPr>
          <w:p w14:paraId="1CF4C99F"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15</w:t>
            </w:r>
          </w:p>
        </w:tc>
        <w:tc>
          <w:tcPr>
            <w:tcW w:w="850" w:type="dxa"/>
            <w:hideMark/>
          </w:tcPr>
          <w:p w14:paraId="75E79D18"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550</w:t>
            </w:r>
          </w:p>
        </w:tc>
        <w:tc>
          <w:tcPr>
            <w:tcW w:w="851" w:type="dxa"/>
            <w:hideMark/>
          </w:tcPr>
          <w:p w14:paraId="518294BC"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749" w:type="dxa"/>
            <w:hideMark/>
          </w:tcPr>
          <w:p w14:paraId="1990C33F"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918" w:type="dxa"/>
            <w:hideMark/>
          </w:tcPr>
          <w:p w14:paraId="619EFE48"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917" w:type="dxa"/>
            <w:hideMark/>
          </w:tcPr>
          <w:p w14:paraId="2B8E0B6A"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1</w:t>
            </w:r>
          </w:p>
        </w:tc>
        <w:tc>
          <w:tcPr>
            <w:tcW w:w="918" w:type="dxa"/>
            <w:hideMark/>
          </w:tcPr>
          <w:p w14:paraId="0358B3A2"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918" w:type="dxa"/>
            <w:hideMark/>
          </w:tcPr>
          <w:p w14:paraId="7CF00452"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1226" w:type="dxa"/>
            <w:hideMark/>
          </w:tcPr>
          <w:p w14:paraId="1EE2C004"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566</w:t>
            </w:r>
          </w:p>
        </w:tc>
      </w:tr>
      <w:tr w:rsidR="00EA1280" w:rsidRPr="00EA1280" w14:paraId="73CECA0D" w14:textId="77777777" w:rsidTr="00EA1280">
        <w:trPr>
          <w:cnfStyle w:val="000000010000" w:firstRow="0" w:lastRow="0" w:firstColumn="0" w:lastColumn="0" w:oddVBand="0" w:evenVBand="0" w:oddHBand="0" w:evenHBand="1" w:firstRowFirstColumn="0" w:firstRowLastColumn="0" w:lastRowFirstColumn="0" w:lastRowLastColumn="0"/>
        </w:trPr>
        <w:tc>
          <w:tcPr>
            <w:tcW w:w="2268" w:type="dxa"/>
            <w:hideMark/>
          </w:tcPr>
          <w:p w14:paraId="54152A18" w14:textId="77777777" w:rsidR="007A52AE" w:rsidRPr="00EA1280" w:rsidRDefault="007A52AE" w:rsidP="007A52AE">
            <w:pPr>
              <w:pStyle w:val="NormalWeb"/>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Under investigation</w:t>
            </w:r>
          </w:p>
        </w:tc>
        <w:tc>
          <w:tcPr>
            <w:tcW w:w="851" w:type="dxa"/>
            <w:hideMark/>
          </w:tcPr>
          <w:p w14:paraId="4AFCAAF7"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850" w:type="dxa"/>
            <w:hideMark/>
          </w:tcPr>
          <w:p w14:paraId="5A37B42C"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344</w:t>
            </w:r>
          </w:p>
        </w:tc>
        <w:tc>
          <w:tcPr>
            <w:tcW w:w="851" w:type="dxa"/>
            <w:hideMark/>
          </w:tcPr>
          <w:p w14:paraId="2607F226"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749" w:type="dxa"/>
            <w:hideMark/>
          </w:tcPr>
          <w:p w14:paraId="19E16071"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2</w:t>
            </w:r>
          </w:p>
        </w:tc>
        <w:tc>
          <w:tcPr>
            <w:tcW w:w="918" w:type="dxa"/>
            <w:hideMark/>
          </w:tcPr>
          <w:p w14:paraId="763D9136"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1</w:t>
            </w:r>
          </w:p>
        </w:tc>
        <w:tc>
          <w:tcPr>
            <w:tcW w:w="917" w:type="dxa"/>
            <w:hideMark/>
          </w:tcPr>
          <w:p w14:paraId="32F8AD5E"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918" w:type="dxa"/>
            <w:hideMark/>
          </w:tcPr>
          <w:p w14:paraId="091FC698"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918" w:type="dxa"/>
            <w:hideMark/>
          </w:tcPr>
          <w:p w14:paraId="231267B9"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0</w:t>
            </w:r>
          </w:p>
        </w:tc>
        <w:tc>
          <w:tcPr>
            <w:tcW w:w="1226" w:type="dxa"/>
            <w:hideMark/>
          </w:tcPr>
          <w:p w14:paraId="1421E805" w14:textId="77777777" w:rsidR="007A52AE" w:rsidRPr="00EA1280" w:rsidRDefault="007A52AE" w:rsidP="007A52AE">
            <w:pPr>
              <w:pStyle w:val="NormalWeb"/>
              <w:jc w:val="center"/>
              <w:rPr>
                <w:rFonts w:asciiTheme="minorHAnsi" w:hAnsiTheme="minorHAnsi" w:cstheme="minorHAnsi"/>
                <w:color w:val="000000" w:themeColor="text1"/>
                <w:sz w:val="20"/>
                <w:szCs w:val="20"/>
              </w:rPr>
            </w:pPr>
            <w:r w:rsidRPr="00EA1280">
              <w:rPr>
                <w:rFonts w:asciiTheme="minorHAnsi" w:hAnsiTheme="minorHAnsi" w:cstheme="minorHAnsi"/>
                <w:color w:val="000000" w:themeColor="text1"/>
                <w:sz w:val="20"/>
                <w:szCs w:val="20"/>
              </w:rPr>
              <w:t>347</w:t>
            </w:r>
          </w:p>
        </w:tc>
      </w:tr>
      <w:tr w:rsidR="00EA1280" w:rsidRPr="00EA1280" w14:paraId="0C9D1D33" w14:textId="77777777" w:rsidTr="00EA1280">
        <w:tc>
          <w:tcPr>
            <w:tcW w:w="2268" w:type="dxa"/>
            <w:shd w:val="clear" w:color="auto" w:fill="FDE9D9" w:themeFill="accent6" w:themeFillTint="33"/>
            <w:hideMark/>
          </w:tcPr>
          <w:p w14:paraId="5F2A4470" w14:textId="77777777" w:rsidR="007A52AE" w:rsidRPr="00EA1280" w:rsidRDefault="007A52AE" w:rsidP="007A52AE">
            <w:pPr>
              <w:pStyle w:val="NormalWeb"/>
              <w:rPr>
                <w:rFonts w:asciiTheme="minorHAnsi" w:hAnsiTheme="minorHAnsi" w:cstheme="minorHAnsi"/>
                <w:b/>
                <w:color w:val="000000" w:themeColor="text1"/>
                <w:sz w:val="20"/>
                <w:szCs w:val="20"/>
              </w:rPr>
            </w:pPr>
            <w:r w:rsidRPr="00EA1280">
              <w:rPr>
                <w:rFonts w:asciiTheme="minorHAnsi" w:hAnsiTheme="minorHAnsi" w:cstheme="minorHAnsi"/>
                <w:b/>
                <w:color w:val="000000" w:themeColor="text1"/>
                <w:sz w:val="20"/>
                <w:szCs w:val="20"/>
              </w:rPr>
              <w:t>Total</w:t>
            </w:r>
          </w:p>
        </w:tc>
        <w:tc>
          <w:tcPr>
            <w:tcW w:w="851" w:type="dxa"/>
            <w:shd w:val="clear" w:color="auto" w:fill="FDE9D9" w:themeFill="accent6" w:themeFillTint="33"/>
            <w:hideMark/>
          </w:tcPr>
          <w:p w14:paraId="7390764B" w14:textId="77777777" w:rsidR="007A52AE" w:rsidRPr="00EA1280" w:rsidRDefault="007A52AE" w:rsidP="007A52AE">
            <w:pPr>
              <w:pStyle w:val="NormalWeb"/>
              <w:jc w:val="center"/>
              <w:rPr>
                <w:rFonts w:asciiTheme="minorHAnsi" w:hAnsiTheme="minorHAnsi" w:cstheme="minorHAnsi"/>
                <w:b/>
                <w:color w:val="000000" w:themeColor="text1"/>
                <w:sz w:val="20"/>
                <w:szCs w:val="20"/>
              </w:rPr>
            </w:pPr>
            <w:r w:rsidRPr="00EA1280">
              <w:rPr>
                <w:rFonts w:asciiTheme="minorHAnsi" w:hAnsiTheme="minorHAnsi" w:cstheme="minorHAnsi"/>
                <w:color w:val="000000" w:themeColor="text1"/>
                <w:sz w:val="20"/>
                <w:szCs w:val="20"/>
              </w:rPr>
              <w:t>125</w:t>
            </w:r>
          </w:p>
        </w:tc>
        <w:tc>
          <w:tcPr>
            <w:tcW w:w="850" w:type="dxa"/>
            <w:shd w:val="clear" w:color="auto" w:fill="FDE9D9" w:themeFill="accent6" w:themeFillTint="33"/>
            <w:hideMark/>
          </w:tcPr>
          <w:p w14:paraId="081713E2" w14:textId="77777777" w:rsidR="007A52AE" w:rsidRPr="00EA1280" w:rsidRDefault="007A52AE" w:rsidP="007A52AE">
            <w:pPr>
              <w:pStyle w:val="NormalWeb"/>
              <w:jc w:val="center"/>
              <w:rPr>
                <w:rFonts w:asciiTheme="minorHAnsi" w:hAnsiTheme="minorHAnsi" w:cstheme="minorHAnsi"/>
                <w:b/>
                <w:color w:val="000000" w:themeColor="text1"/>
                <w:sz w:val="20"/>
                <w:szCs w:val="20"/>
              </w:rPr>
            </w:pPr>
            <w:r w:rsidRPr="00EA1280">
              <w:rPr>
                <w:rFonts w:asciiTheme="minorHAnsi" w:hAnsiTheme="minorHAnsi" w:cstheme="minorHAnsi"/>
                <w:color w:val="000000" w:themeColor="text1"/>
                <w:sz w:val="20"/>
                <w:szCs w:val="20"/>
              </w:rPr>
              <w:t>3,628</w:t>
            </w:r>
          </w:p>
        </w:tc>
        <w:tc>
          <w:tcPr>
            <w:tcW w:w="851" w:type="dxa"/>
            <w:shd w:val="clear" w:color="auto" w:fill="FDE9D9" w:themeFill="accent6" w:themeFillTint="33"/>
            <w:hideMark/>
          </w:tcPr>
          <w:p w14:paraId="786289A8" w14:textId="77777777" w:rsidR="007A52AE" w:rsidRPr="00EA1280" w:rsidRDefault="007A52AE" w:rsidP="007A52AE">
            <w:pPr>
              <w:pStyle w:val="NormalWeb"/>
              <w:jc w:val="center"/>
              <w:rPr>
                <w:rFonts w:asciiTheme="minorHAnsi" w:hAnsiTheme="minorHAnsi" w:cstheme="minorHAnsi"/>
                <w:b/>
                <w:color w:val="000000" w:themeColor="text1"/>
                <w:sz w:val="20"/>
                <w:szCs w:val="20"/>
              </w:rPr>
            </w:pPr>
            <w:r w:rsidRPr="00EA1280">
              <w:rPr>
                <w:rFonts w:asciiTheme="minorHAnsi" w:hAnsiTheme="minorHAnsi" w:cstheme="minorHAnsi"/>
                <w:color w:val="000000" w:themeColor="text1"/>
                <w:sz w:val="20"/>
                <w:szCs w:val="20"/>
              </w:rPr>
              <w:t>2</w:t>
            </w:r>
          </w:p>
        </w:tc>
        <w:tc>
          <w:tcPr>
            <w:tcW w:w="749" w:type="dxa"/>
            <w:shd w:val="clear" w:color="auto" w:fill="FDE9D9" w:themeFill="accent6" w:themeFillTint="33"/>
            <w:hideMark/>
          </w:tcPr>
          <w:p w14:paraId="7747F9F3" w14:textId="77777777" w:rsidR="007A52AE" w:rsidRPr="00EA1280" w:rsidRDefault="007A52AE" w:rsidP="007A52AE">
            <w:pPr>
              <w:pStyle w:val="NormalWeb"/>
              <w:jc w:val="center"/>
              <w:rPr>
                <w:rFonts w:asciiTheme="minorHAnsi" w:hAnsiTheme="minorHAnsi" w:cstheme="minorHAnsi"/>
                <w:b/>
                <w:color w:val="000000" w:themeColor="text1"/>
                <w:sz w:val="20"/>
                <w:szCs w:val="20"/>
              </w:rPr>
            </w:pPr>
            <w:r w:rsidRPr="00EA1280">
              <w:rPr>
                <w:rFonts w:asciiTheme="minorHAnsi" w:hAnsiTheme="minorHAnsi" w:cstheme="minorHAnsi"/>
                <w:color w:val="000000" w:themeColor="text1"/>
                <w:sz w:val="20"/>
                <w:szCs w:val="20"/>
              </w:rPr>
              <w:t>5</w:t>
            </w:r>
          </w:p>
        </w:tc>
        <w:tc>
          <w:tcPr>
            <w:tcW w:w="918" w:type="dxa"/>
            <w:shd w:val="clear" w:color="auto" w:fill="FDE9D9" w:themeFill="accent6" w:themeFillTint="33"/>
            <w:hideMark/>
          </w:tcPr>
          <w:p w14:paraId="1F4CCC4D" w14:textId="77777777" w:rsidR="007A52AE" w:rsidRPr="00EA1280" w:rsidRDefault="007A52AE" w:rsidP="007A52AE">
            <w:pPr>
              <w:pStyle w:val="NormalWeb"/>
              <w:jc w:val="center"/>
              <w:rPr>
                <w:rFonts w:asciiTheme="minorHAnsi" w:hAnsiTheme="minorHAnsi" w:cstheme="minorHAnsi"/>
                <w:b/>
                <w:color w:val="000000" w:themeColor="text1"/>
                <w:sz w:val="20"/>
                <w:szCs w:val="20"/>
              </w:rPr>
            </w:pPr>
            <w:r w:rsidRPr="00EA1280">
              <w:rPr>
                <w:rFonts w:asciiTheme="minorHAnsi" w:hAnsiTheme="minorHAnsi" w:cstheme="minorHAnsi"/>
                <w:color w:val="000000" w:themeColor="text1"/>
                <w:sz w:val="20"/>
                <w:szCs w:val="20"/>
              </w:rPr>
              <w:t>6</w:t>
            </w:r>
          </w:p>
        </w:tc>
        <w:tc>
          <w:tcPr>
            <w:tcW w:w="917" w:type="dxa"/>
            <w:shd w:val="clear" w:color="auto" w:fill="FDE9D9" w:themeFill="accent6" w:themeFillTint="33"/>
            <w:hideMark/>
          </w:tcPr>
          <w:p w14:paraId="60466489" w14:textId="77777777" w:rsidR="007A52AE" w:rsidRPr="00EA1280" w:rsidRDefault="007A52AE" w:rsidP="007A52AE">
            <w:pPr>
              <w:pStyle w:val="NormalWeb"/>
              <w:jc w:val="center"/>
              <w:rPr>
                <w:rFonts w:asciiTheme="minorHAnsi" w:hAnsiTheme="minorHAnsi" w:cstheme="minorHAnsi"/>
                <w:b/>
                <w:color w:val="000000" w:themeColor="text1"/>
                <w:sz w:val="20"/>
                <w:szCs w:val="20"/>
              </w:rPr>
            </w:pPr>
            <w:r w:rsidRPr="00EA1280">
              <w:rPr>
                <w:rFonts w:asciiTheme="minorHAnsi" w:hAnsiTheme="minorHAnsi" w:cstheme="minorHAnsi"/>
                <w:color w:val="000000" w:themeColor="text1"/>
                <w:sz w:val="20"/>
                <w:szCs w:val="20"/>
              </w:rPr>
              <w:t>1</w:t>
            </w:r>
          </w:p>
        </w:tc>
        <w:tc>
          <w:tcPr>
            <w:tcW w:w="918" w:type="dxa"/>
            <w:shd w:val="clear" w:color="auto" w:fill="FDE9D9" w:themeFill="accent6" w:themeFillTint="33"/>
            <w:hideMark/>
          </w:tcPr>
          <w:p w14:paraId="078BCF50" w14:textId="77777777" w:rsidR="007A52AE" w:rsidRPr="00EA1280" w:rsidRDefault="007A52AE" w:rsidP="007A52AE">
            <w:pPr>
              <w:pStyle w:val="NormalWeb"/>
              <w:jc w:val="center"/>
              <w:rPr>
                <w:rFonts w:asciiTheme="minorHAnsi" w:hAnsiTheme="minorHAnsi" w:cstheme="minorHAnsi"/>
                <w:b/>
                <w:color w:val="000000" w:themeColor="text1"/>
                <w:sz w:val="20"/>
                <w:szCs w:val="20"/>
              </w:rPr>
            </w:pPr>
            <w:r w:rsidRPr="00EA1280">
              <w:rPr>
                <w:rFonts w:asciiTheme="minorHAnsi" w:hAnsiTheme="minorHAnsi" w:cstheme="minorHAnsi"/>
                <w:color w:val="000000" w:themeColor="text1"/>
                <w:sz w:val="20"/>
                <w:szCs w:val="20"/>
              </w:rPr>
              <w:t>0</w:t>
            </w:r>
          </w:p>
        </w:tc>
        <w:tc>
          <w:tcPr>
            <w:tcW w:w="918" w:type="dxa"/>
            <w:shd w:val="clear" w:color="auto" w:fill="FDE9D9" w:themeFill="accent6" w:themeFillTint="33"/>
            <w:hideMark/>
          </w:tcPr>
          <w:p w14:paraId="199CE6FD" w14:textId="77777777" w:rsidR="007A52AE" w:rsidRPr="00EA1280" w:rsidRDefault="007A52AE" w:rsidP="007A52AE">
            <w:pPr>
              <w:pStyle w:val="NormalWeb"/>
              <w:jc w:val="center"/>
              <w:rPr>
                <w:rFonts w:asciiTheme="minorHAnsi" w:hAnsiTheme="minorHAnsi" w:cstheme="minorHAnsi"/>
                <w:b/>
                <w:color w:val="000000" w:themeColor="text1"/>
                <w:sz w:val="20"/>
                <w:szCs w:val="20"/>
              </w:rPr>
            </w:pPr>
            <w:r w:rsidRPr="00EA1280">
              <w:rPr>
                <w:rFonts w:asciiTheme="minorHAnsi" w:hAnsiTheme="minorHAnsi" w:cstheme="minorHAnsi"/>
                <w:color w:val="000000" w:themeColor="text1"/>
                <w:sz w:val="20"/>
                <w:szCs w:val="20"/>
              </w:rPr>
              <w:t>0</w:t>
            </w:r>
          </w:p>
        </w:tc>
        <w:tc>
          <w:tcPr>
            <w:tcW w:w="1226" w:type="dxa"/>
            <w:shd w:val="clear" w:color="auto" w:fill="FDE9D9" w:themeFill="accent6" w:themeFillTint="33"/>
            <w:hideMark/>
          </w:tcPr>
          <w:p w14:paraId="335630DB" w14:textId="77777777" w:rsidR="007A52AE" w:rsidRPr="00EA1280" w:rsidRDefault="007A52AE" w:rsidP="007A52AE">
            <w:pPr>
              <w:pStyle w:val="NormalWeb"/>
              <w:jc w:val="center"/>
              <w:rPr>
                <w:rFonts w:asciiTheme="minorHAnsi" w:hAnsiTheme="minorHAnsi" w:cstheme="minorHAnsi"/>
                <w:b/>
                <w:color w:val="000000" w:themeColor="text1"/>
                <w:sz w:val="20"/>
                <w:szCs w:val="20"/>
              </w:rPr>
            </w:pPr>
            <w:r w:rsidRPr="00EA1280">
              <w:rPr>
                <w:rFonts w:asciiTheme="minorHAnsi" w:hAnsiTheme="minorHAnsi" w:cstheme="minorHAnsi"/>
                <w:color w:val="000000" w:themeColor="text1"/>
                <w:sz w:val="20"/>
                <w:szCs w:val="20"/>
              </w:rPr>
              <w:t>3,767</w:t>
            </w:r>
          </w:p>
        </w:tc>
      </w:tr>
    </w:tbl>
    <w:p w14:paraId="14DE6D88" w14:textId="77777777" w:rsidR="00F528CB" w:rsidRDefault="00F528CB" w:rsidP="00F528CB"/>
    <w:p w14:paraId="31CC7370" w14:textId="43CB10E0" w:rsidR="00EA1280" w:rsidRPr="00F528CB" w:rsidRDefault="00440C10" w:rsidP="00E50E2B">
      <w:r w:rsidRPr="00EA1280">
        <w:t>For locally</w:t>
      </w:r>
      <w:r w:rsidR="009469E1">
        <w:t>-</w:t>
      </w:r>
      <w:r w:rsidRPr="00EA1280">
        <w:t>acquired cases, c</w:t>
      </w:r>
      <w:r w:rsidR="00C90C4F" w:rsidRPr="00EA1280">
        <w:t xml:space="preserve">ompared to the previous reporting period, the rate of infection in Victoria decreased </w:t>
      </w:r>
      <w:r w:rsidR="00320A96" w:rsidRPr="00EA1280">
        <w:t xml:space="preserve">from 86.3 </w:t>
      </w:r>
      <w:r w:rsidR="00C90C4F" w:rsidRPr="00EA1280">
        <w:t xml:space="preserve">per 100,000 </w:t>
      </w:r>
      <w:r w:rsidR="00320A96" w:rsidRPr="00EA1280">
        <w:t>population to 55</w:t>
      </w:r>
      <w:r w:rsidR="009469E1">
        <w:t>.0</w:t>
      </w:r>
      <w:r w:rsidR="00320A96" w:rsidRPr="00EA1280">
        <w:t xml:space="preserve"> per 100,000 population. </w:t>
      </w:r>
      <w:r w:rsidRPr="00EA1280">
        <w:t xml:space="preserve">For this reporting period, the infection rate in NSW is 1.3 per 100,000 population with all other jurisdictions (excluding Victoria) reporting an infection rate of less than </w:t>
      </w:r>
      <w:r w:rsidR="009469E1">
        <w:t>0.</w:t>
      </w:r>
      <w:r w:rsidR="00865BA7">
        <w:t>5</w:t>
      </w:r>
      <w:r w:rsidRPr="00EA1280">
        <w:t xml:space="preserve"> per 100,000. </w:t>
      </w:r>
      <w:r w:rsidR="00B51001" w:rsidRPr="00EA1280">
        <w:t>More broadly, t</w:t>
      </w:r>
      <w:r w:rsidR="00320A96" w:rsidRPr="00EA1280">
        <w:t>he infection rate</w:t>
      </w:r>
      <w:r w:rsidR="00B51001" w:rsidRPr="00EA1280">
        <w:t xml:space="preserve"> </w:t>
      </w:r>
      <w:r w:rsidR="00320A96" w:rsidRPr="00EA1280">
        <w:t xml:space="preserve">to date for all </w:t>
      </w:r>
      <w:r w:rsidRPr="00EA1280">
        <w:t>locally</w:t>
      </w:r>
      <w:r w:rsidR="009469E1">
        <w:t>-</w:t>
      </w:r>
      <w:r w:rsidRPr="00EA1280">
        <w:t>acquired</w:t>
      </w:r>
      <w:r w:rsidR="00320A96" w:rsidRPr="00EA1280">
        <w:t xml:space="preserve"> cases in Victoria is 245.5 per 100,000 population with Tasmania </w:t>
      </w:r>
      <w:r w:rsidRPr="00EA1280">
        <w:t xml:space="preserve">having the </w:t>
      </w:r>
      <w:r w:rsidR="00320A96" w:rsidRPr="00EA1280">
        <w:t xml:space="preserve">second highest </w:t>
      </w:r>
      <w:r w:rsidRPr="00EA1280">
        <w:t>rate of</w:t>
      </w:r>
      <w:r w:rsidR="00320A96" w:rsidRPr="00EA1280">
        <w:t xml:space="preserve"> 27.9 cases per 100,000 </w:t>
      </w:r>
      <w:r w:rsidRPr="00EA1280">
        <w:t xml:space="preserve">and NSW following with 21.3 infections per 100,000 </w:t>
      </w:r>
      <w:r w:rsidR="00320A96" w:rsidRPr="00EA1280">
        <w:t>(Table 2).</w:t>
      </w:r>
    </w:p>
    <w:p w14:paraId="1641607E" w14:textId="77777777" w:rsidR="00560708" w:rsidRDefault="00560708">
      <w:pPr>
        <w:rPr>
          <w:rFonts w:cstheme="minorHAnsi"/>
          <w:b/>
        </w:rPr>
      </w:pPr>
      <w:r>
        <w:rPr>
          <w:rFonts w:cstheme="minorHAnsi"/>
        </w:rPr>
        <w:br w:type="page"/>
      </w:r>
    </w:p>
    <w:p w14:paraId="7EDFF975" w14:textId="2657ED8F" w:rsidR="00323513" w:rsidRPr="00EA1280" w:rsidRDefault="007664A6" w:rsidP="007E374D">
      <w:pPr>
        <w:pStyle w:val="CDIFigures"/>
        <w:spacing w:after="0" w:afterAutospacing="0"/>
        <w:rPr>
          <w:rFonts w:cstheme="minorHAnsi"/>
        </w:rPr>
      </w:pPr>
      <w:r w:rsidRPr="00EA1280">
        <w:rPr>
          <w:rFonts w:cstheme="minorHAnsi"/>
        </w:rPr>
        <w:lastRenderedPageBreak/>
        <w:t>F</w:t>
      </w:r>
      <w:r w:rsidR="00323513" w:rsidRPr="00EA1280">
        <w:rPr>
          <w:rFonts w:cstheme="minorHAnsi"/>
        </w:rPr>
        <w:t>igure</w:t>
      </w:r>
      <w:r w:rsidR="00443EA4" w:rsidRPr="00EA1280">
        <w:rPr>
          <w:rFonts w:cstheme="minorHAnsi"/>
        </w:rPr>
        <w:t xml:space="preserve"> </w:t>
      </w:r>
      <w:r w:rsidR="00EA1280">
        <w:rPr>
          <w:rFonts w:cstheme="minorHAnsi"/>
        </w:rPr>
        <w:t>5.</w:t>
      </w:r>
      <w:r w:rsidR="00323513" w:rsidRPr="00EA1280">
        <w:rPr>
          <w:rFonts w:cstheme="minorHAnsi"/>
        </w:rPr>
        <w:t xml:space="preserve"> </w:t>
      </w:r>
      <w:r w:rsidR="00FD04CB" w:rsidRPr="00EA1280">
        <w:rPr>
          <w:rFonts w:cstheme="minorHAnsi"/>
        </w:rPr>
        <w:t xml:space="preserve">COVID-19 </w:t>
      </w:r>
      <w:r w:rsidR="00764577" w:rsidRPr="00EA1280">
        <w:rPr>
          <w:rFonts w:cstheme="minorHAnsi"/>
        </w:rPr>
        <w:t>notifications Victoria, and all other jurisdictions</w:t>
      </w:r>
      <w:r w:rsidR="00323513" w:rsidRPr="00EA1280">
        <w:rPr>
          <w:rFonts w:cstheme="minorHAnsi"/>
        </w:rPr>
        <w:t>,</w:t>
      </w:r>
      <w:r w:rsidR="00270859" w:rsidRPr="00EA1280">
        <w:rPr>
          <w:rFonts w:cstheme="minorHAnsi"/>
        </w:rPr>
        <w:t xml:space="preserve"> </w:t>
      </w:r>
      <w:r w:rsidR="00323513" w:rsidRPr="00EA1280">
        <w:rPr>
          <w:rFonts w:cstheme="minorHAnsi"/>
        </w:rPr>
        <w:t xml:space="preserve">by </w:t>
      </w:r>
      <w:r w:rsidR="00D77C62" w:rsidRPr="00EA1280">
        <w:rPr>
          <w:rFonts w:cstheme="minorHAnsi"/>
        </w:rPr>
        <w:t xml:space="preserve">week and </w:t>
      </w:r>
      <w:r w:rsidR="00323513" w:rsidRPr="00EA1280">
        <w:rPr>
          <w:rFonts w:cstheme="minorHAnsi"/>
        </w:rPr>
        <w:t>source of acquisition</w:t>
      </w:r>
      <w:r w:rsidR="00764577" w:rsidRPr="00EA1280">
        <w:rPr>
          <w:rFonts w:cstheme="minorHAnsi"/>
        </w:rPr>
        <w:t xml:space="preserve">, as at </w:t>
      </w:r>
      <w:r w:rsidR="00FD75E9" w:rsidRPr="00EA1280">
        <w:rPr>
          <w:rFonts w:cstheme="minorHAnsi"/>
        </w:rPr>
        <w:t>16</w:t>
      </w:r>
      <w:r w:rsidR="007E374D" w:rsidRPr="00EA1280">
        <w:rPr>
          <w:rFonts w:cstheme="minorHAnsi"/>
        </w:rPr>
        <w:t> </w:t>
      </w:r>
      <w:r w:rsidR="00764577" w:rsidRPr="00EA1280">
        <w:rPr>
          <w:rFonts w:cstheme="minorHAnsi"/>
        </w:rPr>
        <w:t>August 2020</w:t>
      </w:r>
    </w:p>
    <w:p w14:paraId="7171FED2" w14:textId="128ED3DE" w:rsidR="00DA2B59" w:rsidRPr="0012554A" w:rsidRDefault="00C94277" w:rsidP="00D84D6C">
      <w:pPr>
        <w:pStyle w:val="CDIFigures"/>
        <w:spacing w:line="240" w:lineRule="auto"/>
        <w:rPr>
          <w:rFonts w:cstheme="minorHAnsi"/>
          <w:color w:val="000000" w:themeColor="text1"/>
        </w:rPr>
      </w:pPr>
      <w:r>
        <w:rPr>
          <w:rFonts w:cstheme="minorHAnsi"/>
          <w:noProof/>
          <w:color w:val="000000" w:themeColor="text1"/>
        </w:rPr>
        <w:pict w14:anchorId="006446A3">
          <v:shape id="_x0000_i1029" type="#_x0000_t75" alt="Bar charts of new case notifications in Victoria, and in the other jurisdictions, by week of illness diagnosis and source of acquisition. It is apparent that all jurisdictions saw a peak in notifications around 20 March 2020, with a majority of cases during this time overseas acquired. In contrast, almost all cases in the more recent and ongoing outbreak centred on Victoria (which has now overshadowed that state’s mid-March peak) have been locally acquired, while numbers of recent notifications elsewhere are much lower." style="width:491.15pt;height:462pt;mso-position-vertical:absolute">
            <v:imagedata r:id="rId16" o:title="f9-composite"/>
          </v:shape>
        </w:pict>
      </w:r>
    </w:p>
    <w:p w14:paraId="329A8573" w14:textId="77777777" w:rsidR="00902EB3" w:rsidRDefault="00902EB3">
      <w:pPr>
        <w:rPr>
          <w:b/>
        </w:rPr>
      </w:pPr>
      <w:r>
        <w:br w:type="page"/>
      </w:r>
    </w:p>
    <w:p w14:paraId="51A1F392" w14:textId="18849D7D" w:rsidR="00B01A21" w:rsidRPr="00F528CB" w:rsidRDefault="00FD04CB" w:rsidP="00F528CB">
      <w:pPr>
        <w:pStyle w:val="CDIFigures"/>
      </w:pPr>
      <w:r w:rsidRPr="00F528CB">
        <w:lastRenderedPageBreak/>
        <w:t xml:space="preserve">Table </w:t>
      </w:r>
      <w:r w:rsidR="00443EA4" w:rsidRPr="00F528CB">
        <w:t>2</w:t>
      </w:r>
      <w:r w:rsidRPr="00F528CB">
        <w:t xml:space="preserve">: </w:t>
      </w:r>
      <w:r w:rsidR="002C0729" w:rsidRPr="00F528CB">
        <w:t>Locally</w:t>
      </w:r>
      <w:r w:rsidR="003959D3" w:rsidRPr="00F528CB">
        <w:t>-</w:t>
      </w:r>
      <w:r w:rsidR="002C0729" w:rsidRPr="00F528CB">
        <w:t xml:space="preserve">acquired </w:t>
      </w:r>
      <w:r w:rsidRPr="00F528CB">
        <w:t xml:space="preserve">COVID-19 </w:t>
      </w:r>
      <w:r w:rsidR="002C0729" w:rsidRPr="00F528CB">
        <w:t>case</w:t>
      </w:r>
      <w:r w:rsidRPr="00F528CB">
        <w:t xml:space="preserve">s by jurisdiction, </w:t>
      </w:r>
      <w:r w:rsidR="002C0729" w:rsidRPr="00F528CB">
        <w:t xml:space="preserve">as at </w:t>
      </w:r>
      <w:r w:rsidR="00FD75E9" w:rsidRPr="00F528CB">
        <w:t>16</w:t>
      </w:r>
      <w:r w:rsidR="002C0729" w:rsidRPr="00F528CB">
        <w:t xml:space="preserve"> August 2020</w:t>
      </w:r>
    </w:p>
    <w:tbl>
      <w:tblPr>
        <w:tblW w:w="5000" w:type="pct"/>
        <w:tblCellMar>
          <w:top w:w="57" w:type="dxa"/>
          <w:bottom w:w="57" w:type="dxa"/>
        </w:tblCellMar>
        <w:tblLook w:val="04A0" w:firstRow="1" w:lastRow="0" w:firstColumn="1" w:lastColumn="0" w:noHBand="0" w:noVBand="1"/>
        <w:tblDescription w:val="Table 2 shows the fortnightly locally-acquired case notifications and rates per 100,000 population within each jurisdiction for the current reporting fortnight, as well as the notifications for the previous reporting fortnight and the cumulative case numbers and rates for each jurisdiction. The ongoing outbreak in Victoria has seen a sharp increase in its number of locally-acquired cases and rate per 100,000 in recent weeks; at 245.5 cases per 100,000 population, Victoria now has substantially the highest cumulative locally-acquired case rate nationwide.&#10;"/>
      </w:tblPr>
      <w:tblGrid>
        <w:gridCol w:w="1259"/>
        <w:gridCol w:w="1535"/>
        <w:gridCol w:w="1534"/>
        <w:gridCol w:w="1534"/>
        <w:gridCol w:w="1534"/>
        <w:gridCol w:w="1534"/>
        <w:gridCol w:w="1536"/>
      </w:tblGrid>
      <w:tr w:rsidR="0078439A" w:rsidRPr="00560708" w14:paraId="5863CC90" w14:textId="77777777" w:rsidTr="003C0ECE">
        <w:trPr>
          <w:trHeight w:val="462"/>
        </w:trPr>
        <w:tc>
          <w:tcPr>
            <w:tcW w:w="601" w:type="pct"/>
            <w:vMerge w:val="restart"/>
            <w:tcBorders>
              <w:top w:val="nil"/>
              <w:left w:val="nil"/>
              <w:bottom w:val="nil"/>
              <w:right w:val="single" w:sz="8" w:space="0" w:color="FFFFFF"/>
            </w:tcBorders>
            <w:shd w:val="clear" w:color="000000" w:fill="404040"/>
            <w:vAlign w:val="center"/>
            <w:hideMark/>
          </w:tcPr>
          <w:p w14:paraId="4D0A0AA5" w14:textId="77777777" w:rsidR="003C0ECE" w:rsidRPr="00560708" w:rsidRDefault="003C0ECE" w:rsidP="00D84D6C">
            <w:pPr>
              <w:spacing w:after="0" w:line="240" w:lineRule="auto"/>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Jurisdiction</w:t>
            </w:r>
          </w:p>
        </w:tc>
        <w:tc>
          <w:tcPr>
            <w:tcW w:w="1466" w:type="pct"/>
            <w:gridSpan w:val="2"/>
            <w:tcBorders>
              <w:top w:val="nil"/>
              <w:left w:val="nil"/>
              <w:bottom w:val="single" w:sz="8" w:space="0" w:color="FFFFFF"/>
              <w:right w:val="single" w:sz="8" w:space="0" w:color="FFFFFF"/>
            </w:tcBorders>
            <w:shd w:val="clear" w:color="000000" w:fill="404040"/>
            <w:vAlign w:val="center"/>
            <w:hideMark/>
          </w:tcPr>
          <w:p w14:paraId="15473748" w14:textId="177AF468" w:rsidR="003C0ECE" w:rsidRPr="00560708" w:rsidRDefault="002C0729" w:rsidP="005D6B37">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lang w:val="en-US"/>
              </w:rPr>
              <w:t>Reporting period</w:t>
            </w:r>
            <w:r w:rsidR="003C0ECE" w:rsidRPr="00560708">
              <w:rPr>
                <w:rFonts w:eastAsia="Times New Roman" w:cstheme="minorHAnsi"/>
                <w:b/>
                <w:bCs/>
                <w:color w:val="FFFFFF" w:themeColor="background1"/>
                <w:sz w:val="18"/>
                <w:szCs w:val="18"/>
                <w:lang w:val="en-US"/>
              </w:rPr>
              <w:br/>
            </w:r>
            <w:r w:rsidR="00FD75E9" w:rsidRPr="00560708">
              <w:rPr>
                <w:rFonts w:eastAsia="Times New Roman" w:cstheme="minorHAnsi"/>
                <w:b/>
                <w:bCs/>
                <w:color w:val="FFFFFF" w:themeColor="background1"/>
                <w:sz w:val="18"/>
                <w:szCs w:val="18"/>
              </w:rPr>
              <w:t>20 July</w:t>
            </w:r>
            <w:r w:rsidR="009469E1" w:rsidRPr="00560708">
              <w:rPr>
                <w:rFonts w:eastAsia="Times New Roman" w:cstheme="minorHAnsi"/>
                <w:b/>
                <w:bCs/>
                <w:color w:val="FFFFFF" w:themeColor="background1"/>
                <w:sz w:val="18"/>
                <w:szCs w:val="18"/>
              </w:rPr>
              <w:t xml:space="preserve"> </w:t>
            </w:r>
            <w:r w:rsidR="00FD75E9" w:rsidRPr="00560708">
              <w:rPr>
                <w:rFonts w:cstheme="minorHAnsi"/>
                <w:color w:val="FFFFFF" w:themeColor="background1"/>
                <w:sz w:val="18"/>
                <w:szCs w:val="18"/>
              </w:rPr>
              <w:t>—</w:t>
            </w:r>
            <w:r w:rsidR="009469E1" w:rsidRPr="00560708">
              <w:rPr>
                <w:rFonts w:cstheme="minorHAnsi"/>
                <w:color w:val="FFFFFF" w:themeColor="background1"/>
                <w:sz w:val="18"/>
                <w:szCs w:val="18"/>
              </w:rPr>
              <w:t xml:space="preserve"> </w:t>
            </w:r>
            <w:r w:rsidR="00FD75E9" w:rsidRPr="00560708">
              <w:rPr>
                <w:rFonts w:eastAsia="Times New Roman" w:cstheme="minorHAnsi"/>
                <w:b/>
                <w:bCs/>
                <w:color w:val="FFFFFF" w:themeColor="background1"/>
                <w:sz w:val="18"/>
                <w:szCs w:val="18"/>
              </w:rPr>
              <w:t>2 August</w:t>
            </w:r>
          </w:p>
        </w:tc>
        <w:tc>
          <w:tcPr>
            <w:tcW w:w="1466" w:type="pct"/>
            <w:gridSpan w:val="2"/>
            <w:tcBorders>
              <w:top w:val="nil"/>
              <w:left w:val="nil"/>
              <w:bottom w:val="single" w:sz="8" w:space="0" w:color="FFFFFF"/>
              <w:right w:val="single" w:sz="8" w:space="0" w:color="FFFFFF"/>
            </w:tcBorders>
            <w:shd w:val="clear" w:color="000000" w:fill="404040"/>
            <w:vAlign w:val="center"/>
            <w:hideMark/>
          </w:tcPr>
          <w:p w14:paraId="682088BD" w14:textId="77777777" w:rsidR="003C0ECE" w:rsidRPr="00560708" w:rsidRDefault="002C0729" w:rsidP="00FD75E9">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Reporting period</w:t>
            </w:r>
            <w:r w:rsidR="003C0ECE" w:rsidRPr="00560708">
              <w:rPr>
                <w:rFonts w:eastAsia="Times New Roman" w:cstheme="minorHAnsi"/>
                <w:b/>
                <w:bCs/>
                <w:color w:val="FFFFFF" w:themeColor="background1"/>
                <w:sz w:val="18"/>
                <w:szCs w:val="18"/>
              </w:rPr>
              <w:br/>
            </w:r>
            <w:r w:rsidR="00FD75E9" w:rsidRPr="00560708">
              <w:rPr>
                <w:rFonts w:eastAsia="Times New Roman" w:cstheme="minorHAnsi"/>
                <w:b/>
                <w:bCs/>
                <w:color w:val="FFFFFF" w:themeColor="background1"/>
                <w:sz w:val="18"/>
                <w:szCs w:val="18"/>
              </w:rPr>
              <w:t>3</w:t>
            </w:r>
            <w:r w:rsidR="00FD75E9" w:rsidRPr="00560708">
              <w:rPr>
                <w:rFonts w:cstheme="minorHAnsi"/>
                <w:color w:val="FFFFFF" w:themeColor="background1"/>
                <w:sz w:val="18"/>
                <w:szCs w:val="18"/>
              </w:rPr>
              <w:t>—</w:t>
            </w:r>
            <w:r w:rsidR="00FD75E9" w:rsidRPr="00560708">
              <w:rPr>
                <w:rFonts w:eastAsia="Times New Roman" w:cstheme="minorHAnsi"/>
                <w:b/>
                <w:bCs/>
                <w:color w:val="FFFFFF" w:themeColor="background1"/>
                <w:sz w:val="18"/>
                <w:szCs w:val="18"/>
              </w:rPr>
              <w:t>16</w:t>
            </w:r>
            <w:r w:rsidR="003C0ECE" w:rsidRPr="00560708">
              <w:rPr>
                <w:rFonts w:eastAsia="Times New Roman" w:cstheme="minorHAnsi"/>
                <w:b/>
                <w:bCs/>
                <w:color w:val="FFFFFF" w:themeColor="background1"/>
                <w:sz w:val="18"/>
                <w:szCs w:val="18"/>
              </w:rPr>
              <w:t xml:space="preserve"> August</w:t>
            </w:r>
          </w:p>
        </w:tc>
        <w:tc>
          <w:tcPr>
            <w:tcW w:w="1467" w:type="pct"/>
            <w:gridSpan w:val="2"/>
            <w:tcBorders>
              <w:top w:val="nil"/>
              <w:left w:val="nil"/>
              <w:bottom w:val="single" w:sz="8" w:space="0" w:color="FFFFFF"/>
              <w:right w:val="nil"/>
            </w:tcBorders>
            <w:shd w:val="clear" w:color="000000" w:fill="404040"/>
            <w:vAlign w:val="center"/>
            <w:hideMark/>
          </w:tcPr>
          <w:p w14:paraId="432AB4B8" w14:textId="77777777" w:rsidR="003C0ECE" w:rsidRPr="00560708" w:rsidRDefault="002C0729" w:rsidP="002C0729">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 xml:space="preserve">Cumulative </w:t>
            </w:r>
            <w:r w:rsidR="003C0ECE" w:rsidRPr="00560708">
              <w:rPr>
                <w:rFonts w:eastAsia="Times New Roman" w:cstheme="minorHAnsi"/>
                <w:b/>
                <w:bCs/>
                <w:color w:val="FFFFFF" w:themeColor="background1"/>
                <w:sz w:val="18"/>
                <w:szCs w:val="18"/>
              </w:rPr>
              <w:t>cases</w:t>
            </w:r>
          </w:p>
        </w:tc>
      </w:tr>
      <w:tr w:rsidR="0078439A" w:rsidRPr="00560708" w14:paraId="3EC64B9A" w14:textId="77777777" w:rsidTr="003C0ECE">
        <w:trPr>
          <w:trHeight w:val="315"/>
        </w:trPr>
        <w:tc>
          <w:tcPr>
            <w:tcW w:w="601" w:type="pct"/>
            <w:vMerge/>
            <w:tcBorders>
              <w:top w:val="nil"/>
              <w:left w:val="nil"/>
              <w:bottom w:val="nil"/>
              <w:right w:val="single" w:sz="8" w:space="0" w:color="FFFFFF"/>
            </w:tcBorders>
            <w:vAlign w:val="center"/>
            <w:hideMark/>
          </w:tcPr>
          <w:p w14:paraId="07AB825D" w14:textId="77777777" w:rsidR="003C0ECE" w:rsidRPr="00560708" w:rsidRDefault="003C0ECE" w:rsidP="00D84D6C">
            <w:pPr>
              <w:spacing w:after="0" w:line="240" w:lineRule="auto"/>
              <w:rPr>
                <w:rFonts w:eastAsia="Times New Roman" w:cstheme="minorHAnsi"/>
                <w:b/>
                <w:bCs/>
                <w:color w:val="FFFFFF" w:themeColor="background1"/>
                <w:sz w:val="18"/>
                <w:szCs w:val="18"/>
              </w:rPr>
            </w:pPr>
          </w:p>
        </w:tc>
        <w:tc>
          <w:tcPr>
            <w:tcW w:w="733" w:type="pct"/>
            <w:tcBorders>
              <w:top w:val="nil"/>
              <w:left w:val="nil"/>
              <w:bottom w:val="nil"/>
              <w:right w:val="single" w:sz="8" w:space="0" w:color="FFFFFF"/>
            </w:tcBorders>
            <w:shd w:val="clear" w:color="000000" w:fill="404040"/>
            <w:vAlign w:val="center"/>
            <w:hideMark/>
          </w:tcPr>
          <w:p w14:paraId="59B4D94A" w14:textId="77777777" w:rsidR="003C0ECE" w:rsidRPr="00560708" w:rsidRDefault="003C0ECE" w:rsidP="00D84D6C">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Number of cases</w:t>
            </w:r>
          </w:p>
        </w:tc>
        <w:tc>
          <w:tcPr>
            <w:tcW w:w="733" w:type="pct"/>
            <w:tcBorders>
              <w:top w:val="nil"/>
              <w:left w:val="nil"/>
              <w:bottom w:val="nil"/>
              <w:right w:val="single" w:sz="8" w:space="0" w:color="FFFFFF"/>
            </w:tcBorders>
            <w:shd w:val="clear" w:color="000000" w:fill="404040"/>
            <w:vAlign w:val="center"/>
            <w:hideMark/>
          </w:tcPr>
          <w:p w14:paraId="0A00CBDF" w14:textId="77777777" w:rsidR="003C0ECE" w:rsidRPr="00560708" w:rsidRDefault="003C0ECE" w:rsidP="00D84D6C">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Rates per 100,000 population</w:t>
            </w:r>
          </w:p>
        </w:tc>
        <w:tc>
          <w:tcPr>
            <w:tcW w:w="733" w:type="pct"/>
            <w:tcBorders>
              <w:top w:val="nil"/>
              <w:left w:val="nil"/>
              <w:bottom w:val="nil"/>
              <w:right w:val="single" w:sz="8" w:space="0" w:color="FFFFFF"/>
            </w:tcBorders>
            <w:shd w:val="clear" w:color="000000" w:fill="404040"/>
            <w:vAlign w:val="center"/>
            <w:hideMark/>
          </w:tcPr>
          <w:p w14:paraId="5B99D146" w14:textId="77777777" w:rsidR="003C0ECE" w:rsidRPr="00560708" w:rsidRDefault="003C0ECE" w:rsidP="00D84D6C">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Number of cases</w:t>
            </w:r>
          </w:p>
        </w:tc>
        <w:tc>
          <w:tcPr>
            <w:tcW w:w="733" w:type="pct"/>
            <w:tcBorders>
              <w:top w:val="nil"/>
              <w:left w:val="nil"/>
              <w:bottom w:val="nil"/>
              <w:right w:val="single" w:sz="8" w:space="0" w:color="FFFFFF"/>
            </w:tcBorders>
            <w:shd w:val="clear" w:color="000000" w:fill="404040"/>
            <w:vAlign w:val="center"/>
            <w:hideMark/>
          </w:tcPr>
          <w:p w14:paraId="36FE4B2A" w14:textId="77777777" w:rsidR="003C0ECE" w:rsidRPr="00560708" w:rsidRDefault="003C0ECE" w:rsidP="00D84D6C">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Rates per 100,000 population</w:t>
            </w:r>
          </w:p>
        </w:tc>
        <w:tc>
          <w:tcPr>
            <w:tcW w:w="733" w:type="pct"/>
            <w:tcBorders>
              <w:top w:val="nil"/>
              <w:left w:val="nil"/>
              <w:bottom w:val="nil"/>
              <w:right w:val="single" w:sz="8" w:space="0" w:color="FFFFFF"/>
            </w:tcBorders>
            <w:shd w:val="clear" w:color="000000" w:fill="404040"/>
            <w:vAlign w:val="center"/>
            <w:hideMark/>
          </w:tcPr>
          <w:p w14:paraId="549650D7" w14:textId="77777777" w:rsidR="003C0ECE" w:rsidRPr="00560708" w:rsidRDefault="003C0ECE" w:rsidP="00D84D6C">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Number of cases</w:t>
            </w:r>
          </w:p>
        </w:tc>
        <w:tc>
          <w:tcPr>
            <w:tcW w:w="734" w:type="pct"/>
            <w:tcBorders>
              <w:top w:val="nil"/>
              <w:left w:val="nil"/>
              <w:bottom w:val="nil"/>
              <w:right w:val="single" w:sz="8" w:space="0" w:color="FFFFFF"/>
            </w:tcBorders>
            <w:shd w:val="clear" w:color="000000" w:fill="404040"/>
            <w:vAlign w:val="center"/>
            <w:hideMark/>
          </w:tcPr>
          <w:p w14:paraId="25A825FE" w14:textId="77777777" w:rsidR="003C0ECE" w:rsidRPr="00560708" w:rsidRDefault="003C0ECE" w:rsidP="00D84D6C">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Rates per 100,000 population</w:t>
            </w:r>
          </w:p>
        </w:tc>
      </w:tr>
      <w:tr w:rsidR="00BE70AF" w:rsidRPr="00560708" w14:paraId="494290E1" w14:textId="77777777" w:rsidTr="003C0ECE">
        <w:trPr>
          <w:trHeight w:val="300"/>
        </w:trPr>
        <w:tc>
          <w:tcPr>
            <w:tcW w:w="601" w:type="pct"/>
            <w:tcBorders>
              <w:top w:val="nil"/>
              <w:left w:val="nil"/>
              <w:bottom w:val="nil"/>
              <w:right w:val="nil"/>
            </w:tcBorders>
            <w:shd w:val="clear" w:color="auto" w:fill="auto"/>
            <w:vAlign w:val="center"/>
            <w:hideMark/>
          </w:tcPr>
          <w:p w14:paraId="584F33FA"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rPr>
              <w:t>NSW</w:t>
            </w:r>
          </w:p>
        </w:tc>
        <w:tc>
          <w:tcPr>
            <w:tcW w:w="733" w:type="pct"/>
            <w:tcBorders>
              <w:top w:val="nil"/>
              <w:left w:val="nil"/>
              <w:bottom w:val="nil"/>
              <w:right w:val="nil"/>
            </w:tcBorders>
            <w:shd w:val="clear" w:color="auto" w:fill="auto"/>
            <w:hideMark/>
          </w:tcPr>
          <w:p w14:paraId="7189E046"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180</w:t>
            </w:r>
          </w:p>
        </w:tc>
        <w:tc>
          <w:tcPr>
            <w:tcW w:w="733" w:type="pct"/>
            <w:tcBorders>
              <w:top w:val="nil"/>
              <w:left w:val="nil"/>
              <w:bottom w:val="nil"/>
              <w:right w:val="nil"/>
            </w:tcBorders>
            <w:shd w:val="clear" w:color="auto" w:fill="auto"/>
            <w:hideMark/>
          </w:tcPr>
          <w:p w14:paraId="516DD131"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2.2</w:t>
            </w:r>
          </w:p>
        </w:tc>
        <w:tc>
          <w:tcPr>
            <w:tcW w:w="733" w:type="pct"/>
            <w:tcBorders>
              <w:top w:val="nil"/>
              <w:left w:val="nil"/>
              <w:bottom w:val="nil"/>
              <w:right w:val="nil"/>
            </w:tcBorders>
            <w:shd w:val="clear" w:color="auto" w:fill="auto"/>
            <w:hideMark/>
          </w:tcPr>
          <w:p w14:paraId="7CFF3710"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108</w:t>
            </w:r>
          </w:p>
        </w:tc>
        <w:tc>
          <w:tcPr>
            <w:tcW w:w="733" w:type="pct"/>
            <w:tcBorders>
              <w:top w:val="nil"/>
              <w:left w:val="nil"/>
              <w:bottom w:val="nil"/>
              <w:right w:val="nil"/>
            </w:tcBorders>
            <w:shd w:val="clear" w:color="auto" w:fill="auto"/>
            <w:hideMark/>
          </w:tcPr>
          <w:p w14:paraId="65F06116"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1.3</w:t>
            </w:r>
          </w:p>
        </w:tc>
        <w:tc>
          <w:tcPr>
            <w:tcW w:w="733" w:type="pct"/>
            <w:tcBorders>
              <w:top w:val="nil"/>
              <w:left w:val="nil"/>
              <w:bottom w:val="nil"/>
              <w:right w:val="nil"/>
            </w:tcBorders>
            <w:shd w:val="clear" w:color="auto" w:fill="auto"/>
            <w:hideMark/>
          </w:tcPr>
          <w:p w14:paraId="51C987FF"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1,723</w:t>
            </w:r>
          </w:p>
        </w:tc>
        <w:tc>
          <w:tcPr>
            <w:tcW w:w="734" w:type="pct"/>
            <w:tcBorders>
              <w:top w:val="nil"/>
              <w:left w:val="nil"/>
              <w:bottom w:val="nil"/>
              <w:right w:val="nil"/>
            </w:tcBorders>
            <w:shd w:val="clear" w:color="auto" w:fill="auto"/>
            <w:hideMark/>
          </w:tcPr>
          <w:p w14:paraId="3B7316E8"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21.3</w:t>
            </w:r>
          </w:p>
        </w:tc>
      </w:tr>
      <w:tr w:rsidR="00BE70AF" w:rsidRPr="00560708" w14:paraId="28F5C5E2" w14:textId="77777777" w:rsidTr="003C0ECE">
        <w:trPr>
          <w:trHeight w:val="300"/>
        </w:trPr>
        <w:tc>
          <w:tcPr>
            <w:tcW w:w="601" w:type="pct"/>
            <w:tcBorders>
              <w:top w:val="nil"/>
              <w:left w:val="nil"/>
              <w:bottom w:val="nil"/>
              <w:right w:val="nil"/>
            </w:tcBorders>
            <w:shd w:val="clear" w:color="000000" w:fill="F2F2F2"/>
            <w:vAlign w:val="center"/>
            <w:hideMark/>
          </w:tcPr>
          <w:p w14:paraId="19BCF656"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rPr>
              <w:t>Vic</w:t>
            </w:r>
          </w:p>
        </w:tc>
        <w:tc>
          <w:tcPr>
            <w:tcW w:w="733" w:type="pct"/>
            <w:tcBorders>
              <w:top w:val="nil"/>
              <w:left w:val="nil"/>
              <w:bottom w:val="nil"/>
              <w:right w:val="nil"/>
            </w:tcBorders>
            <w:shd w:val="clear" w:color="000000" w:fill="F2F2F2"/>
            <w:hideMark/>
          </w:tcPr>
          <w:p w14:paraId="0142F89E"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5,695</w:t>
            </w:r>
          </w:p>
        </w:tc>
        <w:tc>
          <w:tcPr>
            <w:tcW w:w="733" w:type="pct"/>
            <w:tcBorders>
              <w:top w:val="nil"/>
              <w:left w:val="nil"/>
              <w:bottom w:val="nil"/>
              <w:right w:val="nil"/>
            </w:tcBorders>
            <w:shd w:val="clear" w:color="000000" w:fill="F2F2F2"/>
            <w:hideMark/>
          </w:tcPr>
          <w:p w14:paraId="014881CB"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86.3</w:t>
            </w:r>
          </w:p>
        </w:tc>
        <w:tc>
          <w:tcPr>
            <w:tcW w:w="733" w:type="pct"/>
            <w:tcBorders>
              <w:top w:val="nil"/>
              <w:left w:val="nil"/>
              <w:bottom w:val="nil"/>
              <w:right w:val="nil"/>
            </w:tcBorders>
            <w:shd w:val="clear" w:color="000000" w:fill="F2F2F2"/>
            <w:hideMark/>
          </w:tcPr>
          <w:p w14:paraId="55A80BA8"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3,628</w:t>
            </w:r>
          </w:p>
        </w:tc>
        <w:tc>
          <w:tcPr>
            <w:tcW w:w="733" w:type="pct"/>
            <w:tcBorders>
              <w:top w:val="nil"/>
              <w:left w:val="nil"/>
              <w:bottom w:val="nil"/>
              <w:right w:val="nil"/>
            </w:tcBorders>
            <w:shd w:val="clear" w:color="000000" w:fill="F2F2F2"/>
            <w:hideMark/>
          </w:tcPr>
          <w:p w14:paraId="2AD4193D"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55</w:t>
            </w:r>
          </w:p>
        </w:tc>
        <w:tc>
          <w:tcPr>
            <w:tcW w:w="733" w:type="pct"/>
            <w:tcBorders>
              <w:top w:val="nil"/>
              <w:left w:val="nil"/>
              <w:bottom w:val="nil"/>
              <w:right w:val="nil"/>
            </w:tcBorders>
            <w:shd w:val="clear" w:color="000000" w:fill="F2F2F2"/>
            <w:hideMark/>
          </w:tcPr>
          <w:p w14:paraId="25D9054A"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16,195</w:t>
            </w:r>
          </w:p>
        </w:tc>
        <w:tc>
          <w:tcPr>
            <w:tcW w:w="734" w:type="pct"/>
            <w:tcBorders>
              <w:top w:val="nil"/>
              <w:left w:val="nil"/>
              <w:bottom w:val="nil"/>
              <w:right w:val="nil"/>
            </w:tcBorders>
            <w:shd w:val="clear" w:color="000000" w:fill="F2F2F2"/>
            <w:hideMark/>
          </w:tcPr>
          <w:p w14:paraId="11ACB057"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245.5</w:t>
            </w:r>
          </w:p>
        </w:tc>
      </w:tr>
      <w:tr w:rsidR="00BE70AF" w:rsidRPr="00560708" w14:paraId="2B3C9CA5" w14:textId="77777777" w:rsidTr="003C0ECE">
        <w:trPr>
          <w:trHeight w:val="300"/>
        </w:trPr>
        <w:tc>
          <w:tcPr>
            <w:tcW w:w="601" w:type="pct"/>
            <w:tcBorders>
              <w:top w:val="nil"/>
              <w:left w:val="nil"/>
              <w:bottom w:val="nil"/>
              <w:right w:val="nil"/>
            </w:tcBorders>
            <w:shd w:val="clear" w:color="auto" w:fill="auto"/>
            <w:vAlign w:val="center"/>
            <w:hideMark/>
          </w:tcPr>
          <w:p w14:paraId="77B5457E"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lang w:val="en-US"/>
              </w:rPr>
              <w:t>Qld</w:t>
            </w:r>
          </w:p>
        </w:tc>
        <w:tc>
          <w:tcPr>
            <w:tcW w:w="733" w:type="pct"/>
            <w:tcBorders>
              <w:top w:val="nil"/>
              <w:left w:val="nil"/>
              <w:bottom w:val="nil"/>
              <w:right w:val="nil"/>
            </w:tcBorders>
            <w:shd w:val="clear" w:color="auto" w:fill="auto"/>
            <w:hideMark/>
          </w:tcPr>
          <w:p w14:paraId="0037DD2D"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7</w:t>
            </w:r>
          </w:p>
        </w:tc>
        <w:tc>
          <w:tcPr>
            <w:tcW w:w="733" w:type="pct"/>
            <w:tcBorders>
              <w:top w:val="nil"/>
              <w:left w:val="nil"/>
              <w:bottom w:val="nil"/>
              <w:right w:val="nil"/>
            </w:tcBorders>
            <w:shd w:val="clear" w:color="auto" w:fill="auto"/>
            <w:hideMark/>
          </w:tcPr>
          <w:p w14:paraId="7A2CB81F"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0.1</w:t>
            </w:r>
          </w:p>
        </w:tc>
        <w:tc>
          <w:tcPr>
            <w:tcW w:w="733" w:type="pct"/>
            <w:tcBorders>
              <w:top w:val="nil"/>
              <w:left w:val="nil"/>
              <w:bottom w:val="nil"/>
              <w:right w:val="nil"/>
            </w:tcBorders>
            <w:shd w:val="clear" w:color="auto" w:fill="auto"/>
            <w:hideMark/>
          </w:tcPr>
          <w:p w14:paraId="20A086FC"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w:t>
            </w:r>
          </w:p>
        </w:tc>
        <w:tc>
          <w:tcPr>
            <w:tcW w:w="733" w:type="pct"/>
            <w:tcBorders>
              <w:top w:val="nil"/>
              <w:left w:val="nil"/>
              <w:bottom w:val="nil"/>
              <w:right w:val="nil"/>
            </w:tcBorders>
            <w:shd w:val="clear" w:color="auto" w:fill="auto"/>
            <w:hideMark/>
          </w:tcPr>
          <w:p w14:paraId="49672DDD"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w:t>
            </w:r>
          </w:p>
        </w:tc>
        <w:tc>
          <w:tcPr>
            <w:tcW w:w="733" w:type="pct"/>
            <w:tcBorders>
              <w:top w:val="nil"/>
              <w:left w:val="nil"/>
              <w:bottom w:val="nil"/>
              <w:right w:val="nil"/>
            </w:tcBorders>
            <w:shd w:val="clear" w:color="auto" w:fill="auto"/>
            <w:hideMark/>
          </w:tcPr>
          <w:p w14:paraId="16575998"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249</w:t>
            </w:r>
          </w:p>
        </w:tc>
        <w:tc>
          <w:tcPr>
            <w:tcW w:w="734" w:type="pct"/>
            <w:tcBorders>
              <w:top w:val="nil"/>
              <w:left w:val="nil"/>
              <w:bottom w:val="nil"/>
              <w:right w:val="nil"/>
            </w:tcBorders>
            <w:shd w:val="clear" w:color="auto" w:fill="auto"/>
            <w:hideMark/>
          </w:tcPr>
          <w:p w14:paraId="3014DBAF"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4.9</w:t>
            </w:r>
          </w:p>
        </w:tc>
      </w:tr>
      <w:tr w:rsidR="00BE70AF" w:rsidRPr="00560708" w14:paraId="411F3ABB" w14:textId="77777777" w:rsidTr="003C0ECE">
        <w:trPr>
          <w:trHeight w:val="300"/>
        </w:trPr>
        <w:tc>
          <w:tcPr>
            <w:tcW w:w="601" w:type="pct"/>
            <w:tcBorders>
              <w:top w:val="nil"/>
              <w:left w:val="nil"/>
              <w:bottom w:val="nil"/>
              <w:right w:val="nil"/>
            </w:tcBorders>
            <w:shd w:val="clear" w:color="000000" w:fill="F2F2F2"/>
            <w:vAlign w:val="center"/>
            <w:hideMark/>
          </w:tcPr>
          <w:p w14:paraId="4F523823"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lang w:val="en-US"/>
              </w:rPr>
              <w:t>WA</w:t>
            </w:r>
          </w:p>
        </w:tc>
        <w:tc>
          <w:tcPr>
            <w:tcW w:w="733" w:type="pct"/>
            <w:tcBorders>
              <w:top w:val="nil"/>
              <w:left w:val="nil"/>
              <w:bottom w:val="nil"/>
              <w:right w:val="nil"/>
            </w:tcBorders>
            <w:shd w:val="clear" w:color="000000" w:fill="F2F2F2"/>
            <w:hideMark/>
          </w:tcPr>
          <w:p w14:paraId="20407A86"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w:t>
            </w:r>
          </w:p>
        </w:tc>
        <w:tc>
          <w:tcPr>
            <w:tcW w:w="733" w:type="pct"/>
            <w:tcBorders>
              <w:top w:val="nil"/>
              <w:left w:val="nil"/>
              <w:bottom w:val="nil"/>
              <w:right w:val="nil"/>
            </w:tcBorders>
            <w:shd w:val="clear" w:color="000000" w:fill="F2F2F2"/>
            <w:hideMark/>
          </w:tcPr>
          <w:p w14:paraId="64A9180E"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w:t>
            </w:r>
          </w:p>
        </w:tc>
        <w:tc>
          <w:tcPr>
            <w:tcW w:w="733" w:type="pct"/>
            <w:tcBorders>
              <w:top w:val="nil"/>
              <w:left w:val="nil"/>
              <w:bottom w:val="nil"/>
              <w:right w:val="nil"/>
            </w:tcBorders>
            <w:shd w:val="clear" w:color="000000" w:fill="F2F2F2"/>
            <w:hideMark/>
          </w:tcPr>
          <w:p w14:paraId="460CC5D3"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w:t>
            </w:r>
          </w:p>
        </w:tc>
        <w:tc>
          <w:tcPr>
            <w:tcW w:w="733" w:type="pct"/>
            <w:tcBorders>
              <w:top w:val="nil"/>
              <w:left w:val="nil"/>
              <w:bottom w:val="nil"/>
              <w:right w:val="nil"/>
            </w:tcBorders>
            <w:shd w:val="clear" w:color="000000" w:fill="F2F2F2"/>
            <w:hideMark/>
          </w:tcPr>
          <w:p w14:paraId="730E0957"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0.1</w:t>
            </w:r>
          </w:p>
        </w:tc>
        <w:tc>
          <w:tcPr>
            <w:tcW w:w="733" w:type="pct"/>
            <w:tcBorders>
              <w:top w:val="nil"/>
              <w:left w:val="nil"/>
              <w:bottom w:val="nil"/>
              <w:right w:val="nil"/>
            </w:tcBorders>
            <w:shd w:val="clear" w:color="000000" w:fill="F2F2F2"/>
            <w:hideMark/>
          </w:tcPr>
          <w:p w14:paraId="7C8938B3"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98</w:t>
            </w:r>
          </w:p>
        </w:tc>
        <w:tc>
          <w:tcPr>
            <w:tcW w:w="734" w:type="pct"/>
            <w:tcBorders>
              <w:top w:val="nil"/>
              <w:left w:val="nil"/>
              <w:bottom w:val="nil"/>
              <w:right w:val="nil"/>
            </w:tcBorders>
            <w:shd w:val="clear" w:color="000000" w:fill="F2F2F2"/>
            <w:hideMark/>
          </w:tcPr>
          <w:p w14:paraId="37513306"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3.7</w:t>
            </w:r>
          </w:p>
        </w:tc>
      </w:tr>
      <w:tr w:rsidR="00BE70AF" w:rsidRPr="00560708" w14:paraId="536943A8" w14:textId="77777777" w:rsidTr="003C0ECE">
        <w:trPr>
          <w:trHeight w:val="300"/>
        </w:trPr>
        <w:tc>
          <w:tcPr>
            <w:tcW w:w="601" w:type="pct"/>
            <w:tcBorders>
              <w:top w:val="nil"/>
              <w:left w:val="nil"/>
              <w:bottom w:val="nil"/>
              <w:right w:val="nil"/>
            </w:tcBorders>
            <w:shd w:val="clear" w:color="auto" w:fill="auto"/>
            <w:vAlign w:val="center"/>
            <w:hideMark/>
          </w:tcPr>
          <w:p w14:paraId="661CF1B2"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lang w:val="en-US"/>
              </w:rPr>
              <w:t>SA</w:t>
            </w:r>
          </w:p>
        </w:tc>
        <w:tc>
          <w:tcPr>
            <w:tcW w:w="733" w:type="pct"/>
            <w:tcBorders>
              <w:top w:val="nil"/>
              <w:left w:val="nil"/>
              <w:bottom w:val="nil"/>
              <w:right w:val="nil"/>
            </w:tcBorders>
            <w:shd w:val="clear" w:color="auto" w:fill="auto"/>
            <w:hideMark/>
          </w:tcPr>
          <w:p w14:paraId="7F712ABA"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7</w:t>
            </w:r>
          </w:p>
        </w:tc>
        <w:tc>
          <w:tcPr>
            <w:tcW w:w="733" w:type="pct"/>
            <w:tcBorders>
              <w:top w:val="nil"/>
              <w:left w:val="nil"/>
              <w:bottom w:val="nil"/>
              <w:right w:val="nil"/>
            </w:tcBorders>
            <w:shd w:val="clear" w:color="auto" w:fill="auto"/>
            <w:hideMark/>
          </w:tcPr>
          <w:p w14:paraId="33812572"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0.4</w:t>
            </w:r>
          </w:p>
        </w:tc>
        <w:tc>
          <w:tcPr>
            <w:tcW w:w="733" w:type="pct"/>
            <w:tcBorders>
              <w:top w:val="nil"/>
              <w:left w:val="nil"/>
              <w:bottom w:val="nil"/>
              <w:right w:val="nil"/>
            </w:tcBorders>
            <w:shd w:val="clear" w:color="auto" w:fill="auto"/>
            <w:hideMark/>
          </w:tcPr>
          <w:p w14:paraId="7C865443"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w:t>
            </w:r>
          </w:p>
        </w:tc>
        <w:tc>
          <w:tcPr>
            <w:tcW w:w="733" w:type="pct"/>
            <w:tcBorders>
              <w:top w:val="nil"/>
              <w:left w:val="nil"/>
              <w:bottom w:val="nil"/>
              <w:right w:val="nil"/>
            </w:tcBorders>
            <w:shd w:val="clear" w:color="auto" w:fill="auto"/>
            <w:hideMark/>
          </w:tcPr>
          <w:p w14:paraId="485B83FA"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0.1</w:t>
            </w:r>
          </w:p>
        </w:tc>
        <w:tc>
          <w:tcPr>
            <w:tcW w:w="733" w:type="pct"/>
            <w:tcBorders>
              <w:top w:val="nil"/>
              <w:left w:val="nil"/>
              <w:bottom w:val="nil"/>
              <w:right w:val="nil"/>
            </w:tcBorders>
            <w:shd w:val="clear" w:color="auto" w:fill="auto"/>
            <w:hideMark/>
          </w:tcPr>
          <w:p w14:paraId="79E2EE8D"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150</w:t>
            </w:r>
          </w:p>
        </w:tc>
        <w:tc>
          <w:tcPr>
            <w:tcW w:w="734" w:type="pct"/>
            <w:tcBorders>
              <w:top w:val="nil"/>
              <w:left w:val="nil"/>
              <w:bottom w:val="nil"/>
              <w:right w:val="nil"/>
            </w:tcBorders>
            <w:shd w:val="clear" w:color="auto" w:fill="auto"/>
            <w:hideMark/>
          </w:tcPr>
          <w:p w14:paraId="11E6842C"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8.6</w:t>
            </w:r>
          </w:p>
        </w:tc>
      </w:tr>
      <w:tr w:rsidR="00BE70AF" w:rsidRPr="00560708" w14:paraId="5F1F8250" w14:textId="77777777" w:rsidTr="003C0ECE">
        <w:trPr>
          <w:trHeight w:val="300"/>
        </w:trPr>
        <w:tc>
          <w:tcPr>
            <w:tcW w:w="601" w:type="pct"/>
            <w:tcBorders>
              <w:top w:val="nil"/>
              <w:left w:val="nil"/>
              <w:bottom w:val="nil"/>
              <w:right w:val="nil"/>
            </w:tcBorders>
            <w:shd w:val="clear" w:color="000000" w:fill="F2F2F2"/>
            <w:vAlign w:val="center"/>
            <w:hideMark/>
          </w:tcPr>
          <w:p w14:paraId="08555C4D"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lang w:val="en-US"/>
              </w:rPr>
              <w:t>Tas</w:t>
            </w:r>
          </w:p>
        </w:tc>
        <w:tc>
          <w:tcPr>
            <w:tcW w:w="733" w:type="pct"/>
            <w:tcBorders>
              <w:top w:val="nil"/>
              <w:left w:val="nil"/>
              <w:bottom w:val="nil"/>
              <w:right w:val="nil"/>
            </w:tcBorders>
            <w:shd w:val="clear" w:color="000000" w:fill="F2F2F2"/>
            <w:hideMark/>
          </w:tcPr>
          <w:p w14:paraId="4DC2A866"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w:t>
            </w:r>
          </w:p>
        </w:tc>
        <w:tc>
          <w:tcPr>
            <w:tcW w:w="733" w:type="pct"/>
            <w:tcBorders>
              <w:top w:val="nil"/>
              <w:left w:val="nil"/>
              <w:bottom w:val="nil"/>
              <w:right w:val="nil"/>
            </w:tcBorders>
            <w:shd w:val="clear" w:color="000000" w:fill="F2F2F2"/>
            <w:hideMark/>
          </w:tcPr>
          <w:p w14:paraId="3FC33443"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0.2</w:t>
            </w:r>
          </w:p>
        </w:tc>
        <w:tc>
          <w:tcPr>
            <w:tcW w:w="733" w:type="pct"/>
            <w:tcBorders>
              <w:top w:val="nil"/>
              <w:left w:val="nil"/>
              <w:bottom w:val="nil"/>
              <w:right w:val="nil"/>
            </w:tcBorders>
            <w:shd w:val="clear" w:color="000000" w:fill="F2F2F2"/>
            <w:hideMark/>
          </w:tcPr>
          <w:p w14:paraId="3EB8B4B3"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w:t>
            </w:r>
          </w:p>
        </w:tc>
        <w:tc>
          <w:tcPr>
            <w:tcW w:w="733" w:type="pct"/>
            <w:tcBorders>
              <w:top w:val="nil"/>
              <w:left w:val="nil"/>
              <w:bottom w:val="nil"/>
              <w:right w:val="nil"/>
            </w:tcBorders>
            <w:shd w:val="clear" w:color="000000" w:fill="F2F2F2"/>
            <w:hideMark/>
          </w:tcPr>
          <w:p w14:paraId="4EF90002"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0.2</w:t>
            </w:r>
          </w:p>
        </w:tc>
        <w:tc>
          <w:tcPr>
            <w:tcW w:w="733" w:type="pct"/>
            <w:tcBorders>
              <w:top w:val="nil"/>
              <w:left w:val="nil"/>
              <w:bottom w:val="nil"/>
              <w:right w:val="nil"/>
            </w:tcBorders>
            <w:shd w:val="clear" w:color="000000" w:fill="F2F2F2"/>
            <w:hideMark/>
          </w:tcPr>
          <w:p w14:paraId="4182236B"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149</w:t>
            </w:r>
          </w:p>
        </w:tc>
        <w:tc>
          <w:tcPr>
            <w:tcW w:w="734" w:type="pct"/>
            <w:tcBorders>
              <w:top w:val="nil"/>
              <w:left w:val="nil"/>
              <w:bottom w:val="nil"/>
              <w:right w:val="nil"/>
            </w:tcBorders>
            <w:shd w:val="clear" w:color="000000" w:fill="F2F2F2"/>
            <w:hideMark/>
          </w:tcPr>
          <w:p w14:paraId="38959FC8"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27.9</w:t>
            </w:r>
          </w:p>
        </w:tc>
      </w:tr>
      <w:tr w:rsidR="00BE70AF" w:rsidRPr="00560708" w14:paraId="644C250D" w14:textId="77777777" w:rsidTr="003C0ECE">
        <w:trPr>
          <w:trHeight w:val="300"/>
        </w:trPr>
        <w:tc>
          <w:tcPr>
            <w:tcW w:w="601" w:type="pct"/>
            <w:tcBorders>
              <w:top w:val="nil"/>
              <w:left w:val="nil"/>
              <w:bottom w:val="nil"/>
              <w:right w:val="nil"/>
            </w:tcBorders>
            <w:shd w:val="clear" w:color="auto" w:fill="auto"/>
            <w:vAlign w:val="center"/>
            <w:hideMark/>
          </w:tcPr>
          <w:p w14:paraId="56D71BEA"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lang w:val="en-US"/>
              </w:rPr>
              <w:t>NT</w:t>
            </w:r>
          </w:p>
        </w:tc>
        <w:tc>
          <w:tcPr>
            <w:tcW w:w="733" w:type="pct"/>
            <w:tcBorders>
              <w:top w:val="nil"/>
              <w:left w:val="nil"/>
              <w:bottom w:val="nil"/>
              <w:right w:val="nil"/>
            </w:tcBorders>
            <w:shd w:val="clear" w:color="auto" w:fill="auto"/>
            <w:hideMark/>
          </w:tcPr>
          <w:p w14:paraId="1556CC95"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w:t>
            </w:r>
          </w:p>
        </w:tc>
        <w:tc>
          <w:tcPr>
            <w:tcW w:w="733" w:type="pct"/>
            <w:tcBorders>
              <w:top w:val="nil"/>
              <w:left w:val="nil"/>
              <w:bottom w:val="nil"/>
              <w:right w:val="nil"/>
            </w:tcBorders>
            <w:shd w:val="clear" w:color="auto" w:fill="auto"/>
            <w:hideMark/>
          </w:tcPr>
          <w:p w14:paraId="3DF32B2C"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0.8</w:t>
            </w:r>
          </w:p>
        </w:tc>
        <w:tc>
          <w:tcPr>
            <w:tcW w:w="733" w:type="pct"/>
            <w:tcBorders>
              <w:top w:val="nil"/>
              <w:left w:val="nil"/>
              <w:bottom w:val="nil"/>
              <w:right w:val="nil"/>
            </w:tcBorders>
            <w:shd w:val="clear" w:color="auto" w:fill="auto"/>
            <w:hideMark/>
          </w:tcPr>
          <w:p w14:paraId="34CC15EB"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w:t>
            </w:r>
          </w:p>
        </w:tc>
        <w:tc>
          <w:tcPr>
            <w:tcW w:w="733" w:type="pct"/>
            <w:tcBorders>
              <w:top w:val="nil"/>
              <w:left w:val="nil"/>
              <w:bottom w:val="nil"/>
              <w:right w:val="nil"/>
            </w:tcBorders>
            <w:shd w:val="clear" w:color="auto" w:fill="auto"/>
            <w:hideMark/>
          </w:tcPr>
          <w:p w14:paraId="1471B788"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w:t>
            </w:r>
          </w:p>
        </w:tc>
        <w:tc>
          <w:tcPr>
            <w:tcW w:w="733" w:type="pct"/>
            <w:tcBorders>
              <w:top w:val="nil"/>
              <w:left w:val="nil"/>
              <w:bottom w:val="nil"/>
              <w:right w:val="nil"/>
            </w:tcBorders>
            <w:shd w:val="clear" w:color="auto" w:fill="auto"/>
            <w:hideMark/>
          </w:tcPr>
          <w:p w14:paraId="699AAA1B"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6</w:t>
            </w:r>
          </w:p>
        </w:tc>
        <w:tc>
          <w:tcPr>
            <w:tcW w:w="734" w:type="pct"/>
            <w:tcBorders>
              <w:top w:val="nil"/>
              <w:left w:val="nil"/>
              <w:bottom w:val="nil"/>
              <w:right w:val="nil"/>
            </w:tcBorders>
            <w:shd w:val="clear" w:color="auto" w:fill="auto"/>
            <w:hideMark/>
          </w:tcPr>
          <w:p w14:paraId="6D7CB582"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2.4</w:t>
            </w:r>
          </w:p>
        </w:tc>
      </w:tr>
      <w:tr w:rsidR="00BE70AF" w:rsidRPr="00560708" w14:paraId="4314F159" w14:textId="77777777" w:rsidTr="003C0ECE">
        <w:trPr>
          <w:trHeight w:val="300"/>
        </w:trPr>
        <w:tc>
          <w:tcPr>
            <w:tcW w:w="601" w:type="pct"/>
            <w:tcBorders>
              <w:top w:val="nil"/>
              <w:left w:val="nil"/>
              <w:bottom w:val="nil"/>
              <w:right w:val="nil"/>
            </w:tcBorders>
            <w:shd w:val="clear" w:color="000000" w:fill="F2F2F2"/>
            <w:vAlign w:val="center"/>
            <w:hideMark/>
          </w:tcPr>
          <w:p w14:paraId="5836420E"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lang w:val="en-US"/>
              </w:rPr>
              <w:t>ACT</w:t>
            </w:r>
          </w:p>
        </w:tc>
        <w:tc>
          <w:tcPr>
            <w:tcW w:w="733" w:type="pct"/>
            <w:tcBorders>
              <w:top w:val="nil"/>
              <w:left w:val="nil"/>
              <w:bottom w:val="nil"/>
              <w:right w:val="nil"/>
            </w:tcBorders>
            <w:shd w:val="clear" w:color="000000" w:fill="F2F2F2"/>
            <w:hideMark/>
          </w:tcPr>
          <w:p w14:paraId="3491073A"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w:t>
            </w:r>
          </w:p>
        </w:tc>
        <w:tc>
          <w:tcPr>
            <w:tcW w:w="733" w:type="pct"/>
            <w:tcBorders>
              <w:top w:val="nil"/>
              <w:left w:val="nil"/>
              <w:bottom w:val="nil"/>
              <w:right w:val="nil"/>
            </w:tcBorders>
            <w:shd w:val="clear" w:color="000000" w:fill="F2F2F2"/>
            <w:hideMark/>
          </w:tcPr>
          <w:p w14:paraId="3ACF0460"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w:t>
            </w:r>
          </w:p>
        </w:tc>
        <w:tc>
          <w:tcPr>
            <w:tcW w:w="733" w:type="pct"/>
            <w:tcBorders>
              <w:top w:val="nil"/>
              <w:left w:val="nil"/>
              <w:bottom w:val="nil"/>
              <w:right w:val="nil"/>
            </w:tcBorders>
            <w:shd w:val="clear" w:color="000000" w:fill="F2F2F2"/>
            <w:hideMark/>
          </w:tcPr>
          <w:p w14:paraId="32E7BB94"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w:t>
            </w:r>
          </w:p>
        </w:tc>
        <w:tc>
          <w:tcPr>
            <w:tcW w:w="733" w:type="pct"/>
            <w:tcBorders>
              <w:top w:val="nil"/>
              <w:left w:val="nil"/>
              <w:bottom w:val="nil"/>
              <w:right w:val="nil"/>
            </w:tcBorders>
            <w:shd w:val="clear" w:color="000000" w:fill="F2F2F2"/>
            <w:hideMark/>
          </w:tcPr>
          <w:p w14:paraId="7F13FB66"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w:t>
            </w:r>
          </w:p>
        </w:tc>
        <w:tc>
          <w:tcPr>
            <w:tcW w:w="733" w:type="pct"/>
            <w:tcBorders>
              <w:top w:val="nil"/>
              <w:left w:val="nil"/>
              <w:bottom w:val="nil"/>
              <w:right w:val="nil"/>
            </w:tcBorders>
            <w:shd w:val="clear" w:color="000000" w:fill="F2F2F2"/>
            <w:hideMark/>
          </w:tcPr>
          <w:p w14:paraId="3CA061B4"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29</w:t>
            </w:r>
          </w:p>
        </w:tc>
        <w:tc>
          <w:tcPr>
            <w:tcW w:w="734" w:type="pct"/>
            <w:tcBorders>
              <w:top w:val="nil"/>
              <w:left w:val="nil"/>
              <w:bottom w:val="nil"/>
              <w:right w:val="nil"/>
            </w:tcBorders>
            <w:shd w:val="clear" w:color="000000" w:fill="F2F2F2"/>
            <w:hideMark/>
          </w:tcPr>
          <w:p w14:paraId="6FD114B9" w14:textId="77777777" w:rsidR="00BE70AF" w:rsidRPr="00560708" w:rsidRDefault="00BE70AF" w:rsidP="00BE70AF">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6.8</w:t>
            </w:r>
          </w:p>
        </w:tc>
      </w:tr>
      <w:tr w:rsidR="00BE70AF" w:rsidRPr="00560708" w14:paraId="5688F9BF" w14:textId="77777777" w:rsidTr="003C0ECE">
        <w:trPr>
          <w:trHeight w:val="17"/>
        </w:trPr>
        <w:tc>
          <w:tcPr>
            <w:tcW w:w="601" w:type="pct"/>
            <w:tcBorders>
              <w:top w:val="nil"/>
              <w:left w:val="nil"/>
              <w:bottom w:val="nil"/>
              <w:right w:val="nil"/>
            </w:tcBorders>
            <w:shd w:val="clear" w:color="000000" w:fill="FCE4D6"/>
            <w:vAlign w:val="center"/>
            <w:hideMark/>
          </w:tcPr>
          <w:p w14:paraId="157BABCA" w14:textId="77777777" w:rsidR="00BE70AF" w:rsidRPr="00560708" w:rsidRDefault="00BE70AF" w:rsidP="00BE70AF">
            <w:pPr>
              <w:spacing w:after="0" w:line="240" w:lineRule="auto"/>
              <w:rPr>
                <w:rFonts w:eastAsia="Times New Roman" w:cstheme="minorHAnsi"/>
                <w:b/>
                <w:bCs/>
                <w:color w:val="000000" w:themeColor="text1"/>
                <w:sz w:val="18"/>
                <w:szCs w:val="18"/>
              </w:rPr>
            </w:pPr>
            <w:r w:rsidRPr="00560708">
              <w:rPr>
                <w:rFonts w:eastAsia="Times New Roman" w:cstheme="minorHAnsi"/>
                <w:b/>
                <w:bCs/>
                <w:color w:val="000000" w:themeColor="text1"/>
                <w:sz w:val="18"/>
                <w:szCs w:val="18"/>
                <w:lang w:val="en-US"/>
              </w:rPr>
              <w:t>Australia</w:t>
            </w:r>
          </w:p>
        </w:tc>
        <w:tc>
          <w:tcPr>
            <w:tcW w:w="733" w:type="pct"/>
            <w:tcBorders>
              <w:top w:val="nil"/>
              <w:left w:val="nil"/>
              <w:bottom w:val="nil"/>
              <w:right w:val="nil"/>
            </w:tcBorders>
            <w:shd w:val="clear" w:color="000000" w:fill="FCE4D6"/>
            <w:hideMark/>
          </w:tcPr>
          <w:p w14:paraId="447A30A9" w14:textId="77777777" w:rsidR="00BE70AF" w:rsidRPr="00560708" w:rsidRDefault="00BE70AF" w:rsidP="00BE70AF">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5,892</w:t>
            </w:r>
          </w:p>
        </w:tc>
        <w:tc>
          <w:tcPr>
            <w:tcW w:w="733" w:type="pct"/>
            <w:tcBorders>
              <w:top w:val="nil"/>
              <w:left w:val="nil"/>
              <w:bottom w:val="nil"/>
              <w:right w:val="nil"/>
            </w:tcBorders>
            <w:shd w:val="clear" w:color="000000" w:fill="FCE4D6"/>
            <w:hideMark/>
          </w:tcPr>
          <w:p w14:paraId="1EA999CA" w14:textId="77777777" w:rsidR="00BE70AF" w:rsidRPr="00560708" w:rsidRDefault="00BE70AF" w:rsidP="00BE70AF">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23.2</w:t>
            </w:r>
          </w:p>
        </w:tc>
        <w:tc>
          <w:tcPr>
            <w:tcW w:w="733" w:type="pct"/>
            <w:tcBorders>
              <w:top w:val="nil"/>
              <w:left w:val="nil"/>
              <w:bottom w:val="nil"/>
              <w:right w:val="nil"/>
            </w:tcBorders>
            <w:shd w:val="clear" w:color="000000" w:fill="FCE4D6"/>
            <w:hideMark/>
          </w:tcPr>
          <w:p w14:paraId="6B7D9E6A" w14:textId="77777777" w:rsidR="00BE70AF" w:rsidRPr="00560708" w:rsidRDefault="00BE70AF" w:rsidP="00BE70AF">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3,741</w:t>
            </w:r>
          </w:p>
        </w:tc>
        <w:tc>
          <w:tcPr>
            <w:tcW w:w="733" w:type="pct"/>
            <w:tcBorders>
              <w:top w:val="nil"/>
              <w:left w:val="nil"/>
              <w:bottom w:val="nil"/>
              <w:right w:val="nil"/>
            </w:tcBorders>
            <w:shd w:val="clear" w:color="000000" w:fill="FCE4D6"/>
            <w:hideMark/>
          </w:tcPr>
          <w:p w14:paraId="4D334603" w14:textId="77777777" w:rsidR="00BE70AF" w:rsidRPr="00560708" w:rsidRDefault="00BE70AF" w:rsidP="00BE70AF">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14.8</w:t>
            </w:r>
          </w:p>
        </w:tc>
        <w:tc>
          <w:tcPr>
            <w:tcW w:w="733" w:type="pct"/>
            <w:tcBorders>
              <w:top w:val="nil"/>
              <w:left w:val="nil"/>
              <w:bottom w:val="nil"/>
              <w:right w:val="nil"/>
            </w:tcBorders>
            <w:shd w:val="clear" w:color="000000" w:fill="FCE4D6"/>
            <w:hideMark/>
          </w:tcPr>
          <w:p w14:paraId="4311C485" w14:textId="77777777" w:rsidR="00BE70AF" w:rsidRPr="00560708" w:rsidRDefault="00BE70AF" w:rsidP="00BE70AF">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18,599</w:t>
            </w:r>
          </w:p>
        </w:tc>
        <w:tc>
          <w:tcPr>
            <w:tcW w:w="734" w:type="pct"/>
            <w:tcBorders>
              <w:top w:val="nil"/>
              <w:left w:val="nil"/>
              <w:bottom w:val="nil"/>
              <w:right w:val="nil"/>
            </w:tcBorders>
            <w:shd w:val="clear" w:color="000000" w:fill="FCE4D6"/>
            <w:hideMark/>
          </w:tcPr>
          <w:p w14:paraId="1BACFD95" w14:textId="77777777" w:rsidR="00BE70AF" w:rsidRPr="00560708" w:rsidRDefault="00BE70AF" w:rsidP="00BE70AF">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73.3</w:t>
            </w:r>
          </w:p>
        </w:tc>
      </w:tr>
    </w:tbl>
    <w:p w14:paraId="5FE1EC33" w14:textId="2DF39D93" w:rsidR="001315DD" w:rsidRPr="00F528CB" w:rsidRDefault="001315DD" w:rsidP="00F528CB">
      <w:pPr>
        <w:pStyle w:val="Heading1"/>
      </w:pPr>
      <w:r w:rsidRPr="00F528CB">
        <w:t xml:space="preserve">Clusters and </w:t>
      </w:r>
      <w:r w:rsidR="00913882" w:rsidRPr="00F528CB">
        <w:t>o</w:t>
      </w:r>
      <w:r w:rsidRPr="00F528CB">
        <w:t>utbreaks</w:t>
      </w:r>
    </w:p>
    <w:p w14:paraId="792F5C3B" w14:textId="4C6D822D" w:rsidR="0052510C" w:rsidRPr="0076269A" w:rsidRDefault="0052510C" w:rsidP="00F528CB">
      <w:r w:rsidRPr="0076269A">
        <w:t>For the fortnight ending 16 August</w:t>
      </w:r>
      <w:r w:rsidR="009469E1">
        <w:t>,</w:t>
      </w:r>
      <w:r w:rsidRPr="0076269A">
        <w:t xml:space="preserve"> there were a total of 298 open outbreaks nationally (defined as those where a new epidemiologically</w:t>
      </w:r>
      <w:r w:rsidR="009469E1">
        <w:t>-</w:t>
      </w:r>
      <w:r w:rsidRPr="0076269A">
        <w:t xml:space="preserve">linked case was identified in the previous 14 days). Of these, most were reported from Victoria, with open outbreaks also reported from NSW and SA. Outbreaks were reported most frequently from residential aged care settings (97) followed by workplaces (88), educational facilities (47), and healthcare facilities (42). Outbreaks ranged in size, with the largest outbreak encompassing 210 cases in a school setting. Prominent workplace settings included meat processing facilities, food distribution centres, construction worksites, warehouses, and retail stores. </w:t>
      </w:r>
    </w:p>
    <w:p w14:paraId="28F23F5E" w14:textId="77777777" w:rsidR="0063760F" w:rsidRPr="0076269A" w:rsidRDefault="0063760F" w:rsidP="00F528CB">
      <w:r w:rsidRPr="0076269A">
        <w:t>Residents of aged care facilities are at increased risk of COVID-19 infection due to the environment of communal living facilities and are more vulnerable to serious complications if they do become infected. As of 16 August 2020, there have been 2,846 cases of COVID-19 associated with 195 residential aged care facilities, with 143 recoveries and 228 deaths. Of these cases, 1,492 occurred in aged care residents, with the remaining 1,354 cases occurring in care staff. </w:t>
      </w:r>
    </w:p>
    <w:p w14:paraId="7075BD68" w14:textId="77777777" w:rsidR="00DC1B5A" w:rsidRPr="00F528CB" w:rsidRDefault="00DC1B5A" w:rsidP="00F528CB">
      <w:pPr>
        <w:pStyle w:val="Heading1"/>
      </w:pPr>
      <w:r w:rsidRPr="00F528CB">
        <w:t xml:space="preserve">Testing </w:t>
      </w:r>
    </w:p>
    <w:p w14:paraId="6FF02AD3" w14:textId="77777777" w:rsidR="00543A1C" w:rsidRPr="0076269A" w:rsidRDefault="00543A1C" w:rsidP="00F528CB">
      <w:r w:rsidRPr="0076269A">
        <w:t xml:space="preserve">A total of 5,297,558 tests have been conducted in Australia. High rates of testing have continued across the country, with the cumulative proportion of positive tests remaining low at less than 0.5% (Table </w:t>
      </w:r>
      <w:r w:rsidR="00443EA4" w:rsidRPr="0076269A">
        <w:t>3</w:t>
      </w:r>
      <w:r w:rsidRPr="0076269A">
        <w:t xml:space="preserve">). In most jurisdictions the cumulative testing positivity is lower than 0.3%. The low positivity rate indicates widespread testing in the community and supports the observation of low levels of disease in these areas. </w:t>
      </w:r>
    </w:p>
    <w:p w14:paraId="551135C4" w14:textId="77777777" w:rsidR="00902EB3" w:rsidRDefault="00902EB3">
      <w:pPr>
        <w:rPr>
          <w:b/>
        </w:rPr>
      </w:pPr>
      <w:r>
        <w:br w:type="page"/>
      </w:r>
    </w:p>
    <w:p w14:paraId="5626C3B4" w14:textId="03830987" w:rsidR="00DC1B5A" w:rsidRPr="00F528CB" w:rsidRDefault="00DC1B5A" w:rsidP="00F528CB">
      <w:pPr>
        <w:pStyle w:val="CDIFigures"/>
      </w:pPr>
      <w:r w:rsidRPr="00F528CB">
        <w:lastRenderedPageBreak/>
        <w:t xml:space="preserve">Table </w:t>
      </w:r>
      <w:r w:rsidR="00443EA4" w:rsidRPr="00F528CB">
        <w:t>3</w:t>
      </w:r>
      <w:r w:rsidRPr="00F528CB">
        <w:t xml:space="preserve">: Diagnostic tests performed </w:t>
      </w:r>
      <w:r w:rsidR="00A3282B" w:rsidRPr="00F528CB">
        <w:t xml:space="preserve">in </w:t>
      </w:r>
      <w:r w:rsidRPr="00F528CB">
        <w:t>Australia, by jurisdiction</w:t>
      </w:r>
      <w:r w:rsidR="00A3282B" w:rsidRPr="00F528CB">
        <w:t xml:space="preserve">, as at </w:t>
      </w:r>
      <w:r w:rsidR="00FD75E9" w:rsidRPr="00F528CB">
        <w:t>16</w:t>
      </w:r>
      <w:r w:rsidR="00A3282B" w:rsidRPr="00F528CB">
        <w:t xml:space="preserve"> August 2020</w:t>
      </w:r>
      <w:r w:rsidRPr="00560708">
        <w:rPr>
          <w:vertAlign w:val="superscript"/>
        </w:rPr>
        <w:t>a</w:t>
      </w:r>
    </w:p>
    <w:tbl>
      <w:tblPr>
        <w:tblW w:w="5000" w:type="pct"/>
        <w:tblLayout w:type="fixed"/>
        <w:tblCellMar>
          <w:top w:w="57" w:type="dxa"/>
          <w:bottom w:w="57" w:type="dxa"/>
        </w:tblCellMar>
        <w:tblLook w:val="04A0" w:firstRow="1" w:lastRow="0" w:firstColumn="1" w:lastColumn="0" w:noHBand="0" w:noVBand="1"/>
        <w:tblDescription w:val="Table 3 shows the cumulative number of SARS-CoV-2 diagnostic nucleic acid tests performed (and the percentage of such tests positive) within each jurisdiction by the end of this reporting fortnight, as well as at the end of the previous reporting fortnight. Nationwide, for this reporting period there have been 931,417 tests performed, with a positivity rate of 0.58%. Of all tests performed in Australia since 13 January 2020 (5,297,558 tests), the cumulative testing rate is 20,889 tests per 100,000 population and the positivity rate is 0.44%.&#10;"/>
      </w:tblPr>
      <w:tblGrid>
        <w:gridCol w:w="1134"/>
        <w:gridCol w:w="851"/>
        <w:gridCol w:w="994"/>
        <w:gridCol w:w="1296"/>
        <w:gridCol w:w="687"/>
        <w:gridCol w:w="144"/>
        <w:gridCol w:w="852"/>
        <w:gridCol w:w="1323"/>
        <w:gridCol w:w="798"/>
        <w:gridCol w:w="149"/>
        <w:gridCol w:w="850"/>
        <w:gridCol w:w="1388"/>
      </w:tblGrid>
      <w:tr w:rsidR="00543A1C" w:rsidRPr="00560708" w14:paraId="32DFE633" w14:textId="77777777" w:rsidTr="00D54AE3">
        <w:trPr>
          <w:trHeight w:val="290"/>
        </w:trPr>
        <w:tc>
          <w:tcPr>
            <w:tcW w:w="542" w:type="pct"/>
            <w:vMerge w:val="restart"/>
            <w:tcBorders>
              <w:top w:val="nil"/>
              <w:left w:val="nil"/>
              <w:bottom w:val="single" w:sz="8" w:space="0" w:color="FFFFFF"/>
              <w:right w:val="single" w:sz="8" w:space="0" w:color="FFFFFF"/>
            </w:tcBorders>
            <w:shd w:val="clear" w:color="000000" w:fill="404040"/>
            <w:vAlign w:val="center"/>
            <w:hideMark/>
          </w:tcPr>
          <w:p w14:paraId="282EBA57" w14:textId="77777777" w:rsidR="00543A1C" w:rsidRPr="00560708" w:rsidRDefault="00543A1C" w:rsidP="00543A1C">
            <w:pPr>
              <w:spacing w:after="0" w:line="240" w:lineRule="auto"/>
              <w:jc w:val="center"/>
              <w:rPr>
                <w:rFonts w:eastAsia="Times New Roman" w:cstheme="minorHAnsi"/>
                <w:b/>
                <w:bCs/>
                <w:color w:val="FFFFFF"/>
                <w:sz w:val="18"/>
                <w:szCs w:val="18"/>
              </w:rPr>
            </w:pPr>
            <w:r w:rsidRPr="00560708">
              <w:rPr>
                <w:rFonts w:eastAsia="Times New Roman" w:cstheme="minorHAnsi"/>
                <w:b/>
                <w:bCs/>
                <w:color w:val="FFFFFF" w:themeColor="background1"/>
                <w:sz w:val="18"/>
                <w:szCs w:val="18"/>
              </w:rPr>
              <w:t>Jurisdiction</w:t>
            </w:r>
          </w:p>
        </w:tc>
        <w:tc>
          <w:tcPr>
            <w:tcW w:w="1501" w:type="pct"/>
            <w:gridSpan w:val="3"/>
            <w:tcBorders>
              <w:top w:val="nil"/>
              <w:left w:val="nil"/>
              <w:bottom w:val="nil"/>
              <w:right w:val="single" w:sz="8" w:space="0" w:color="FFFFFF"/>
            </w:tcBorders>
            <w:shd w:val="clear" w:color="000000" w:fill="404040"/>
            <w:vAlign w:val="center"/>
            <w:hideMark/>
          </w:tcPr>
          <w:p w14:paraId="23AF6F4D" w14:textId="77777777" w:rsidR="00543A1C" w:rsidRPr="00560708" w:rsidRDefault="00543A1C" w:rsidP="00051259">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lang w:val="en-US"/>
              </w:rPr>
              <w:t>Tests performed</w:t>
            </w:r>
          </w:p>
        </w:tc>
        <w:tc>
          <w:tcPr>
            <w:tcW w:w="1436" w:type="pct"/>
            <w:gridSpan w:val="4"/>
            <w:tcBorders>
              <w:top w:val="nil"/>
              <w:left w:val="nil"/>
              <w:bottom w:val="nil"/>
              <w:right w:val="single" w:sz="8" w:space="0" w:color="FFFFFF"/>
            </w:tcBorders>
            <w:shd w:val="clear" w:color="000000" w:fill="404040"/>
            <w:vAlign w:val="center"/>
            <w:hideMark/>
          </w:tcPr>
          <w:p w14:paraId="1C4DB2B1" w14:textId="77777777" w:rsidR="00543A1C" w:rsidRPr="00560708" w:rsidRDefault="00543A1C" w:rsidP="00051259">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Tests performed</w:t>
            </w:r>
          </w:p>
        </w:tc>
        <w:tc>
          <w:tcPr>
            <w:tcW w:w="1521" w:type="pct"/>
            <w:gridSpan w:val="4"/>
            <w:tcBorders>
              <w:top w:val="nil"/>
              <w:left w:val="nil"/>
              <w:bottom w:val="nil"/>
              <w:right w:val="nil"/>
            </w:tcBorders>
            <w:shd w:val="clear" w:color="000000" w:fill="404040"/>
            <w:vAlign w:val="center"/>
            <w:hideMark/>
          </w:tcPr>
          <w:p w14:paraId="6BCD0258" w14:textId="19BAA175" w:rsidR="00543A1C" w:rsidRPr="00560708" w:rsidRDefault="00543A1C" w:rsidP="00051259">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Cumulative tests performed</w:t>
            </w:r>
          </w:p>
        </w:tc>
      </w:tr>
      <w:tr w:rsidR="00543A1C" w:rsidRPr="00560708" w14:paraId="4C9DE46F" w14:textId="77777777" w:rsidTr="00D54AE3">
        <w:trPr>
          <w:trHeight w:val="300"/>
        </w:trPr>
        <w:tc>
          <w:tcPr>
            <w:tcW w:w="542" w:type="pct"/>
            <w:vMerge/>
            <w:tcBorders>
              <w:top w:val="nil"/>
              <w:left w:val="nil"/>
              <w:bottom w:val="single" w:sz="8" w:space="0" w:color="FFFFFF"/>
              <w:right w:val="single" w:sz="8" w:space="0" w:color="FFFFFF"/>
            </w:tcBorders>
            <w:vAlign w:val="center"/>
            <w:hideMark/>
          </w:tcPr>
          <w:p w14:paraId="528F12A9" w14:textId="77777777" w:rsidR="00543A1C" w:rsidRPr="00560708" w:rsidRDefault="00543A1C" w:rsidP="00543A1C">
            <w:pPr>
              <w:spacing w:after="0" w:line="240" w:lineRule="auto"/>
              <w:rPr>
                <w:rFonts w:eastAsia="Times New Roman" w:cstheme="minorHAnsi"/>
                <w:b/>
                <w:bCs/>
                <w:color w:val="FFFFFF"/>
                <w:sz w:val="18"/>
                <w:szCs w:val="18"/>
              </w:rPr>
            </w:pPr>
          </w:p>
        </w:tc>
        <w:tc>
          <w:tcPr>
            <w:tcW w:w="1501" w:type="pct"/>
            <w:gridSpan w:val="3"/>
            <w:tcBorders>
              <w:top w:val="nil"/>
              <w:left w:val="nil"/>
              <w:bottom w:val="single" w:sz="8" w:space="0" w:color="FFFFFF"/>
              <w:right w:val="single" w:sz="8" w:space="0" w:color="FFFFFF"/>
            </w:tcBorders>
            <w:shd w:val="clear" w:color="000000" w:fill="404040"/>
            <w:vAlign w:val="center"/>
            <w:hideMark/>
          </w:tcPr>
          <w:p w14:paraId="55CBB8F5" w14:textId="77777777" w:rsidR="00543A1C" w:rsidRPr="00560708" w:rsidRDefault="00543A1C" w:rsidP="00051259">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20 July—2 August</w:t>
            </w:r>
          </w:p>
        </w:tc>
        <w:tc>
          <w:tcPr>
            <w:tcW w:w="1436" w:type="pct"/>
            <w:gridSpan w:val="4"/>
            <w:tcBorders>
              <w:top w:val="nil"/>
              <w:left w:val="nil"/>
              <w:bottom w:val="single" w:sz="8" w:space="0" w:color="FFFFFF"/>
              <w:right w:val="single" w:sz="8" w:space="0" w:color="FFFFFF"/>
            </w:tcBorders>
            <w:shd w:val="clear" w:color="000000" w:fill="404040"/>
            <w:vAlign w:val="center"/>
            <w:hideMark/>
          </w:tcPr>
          <w:p w14:paraId="03836780" w14:textId="77777777" w:rsidR="00543A1C" w:rsidRPr="00560708" w:rsidRDefault="00543A1C" w:rsidP="00051259">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3—16 August</w:t>
            </w:r>
          </w:p>
        </w:tc>
        <w:tc>
          <w:tcPr>
            <w:tcW w:w="1521" w:type="pct"/>
            <w:gridSpan w:val="4"/>
            <w:tcBorders>
              <w:top w:val="nil"/>
              <w:left w:val="nil"/>
              <w:bottom w:val="single" w:sz="8" w:space="0" w:color="FFFFFF"/>
              <w:right w:val="nil"/>
            </w:tcBorders>
            <w:shd w:val="clear" w:color="000000" w:fill="404040"/>
            <w:vAlign w:val="center"/>
            <w:hideMark/>
          </w:tcPr>
          <w:p w14:paraId="63263A77" w14:textId="77777777" w:rsidR="00543A1C" w:rsidRPr="00560708" w:rsidRDefault="00543A1C" w:rsidP="00051259">
            <w:pPr>
              <w:spacing w:after="0" w:line="240" w:lineRule="auto"/>
              <w:jc w:val="center"/>
              <w:rPr>
                <w:rFonts w:eastAsia="Times New Roman" w:cstheme="minorHAnsi"/>
                <w:b/>
                <w:bCs/>
                <w:color w:val="FFFFFF" w:themeColor="background1"/>
                <w:sz w:val="18"/>
                <w:szCs w:val="18"/>
              </w:rPr>
            </w:pPr>
            <w:r w:rsidRPr="00560708">
              <w:rPr>
                <w:rFonts w:eastAsia="Times New Roman" w:cstheme="minorHAnsi"/>
                <w:b/>
                <w:bCs/>
                <w:color w:val="FFFFFF" w:themeColor="background1"/>
                <w:sz w:val="18"/>
                <w:szCs w:val="18"/>
              </w:rPr>
              <w:t>to 16 August</w:t>
            </w:r>
          </w:p>
        </w:tc>
      </w:tr>
      <w:tr w:rsidR="00543A1C" w:rsidRPr="00560708" w14:paraId="153695F2" w14:textId="77777777" w:rsidTr="00D54AE3">
        <w:trPr>
          <w:trHeight w:val="823"/>
        </w:trPr>
        <w:tc>
          <w:tcPr>
            <w:tcW w:w="542" w:type="pct"/>
            <w:tcBorders>
              <w:top w:val="nil"/>
              <w:left w:val="nil"/>
              <w:bottom w:val="single" w:sz="4" w:space="0" w:color="FFFFFF" w:themeColor="background1"/>
              <w:right w:val="single" w:sz="8" w:space="0" w:color="FFFFFF"/>
            </w:tcBorders>
            <w:shd w:val="clear" w:color="000000" w:fill="404040"/>
            <w:hideMark/>
          </w:tcPr>
          <w:p w14:paraId="6051642B" w14:textId="77777777" w:rsidR="00543A1C" w:rsidRPr="00560708" w:rsidRDefault="00543A1C" w:rsidP="00543A1C">
            <w:pPr>
              <w:spacing w:after="0" w:line="240" w:lineRule="auto"/>
              <w:rPr>
                <w:rFonts w:eastAsia="Times New Roman" w:cstheme="minorHAnsi"/>
                <w:color w:val="000000"/>
                <w:sz w:val="18"/>
                <w:szCs w:val="18"/>
              </w:rPr>
            </w:pPr>
            <w:r w:rsidRPr="00560708">
              <w:rPr>
                <w:rFonts w:eastAsia="Times New Roman" w:cstheme="minorHAnsi"/>
                <w:color w:val="000000"/>
                <w:sz w:val="18"/>
                <w:szCs w:val="18"/>
              </w:rPr>
              <w:t> </w:t>
            </w:r>
          </w:p>
        </w:tc>
        <w:tc>
          <w:tcPr>
            <w:tcW w:w="407" w:type="pct"/>
            <w:tcBorders>
              <w:top w:val="nil"/>
              <w:left w:val="nil"/>
              <w:bottom w:val="single" w:sz="4" w:space="0" w:color="FFFFFF" w:themeColor="background1"/>
              <w:right w:val="single" w:sz="8" w:space="0" w:color="FFFFFF"/>
            </w:tcBorders>
            <w:shd w:val="clear" w:color="000000" w:fill="404040"/>
            <w:vAlign w:val="center"/>
            <w:hideMark/>
          </w:tcPr>
          <w:p w14:paraId="2D7CAA67" w14:textId="77777777" w:rsidR="00543A1C" w:rsidRPr="00560708" w:rsidRDefault="00543A1C" w:rsidP="00051259">
            <w:pPr>
              <w:spacing w:after="0" w:line="240" w:lineRule="auto"/>
              <w:jc w:val="center"/>
              <w:rPr>
                <w:rFonts w:eastAsia="Times New Roman" w:cstheme="minorHAnsi"/>
                <w:b/>
                <w:bCs/>
                <w:color w:val="FFFFFF"/>
                <w:sz w:val="18"/>
                <w:szCs w:val="18"/>
              </w:rPr>
            </w:pPr>
            <w:r w:rsidRPr="00560708">
              <w:rPr>
                <w:rFonts w:eastAsia="Times New Roman" w:cstheme="minorHAnsi"/>
                <w:b/>
                <w:bCs/>
                <w:color w:val="FFFFFF" w:themeColor="background1"/>
                <w:sz w:val="18"/>
                <w:szCs w:val="18"/>
              </w:rPr>
              <w:t>N</w:t>
            </w:r>
          </w:p>
        </w:tc>
        <w:tc>
          <w:tcPr>
            <w:tcW w:w="475" w:type="pct"/>
            <w:tcBorders>
              <w:top w:val="nil"/>
              <w:left w:val="nil"/>
              <w:bottom w:val="single" w:sz="4" w:space="0" w:color="FFFFFF" w:themeColor="background1"/>
              <w:right w:val="single" w:sz="8" w:space="0" w:color="FFFFFF"/>
            </w:tcBorders>
            <w:shd w:val="clear" w:color="000000" w:fill="404040"/>
            <w:vAlign w:val="center"/>
            <w:hideMark/>
          </w:tcPr>
          <w:p w14:paraId="22A1F0A9" w14:textId="77777777" w:rsidR="00543A1C" w:rsidRPr="00560708" w:rsidRDefault="00543A1C" w:rsidP="00051259">
            <w:pPr>
              <w:spacing w:after="0" w:line="240" w:lineRule="auto"/>
              <w:jc w:val="center"/>
              <w:rPr>
                <w:rFonts w:eastAsia="Times New Roman" w:cstheme="minorHAnsi"/>
                <w:b/>
                <w:bCs/>
                <w:color w:val="FFFFFF"/>
                <w:sz w:val="18"/>
                <w:szCs w:val="18"/>
              </w:rPr>
            </w:pPr>
            <w:r w:rsidRPr="00560708">
              <w:rPr>
                <w:rFonts w:eastAsia="Times New Roman" w:cstheme="minorHAnsi"/>
                <w:b/>
                <w:bCs/>
                <w:color w:val="FFFFFF" w:themeColor="background1"/>
                <w:sz w:val="18"/>
                <w:szCs w:val="18"/>
              </w:rPr>
              <w:t>Positivity (%)</w:t>
            </w:r>
          </w:p>
        </w:tc>
        <w:tc>
          <w:tcPr>
            <w:tcW w:w="619" w:type="pct"/>
            <w:tcBorders>
              <w:top w:val="nil"/>
              <w:left w:val="nil"/>
              <w:bottom w:val="single" w:sz="4" w:space="0" w:color="FFFFFF" w:themeColor="background1"/>
              <w:right w:val="nil"/>
            </w:tcBorders>
            <w:shd w:val="clear" w:color="000000" w:fill="404040"/>
            <w:vAlign w:val="center"/>
            <w:hideMark/>
          </w:tcPr>
          <w:p w14:paraId="399A428F" w14:textId="77777777" w:rsidR="00543A1C" w:rsidRPr="00560708" w:rsidRDefault="00543A1C" w:rsidP="00051259">
            <w:pPr>
              <w:spacing w:after="0" w:line="240" w:lineRule="auto"/>
              <w:jc w:val="center"/>
              <w:rPr>
                <w:rFonts w:eastAsia="Times New Roman" w:cstheme="minorHAnsi"/>
                <w:b/>
                <w:bCs/>
                <w:color w:val="FFFFFF"/>
                <w:sz w:val="18"/>
                <w:szCs w:val="18"/>
              </w:rPr>
            </w:pPr>
            <w:r w:rsidRPr="00560708">
              <w:rPr>
                <w:rFonts w:eastAsia="Times New Roman" w:cstheme="minorHAnsi"/>
                <w:b/>
                <w:bCs/>
                <w:color w:val="FFFFFF" w:themeColor="background1"/>
                <w:sz w:val="18"/>
                <w:szCs w:val="18"/>
              </w:rPr>
              <w:t xml:space="preserve">Per 100,000 population </w:t>
            </w:r>
            <w:proofErr w:type="spellStart"/>
            <w:r w:rsidRPr="00560708">
              <w:rPr>
                <w:rFonts w:eastAsia="Times New Roman" w:cstheme="minorHAnsi"/>
                <w:b/>
                <w:bCs/>
                <w:color w:val="FFFFFF"/>
                <w:sz w:val="18"/>
                <w:szCs w:val="18"/>
                <w:vertAlign w:val="superscript"/>
              </w:rPr>
              <w:t>a,b</w:t>
            </w:r>
            <w:proofErr w:type="spellEnd"/>
          </w:p>
        </w:tc>
        <w:tc>
          <w:tcPr>
            <w:tcW w:w="328" w:type="pct"/>
            <w:tcBorders>
              <w:top w:val="nil"/>
              <w:left w:val="single" w:sz="8" w:space="0" w:color="FFFFFF"/>
              <w:bottom w:val="single" w:sz="4" w:space="0" w:color="FFFFFF" w:themeColor="background1"/>
              <w:right w:val="single" w:sz="4" w:space="0" w:color="FFFFFF" w:themeColor="background1"/>
            </w:tcBorders>
            <w:shd w:val="clear" w:color="000000" w:fill="404040"/>
            <w:vAlign w:val="center"/>
            <w:hideMark/>
          </w:tcPr>
          <w:p w14:paraId="6DF84682" w14:textId="77777777" w:rsidR="00543A1C" w:rsidRPr="00560708" w:rsidRDefault="00543A1C" w:rsidP="00051259">
            <w:pPr>
              <w:spacing w:after="0" w:line="240" w:lineRule="auto"/>
              <w:jc w:val="center"/>
              <w:rPr>
                <w:rFonts w:eastAsia="Times New Roman" w:cstheme="minorHAnsi"/>
                <w:b/>
                <w:bCs/>
                <w:color w:val="FFFFFF"/>
                <w:sz w:val="18"/>
                <w:szCs w:val="18"/>
              </w:rPr>
            </w:pPr>
            <w:r w:rsidRPr="00560708">
              <w:rPr>
                <w:rFonts w:eastAsia="Times New Roman" w:cstheme="minorHAnsi"/>
                <w:b/>
                <w:bCs/>
                <w:color w:val="FFFFFF" w:themeColor="background1"/>
                <w:sz w:val="18"/>
                <w:szCs w:val="18"/>
                <w:lang w:val="en-US"/>
              </w:rPr>
              <w:t>N</w:t>
            </w:r>
          </w:p>
        </w:tc>
        <w:tc>
          <w:tcPr>
            <w:tcW w:w="476" w:type="pct"/>
            <w:gridSpan w:val="2"/>
            <w:tcBorders>
              <w:top w:val="nil"/>
              <w:left w:val="single" w:sz="4" w:space="0" w:color="FFFFFF" w:themeColor="background1"/>
              <w:bottom w:val="single" w:sz="4" w:space="0" w:color="FFFFFF" w:themeColor="background1"/>
              <w:right w:val="single" w:sz="8" w:space="0" w:color="FFFFFF"/>
            </w:tcBorders>
            <w:shd w:val="clear" w:color="000000" w:fill="404040"/>
            <w:vAlign w:val="center"/>
            <w:hideMark/>
          </w:tcPr>
          <w:p w14:paraId="68B5CBE8" w14:textId="77777777" w:rsidR="00543A1C" w:rsidRPr="00560708" w:rsidRDefault="00543A1C" w:rsidP="00051259">
            <w:pPr>
              <w:spacing w:after="0" w:line="240" w:lineRule="auto"/>
              <w:jc w:val="center"/>
              <w:rPr>
                <w:rFonts w:eastAsia="Times New Roman" w:cstheme="minorHAnsi"/>
                <w:b/>
                <w:bCs/>
                <w:color w:val="FFFFFF"/>
                <w:sz w:val="18"/>
                <w:szCs w:val="18"/>
              </w:rPr>
            </w:pPr>
            <w:r w:rsidRPr="00560708">
              <w:rPr>
                <w:rFonts w:eastAsia="Times New Roman" w:cstheme="minorHAnsi"/>
                <w:b/>
                <w:bCs/>
                <w:color w:val="FFFFFF" w:themeColor="background1"/>
                <w:sz w:val="18"/>
                <w:szCs w:val="18"/>
              </w:rPr>
              <w:t>Positivity (%)</w:t>
            </w:r>
          </w:p>
        </w:tc>
        <w:tc>
          <w:tcPr>
            <w:tcW w:w="632" w:type="pct"/>
            <w:tcBorders>
              <w:top w:val="nil"/>
              <w:left w:val="nil"/>
              <w:bottom w:val="single" w:sz="4" w:space="0" w:color="FFFFFF" w:themeColor="background1"/>
              <w:right w:val="single" w:sz="4" w:space="0" w:color="FFFFFF" w:themeColor="background1"/>
            </w:tcBorders>
            <w:shd w:val="clear" w:color="000000" w:fill="404040"/>
            <w:vAlign w:val="center"/>
            <w:hideMark/>
          </w:tcPr>
          <w:p w14:paraId="215C65AA" w14:textId="77777777" w:rsidR="00543A1C" w:rsidRPr="00560708" w:rsidRDefault="00543A1C" w:rsidP="00051259">
            <w:pPr>
              <w:spacing w:after="0" w:line="240" w:lineRule="auto"/>
              <w:jc w:val="center"/>
              <w:rPr>
                <w:rFonts w:eastAsia="Times New Roman" w:cstheme="minorHAnsi"/>
                <w:b/>
                <w:bCs/>
                <w:color w:val="FFFFFF"/>
                <w:sz w:val="18"/>
                <w:szCs w:val="18"/>
              </w:rPr>
            </w:pPr>
            <w:r w:rsidRPr="00560708">
              <w:rPr>
                <w:rFonts w:eastAsia="Times New Roman" w:cstheme="minorHAnsi"/>
                <w:b/>
                <w:bCs/>
                <w:color w:val="FFFFFF" w:themeColor="background1"/>
                <w:sz w:val="18"/>
                <w:szCs w:val="18"/>
              </w:rPr>
              <w:t xml:space="preserve">Per 100,000 population </w:t>
            </w:r>
            <w:proofErr w:type="spellStart"/>
            <w:r w:rsidRPr="00560708">
              <w:rPr>
                <w:rFonts w:eastAsia="Times New Roman" w:cstheme="minorHAnsi"/>
                <w:b/>
                <w:bCs/>
                <w:color w:val="FFFFFF"/>
                <w:sz w:val="18"/>
                <w:szCs w:val="18"/>
                <w:vertAlign w:val="superscript"/>
              </w:rPr>
              <w:t>a,b</w:t>
            </w:r>
            <w:proofErr w:type="spellEnd"/>
          </w:p>
        </w:tc>
        <w:tc>
          <w:tcPr>
            <w:tcW w:w="381" w:type="pct"/>
            <w:tcBorders>
              <w:top w:val="nil"/>
              <w:left w:val="single" w:sz="4" w:space="0" w:color="FFFFFF" w:themeColor="background1"/>
              <w:right w:val="single" w:sz="4" w:space="0" w:color="FFFFFF" w:themeColor="background1"/>
            </w:tcBorders>
            <w:shd w:val="clear" w:color="000000" w:fill="404040"/>
            <w:vAlign w:val="center"/>
            <w:hideMark/>
          </w:tcPr>
          <w:p w14:paraId="70B4F130" w14:textId="77777777" w:rsidR="00543A1C" w:rsidRPr="00560708" w:rsidRDefault="00543A1C" w:rsidP="00051259">
            <w:pPr>
              <w:spacing w:after="0" w:line="240" w:lineRule="auto"/>
              <w:jc w:val="center"/>
              <w:rPr>
                <w:rFonts w:eastAsia="Times New Roman" w:cstheme="minorHAnsi"/>
                <w:b/>
                <w:bCs/>
                <w:color w:val="FFFFFF"/>
                <w:sz w:val="18"/>
                <w:szCs w:val="18"/>
              </w:rPr>
            </w:pPr>
            <w:r w:rsidRPr="00560708">
              <w:rPr>
                <w:rFonts w:eastAsia="Times New Roman" w:cstheme="minorHAnsi"/>
                <w:b/>
                <w:bCs/>
                <w:color w:val="FFFFFF" w:themeColor="background1"/>
                <w:sz w:val="18"/>
                <w:szCs w:val="18"/>
                <w:lang w:val="en-US"/>
              </w:rPr>
              <w:t>N</w:t>
            </w:r>
          </w:p>
        </w:tc>
        <w:tc>
          <w:tcPr>
            <w:tcW w:w="477" w:type="pct"/>
            <w:gridSpan w:val="2"/>
            <w:tcBorders>
              <w:top w:val="nil"/>
              <w:left w:val="single" w:sz="4" w:space="0" w:color="FFFFFF" w:themeColor="background1"/>
              <w:bottom w:val="single" w:sz="4" w:space="0" w:color="FFFFFF" w:themeColor="background1"/>
              <w:right w:val="single" w:sz="8" w:space="0" w:color="FFFFFF"/>
            </w:tcBorders>
            <w:shd w:val="clear" w:color="000000" w:fill="404040"/>
            <w:vAlign w:val="center"/>
            <w:hideMark/>
          </w:tcPr>
          <w:p w14:paraId="6895B4BF" w14:textId="77777777" w:rsidR="00543A1C" w:rsidRPr="00560708" w:rsidRDefault="00543A1C" w:rsidP="00051259">
            <w:pPr>
              <w:spacing w:after="0" w:line="240" w:lineRule="auto"/>
              <w:jc w:val="center"/>
              <w:rPr>
                <w:rFonts w:eastAsia="Times New Roman" w:cstheme="minorHAnsi"/>
                <w:b/>
                <w:bCs/>
                <w:color w:val="FFFFFF"/>
                <w:sz w:val="18"/>
                <w:szCs w:val="18"/>
              </w:rPr>
            </w:pPr>
            <w:r w:rsidRPr="00560708">
              <w:rPr>
                <w:rFonts w:eastAsia="Times New Roman" w:cstheme="minorHAnsi"/>
                <w:b/>
                <w:bCs/>
                <w:color w:val="FFFFFF" w:themeColor="background1"/>
                <w:sz w:val="18"/>
                <w:szCs w:val="18"/>
              </w:rPr>
              <w:t>Positivity (%)</w:t>
            </w:r>
          </w:p>
        </w:tc>
        <w:tc>
          <w:tcPr>
            <w:tcW w:w="663" w:type="pct"/>
            <w:tcBorders>
              <w:top w:val="nil"/>
              <w:left w:val="nil"/>
              <w:bottom w:val="single" w:sz="4" w:space="0" w:color="FFFFFF" w:themeColor="background1"/>
              <w:right w:val="nil"/>
            </w:tcBorders>
            <w:shd w:val="clear" w:color="000000" w:fill="404040"/>
            <w:vAlign w:val="center"/>
            <w:hideMark/>
          </w:tcPr>
          <w:p w14:paraId="5243FC65" w14:textId="77777777" w:rsidR="00543A1C" w:rsidRPr="00560708" w:rsidRDefault="00543A1C" w:rsidP="00051259">
            <w:pPr>
              <w:spacing w:after="0" w:line="240" w:lineRule="auto"/>
              <w:jc w:val="center"/>
              <w:rPr>
                <w:rFonts w:eastAsia="Times New Roman" w:cstheme="minorHAnsi"/>
                <w:b/>
                <w:bCs/>
                <w:color w:val="FFFFFF"/>
                <w:sz w:val="18"/>
                <w:szCs w:val="18"/>
              </w:rPr>
            </w:pPr>
            <w:r w:rsidRPr="00560708">
              <w:rPr>
                <w:rFonts w:eastAsia="Times New Roman" w:cstheme="minorHAnsi"/>
                <w:b/>
                <w:bCs/>
                <w:color w:val="FFFFFF" w:themeColor="background1"/>
                <w:sz w:val="18"/>
                <w:szCs w:val="18"/>
              </w:rPr>
              <w:t xml:space="preserve">Per 100,000 population </w:t>
            </w:r>
            <w:proofErr w:type="spellStart"/>
            <w:r w:rsidRPr="00560708">
              <w:rPr>
                <w:rFonts w:eastAsia="Times New Roman" w:cstheme="minorHAnsi"/>
                <w:b/>
                <w:bCs/>
                <w:color w:val="FFFFFF"/>
                <w:sz w:val="18"/>
                <w:szCs w:val="18"/>
                <w:vertAlign w:val="superscript"/>
              </w:rPr>
              <w:t>a,b</w:t>
            </w:r>
            <w:proofErr w:type="spellEnd"/>
          </w:p>
        </w:tc>
      </w:tr>
      <w:tr w:rsidR="00BE70AF" w:rsidRPr="00560708" w14:paraId="2EEDBC1E" w14:textId="77777777" w:rsidTr="00D54AE3">
        <w:trPr>
          <w:trHeight w:val="290"/>
        </w:trPr>
        <w:tc>
          <w:tcPr>
            <w:tcW w:w="542" w:type="pct"/>
            <w:tcBorders>
              <w:top w:val="single" w:sz="4" w:space="0" w:color="FFFFFF" w:themeColor="background1"/>
              <w:left w:val="nil"/>
              <w:bottom w:val="nil"/>
              <w:right w:val="nil"/>
            </w:tcBorders>
            <w:shd w:val="clear" w:color="auto" w:fill="auto"/>
            <w:vAlign w:val="center"/>
            <w:hideMark/>
          </w:tcPr>
          <w:p w14:paraId="6A2323ED"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rPr>
              <w:t>NSW</w:t>
            </w:r>
          </w:p>
        </w:tc>
        <w:tc>
          <w:tcPr>
            <w:tcW w:w="407" w:type="pct"/>
            <w:tcBorders>
              <w:top w:val="single" w:sz="4" w:space="0" w:color="FFFFFF" w:themeColor="background1"/>
              <w:left w:val="nil"/>
              <w:bottom w:val="nil"/>
              <w:right w:val="nil"/>
            </w:tcBorders>
            <w:shd w:val="clear" w:color="auto" w:fill="auto"/>
            <w:hideMark/>
          </w:tcPr>
          <w:p w14:paraId="61263215"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326,955</w:t>
            </w:r>
          </w:p>
        </w:tc>
        <w:tc>
          <w:tcPr>
            <w:tcW w:w="475" w:type="pct"/>
            <w:tcBorders>
              <w:top w:val="single" w:sz="4" w:space="0" w:color="FFFFFF" w:themeColor="background1"/>
              <w:left w:val="nil"/>
              <w:bottom w:val="nil"/>
              <w:right w:val="nil"/>
            </w:tcBorders>
            <w:shd w:val="clear" w:color="auto" w:fill="auto"/>
            <w:hideMark/>
          </w:tcPr>
          <w:p w14:paraId="115C3A8E"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0.07</w:t>
            </w:r>
          </w:p>
        </w:tc>
        <w:tc>
          <w:tcPr>
            <w:tcW w:w="619" w:type="pct"/>
            <w:tcBorders>
              <w:left w:val="nil"/>
              <w:bottom w:val="nil"/>
              <w:right w:val="nil"/>
            </w:tcBorders>
            <w:shd w:val="clear" w:color="auto" w:fill="auto"/>
            <w:hideMark/>
          </w:tcPr>
          <w:p w14:paraId="1A3F14C8" w14:textId="11B4D869"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4</w:t>
            </w:r>
            <w:r w:rsidR="009469E1" w:rsidRPr="00560708">
              <w:rPr>
                <w:rFonts w:cstheme="minorHAnsi"/>
                <w:color w:val="000000" w:themeColor="text1"/>
                <w:sz w:val="18"/>
                <w:szCs w:val="18"/>
              </w:rPr>
              <w:t>,</w:t>
            </w:r>
            <w:r w:rsidRPr="00560708">
              <w:rPr>
                <w:rFonts w:cstheme="minorHAnsi"/>
                <w:color w:val="000000" w:themeColor="text1"/>
                <w:sz w:val="18"/>
                <w:szCs w:val="18"/>
              </w:rPr>
              <w:t>042</w:t>
            </w:r>
          </w:p>
        </w:tc>
        <w:tc>
          <w:tcPr>
            <w:tcW w:w="397" w:type="pct"/>
            <w:gridSpan w:val="2"/>
            <w:tcBorders>
              <w:left w:val="nil"/>
              <w:bottom w:val="nil"/>
              <w:right w:val="nil"/>
            </w:tcBorders>
            <w:shd w:val="clear" w:color="auto" w:fill="auto"/>
            <w:hideMark/>
          </w:tcPr>
          <w:p w14:paraId="010D032B" w14:textId="46214C1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324</w:t>
            </w:r>
            <w:r w:rsidR="009469E1" w:rsidRPr="00560708">
              <w:rPr>
                <w:rFonts w:cstheme="minorHAnsi"/>
                <w:color w:val="000000" w:themeColor="text1"/>
                <w:sz w:val="18"/>
                <w:szCs w:val="18"/>
              </w:rPr>
              <w:t>,</w:t>
            </w:r>
            <w:r w:rsidRPr="00560708">
              <w:rPr>
                <w:rFonts w:cstheme="minorHAnsi"/>
                <w:color w:val="000000" w:themeColor="text1"/>
                <w:sz w:val="18"/>
                <w:szCs w:val="18"/>
              </w:rPr>
              <w:t>940</w:t>
            </w:r>
          </w:p>
        </w:tc>
        <w:tc>
          <w:tcPr>
            <w:tcW w:w="407" w:type="pct"/>
            <w:tcBorders>
              <w:left w:val="nil"/>
              <w:bottom w:val="nil"/>
              <w:right w:val="nil"/>
            </w:tcBorders>
            <w:shd w:val="clear" w:color="auto" w:fill="auto"/>
            <w:hideMark/>
          </w:tcPr>
          <w:p w14:paraId="6B3F392C"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0.05</w:t>
            </w:r>
          </w:p>
        </w:tc>
        <w:tc>
          <w:tcPr>
            <w:tcW w:w="632" w:type="pct"/>
            <w:tcBorders>
              <w:left w:val="nil"/>
              <w:bottom w:val="nil"/>
              <w:right w:val="nil"/>
            </w:tcBorders>
            <w:shd w:val="clear" w:color="auto" w:fill="auto"/>
            <w:hideMark/>
          </w:tcPr>
          <w:p w14:paraId="738141CC" w14:textId="6B263B31"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4</w:t>
            </w:r>
            <w:r w:rsidR="009469E1" w:rsidRPr="00560708">
              <w:rPr>
                <w:rFonts w:cstheme="minorHAnsi"/>
                <w:color w:val="000000" w:themeColor="text1"/>
                <w:sz w:val="18"/>
                <w:szCs w:val="18"/>
              </w:rPr>
              <w:t>,</w:t>
            </w:r>
            <w:r w:rsidRPr="00560708">
              <w:rPr>
                <w:rFonts w:cstheme="minorHAnsi"/>
                <w:color w:val="000000" w:themeColor="text1"/>
                <w:sz w:val="18"/>
                <w:szCs w:val="18"/>
              </w:rPr>
              <w:t>017</w:t>
            </w:r>
          </w:p>
        </w:tc>
        <w:tc>
          <w:tcPr>
            <w:tcW w:w="452" w:type="pct"/>
            <w:gridSpan w:val="2"/>
            <w:tcBorders>
              <w:left w:val="nil"/>
              <w:bottom w:val="nil"/>
              <w:right w:val="nil"/>
            </w:tcBorders>
            <w:shd w:val="clear" w:color="auto" w:fill="auto"/>
            <w:hideMark/>
          </w:tcPr>
          <w:p w14:paraId="40C61B62"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1,832,980</w:t>
            </w:r>
          </w:p>
        </w:tc>
        <w:tc>
          <w:tcPr>
            <w:tcW w:w="406" w:type="pct"/>
            <w:tcBorders>
              <w:top w:val="single" w:sz="4" w:space="0" w:color="FFFFFF" w:themeColor="background1"/>
              <w:left w:val="nil"/>
              <w:bottom w:val="nil"/>
              <w:right w:val="nil"/>
            </w:tcBorders>
            <w:shd w:val="clear" w:color="auto" w:fill="auto"/>
            <w:hideMark/>
          </w:tcPr>
          <w:p w14:paraId="0B154437"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0.22</w:t>
            </w:r>
          </w:p>
        </w:tc>
        <w:tc>
          <w:tcPr>
            <w:tcW w:w="663" w:type="pct"/>
            <w:tcBorders>
              <w:top w:val="single" w:sz="4" w:space="0" w:color="FFFFFF" w:themeColor="background1"/>
              <w:left w:val="nil"/>
              <w:bottom w:val="nil"/>
              <w:right w:val="nil"/>
            </w:tcBorders>
            <w:shd w:val="clear" w:color="auto" w:fill="auto"/>
            <w:hideMark/>
          </w:tcPr>
          <w:p w14:paraId="49E69BA4"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22,658</w:t>
            </w:r>
          </w:p>
        </w:tc>
      </w:tr>
      <w:tr w:rsidR="00BE70AF" w:rsidRPr="00560708" w14:paraId="679A9F15" w14:textId="77777777" w:rsidTr="00D54AE3">
        <w:trPr>
          <w:trHeight w:val="290"/>
        </w:trPr>
        <w:tc>
          <w:tcPr>
            <w:tcW w:w="542" w:type="pct"/>
            <w:tcBorders>
              <w:top w:val="nil"/>
              <w:left w:val="nil"/>
              <w:bottom w:val="nil"/>
              <w:right w:val="nil"/>
            </w:tcBorders>
            <w:shd w:val="clear" w:color="000000" w:fill="F2F2F2"/>
            <w:vAlign w:val="center"/>
            <w:hideMark/>
          </w:tcPr>
          <w:p w14:paraId="7156A70F"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rPr>
              <w:t>Vic</w:t>
            </w:r>
          </w:p>
        </w:tc>
        <w:tc>
          <w:tcPr>
            <w:tcW w:w="407" w:type="pct"/>
            <w:tcBorders>
              <w:top w:val="nil"/>
              <w:left w:val="nil"/>
              <w:bottom w:val="nil"/>
              <w:right w:val="nil"/>
            </w:tcBorders>
            <w:shd w:val="clear" w:color="000000" w:fill="F2F2F2"/>
            <w:hideMark/>
          </w:tcPr>
          <w:p w14:paraId="2453D453"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348,526</w:t>
            </w:r>
          </w:p>
        </w:tc>
        <w:tc>
          <w:tcPr>
            <w:tcW w:w="475" w:type="pct"/>
            <w:tcBorders>
              <w:top w:val="nil"/>
              <w:left w:val="nil"/>
              <w:bottom w:val="nil"/>
              <w:right w:val="nil"/>
            </w:tcBorders>
            <w:shd w:val="clear" w:color="000000" w:fill="F2F2F2"/>
            <w:hideMark/>
          </w:tcPr>
          <w:p w14:paraId="3F0540F4"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1.67</w:t>
            </w:r>
          </w:p>
        </w:tc>
        <w:tc>
          <w:tcPr>
            <w:tcW w:w="619" w:type="pct"/>
            <w:tcBorders>
              <w:top w:val="nil"/>
              <w:left w:val="nil"/>
              <w:bottom w:val="nil"/>
              <w:right w:val="nil"/>
            </w:tcBorders>
            <w:shd w:val="clear" w:color="000000" w:fill="F2F2F2"/>
            <w:hideMark/>
          </w:tcPr>
          <w:p w14:paraId="4799B173" w14:textId="6321E1BD"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5</w:t>
            </w:r>
            <w:r w:rsidR="009469E1" w:rsidRPr="00560708">
              <w:rPr>
                <w:rFonts w:cstheme="minorHAnsi"/>
                <w:color w:val="000000" w:themeColor="text1"/>
                <w:sz w:val="18"/>
                <w:szCs w:val="18"/>
              </w:rPr>
              <w:t>,</w:t>
            </w:r>
            <w:r w:rsidRPr="00560708">
              <w:rPr>
                <w:rFonts w:cstheme="minorHAnsi"/>
                <w:color w:val="000000" w:themeColor="text1"/>
                <w:sz w:val="18"/>
                <w:szCs w:val="18"/>
              </w:rPr>
              <w:t>284</w:t>
            </w:r>
          </w:p>
        </w:tc>
        <w:tc>
          <w:tcPr>
            <w:tcW w:w="397" w:type="pct"/>
            <w:gridSpan w:val="2"/>
            <w:tcBorders>
              <w:top w:val="nil"/>
              <w:left w:val="nil"/>
              <w:bottom w:val="nil"/>
              <w:right w:val="nil"/>
            </w:tcBorders>
            <w:shd w:val="clear" w:color="000000" w:fill="F2F2F2"/>
            <w:hideMark/>
          </w:tcPr>
          <w:p w14:paraId="6E395653" w14:textId="7EE8CA6C"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305</w:t>
            </w:r>
            <w:r w:rsidR="009469E1" w:rsidRPr="00560708">
              <w:rPr>
                <w:rFonts w:cstheme="minorHAnsi"/>
                <w:color w:val="000000" w:themeColor="text1"/>
                <w:sz w:val="18"/>
                <w:szCs w:val="18"/>
              </w:rPr>
              <w:t>,</w:t>
            </w:r>
            <w:r w:rsidRPr="00560708">
              <w:rPr>
                <w:rFonts w:cstheme="minorHAnsi"/>
                <w:color w:val="000000" w:themeColor="text1"/>
                <w:sz w:val="18"/>
                <w:szCs w:val="18"/>
              </w:rPr>
              <w:t>590</w:t>
            </w:r>
          </w:p>
        </w:tc>
        <w:tc>
          <w:tcPr>
            <w:tcW w:w="407" w:type="pct"/>
            <w:tcBorders>
              <w:top w:val="nil"/>
              <w:left w:val="nil"/>
              <w:bottom w:val="nil"/>
              <w:right w:val="nil"/>
            </w:tcBorders>
            <w:shd w:val="clear" w:color="000000" w:fill="F2F2F2"/>
            <w:hideMark/>
          </w:tcPr>
          <w:p w14:paraId="28B1AE48"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1.71</w:t>
            </w:r>
          </w:p>
        </w:tc>
        <w:tc>
          <w:tcPr>
            <w:tcW w:w="632" w:type="pct"/>
            <w:tcBorders>
              <w:top w:val="nil"/>
              <w:left w:val="nil"/>
              <w:bottom w:val="nil"/>
              <w:right w:val="nil"/>
            </w:tcBorders>
            <w:shd w:val="clear" w:color="000000" w:fill="F2F2F2"/>
            <w:hideMark/>
          </w:tcPr>
          <w:p w14:paraId="4377CB02" w14:textId="618B239D"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4</w:t>
            </w:r>
            <w:r w:rsidR="009469E1" w:rsidRPr="00560708">
              <w:rPr>
                <w:rFonts w:cstheme="minorHAnsi"/>
                <w:color w:val="000000" w:themeColor="text1"/>
                <w:sz w:val="18"/>
                <w:szCs w:val="18"/>
              </w:rPr>
              <w:t>,</w:t>
            </w:r>
            <w:r w:rsidRPr="00560708">
              <w:rPr>
                <w:rFonts w:cstheme="minorHAnsi"/>
                <w:color w:val="000000" w:themeColor="text1"/>
                <w:sz w:val="18"/>
                <w:szCs w:val="18"/>
              </w:rPr>
              <w:t>633</w:t>
            </w:r>
          </w:p>
        </w:tc>
        <w:tc>
          <w:tcPr>
            <w:tcW w:w="452" w:type="pct"/>
            <w:gridSpan w:val="2"/>
            <w:tcBorders>
              <w:top w:val="nil"/>
              <w:left w:val="nil"/>
              <w:bottom w:val="nil"/>
              <w:right w:val="nil"/>
            </w:tcBorders>
            <w:shd w:val="clear" w:color="000000" w:fill="F2F2F2"/>
            <w:hideMark/>
          </w:tcPr>
          <w:p w14:paraId="65B3F72C"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1,959,302</w:t>
            </w:r>
          </w:p>
        </w:tc>
        <w:tc>
          <w:tcPr>
            <w:tcW w:w="406" w:type="pct"/>
            <w:tcBorders>
              <w:top w:val="nil"/>
              <w:left w:val="nil"/>
              <w:bottom w:val="nil"/>
              <w:right w:val="nil"/>
            </w:tcBorders>
            <w:shd w:val="clear" w:color="000000" w:fill="F2F2F2"/>
            <w:hideMark/>
          </w:tcPr>
          <w:p w14:paraId="441E3EF5"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0.85</w:t>
            </w:r>
          </w:p>
        </w:tc>
        <w:tc>
          <w:tcPr>
            <w:tcW w:w="663" w:type="pct"/>
            <w:tcBorders>
              <w:top w:val="nil"/>
              <w:left w:val="nil"/>
              <w:bottom w:val="nil"/>
              <w:right w:val="nil"/>
            </w:tcBorders>
            <w:shd w:val="clear" w:color="000000" w:fill="F2F2F2"/>
            <w:hideMark/>
          </w:tcPr>
          <w:p w14:paraId="57620D07"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29,704</w:t>
            </w:r>
          </w:p>
        </w:tc>
      </w:tr>
      <w:tr w:rsidR="00BE70AF" w:rsidRPr="00560708" w14:paraId="33657CFD" w14:textId="77777777" w:rsidTr="00D54AE3">
        <w:trPr>
          <w:trHeight w:val="290"/>
        </w:trPr>
        <w:tc>
          <w:tcPr>
            <w:tcW w:w="542" w:type="pct"/>
            <w:tcBorders>
              <w:top w:val="nil"/>
              <w:left w:val="nil"/>
              <w:bottom w:val="nil"/>
              <w:right w:val="nil"/>
            </w:tcBorders>
            <w:shd w:val="clear" w:color="auto" w:fill="auto"/>
            <w:vAlign w:val="center"/>
            <w:hideMark/>
          </w:tcPr>
          <w:p w14:paraId="31D5C4CB"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rPr>
              <w:t>Qld</w:t>
            </w:r>
          </w:p>
        </w:tc>
        <w:tc>
          <w:tcPr>
            <w:tcW w:w="407" w:type="pct"/>
            <w:tcBorders>
              <w:top w:val="nil"/>
              <w:left w:val="nil"/>
              <w:bottom w:val="nil"/>
              <w:right w:val="nil"/>
            </w:tcBorders>
            <w:shd w:val="clear" w:color="auto" w:fill="auto"/>
            <w:hideMark/>
          </w:tcPr>
          <w:p w14:paraId="70EB6341"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101,468</w:t>
            </w:r>
          </w:p>
        </w:tc>
        <w:tc>
          <w:tcPr>
            <w:tcW w:w="475" w:type="pct"/>
            <w:tcBorders>
              <w:top w:val="nil"/>
              <w:left w:val="nil"/>
              <w:bottom w:val="nil"/>
              <w:right w:val="nil"/>
            </w:tcBorders>
            <w:shd w:val="clear" w:color="auto" w:fill="auto"/>
            <w:hideMark/>
          </w:tcPr>
          <w:p w14:paraId="114BA7B5"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0.01</w:t>
            </w:r>
          </w:p>
        </w:tc>
        <w:tc>
          <w:tcPr>
            <w:tcW w:w="619" w:type="pct"/>
            <w:tcBorders>
              <w:top w:val="nil"/>
              <w:left w:val="nil"/>
              <w:bottom w:val="nil"/>
              <w:right w:val="nil"/>
            </w:tcBorders>
            <w:shd w:val="clear" w:color="auto" w:fill="auto"/>
            <w:hideMark/>
          </w:tcPr>
          <w:p w14:paraId="1E6D7E3B" w14:textId="0AB22714"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w:t>
            </w:r>
            <w:r w:rsidR="009469E1" w:rsidRPr="00560708">
              <w:rPr>
                <w:rFonts w:cstheme="minorHAnsi"/>
                <w:color w:val="000000" w:themeColor="text1"/>
                <w:sz w:val="18"/>
                <w:szCs w:val="18"/>
              </w:rPr>
              <w:t>,</w:t>
            </w:r>
            <w:r w:rsidRPr="00560708">
              <w:rPr>
                <w:rFonts w:cstheme="minorHAnsi"/>
                <w:color w:val="000000" w:themeColor="text1"/>
                <w:sz w:val="18"/>
                <w:szCs w:val="18"/>
              </w:rPr>
              <w:t>992</w:t>
            </w:r>
          </w:p>
        </w:tc>
        <w:tc>
          <w:tcPr>
            <w:tcW w:w="397" w:type="pct"/>
            <w:gridSpan w:val="2"/>
            <w:tcBorders>
              <w:top w:val="nil"/>
              <w:left w:val="nil"/>
              <w:bottom w:val="nil"/>
              <w:right w:val="nil"/>
            </w:tcBorders>
            <w:shd w:val="clear" w:color="auto" w:fill="auto"/>
            <w:hideMark/>
          </w:tcPr>
          <w:p w14:paraId="69906F1A" w14:textId="1293FDE8"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164</w:t>
            </w:r>
            <w:r w:rsidR="009469E1" w:rsidRPr="00560708">
              <w:rPr>
                <w:rFonts w:cstheme="minorHAnsi"/>
                <w:color w:val="000000" w:themeColor="text1"/>
                <w:sz w:val="18"/>
                <w:szCs w:val="18"/>
              </w:rPr>
              <w:t>,</w:t>
            </w:r>
            <w:r w:rsidRPr="00560708">
              <w:rPr>
                <w:rFonts w:cstheme="minorHAnsi"/>
                <w:color w:val="000000" w:themeColor="text1"/>
                <w:sz w:val="18"/>
                <w:szCs w:val="18"/>
              </w:rPr>
              <w:t>787</w:t>
            </w:r>
          </w:p>
        </w:tc>
        <w:tc>
          <w:tcPr>
            <w:tcW w:w="407" w:type="pct"/>
            <w:tcBorders>
              <w:top w:val="nil"/>
              <w:left w:val="nil"/>
              <w:bottom w:val="nil"/>
              <w:right w:val="nil"/>
            </w:tcBorders>
            <w:shd w:val="clear" w:color="auto" w:fill="auto"/>
            <w:hideMark/>
          </w:tcPr>
          <w:p w14:paraId="65033832"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0.00</w:t>
            </w:r>
          </w:p>
        </w:tc>
        <w:tc>
          <w:tcPr>
            <w:tcW w:w="632" w:type="pct"/>
            <w:tcBorders>
              <w:top w:val="nil"/>
              <w:left w:val="nil"/>
              <w:bottom w:val="nil"/>
              <w:right w:val="nil"/>
            </w:tcBorders>
            <w:shd w:val="clear" w:color="auto" w:fill="auto"/>
            <w:hideMark/>
          </w:tcPr>
          <w:p w14:paraId="478FCAC1" w14:textId="01EA66AB"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w:t>
            </w:r>
            <w:r w:rsidR="009469E1" w:rsidRPr="00560708">
              <w:rPr>
                <w:rFonts w:cstheme="minorHAnsi"/>
                <w:color w:val="000000" w:themeColor="text1"/>
                <w:sz w:val="18"/>
                <w:szCs w:val="18"/>
              </w:rPr>
              <w:t>,</w:t>
            </w:r>
            <w:r w:rsidRPr="00560708">
              <w:rPr>
                <w:rFonts w:cstheme="minorHAnsi"/>
                <w:color w:val="000000" w:themeColor="text1"/>
                <w:sz w:val="18"/>
                <w:szCs w:val="18"/>
              </w:rPr>
              <w:t>235</w:t>
            </w:r>
          </w:p>
        </w:tc>
        <w:tc>
          <w:tcPr>
            <w:tcW w:w="452" w:type="pct"/>
            <w:gridSpan w:val="2"/>
            <w:tcBorders>
              <w:top w:val="nil"/>
              <w:left w:val="nil"/>
              <w:bottom w:val="nil"/>
              <w:right w:val="nil"/>
            </w:tcBorders>
            <w:shd w:val="clear" w:color="auto" w:fill="auto"/>
            <w:hideMark/>
          </w:tcPr>
          <w:p w14:paraId="726219DD"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725,394</w:t>
            </w:r>
          </w:p>
        </w:tc>
        <w:tc>
          <w:tcPr>
            <w:tcW w:w="406" w:type="pct"/>
            <w:tcBorders>
              <w:top w:val="nil"/>
              <w:left w:val="nil"/>
              <w:bottom w:val="nil"/>
              <w:right w:val="nil"/>
            </w:tcBorders>
            <w:shd w:val="clear" w:color="auto" w:fill="auto"/>
            <w:hideMark/>
          </w:tcPr>
          <w:p w14:paraId="388725A0"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0.15</w:t>
            </w:r>
          </w:p>
        </w:tc>
        <w:tc>
          <w:tcPr>
            <w:tcW w:w="663" w:type="pct"/>
            <w:tcBorders>
              <w:top w:val="nil"/>
              <w:left w:val="nil"/>
              <w:bottom w:val="nil"/>
              <w:right w:val="nil"/>
            </w:tcBorders>
            <w:shd w:val="clear" w:color="auto" w:fill="auto"/>
            <w:hideMark/>
          </w:tcPr>
          <w:p w14:paraId="33BB4C29"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14,239</w:t>
            </w:r>
          </w:p>
        </w:tc>
      </w:tr>
      <w:tr w:rsidR="00BE70AF" w:rsidRPr="00560708" w14:paraId="0F4189E1" w14:textId="77777777" w:rsidTr="00D54AE3">
        <w:trPr>
          <w:trHeight w:val="290"/>
        </w:trPr>
        <w:tc>
          <w:tcPr>
            <w:tcW w:w="542" w:type="pct"/>
            <w:tcBorders>
              <w:top w:val="nil"/>
              <w:left w:val="nil"/>
              <w:bottom w:val="nil"/>
              <w:right w:val="nil"/>
            </w:tcBorders>
            <w:shd w:val="clear" w:color="000000" w:fill="F2F2F2"/>
            <w:vAlign w:val="center"/>
            <w:hideMark/>
          </w:tcPr>
          <w:p w14:paraId="5778C34F"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rPr>
              <w:t>WA</w:t>
            </w:r>
          </w:p>
        </w:tc>
        <w:tc>
          <w:tcPr>
            <w:tcW w:w="407" w:type="pct"/>
            <w:tcBorders>
              <w:top w:val="nil"/>
              <w:left w:val="nil"/>
              <w:bottom w:val="nil"/>
              <w:right w:val="nil"/>
            </w:tcBorders>
            <w:shd w:val="clear" w:color="000000" w:fill="F2F2F2"/>
            <w:hideMark/>
          </w:tcPr>
          <w:p w14:paraId="4EE99FE4"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57,732</w:t>
            </w:r>
          </w:p>
        </w:tc>
        <w:tc>
          <w:tcPr>
            <w:tcW w:w="475" w:type="pct"/>
            <w:tcBorders>
              <w:top w:val="nil"/>
              <w:left w:val="nil"/>
              <w:bottom w:val="nil"/>
              <w:right w:val="nil"/>
            </w:tcBorders>
            <w:shd w:val="clear" w:color="000000" w:fill="F2F2F2"/>
            <w:hideMark/>
          </w:tcPr>
          <w:p w14:paraId="73A7C0C5"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0.02</w:t>
            </w:r>
          </w:p>
        </w:tc>
        <w:tc>
          <w:tcPr>
            <w:tcW w:w="619" w:type="pct"/>
            <w:tcBorders>
              <w:top w:val="nil"/>
              <w:left w:val="nil"/>
              <w:bottom w:val="nil"/>
              <w:right w:val="nil"/>
            </w:tcBorders>
            <w:shd w:val="clear" w:color="000000" w:fill="F2F2F2"/>
            <w:hideMark/>
          </w:tcPr>
          <w:p w14:paraId="059B48B2" w14:textId="4EAC2558"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w:t>
            </w:r>
            <w:r w:rsidR="009469E1" w:rsidRPr="00560708">
              <w:rPr>
                <w:rFonts w:cstheme="minorHAnsi"/>
                <w:color w:val="000000" w:themeColor="text1"/>
                <w:sz w:val="18"/>
                <w:szCs w:val="18"/>
              </w:rPr>
              <w:t>,</w:t>
            </w:r>
            <w:r w:rsidRPr="00560708">
              <w:rPr>
                <w:rFonts w:cstheme="minorHAnsi"/>
                <w:color w:val="000000" w:themeColor="text1"/>
                <w:sz w:val="18"/>
                <w:szCs w:val="18"/>
              </w:rPr>
              <w:t>202</w:t>
            </w:r>
          </w:p>
        </w:tc>
        <w:tc>
          <w:tcPr>
            <w:tcW w:w="397" w:type="pct"/>
            <w:gridSpan w:val="2"/>
            <w:tcBorders>
              <w:top w:val="nil"/>
              <w:left w:val="nil"/>
              <w:bottom w:val="nil"/>
              <w:right w:val="nil"/>
            </w:tcBorders>
            <w:shd w:val="clear" w:color="000000" w:fill="F2F2F2"/>
            <w:hideMark/>
          </w:tcPr>
          <w:p w14:paraId="31408358" w14:textId="63D37920"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74</w:t>
            </w:r>
            <w:r w:rsidR="009469E1" w:rsidRPr="00560708">
              <w:rPr>
                <w:rFonts w:cstheme="minorHAnsi"/>
                <w:color w:val="000000" w:themeColor="text1"/>
                <w:sz w:val="18"/>
                <w:szCs w:val="18"/>
              </w:rPr>
              <w:t>,</w:t>
            </w:r>
            <w:r w:rsidRPr="00560708">
              <w:rPr>
                <w:rFonts w:cstheme="minorHAnsi"/>
                <w:color w:val="000000" w:themeColor="text1"/>
                <w:sz w:val="18"/>
                <w:szCs w:val="18"/>
              </w:rPr>
              <w:t>366</w:t>
            </w:r>
          </w:p>
        </w:tc>
        <w:tc>
          <w:tcPr>
            <w:tcW w:w="407" w:type="pct"/>
            <w:tcBorders>
              <w:top w:val="nil"/>
              <w:left w:val="nil"/>
              <w:bottom w:val="nil"/>
              <w:right w:val="nil"/>
            </w:tcBorders>
            <w:shd w:val="clear" w:color="000000" w:fill="F2F2F2"/>
            <w:hideMark/>
          </w:tcPr>
          <w:p w14:paraId="12FBA708"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0.01</w:t>
            </w:r>
          </w:p>
        </w:tc>
        <w:tc>
          <w:tcPr>
            <w:tcW w:w="632" w:type="pct"/>
            <w:tcBorders>
              <w:top w:val="nil"/>
              <w:left w:val="nil"/>
              <w:bottom w:val="nil"/>
              <w:right w:val="nil"/>
            </w:tcBorders>
            <w:shd w:val="clear" w:color="000000" w:fill="F2F2F2"/>
            <w:hideMark/>
          </w:tcPr>
          <w:p w14:paraId="5B438C23" w14:textId="2A8C8D9B"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w:t>
            </w:r>
            <w:r w:rsidR="009469E1" w:rsidRPr="00560708">
              <w:rPr>
                <w:rFonts w:cstheme="minorHAnsi"/>
                <w:color w:val="000000" w:themeColor="text1"/>
                <w:sz w:val="18"/>
                <w:szCs w:val="18"/>
              </w:rPr>
              <w:t>,</w:t>
            </w:r>
            <w:r w:rsidRPr="00560708">
              <w:rPr>
                <w:rFonts w:cstheme="minorHAnsi"/>
                <w:color w:val="000000" w:themeColor="text1"/>
                <w:sz w:val="18"/>
                <w:szCs w:val="18"/>
              </w:rPr>
              <w:t>837</w:t>
            </w:r>
          </w:p>
        </w:tc>
        <w:tc>
          <w:tcPr>
            <w:tcW w:w="452" w:type="pct"/>
            <w:gridSpan w:val="2"/>
            <w:tcBorders>
              <w:top w:val="nil"/>
              <w:left w:val="nil"/>
              <w:bottom w:val="nil"/>
              <w:right w:val="nil"/>
            </w:tcBorders>
            <w:shd w:val="clear" w:color="000000" w:fill="F2F2F2"/>
            <w:hideMark/>
          </w:tcPr>
          <w:p w14:paraId="4963F753"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320,526</w:t>
            </w:r>
          </w:p>
        </w:tc>
        <w:tc>
          <w:tcPr>
            <w:tcW w:w="406" w:type="pct"/>
            <w:tcBorders>
              <w:top w:val="nil"/>
              <w:left w:val="nil"/>
              <w:bottom w:val="nil"/>
              <w:right w:val="nil"/>
            </w:tcBorders>
            <w:shd w:val="clear" w:color="000000" w:fill="F2F2F2"/>
            <w:hideMark/>
          </w:tcPr>
          <w:p w14:paraId="1B14187A"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0.14</w:t>
            </w:r>
          </w:p>
        </w:tc>
        <w:tc>
          <w:tcPr>
            <w:tcW w:w="663" w:type="pct"/>
            <w:tcBorders>
              <w:top w:val="nil"/>
              <w:left w:val="nil"/>
              <w:bottom w:val="nil"/>
              <w:right w:val="nil"/>
            </w:tcBorders>
            <w:shd w:val="clear" w:color="000000" w:fill="F2F2F2"/>
            <w:hideMark/>
          </w:tcPr>
          <w:p w14:paraId="6CFBB451"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12,227</w:t>
            </w:r>
          </w:p>
        </w:tc>
      </w:tr>
      <w:tr w:rsidR="00BE70AF" w:rsidRPr="00560708" w14:paraId="3BCB1E39" w14:textId="77777777" w:rsidTr="00D54AE3">
        <w:trPr>
          <w:trHeight w:val="290"/>
        </w:trPr>
        <w:tc>
          <w:tcPr>
            <w:tcW w:w="542" w:type="pct"/>
            <w:tcBorders>
              <w:top w:val="nil"/>
              <w:left w:val="nil"/>
              <w:bottom w:val="nil"/>
              <w:right w:val="nil"/>
            </w:tcBorders>
            <w:shd w:val="clear" w:color="auto" w:fill="auto"/>
            <w:vAlign w:val="center"/>
            <w:hideMark/>
          </w:tcPr>
          <w:p w14:paraId="6053395B"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rPr>
              <w:t>SA</w:t>
            </w:r>
          </w:p>
        </w:tc>
        <w:tc>
          <w:tcPr>
            <w:tcW w:w="407" w:type="pct"/>
            <w:tcBorders>
              <w:top w:val="nil"/>
              <w:left w:val="nil"/>
              <w:bottom w:val="nil"/>
              <w:right w:val="nil"/>
            </w:tcBorders>
            <w:shd w:val="clear" w:color="auto" w:fill="auto"/>
            <w:hideMark/>
          </w:tcPr>
          <w:p w14:paraId="73CC2FDF"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30,031</w:t>
            </w:r>
          </w:p>
        </w:tc>
        <w:tc>
          <w:tcPr>
            <w:tcW w:w="475" w:type="pct"/>
            <w:tcBorders>
              <w:top w:val="nil"/>
              <w:left w:val="nil"/>
              <w:bottom w:val="nil"/>
              <w:right w:val="nil"/>
            </w:tcBorders>
            <w:shd w:val="clear" w:color="auto" w:fill="auto"/>
            <w:hideMark/>
          </w:tcPr>
          <w:p w14:paraId="7B5579B7"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0.03</w:t>
            </w:r>
          </w:p>
        </w:tc>
        <w:tc>
          <w:tcPr>
            <w:tcW w:w="619" w:type="pct"/>
            <w:tcBorders>
              <w:top w:val="nil"/>
              <w:left w:val="nil"/>
              <w:bottom w:val="nil"/>
              <w:right w:val="nil"/>
            </w:tcBorders>
            <w:shd w:val="clear" w:color="auto" w:fill="auto"/>
            <w:hideMark/>
          </w:tcPr>
          <w:p w14:paraId="192B5D7D" w14:textId="4A884FA3"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w:t>
            </w:r>
            <w:r w:rsidR="009469E1" w:rsidRPr="00560708">
              <w:rPr>
                <w:rFonts w:cstheme="minorHAnsi"/>
                <w:color w:val="000000" w:themeColor="text1"/>
                <w:sz w:val="18"/>
                <w:szCs w:val="18"/>
              </w:rPr>
              <w:t>,</w:t>
            </w:r>
            <w:r w:rsidRPr="00560708">
              <w:rPr>
                <w:rFonts w:cstheme="minorHAnsi"/>
                <w:color w:val="000000" w:themeColor="text1"/>
                <w:sz w:val="18"/>
                <w:szCs w:val="18"/>
              </w:rPr>
              <w:t>714</w:t>
            </w:r>
          </w:p>
        </w:tc>
        <w:tc>
          <w:tcPr>
            <w:tcW w:w="397" w:type="pct"/>
            <w:gridSpan w:val="2"/>
            <w:tcBorders>
              <w:top w:val="nil"/>
              <w:left w:val="nil"/>
              <w:bottom w:val="nil"/>
              <w:right w:val="nil"/>
            </w:tcBorders>
            <w:shd w:val="clear" w:color="auto" w:fill="auto"/>
            <w:hideMark/>
          </w:tcPr>
          <w:p w14:paraId="2FAE4F91" w14:textId="05C62B04"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35</w:t>
            </w:r>
            <w:r w:rsidR="009469E1" w:rsidRPr="00560708">
              <w:rPr>
                <w:rFonts w:cstheme="minorHAnsi"/>
                <w:color w:val="000000" w:themeColor="text1"/>
                <w:sz w:val="18"/>
                <w:szCs w:val="18"/>
              </w:rPr>
              <w:t>,</w:t>
            </w:r>
            <w:r w:rsidRPr="00560708">
              <w:rPr>
                <w:rFonts w:cstheme="minorHAnsi"/>
                <w:color w:val="000000" w:themeColor="text1"/>
                <w:sz w:val="18"/>
                <w:szCs w:val="18"/>
              </w:rPr>
              <w:t>279</w:t>
            </w:r>
          </w:p>
        </w:tc>
        <w:tc>
          <w:tcPr>
            <w:tcW w:w="407" w:type="pct"/>
            <w:tcBorders>
              <w:top w:val="nil"/>
              <w:left w:val="nil"/>
              <w:bottom w:val="nil"/>
              <w:right w:val="nil"/>
            </w:tcBorders>
            <w:shd w:val="clear" w:color="auto" w:fill="auto"/>
            <w:hideMark/>
          </w:tcPr>
          <w:p w14:paraId="4D2F2845"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0.01</w:t>
            </w:r>
          </w:p>
        </w:tc>
        <w:tc>
          <w:tcPr>
            <w:tcW w:w="632" w:type="pct"/>
            <w:tcBorders>
              <w:top w:val="nil"/>
              <w:left w:val="nil"/>
              <w:bottom w:val="nil"/>
              <w:right w:val="nil"/>
            </w:tcBorders>
            <w:shd w:val="clear" w:color="auto" w:fill="auto"/>
            <w:hideMark/>
          </w:tcPr>
          <w:p w14:paraId="2528BA8E" w14:textId="2AE6C65D"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w:t>
            </w:r>
            <w:r w:rsidR="009469E1" w:rsidRPr="00560708">
              <w:rPr>
                <w:rFonts w:cstheme="minorHAnsi"/>
                <w:color w:val="000000" w:themeColor="text1"/>
                <w:sz w:val="18"/>
                <w:szCs w:val="18"/>
              </w:rPr>
              <w:t>,</w:t>
            </w:r>
            <w:r w:rsidRPr="00560708">
              <w:rPr>
                <w:rFonts w:cstheme="minorHAnsi"/>
                <w:color w:val="000000" w:themeColor="text1"/>
                <w:sz w:val="18"/>
                <w:szCs w:val="18"/>
              </w:rPr>
              <w:t>014</w:t>
            </w:r>
          </w:p>
        </w:tc>
        <w:tc>
          <w:tcPr>
            <w:tcW w:w="452" w:type="pct"/>
            <w:gridSpan w:val="2"/>
            <w:tcBorders>
              <w:top w:val="nil"/>
              <w:left w:val="nil"/>
              <w:bottom w:val="nil"/>
              <w:right w:val="nil"/>
            </w:tcBorders>
            <w:shd w:val="clear" w:color="auto" w:fill="auto"/>
            <w:hideMark/>
          </w:tcPr>
          <w:p w14:paraId="2689AB1C"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285,068</w:t>
            </w:r>
          </w:p>
        </w:tc>
        <w:tc>
          <w:tcPr>
            <w:tcW w:w="406" w:type="pct"/>
            <w:tcBorders>
              <w:top w:val="nil"/>
              <w:left w:val="nil"/>
              <w:bottom w:val="nil"/>
              <w:right w:val="nil"/>
            </w:tcBorders>
            <w:shd w:val="clear" w:color="auto" w:fill="auto"/>
            <w:hideMark/>
          </w:tcPr>
          <w:p w14:paraId="0A761CA1"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0.23</w:t>
            </w:r>
          </w:p>
        </w:tc>
        <w:tc>
          <w:tcPr>
            <w:tcW w:w="663" w:type="pct"/>
            <w:tcBorders>
              <w:top w:val="nil"/>
              <w:left w:val="nil"/>
              <w:bottom w:val="nil"/>
              <w:right w:val="nil"/>
            </w:tcBorders>
            <w:shd w:val="clear" w:color="auto" w:fill="auto"/>
            <w:hideMark/>
          </w:tcPr>
          <w:p w14:paraId="7034FC97"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16,271</w:t>
            </w:r>
          </w:p>
        </w:tc>
      </w:tr>
      <w:tr w:rsidR="00BE70AF" w:rsidRPr="00560708" w14:paraId="1DCED7F6" w14:textId="77777777" w:rsidTr="00D54AE3">
        <w:trPr>
          <w:trHeight w:val="290"/>
        </w:trPr>
        <w:tc>
          <w:tcPr>
            <w:tcW w:w="542" w:type="pct"/>
            <w:tcBorders>
              <w:top w:val="nil"/>
              <w:left w:val="nil"/>
              <w:bottom w:val="nil"/>
              <w:right w:val="nil"/>
            </w:tcBorders>
            <w:shd w:val="clear" w:color="000000" w:fill="F2F2F2"/>
            <w:vAlign w:val="center"/>
            <w:hideMark/>
          </w:tcPr>
          <w:p w14:paraId="7A5343CD"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rPr>
              <w:t>Tas</w:t>
            </w:r>
          </w:p>
        </w:tc>
        <w:tc>
          <w:tcPr>
            <w:tcW w:w="407" w:type="pct"/>
            <w:tcBorders>
              <w:top w:val="nil"/>
              <w:left w:val="nil"/>
              <w:bottom w:val="nil"/>
              <w:right w:val="nil"/>
            </w:tcBorders>
            <w:shd w:val="clear" w:color="000000" w:fill="F2F2F2"/>
            <w:hideMark/>
          </w:tcPr>
          <w:p w14:paraId="675CFA2B"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9,026</w:t>
            </w:r>
          </w:p>
        </w:tc>
        <w:tc>
          <w:tcPr>
            <w:tcW w:w="475" w:type="pct"/>
            <w:tcBorders>
              <w:top w:val="nil"/>
              <w:left w:val="nil"/>
              <w:bottom w:val="nil"/>
              <w:right w:val="nil"/>
            </w:tcBorders>
            <w:shd w:val="clear" w:color="000000" w:fill="F2F2F2"/>
            <w:hideMark/>
          </w:tcPr>
          <w:p w14:paraId="74F636A2"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0.01</w:t>
            </w:r>
          </w:p>
        </w:tc>
        <w:tc>
          <w:tcPr>
            <w:tcW w:w="619" w:type="pct"/>
            <w:tcBorders>
              <w:top w:val="nil"/>
              <w:left w:val="nil"/>
              <w:bottom w:val="nil"/>
              <w:right w:val="nil"/>
            </w:tcBorders>
            <w:shd w:val="clear" w:color="000000" w:fill="F2F2F2"/>
            <w:hideMark/>
          </w:tcPr>
          <w:p w14:paraId="249ADE16" w14:textId="67304925"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w:t>
            </w:r>
            <w:r w:rsidR="009469E1" w:rsidRPr="00560708">
              <w:rPr>
                <w:rFonts w:cstheme="minorHAnsi"/>
                <w:color w:val="000000" w:themeColor="text1"/>
                <w:sz w:val="18"/>
                <w:szCs w:val="18"/>
              </w:rPr>
              <w:t>,</w:t>
            </w:r>
            <w:r w:rsidRPr="00560708">
              <w:rPr>
                <w:rFonts w:cstheme="minorHAnsi"/>
                <w:color w:val="000000" w:themeColor="text1"/>
                <w:sz w:val="18"/>
                <w:szCs w:val="18"/>
              </w:rPr>
              <w:t>689</w:t>
            </w:r>
          </w:p>
        </w:tc>
        <w:tc>
          <w:tcPr>
            <w:tcW w:w="397" w:type="pct"/>
            <w:gridSpan w:val="2"/>
            <w:tcBorders>
              <w:top w:val="nil"/>
              <w:left w:val="nil"/>
              <w:bottom w:val="nil"/>
              <w:right w:val="nil"/>
            </w:tcBorders>
            <w:shd w:val="clear" w:color="000000" w:fill="F2F2F2"/>
            <w:hideMark/>
          </w:tcPr>
          <w:p w14:paraId="6446C7EF" w14:textId="75AD5AA6"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8</w:t>
            </w:r>
            <w:r w:rsidR="009469E1" w:rsidRPr="00560708">
              <w:rPr>
                <w:rFonts w:cstheme="minorHAnsi"/>
                <w:color w:val="000000" w:themeColor="text1"/>
                <w:sz w:val="18"/>
                <w:szCs w:val="18"/>
              </w:rPr>
              <w:t>,</w:t>
            </w:r>
            <w:r w:rsidRPr="00560708">
              <w:rPr>
                <w:rFonts w:cstheme="minorHAnsi"/>
                <w:color w:val="000000" w:themeColor="text1"/>
                <w:sz w:val="18"/>
                <w:szCs w:val="18"/>
              </w:rPr>
              <w:t>770</w:t>
            </w:r>
          </w:p>
        </w:tc>
        <w:tc>
          <w:tcPr>
            <w:tcW w:w="407" w:type="pct"/>
            <w:tcBorders>
              <w:top w:val="nil"/>
              <w:left w:val="nil"/>
              <w:bottom w:val="nil"/>
              <w:right w:val="nil"/>
            </w:tcBorders>
            <w:shd w:val="clear" w:color="000000" w:fill="F2F2F2"/>
            <w:hideMark/>
          </w:tcPr>
          <w:p w14:paraId="0A7102C7"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0.01</w:t>
            </w:r>
          </w:p>
        </w:tc>
        <w:tc>
          <w:tcPr>
            <w:tcW w:w="632" w:type="pct"/>
            <w:tcBorders>
              <w:top w:val="nil"/>
              <w:left w:val="nil"/>
              <w:bottom w:val="nil"/>
              <w:right w:val="nil"/>
            </w:tcBorders>
            <w:shd w:val="clear" w:color="000000" w:fill="F2F2F2"/>
            <w:hideMark/>
          </w:tcPr>
          <w:p w14:paraId="2C8455CD" w14:textId="35BE43CC"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w:t>
            </w:r>
            <w:r w:rsidR="009469E1" w:rsidRPr="00560708">
              <w:rPr>
                <w:rFonts w:cstheme="minorHAnsi"/>
                <w:color w:val="000000" w:themeColor="text1"/>
                <w:sz w:val="18"/>
                <w:szCs w:val="18"/>
              </w:rPr>
              <w:t>,</w:t>
            </w:r>
            <w:r w:rsidRPr="00560708">
              <w:rPr>
                <w:rFonts w:cstheme="minorHAnsi"/>
                <w:color w:val="000000" w:themeColor="text1"/>
                <w:sz w:val="18"/>
                <w:szCs w:val="18"/>
              </w:rPr>
              <w:t>641</w:t>
            </w:r>
          </w:p>
        </w:tc>
        <w:tc>
          <w:tcPr>
            <w:tcW w:w="452" w:type="pct"/>
            <w:gridSpan w:val="2"/>
            <w:tcBorders>
              <w:top w:val="nil"/>
              <w:left w:val="nil"/>
              <w:bottom w:val="nil"/>
              <w:right w:val="nil"/>
            </w:tcBorders>
            <w:shd w:val="clear" w:color="000000" w:fill="F2F2F2"/>
            <w:hideMark/>
          </w:tcPr>
          <w:p w14:paraId="6BDC5437"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78,753</w:t>
            </w:r>
          </w:p>
        </w:tc>
        <w:tc>
          <w:tcPr>
            <w:tcW w:w="406" w:type="pct"/>
            <w:tcBorders>
              <w:top w:val="nil"/>
              <w:left w:val="nil"/>
              <w:bottom w:val="nil"/>
              <w:right w:val="nil"/>
            </w:tcBorders>
            <w:shd w:val="clear" w:color="000000" w:fill="F2F2F2"/>
            <w:hideMark/>
          </w:tcPr>
          <w:p w14:paraId="7E97AB67"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0.29</w:t>
            </w:r>
          </w:p>
        </w:tc>
        <w:tc>
          <w:tcPr>
            <w:tcW w:w="663" w:type="pct"/>
            <w:tcBorders>
              <w:top w:val="nil"/>
              <w:left w:val="nil"/>
              <w:bottom w:val="nil"/>
              <w:right w:val="nil"/>
            </w:tcBorders>
            <w:shd w:val="clear" w:color="000000" w:fill="F2F2F2"/>
            <w:hideMark/>
          </w:tcPr>
          <w:p w14:paraId="1B977E23"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14,735</w:t>
            </w:r>
          </w:p>
        </w:tc>
      </w:tr>
      <w:tr w:rsidR="00BE70AF" w:rsidRPr="00560708" w14:paraId="1CA653FB" w14:textId="77777777" w:rsidTr="00D54AE3">
        <w:trPr>
          <w:trHeight w:val="290"/>
        </w:trPr>
        <w:tc>
          <w:tcPr>
            <w:tcW w:w="542" w:type="pct"/>
            <w:tcBorders>
              <w:top w:val="nil"/>
              <w:left w:val="nil"/>
              <w:bottom w:val="nil"/>
              <w:right w:val="nil"/>
            </w:tcBorders>
            <w:shd w:val="clear" w:color="auto" w:fill="auto"/>
            <w:vAlign w:val="center"/>
            <w:hideMark/>
          </w:tcPr>
          <w:p w14:paraId="233FCAA4"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rPr>
              <w:t>NT</w:t>
            </w:r>
          </w:p>
        </w:tc>
        <w:tc>
          <w:tcPr>
            <w:tcW w:w="407" w:type="pct"/>
            <w:tcBorders>
              <w:top w:val="nil"/>
              <w:left w:val="nil"/>
              <w:bottom w:val="nil"/>
              <w:right w:val="nil"/>
            </w:tcBorders>
            <w:shd w:val="clear" w:color="auto" w:fill="auto"/>
            <w:hideMark/>
          </w:tcPr>
          <w:p w14:paraId="614DB9FC"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5,304</w:t>
            </w:r>
          </w:p>
        </w:tc>
        <w:tc>
          <w:tcPr>
            <w:tcW w:w="475" w:type="pct"/>
            <w:tcBorders>
              <w:top w:val="nil"/>
              <w:left w:val="nil"/>
              <w:bottom w:val="nil"/>
              <w:right w:val="nil"/>
            </w:tcBorders>
            <w:shd w:val="clear" w:color="auto" w:fill="auto"/>
            <w:hideMark/>
          </w:tcPr>
          <w:p w14:paraId="7DE4F287"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0.04</w:t>
            </w:r>
          </w:p>
        </w:tc>
        <w:tc>
          <w:tcPr>
            <w:tcW w:w="619" w:type="pct"/>
            <w:tcBorders>
              <w:top w:val="nil"/>
              <w:left w:val="nil"/>
              <w:bottom w:val="nil"/>
              <w:right w:val="nil"/>
            </w:tcBorders>
            <w:shd w:val="clear" w:color="auto" w:fill="auto"/>
            <w:hideMark/>
          </w:tcPr>
          <w:p w14:paraId="53391A28" w14:textId="2D2370D4"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w:t>
            </w:r>
            <w:r w:rsidR="009469E1" w:rsidRPr="00560708">
              <w:rPr>
                <w:rFonts w:cstheme="minorHAnsi"/>
                <w:color w:val="000000" w:themeColor="text1"/>
                <w:sz w:val="18"/>
                <w:szCs w:val="18"/>
              </w:rPr>
              <w:t>,</w:t>
            </w:r>
            <w:r w:rsidRPr="00560708">
              <w:rPr>
                <w:rFonts w:cstheme="minorHAnsi"/>
                <w:color w:val="000000" w:themeColor="text1"/>
                <w:sz w:val="18"/>
                <w:szCs w:val="18"/>
              </w:rPr>
              <w:t>157</w:t>
            </w:r>
          </w:p>
        </w:tc>
        <w:tc>
          <w:tcPr>
            <w:tcW w:w="397" w:type="pct"/>
            <w:gridSpan w:val="2"/>
            <w:tcBorders>
              <w:top w:val="nil"/>
              <w:left w:val="nil"/>
              <w:bottom w:val="nil"/>
              <w:right w:val="nil"/>
            </w:tcBorders>
            <w:shd w:val="clear" w:color="auto" w:fill="auto"/>
            <w:hideMark/>
          </w:tcPr>
          <w:p w14:paraId="50AD46C6" w14:textId="35582CD6"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5</w:t>
            </w:r>
            <w:r w:rsidR="009469E1" w:rsidRPr="00560708">
              <w:rPr>
                <w:rFonts w:cstheme="minorHAnsi"/>
                <w:color w:val="000000" w:themeColor="text1"/>
                <w:sz w:val="18"/>
                <w:szCs w:val="18"/>
              </w:rPr>
              <w:t>,</w:t>
            </w:r>
            <w:r w:rsidRPr="00560708">
              <w:rPr>
                <w:rFonts w:cstheme="minorHAnsi"/>
                <w:color w:val="000000" w:themeColor="text1"/>
                <w:sz w:val="18"/>
                <w:szCs w:val="18"/>
              </w:rPr>
              <w:t>316</w:t>
            </w:r>
          </w:p>
        </w:tc>
        <w:tc>
          <w:tcPr>
            <w:tcW w:w="407" w:type="pct"/>
            <w:tcBorders>
              <w:top w:val="nil"/>
              <w:left w:val="nil"/>
              <w:bottom w:val="nil"/>
              <w:right w:val="nil"/>
            </w:tcBorders>
            <w:shd w:val="clear" w:color="auto" w:fill="auto"/>
            <w:hideMark/>
          </w:tcPr>
          <w:p w14:paraId="2280F665"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0.00</w:t>
            </w:r>
          </w:p>
        </w:tc>
        <w:tc>
          <w:tcPr>
            <w:tcW w:w="632" w:type="pct"/>
            <w:tcBorders>
              <w:top w:val="nil"/>
              <w:left w:val="nil"/>
              <w:bottom w:val="nil"/>
              <w:right w:val="nil"/>
            </w:tcBorders>
            <w:shd w:val="clear" w:color="auto" w:fill="auto"/>
            <w:hideMark/>
          </w:tcPr>
          <w:p w14:paraId="487939B6" w14:textId="364CCC0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w:t>
            </w:r>
            <w:r w:rsidR="009469E1" w:rsidRPr="00560708">
              <w:rPr>
                <w:rFonts w:cstheme="minorHAnsi"/>
                <w:color w:val="000000" w:themeColor="text1"/>
                <w:sz w:val="18"/>
                <w:szCs w:val="18"/>
              </w:rPr>
              <w:t>,</w:t>
            </w:r>
            <w:r w:rsidRPr="00560708">
              <w:rPr>
                <w:rFonts w:cstheme="minorHAnsi"/>
                <w:color w:val="000000" w:themeColor="text1"/>
                <w:sz w:val="18"/>
                <w:szCs w:val="18"/>
              </w:rPr>
              <w:t>162</w:t>
            </w:r>
          </w:p>
        </w:tc>
        <w:tc>
          <w:tcPr>
            <w:tcW w:w="452" w:type="pct"/>
            <w:gridSpan w:val="2"/>
            <w:tcBorders>
              <w:top w:val="nil"/>
              <w:left w:val="nil"/>
              <w:bottom w:val="nil"/>
              <w:right w:val="nil"/>
            </w:tcBorders>
            <w:shd w:val="clear" w:color="auto" w:fill="auto"/>
            <w:hideMark/>
          </w:tcPr>
          <w:p w14:paraId="6DA7DDB8"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30,527</w:t>
            </w:r>
          </w:p>
        </w:tc>
        <w:tc>
          <w:tcPr>
            <w:tcW w:w="406" w:type="pct"/>
            <w:tcBorders>
              <w:top w:val="nil"/>
              <w:left w:val="nil"/>
              <w:bottom w:val="nil"/>
              <w:right w:val="nil"/>
            </w:tcBorders>
            <w:shd w:val="clear" w:color="auto" w:fill="auto"/>
            <w:hideMark/>
          </w:tcPr>
          <w:p w14:paraId="5BF1DD8B"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0.11</w:t>
            </w:r>
          </w:p>
        </w:tc>
        <w:tc>
          <w:tcPr>
            <w:tcW w:w="663" w:type="pct"/>
            <w:tcBorders>
              <w:top w:val="nil"/>
              <w:left w:val="nil"/>
              <w:bottom w:val="nil"/>
              <w:right w:val="nil"/>
            </w:tcBorders>
            <w:shd w:val="clear" w:color="auto" w:fill="auto"/>
            <w:hideMark/>
          </w:tcPr>
          <w:p w14:paraId="68CD0784"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12,413</w:t>
            </w:r>
          </w:p>
        </w:tc>
      </w:tr>
      <w:tr w:rsidR="00BE70AF" w:rsidRPr="00560708" w14:paraId="1E39D188" w14:textId="77777777" w:rsidTr="00D54AE3">
        <w:trPr>
          <w:trHeight w:val="290"/>
        </w:trPr>
        <w:tc>
          <w:tcPr>
            <w:tcW w:w="542" w:type="pct"/>
            <w:tcBorders>
              <w:top w:val="nil"/>
              <w:left w:val="nil"/>
              <w:bottom w:val="nil"/>
              <w:right w:val="nil"/>
            </w:tcBorders>
            <w:shd w:val="clear" w:color="000000" w:fill="F2F2F2"/>
            <w:vAlign w:val="center"/>
            <w:hideMark/>
          </w:tcPr>
          <w:p w14:paraId="33F095C8" w14:textId="77777777" w:rsidR="00BE70AF" w:rsidRPr="00560708" w:rsidRDefault="00BE70AF" w:rsidP="00BE70AF">
            <w:pPr>
              <w:spacing w:after="0" w:line="240" w:lineRule="auto"/>
              <w:rPr>
                <w:rFonts w:eastAsia="Times New Roman" w:cstheme="minorHAnsi"/>
                <w:b/>
                <w:color w:val="000000" w:themeColor="text1"/>
                <w:sz w:val="18"/>
                <w:szCs w:val="18"/>
              </w:rPr>
            </w:pPr>
            <w:r w:rsidRPr="00560708">
              <w:rPr>
                <w:rFonts w:eastAsia="Times New Roman" w:cstheme="minorHAnsi"/>
                <w:b/>
                <w:color w:val="000000" w:themeColor="text1"/>
                <w:sz w:val="18"/>
                <w:szCs w:val="18"/>
              </w:rPr>
              <w:t>ACT</w:t>
            </w:r>
          </w:p>
        </w:tc>
        <w:tc>
          <w:tcPr>
            <w:tcW w:w="407" w:type="pct"/>
            <w:tcBorders>
              <w:top w:val="nil"/>
              <w:left w:val="nil"/>
              <w:bottom w:val="nil"/>
              <w:right w:val="nil"/>
            </w:tcBorders>
            <w:shd w:val="clear" w:color="000000" w:fill="F2F2F2"/>
            <w:hideMark/>
          </w:tcPr>
          <w:p w14:paraId="2FAEEC14"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10,636</w:t>
            </w:r>
          </w:p>
        </w:tc>
        <w:tc>
          <w:tcPr>
            <w:tcW w:w="475" w:type="pct"/>
            <w:tcBorders>
              <w:top w:val="nil"/>
              <w:left w:val="nil"/>
              <w:bottom w:val="nil"/>
              <w:right w:val="nil"/>
            </w:tcBorders>
            <w:shd w:val="clear" w:color="000000" w:fill="F2F2F2"/>
            <w:hideMark/>
          </w:tcPr>
          <w:p w14:paraId="64A38D9C"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0.00</w:t>
            </w:r>
          </w:p>
        </w:tc>
        <w:tc>
          <w:tcPr>
            <w:tcW w:w="619" w:type="pct"/>
            <w:tcBorders>
              <w:top w:val="nil"/>
              <w:left w:val="nil"/>
              <w:bottom w:val="nil"/>
              <w:right w:val="nil"/>
            </w:tcBorders>
            <w:shd w:val="clear" w:color="000000" w:fill="F2F2F2"/>
            <w:hideMark/>
          </w:tcPr>
          <w:p w14:paraId="717C8B69" w14:textId="035B4EA1"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w:t>
            </w:r>
            <w:r w:rsidR="009469E1" w:rsidRPr="00560708">
              <w:rPr>
                <w:rFonts w:cstheme="minorHAnsi"/>
                <w:color w:val="000000" w:themeColor="text1"/>
                <w:sz w:val="18"/>
                <w:szCs w:val="18"/>
              </w:rPr>
              <w:t>,</w:t>
            </w:r>
            <w:r w:rsidRPr="00560708">
              <w:rPr>
                <w:rFonts w:cstheme="minorHAnsi"/>
                <w:color w:val="000000" w:themeColor="text1"/>
                <w:sz w:val="18"/>
                <w:szCs w:val="18"/>
              </w:rPr>
              <w:t>493</w:t>
            </w:r>
          </w:p>
        </w:tc>
        <w:tc>
          <w:tcPr>
            <w:tcW w:w="397" w:type="pct"/>
            <w:gridSpan w:val="2"/>
            <w:tcBorders>
              <w:top w:val="nil"/>
              <w:left w:val="nil"/>
              <w:bottom w:val="nil"/>
              <w:right w:val="nil"/>
            </w:tcBorders>
            <w:shd w:val="clear" w:color="000000" w:fill="F2F2F2"/>
            <w:hideMark/>
          </w:tcPr>
          <w:p w14:paraId="51FD3102" w14:textId="356790A3"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12</w:t>
            </w:r>
            <w:r w:rsidR="009469E1" w:rsidRPr="00560708">
              <w:rPr>
                <w:rFonts w:cstheme="minorHAnsi"/>
                <w:color w:val="000000" w:themeColor="text1"/>
                <w:sz w:val="18"/>
                <w:szCs w:val="18"/>
              </w:rPr>
              <w:t>,</w:t>
            </w:r>
            <w:r w:rsidRPr="00560708">
              <w:rPr>
                <w:rFonts w:cstheme="minorHAnsi"/>
                <w:color w:val="000000" w:themeColor="text1"/>
                <w:sz w:val="18"/>
                <w:szCs w:val="18"/>
              </w:rPr>
              <w:t>369</w:t>
            </w:r>
          </w:p>
        </w:tc>
        <w:tc>
          <w:tcPr>
            <w:tcW w:w="407" w:type="pct"/>
            <w:tcBorders>
              <w:top w:val="nil"/>
              <w:left w:val="nil"/>
              <w:bottom w:val="nil"/>
              <w:right w:val="nil"/>
            </w:tcBorders>
            <w:shd w:val="clear" w:color="000000" w:fill="F2F2F2"/>
            <w:hideMark/>
          </w:tcPr>
          <w:p w14:paraId="794DE8EC"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0.00</w:t>
            </w:r>
          </w:p>
        </w:tc>
        <w:tc>
          <w:tcPr>
            <w:tcW w:w="632" w:type="pct"/>
            <w:tcBorders>
              <w:top w:val="nil"/>
              <w:left w:val="nil"/>
              <w:bottom w:val="nil"/>
              <w:right w:val="nil"/>
            </w:tcBorders>
            <w:shd w:val="clear" w:color="000000" w:fill="F2F2F2"/>
            <w:hideMark/>
          </w:tcPr>
          <w:p w14:paraId="3CEDA5B6" w14:textId="36FDA394"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2</w:t>
            </w:r>
            <w:r w:rsidR="009469E1" w:rsidRPr="00560708">
              <w:rPr>
                <w:rFonts w:cstheme="minorHAnsi"/>
                <w:color w:val="000000" w:themeColor="text1"/>
                <w:sz w:val="18"/>
                <w:szCs w:val="18"/>
              </w:rPr>
              <w:t>,</w:t>
            </w:r>
            <w:r w:rsidRPr="00560708">
              <w:rPr>
                <w:rFonts w:cstheme="minorHAnsi"/>
                <w:color w:val="000000" w:themeColor="text1"/>
                <w:sz w:val="18"/>
                <w:szCs w:val="18"/>
              </w:rPr>
              <w:t>899</w:t>
            </w:r>
          </w:p>
        </w:tc>
        <w:tc>
          <w:tcPr>
            <w:tcW w:w="452" w:type="pct"/>
            <w:gridSpan w:val="2"/>
            <w:tcBorders>
              <w:top w:val="nil"/>
              <w:left w:val="nil"/>
              <w:bottom w:val="nil"/>
              <w:right w:val="nil"/>
            </w:tcBorders>
            <w:shd w:val="clear" w:color="000000" w:fill="F2F2F2"/>
            <w:hideMark/>
          </w:tcPr>
          <w:p w14:paraId="03FB1A40"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65,008</w:t>
            </w:r>
          </w:p>
        </w:tc>
        <w:tc>
          <w:tcPr>
            <w:tcW w:w="406" w:type="pct"/>
            <w:tcBorders>
              <w:top w:val="nil"/>
              <w:left w:val="nil"/>
              <w:bottom w:val="nil"/>
              <w:right w:val="nil"/>
            </w:tcBorders>
            <w:shd w:val="clear" w:color="000000" w:fill="F2F2F2"/>
            <w:hideMark/>
          </w:tcPr>
          <w:p w14:paraId="532AC8A3"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0.17</w:t>
            </w:r>
          </w:p>
        </w:tc>
        <w:tc>
          <w:tcPr>
            <w:tcW w:w="663" w:type="pct"/>
            <w:tcBorders>
              <w:top w:val="nil"/>
              <w:left w:val="nil"/>
              <w:bottom w:val="nil"/>
              <w:right w:val="nil"/>
            </w:tcBorders>
            <w:shd w:val="clear" w:color="000000" w:fill="F2F2F2"/>
            <w:hideMark/>
          </w:tcPr>
          <w:p w14:paraId="2B6008AE" w14:textId="77777777" w:rsidR="00BE70AF" w:rsidRPr="00560708" w:rsidRDefault="00BE70AF" w:rsidP="00051259">
            <w:pPr>
              <w:spacing w:after="0" w:line="240" w:lineRule="auto"/>
              <w:jc w:val="center"/>
              <w:rPr>
                <w:rFonts w:eastAsia="Times New Roman" w:cstheme="minorHAnsi"/>
                <w:color w:val="000000" w:themeColor="text1"/>
                <w:sz w:val="18"/>
                <w:szCs w:val="18"/>
              </w:rPr>
            </w:pPr>
            <w:r w:rsidRPr="00560708">
              <w:rPr>
                <w:rFonts w:cstheme="minorHAnsi"/>
                <w:color w:val="000000" w:themeColor="text1"/>
                <w:sz w:val="18"/>
                <w:szCs w:val="18"/>
              </w:rPr>
              <w:t>15,235</w:t>
            </w:r>
          </w:p>
        </w:tc>
      </w:tr>
      <w:tr w:rsidR="00BE70AF" w:rsidRPr="00560708" w14:paraId="5169E388" w14:textId="77777777" w:rsidTr="00D54AE3">
        <w:trPr>
          <w:trHeight w:val="290"/>
        </w:trPr>
        <w:tc>
          <w:tcPr>
            <w:tcW w:w="542" w:type="pct"/>
            <w:tcBorders>
              <w:top w:val="nil"/>
              <w:left w:val="nil"/>
              <w:bottom w:val="nil"/>
              <w:right w:val="nil"/>
            </w:tcBorders>
            <w:shd w:val="clear" w:color="000000" w:fill="FDE9D9"/>
            <w:vAlign w:val="center"/>
            <w:hideMark/>
          </w:tcPr>
          <w:p w14:paraId="2B280B79" w14:textId="77777777" w:rsidR="00BE70AF" w:rsidRPr="00560708" w:rsidRDefault="00BE70AF" w:rsidP="00BE70AF">
            <w:pPr>
              <w:spacing w:after="0" w:line="240" w:lineRule="auto"/>
              <w:rPr>
                <w:rFonts w:eastAsia="Times New Roman" w:cstheme="minorHAnsi"/>
                <w:b/>
                <w:bCs/>
                <w:color w:val="000000" w:themeColor="text1"/>
                <w:sz w:val="18"/>
                <w:szCs w:val="18"/>
              </w:rPr>
            </w:pPr>
            <w:r w:rsidRPr="00560708">
              <w:rPr>
                <w:rFonts w:eastAsia="Times New Roman" w:cstheme="minorHAnsi"/>
                <w:b/>
                <w:bCs/>
                <w:color w:val="000000" w:themeColor="text1"/>
                <w:sz w:val="18"/>
                <w:szCs w:val="18"/>
              </w:rPr>
              <w:t>Australia</w:t>
            </w:r>
          </w:p>
        </w:tc>
        <w:tc>
          <w:tcPr>
            <w:tcW w:w="407" w:type="pct"/>
            <w:tcBorders>
              <w:top w:val="nil"/>
              <w:left w:val="nil"/>
              <w:bottom w:val="nil"/>
              <w:right w:val="nil"/>
            </w:tcBorders>
            <w:shd w:val="clear" w:color="000000" w:fill="FDE9D9"/>
            <w:hideMark/>
          </w:tcPr>
          <w:p w14:paraId="3A4CFC38" w14:textId="77777777" w:rsidR="00BE70AF" w:rsidRPr="00560708" w:rsidRDefault="00BE70AF" w:rsidP="00051259">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889,678</w:t>
            </w:r>
          </w:p>
        </w:tc>
        <w:tc>
          <w:tcPr>
            <w:tcW w:w="475" w:type="pct"/>
            <w:tcBorders>
              <w:top w:val="nil"/>
              <w:left w:val="nil"/>
              <w:bottom w:val="nil"/>
              <w:right w:val="nil"/>
            </w:tcBorders>
            <w:shd w:val="clear" w:color="000000" w:fill="FDE9D9"/>
            <w:hideMark/>
          </w:tcPr>
          <w:p w14:paraId="3674D353" w14:textId="77777777" w:rsidR="00BE70AF" w:rsidRPr="00560708" w:rsidRDefault="00BE70AF" w:rsidP="00051259">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0.68</w:t>
            </w:r>
          </w:p>
        </w:tc>
        <w:tc>
          <w:tcPr>
            <w:tcW w:w="619" w:type="pct"/>
            <w:tcBorders>
              <w:top w:val="nil"/>
              <w:left w:val="nil"/>
              <w:bottom w:val="nil"/>
              <w:right w:val="nil"/>
            </w:tcBorders>
            <w:shd w:val="clear" w:color="000000" w:fill="FDE9D9"/>
            <w:hideMark/>
          </w:tcPr>
          <w:p w14:paraId="3ADBEEF8" w14:textId="0C86BF49" w:rsidR="00BE70AF" w:rsidRPr="00560708" w:rsidRDefault="00BE70AF" w:rsidP="00051259">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3</w:t>
            </w:r>
            <w:r w:rsidR="009469E1" w:rsidRPr="00560708">
              <w:rPr>
                <w:rFonts w:cstheme="minorHAnsi"/>
                <w:color w:val="000000" w:themeColor="text1"/>
                <w:sz w:val="18"/>
                <w:szCs w:val="18"/>
              </w:rPr>
              <w:t>,</w:t>
            </w:r>
            <w:r w:rsidRPr="00560708">
              <w:rPr>
                <w:rFonts w:cstheme="minorHAnsi"/>
                <w:color w:val="000000" w:themeColor="text1"/>
                <w:sz w:val="18"/>
                <w:szCs w:val="18"/>
              </w:rPr>
              <w:t>508</w:t>
            </w:r>
          </w:p>
        </w:tc>
        <w:tc>
          <w:tcPr>
            <w:tcW w:w="397" w:type="pct"/>
            <w:gridSpan w:val="2"/>
            <w:tcBorders>
              <w:top w:val="nil"/>
              <w:left w:val="nil"/>
              <w:bottom w:val="nil"/>
              <w:right w:val="nil"/>
            </w:tcBorders>
            <w:shd w:val="clear" w:color="000000" w:fill="FDE9D9"/>
            <w:hideMark/>
          </w:tcPr>
          <w:p w14:paraId="226B7570" w14:textId="3A5ECFCA" w:rsidR="00BE70AF" w:rsidRPr="00560708" w:rsidRDefault="00BE70AF" w:rsidP="00051259">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931</w:t>
            </w:r>
            <w:r w:rsidR="009469E1" w:rsidRPr="00560708">
              <w:rPr>
                <w:rFonts w:cstheme="minorHAnsi"/>
                <w:color w:val="000000" w:themeColor="text1"/>
                <w:sz w:val="18"/>
                <w:szCs w:val="18"/>
              </w:rPr>
              <w:t>,</w:t>
            </w:r>
            <w:r w:rsidRPr="00560708">
              <w:rPr>
                <w:rFonts w:cstheme="minorHAnsi"/>
                <w:color w:val="000000" w:themeColor="text1"/>
                <w:sz w:val="18"/>
                <w:szCs w:val="18"/>
              </w:rPr>
              <w:t>417</w:t>
            </w:r>
          </w:p>
        </w:tc>
        <w:tc>
          <w:tcPr>
            <w:tcW w:w="407" w:type="pct"/>
            <w:tcBorders>
              <w:top w:val="nil"/>
              <w:left w:val="nil"/>
              <w:bottom w:val="nil"/>
              <w:right w:val="nil"/>
            </w:tcBorders>
            <w:shd w:val="clear" w:color="000000" w:fill="FDE9D9"/>
            <w:hideMark/>
          </w:tcPr>
          <w:p w14:paraId="0F851F42" w14:textId="77777777" w:rsidR="00BE70AF" w:rsidRPr="00560708" w:rsidRDefault="00BE70AF" w:rsidP="00051259">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0.58</w:t>
            </w:r>
          </w:p>
        </w:tc>
        <w:tc>
          <w:tcPr>
            <w:tcW w:w="632" w:type="pct"/>
            <w:tcBorders>
              <w:top w:val="nil"/>
              <w:left w:val="nil"/>
              <w:bottom w:val="nil"/>
              <w:right w:val="nil"/>
            </w:tcBorders>
            <w:shd w:val="clear" w:color="000000" w:fill="FDE9D9"/>
            <w:hideMark/>
          </w:tcPr>
          <w:p w14:paraId="010CEB17" w14:textId="552DE84D" w:rsidR="00BE70AF" w:rsidRPr="00560708" w:rsidRDefault="00BE70AF" w:rsidP="00051259">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3</w:t>
            </w:r>
            <w:r w:rsidR="009469E1" w:rsidRPr="00560708">
              <w:rPr>
                <w:rFonts w:cstheme="minorHAnsi"/>
                <w:color w:val="000000" w:themeColor="text1"/>
                <w:sz w:val="18"/>
                <w:szCs w:val="18"/>
              </w:rPr>
              <w:t>,</w:t>
            </w:r>
            <w:r w:rsidRPr="00560708">
              <w:rPr>
                <w:rFonts w:cstheme="minorHAnsi"/>
                <w:color w:val="000000" w:themeColor="text1"/>
                <w:sz w:val="18"/>
                <w:szCs w:val="18"/>
              </w:rPr>
              <w:t>673</w:t>
            </w:r>
          </w:p>
        </w:tc>
        <w:tc>
          <w:tcPr>
            <w:tcW w:w="452" w:type="pct"/>
            <w:gridSpan w:val="2"/>
            <w:tcBorders>
              <w:top w:val="nil"/>
              <w:left w:val="nil"/>
              <w:bottom w:val="nil"/>
              <w:right w:val="nil"/>
            </w:tcBorders>
            <w:shd w:val="clear" w:color="000000" w:fill="FDE9D9"/>
            <w:hideMark/>
          </w:tcPr>
          <w:p w14:paraId="67A3891A" w14:textId="77777777" w:rsidR="00BE70AF" w:rsidRPr="00560708" w:rsidRDefault="00BE70AF" w:rsidP="00051259">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5,297,558</w:t>
            </w:r>
          </w:p>
        </w:tc>
        <w:tc>
          <w:tcPr>
            <w:tcW w:w="406" w:type="pct"/>
            <w:tcBorders>
              <w:top w:val="nil"/>
              <w:left w:val="nil"/>
              <w:bottom w:val="nil"/>
              <w:right w:val="nil"/>
            </w:tcBorders>
            <w:shd w:val="clear" w:color="000000" w:fill="FDE9D9"/>
            <w:hideMark/>
          </w:tcPr>
          <w:p w14:paraId="07CF89AF" w14:textId="77777777" w:rsidR="00BE70AF" w:rsidRPr="00560708" w:rsidRDefault="00BE70AF" w:rsidP="00051259">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0.44</w:t>
            </w:r>
          </w:p>
        </w:tc>
        <w:tc>
          <w:tcPr>
            <w:tcW w:w="663" w:type="pct"/>
            <w:tcBorders>
              <w:top w:val="nil"/>
              <w:left w:val="nil"/>
              <w:bottom w:val="nil"/>
              <w:right w:val="nil"/>
            </w:tcBorders>
            <w:shd w:val="clear" w:color="000000" w:fill="FDE9D9"/>
            <w:hideMark/>
          </w:tcPr>
          <w:p w14:paraId="3FE1B858" w14:textId="77777777" w:rsidR="00BE70AF" w:rsidRPr="00560708" w:rsidRDefault="00BE70AF" w:rsidP="00051259">
            <w:pPr>
              <w:spacing w:after="0" w:line="240" w:lineRule="auto"/>
              <w:jc w:val="center"/>
              <w:rPr>
                <w:rFonts w:eastAsia="Times New Roman" w:cstheme="minorHAnsi"/>
                <w:b/>
                <w:bCs/>
                <w:color w:val="000000" w:themeColor="text1"/>
                <w:sz w:val="18"/>
                <w:szCs w:val="18"/>
              </w:rPr>
            </w:pPr>
            <w:r w:rsidRPr="00560708">
              <w:rPr>
                <w:rFonts w:cstheme="minorHAnsi"/>
                <w:color w:val="000000" w:themeColor="text1"/>
                <w:sz w:val="18"/>
                <w:szCs w:val="18"/>
              </w:rPr>
              <w:t>20,889</w:t>
            </w:r>
          </w:p>
        </w:tc>
      </w:tr>
    </w:tbl>
    <w:p w14:paraId="664AB0E5" w14:textId="77777777" w:rsidR="00BD55CC" w:rsidRPr="0012554A" w:rsidRDefault="00BD55CC" w:rsidP="00DC57F1">
      <w:pPr>
        <w:pStyle w:val="CDIfootnotes"/>
        <w:spacing w:before="0" w:beforeAutospacing="0" w:after="0" w:afterAutospacing="0"/>
        <w:ind w:left="0" w:firstLine="0"/>
        <w:rPr>
          <w:rFonts w:cstheme="minorHAnsi"/>
        </w:rPr>
      </w:pPr>
    </w:p>
    <w:p w14:paraId="5A712EE3" w14:textId="77777777" w:rsidR="00DC1B5A" w:rsidRPr="00194E6D" w:rsidRDefault="00DC1B5A" w:rsidP="00194E6D">
      <w:pPr>
        <w:pStyle w:val="CDIfootnotes"/>
      </w:pPr>
      <w:r w:rsidRPr="00194E6D">
        <w:t>a</w:t>
      </w:r>
      <w:r w:rsidRPr="00194E6D">
        <w:tab/>
        <w:t xml:space="preserve">Data in this table </w:t>
      </w:r>
      <w:proofErr w:type="gramStart"/>
      <w:r w:rsidRPr="00194E6D">
        <w:t>are</w:t>
      </w:r>
      <w:proofErr w:type="gramEnd"/>
      <w:r w:rsidRPr="00194E6D">
        <w:t xml:space="preserve"> based on reports of notification by states and territories.</w:t>
      </w:r>
    </w:p>
    <w:p w14:paraId="4320914F" w14:textId="77777777" w:rsidR="00DC1B5A" w:rsidRPr="00194E6D" w:rsidRDefault="00DC1B5A" w:rsidP="00194E6D">
      <w:pPr>
        <w:pStyle w:val="CDIfootnotes"/>
      </w:pPr>
      <w:r w:rsidRPr="00194E6D">
        <w:t>b</w:t>
      </w:r>
      <w:r w:rsidRPr="00194E6D">
        <w:tab/>
        <w:t xml:space="preserve">Population data based on Australian Bureau of Statistics (ABS) Estimated Resident Population (ERP) as </w:t>
      </w:r>
      <w:proofErr w:type="gramStart"/>
      <w:r w:rsidRPr="00194E6D">
        <w:t>at</w:t>
      </w:r>
      <w:proofErr w:type="gramEnd"/>
      <w:r w:rsidRPr="00194E6D">
        <w:t xml:space="preserve"> 30 June 2019.</w:t>
      </w:r>
    </w:p>
    <w:p w14:paraId="14879F37" w14:textId="77777777" w:rsidR="00EA1280" w:rsidRPr="0076269A" w:rsidRDefault="00EA1280" w:rsidP="00F528CB">
      <w:r w:rsidRPr="0076269A">
        <w:t xml:space="preserve">During this reporting period 931,417 tests were conducted nationally, with an overall positivity rate of 0.58%. All states except Victoria reported a period positivity of 0.05% or lower. Victoria reported a positivity rate of 1.71% for this period, which is an increase from the previous reporting period (1.67%). </w:t>
      </w:r>
    </w:p>
    <w:p w14:paraId="31F3BA14" w14:textId="64DF1E20" w:rsidR="00EA1280" w:rsidRPr="0076269A" w:rsidRDefault="00EA1280" w:rsidP="00F528CB">
      <w:pPr>
        <w:rPr>
          <w:lang w:val="en-US"/>
        </w:rPr>
      </w:pPr>
      <w:r w:rsidRPr="0076269A">
        <w:rPr>
          <w:lang w:val="en-US"/>
        </w:rPr>
        <w:t xml:space="preserve">For the fortnight 1 to 14 August 2020, SARS-CoV-2 polymerase chain reaction (PCR) testing rates nationally were highest in those aged 20 to 49 years and were lowest in those 70 years and older (Figure </w:t>
      </w:r>
      <w:r>
        <w:rPr>
          <w:lang w:val="en-US"/>
        </w:rPr>
        <w:t>6</w:t>
      </w:r>
      <w:r w:rsidRPr="0076269A">
        <w:rPr>
          <w:lang w:val="en-US"/>
        </w:rPr>
        <w:t xml:space="preserve">). </w:t>
      </w:r>
    </w:p>
    <w:p w14:paraId="37DF7993" w14:textId="77777777" w:rsidR="00902EB3" w:rsidRDefault="00902EB3">
      <w:pPr>
        <w:rPr>
          <w:rFonts w:cstheme="minorHAnsi"/>
          <w:b/>
        </w:rPr>
      </w:pPr>
      <w:r>
        <w:rPr>
          <w:rFonts w:cstheme="minorHAnsi"/>
        </w:rPr>
        <w:br w:type="page"/>
      </w:r>
    </w:p>
    <w:p w14:paraId="53734B2E" w14:textId="660A655C" w:rsidR="00D84D6C" w:rsidRPr="00EA1280" w:rsidRDefault="00D84D6C" w:rsidP="0078439A">
      <w:pPr>
        <w:pStyle w:val="CDIFigures"/>
        <w:rPr>
          <w:rFonts w:cstheme="minorHAnsi"/>
        </w:rPr>
      </w:pPr>
      <w:r w:rsidRPr="00EA1280">
        <w:rPr>
          <w:rFonts w:cstheme="minorHAnsi"/>
        </w:rPr>
        <w:lastRenderedPageBreak/>
        <w:t xml:space="preserve">Figure </w:t>
      </w:r>
      <w:r w:rsidR="00EA1280">
        <w:rPr>
          <w:rFonts w:cstheme="minorHAnsi"/>
        </w:rPr>
        <w:t>6.</w:t>
      </w:r>
      <w:r w:rsidRPr="00EA1280">
        <w:rPr>
          <w:rFonts w:cstheme="minorHAnsi"/>
        </w:rPr>
        <w:t xml:space="preserve"> </w:t>
      </w:r>
      <w:r w:rsidR="00B76337" w:rsidRPr="00EA1280">
        <w:rPr>
          <w:rFonts w:cstheme="minorHAnsi"/>
        </w:rPr>
        <w:t>SARS-CoV-2</w:t>
      </w:r>
      <w:r w:rsidR="00A3282B" w:rsidRPr="00EA1280">
        <w:rPr>
          <w:rFonts w:cstheme="minorHAnsi"/>
        </w:rPr>
        <w:t xml:space="preserve"> (PCR) testing</w:t>
      </w:r>
      <w:r w:rsidRPr="00EA1280">
        <w:rPr>
          <w:rFonts w:cstheme="minorHAnsi"/>
        </w:rPr>
        <w:t xml:space="preserve"> </w:t>
      </w:r>
      <w:r w:rsidR="002C0729" w:rsidRPr="00EA1280">
        <w:rPr>
          <w:rFonts w:cstheme="minorHAnsi"/>
        </w:rPr>
        <w:t xml:space="preserve">rates </w:t>
      </w:r>
      <w:r w:rsidR="00B76337" w:rsidRPr="00EA1280">
        <w:rPr>
          <w:rFonts w:cstheme="minorHAnsi"/>
        </w:rPr>
        <w:t>per 1000 population per week</w:t>
      </w:r>
      <w:r w:rsidR="002C0729" w:rsidRPr="00EA1280">
        <w:rPr>
          <w:rFonts w:cstheme="minorHAnsi"/>
        </w:rPr>
        <w:t xml:space="preserve"> </w:t>
      </w:r>
      <w:r w:rsidRPr="00EA1280">
        <w:rPr>
          <w:rFonts w:cstheme="minorHAnsi"/>
        </w:rPr>
        <w:t xml:space="preserve">in Australia, by </w:t>
      </w:r>
      <w:r w:rsidR="00A3282B" w:rsidRPr="00EA1280">
        <w:rPr>
          <w:rFonts w:cstheme="minorHAnsi"/>
        </w:rPr>
        <w:t xml:space="preserve">age </w:t>
      </w:r>
      <w:proofErr w:type="spellStart"/>
      <w:r w:rsidR="00A3282B" w:rsidRPr="00EA1280">
        <w:rPr>
          <w:rFonts w:cstheme="minorHAnsi"/>
        </w:rPr>
        <w:t>group</w:t>
      </w:r>
      <w:r w:rsidR="00433C8C" w:rsidRPr="00EA1280">
        <w:rPr>
          <w:rFonts w:cstheme="minorHAnsi"/>
        </w:rPr>
        <w:t>,</w:t>
      </w:r>
      <w:r w:rsidR="00A3282B" w:rsidRPr="00EA1280">
        <w:rPr>
          <w:rFonts w:cstheme="minorHAnsi"/>
          <w:vertAlign w:val="superscript"/>
        </w:rPr>
        <w:t>a</w:t>
      </w:r>
      <w:r w:rsidR="00600EB4" w:rsidRPr="00EA1280">
        <w:rPr>
          <w:rFonts w:cstheme="minorHAnsi"/>
          <w:vertAlign w:val="superscript"/>
        </w:rPr>
        <w:t>,</w:t>
      </w:r>
      <w:r w:rsidR="00A3282B" w:rsidRPr="00EA1280">
        <w:rPr>
          <w:rFonts w:cstheme="minorHAnsi"/>
          <w:vertAlign w:val="superscript"/>
        </w:rPr>
        <w:t>b</w:t>
      </w:r>
      <w:proofErr w:type="spellEnd"/>
      <w:r w:rsidR="00A3282B" w:rsidRPr="00EA1280">
        <w:rPr>
          <w:rFonts w:cstheme="minorHAnsi"/>
          <w:vertAlign w:val="superscript"/>
        </w:rPr>
        <w:t xml:space="preserve"> </w:t>
      </w:r>
      <w:r w:rsidR="00A3282B" w:rsidRPr="00EA1280">
        <w:rPr>
          <w:rFonts w:cstheme="minorHAnsi"/>
        </w:rPr>
        <w:t xml:space="preserve"> </w:t>
      </w:r>
      <w:r w:rsidR="00433C8C" w:rsidRPr="00EA1280">
        <w:rPr>
          <w:rFonts w:cstheme="minorHAnsi"/>
        </w:rPr>
        <w:t>1</w:t>
      </w:r>
      <w:r w:rsidR="00F04E12" w:rsidRPr="00EA1280">
        <w:rPr>
          <w:rFonts w:cstheme="minorHAnsi"/>
        </w:rPr>
        <w:t> </w:t>
      </w:r>
      <w:r w:rsidR="00433C8C" w:rsidRPr="00EA1280">
        <w:rPr>
          <w:rFonts w:cstheme="minorHAnsi"/>
        </w:rPr>
        <w:t xml:space="preserve">May </w:t>
      </w:r>
      <w:r w:rsidR="00A3282B" w:rsidRPr="00EA1280">
        <w:rPr>
          <w:rFonts w:cstheme="minorHAnsi"/>
        </w:rPr>
        <w:t xml:space="preserve">to </w:t>
      </w:r>
      <w:r w:rsidR="007E374D" w:rsidRPr="00EA1280">
        <w:rPr>
          <w:rFonts w:cstheme="minorHAnsi"/>
        </w:rPr>
        <w:t>14 </w:t>
      </w:r>
      <w:r w:rsidR="0052510C" w:rsidRPr="00EA1280">
        <w:rPr>
          <w:rFonts w:cstheme="minorHAnsi"/>
        </w:rPr>
        <w:t>August</w:t>
      </w:r>
      <w:r w:rsidR="00A3282B" w:rsidRPr="00EA1280">
        <w:rPr>
          <w:rFonts w:cstheme="minorHAnsi"/>
        </w:rPr>
        <w:t xml:space="preserve"> 2020</w:t>
      </w:r>
    </w:p>
    <w:p w14:paraId="0918087E" w14:textId="7D7F3FEB" w:rsidR="006D3134" w:rsidRPr="0012554A" w:rsidRDefault="00C94277" w:rsidP="00D84D6C">
      <w:pPr>
        <w:spacing w:line="240" w:lineRule="auto"/>
        <w:jc w:val="center"/>
        <w:rPr>
          <w:rFonts w:cstheme="minorHAnsi"/>
          <w:color w:val="000000" w:themeColor="text1"/>
        </w:rPr>
      </w:pPr>
      <w:r>
        <w:rPr>
          <w:rFonts w:cstheme="minorHAnsi"/>
          <w:noProof/>
          <w:color w:val="000000" w:themeColor="text1"/>
        </w:rPr>
        <w:pict w14:anchorId="56607143">
          <v:shape id="_x0000_i1030" type="#_x0000_t75" alt="A line graph showing the reported SARS-CoV-2 PCR testing rate per 1,000 population each week in each of several age ranges. Weekly testing rates for all age groups have risen overall from 1 May to 14 August, though for most age groups the change in testing rate is erratic across this time period. The highest rate of testing throughout July to mid-August has been in the 20–49 year age group (with 15 to 20 tests each week per 1,000 population), while the increase in testing rate in the 0–9 years and 10–19 years age groups from 1 May to 14 August has been about sixfold, to around 12–15 tests per 1,000 population, a weekly testing rate broadly similar to the current rate among those aged 50 years and over." style="width:500.55pt;height:304.3pt">
            <v:imagedata r:id="rId17" o:title="figures4"/>
          </v:shape>
        </w:pict>
      </w:r>
    </w:p>
    <w:p w14:paraId="7A0A8902" w14:textId="3D26DF07" w:rsidR="006D3134" w:rsidRPr="00F528CB" w:rsidRDefault="00F528CB" w:rsidP="00F528CB">
      <w:pPr>
        <w:pStyle w:val="CDIfootnotes"/>
      </w:pPr>
      <w:r>
        <w:t>a</w:t>
      </w:r>
      <w:r>
        <w:tab/>
      </w:r>
      <w:r w:rsidR="00A3282B" w:rsidRPr="00F528CB">
        <w:t>Data provided by jurisdictions to NIR weekly</w:t>
      </w:r>
      <w:r w:rsidR="00600EB4" w:rsidRPr="00F528CB">
        <w:t>.</w:t>
      </w:r>
    </w:p>
    <w:p w14:paraId="01371D9F" w14:textId="6604D437" w:rsidR="00FD04CB" w:rsidRPr="00F528CB" w:rsidRDefault="00F528CB" w:rsidP="00F528CB">
      <w:pPr>
        <w:pStyle w:val="CDIfootnotes"/>
      </w:pPr>
      <w:r>
        <w:t>b</w:t>
      </w:r>
      <w:r>
        <w:tab/>
      </w:r>
      <w:proofErr w:type="gramStart"/>
      <w:r w:rsidR="00FD04CB" w:rsidRPr="00F528CB">
        <w:t>The</w:t>
      </w:r>
      <w:proofErr w:type="gramEnd"/>
      <w:r w:rsidR="00FD04CB" w:rsidRPr="00F528CB">
        <w:t xml:space="preserve"> jurisdictions reporting each week (i.e. the denominator population) may vary</w:t>
      </w:r>
      <w:r w:rsidR="00600EB4" w:rsidRPr="00F528CB">
        <w:t>.</w:t>
      </w:r>
    </w:p>
    <w:p w14:paraId="3A781509" w14:textId="77777777" w:rsidR="00397922" w:rsidRPr="00F528CB" w:rsidRDefault="00397922" w:rsidP="00F528CB">
      <w:pPr>
        <w:pStyle w:val="Heading1"/>
      </w:pPr>
      <w:r w:rsidRPr="00F528CB">
        <w:t xml:space="preserve">Demographics of cases </w:t>
      </w:r>
    </w:p>
    <w:p w14:paraId="2BCBBD8F" w14:textId="6E324CDC" w:rsidR="009944EE" w:rsidRPr="0076269A" w:rsidRDefault="007E374D" w:rsidP="00F528CB">
      <w:r w:rsidRPr="0076269A">
        <w:t>Historically, c</w:t>
      </w:r>
      <w:r w:rsidR="00397922" w:rsidRPr="0076269A">
        <w:t xml:space="preserve">ases of COVID-19 have been reported </w:t>
      </w:r>
      <w:r w:rsidR="0096267E" w:rsidRPr="0076269A">
        <w:t xml:space="preserve">in all age groups. </w:t>
      </w:r>
      <w:r w:rsidRPr="0076269A">
        <w:t xml:space="preserve">In </w:t>
      </w:r>
      <w:r w:rsidR="0019005C" w:rsidRPr="0076269A">
        <w:t>this</w:t>
      </w:r>
      <w:r w:rsidRPr="0076269A">
        <w:t xml:space="preserve"> reporting period</w:t>
      </w:r>
      <w:r w:rsidR="0019005C" w:rsidRPr="0076269A">
        <w:t>,</w:t>
      </w:r>
      <w:r w:rsidRPr="0076269A">
        <w:t xml:space="preserve"> t</w:t>
      </w:r>
      <w:r w:rsidR="0096267E" w:rsidRPr="0076269A">
        <w:t xml:space="preserve">he largest </w:t>
      </w:r>
      <w:r w:rsidR="00BD55CC" w:rsidRPr="0076269A">
        <w:t>number</w:t>
      </w:r>
      <w:r w:rsidR="0096267E" w:rsidRPr="0076269A">
        <w:t xml:space="preserve"> of cases </w:t>
      </w:r>
      <w:r w:rsidRPr="0076269A">
        <w:t>occur</w:t>
      </w:r>
      <w:r w:rsidR="00BD55CC" w:rsidRPr="0076269A">
        <w:t>red</w:t>
      </w:r>
      <w:r w:rsidR="009944EE" w:rsidRPr="0076269A">
        <w:t xml:space="preserve"> in those aged 20</w:t>
      </w:r>
      <w:r w:rsidR="0019005C" w:rsidRPr="0076269A">
        <w:t>–</w:t>
      </w:r>
      <w:r w:rsidR="00292573">
        <w:t>29</w:t>
      </w:r>
      <w:r w:rsidR="00292573" w:rsidRPr="0076269A">
        <w:t xml:space="preserve"> </w:t>
      </w:r>
      <w:r w:rsidR="0096267E" w:rsidRPr="0076269A">
        <w:t>years</w:t>
      </w:r>
      <w:r w:rsidR="0019005C" w:rsidRPr="0076269A">
        <w:t xml:space="preserve"> (852)</w:t>
      </w:r>
      <w:r w:rsidR="00292573">
        <w:t>,</w:t>
      </w:r>
      <w:r w:rsidR="0019005C" w:rsidRPr="0076269A">
        <w:t xml:space="preserve"> with the highest rate of infection for this period occurring in the </w:t>
      </w:r>
      <w:r w:rsidR="00344377" w:rsidRPr="0076269A">
        <w:t>90</w:t>
      </w:r>
      <w:r w:rsidR="0019005C" w:rsidRPr="0076269A">
        <w:t xml:space="preserve"> years</w:t>
      </w:r>
      <w:r w:rsidR="00344377" w:rsidRPr="0076269A">
        <w:t xml:space="preserve"> and older</w:t>
      </w:r>
      <w:r w:rsidR="0019005C" w:rsidRPr="0076269A">
        <w:t xml:space="preserve"> age group (</w:t>
      </w:r>
      <w:r w:rsidR="00344377" w:rsidRPr="0076269A">
        <w:t>82.9</w:t>
      </w:r>
      <w:r w:rsidR="0019005C" w:rsidRPr="0076269A">
        <w:t xml:space="preserve"> per 100,00</w:t>
      </w:r>
      <w:r w:rsidR="00344377" w:rsidRPr="0076269A">
        <w:t>0 population</w:t>
      </w:r>
      <w:r w:rsidR="0019005C" w:rsidRPr="0076269A">
        <w:t>)</w:t>
      </w:r>
      <w:r w:rsidR="00BD55CC" w:rsidRPr="0076269A">
        <w:t>.</w:t>
      </w:r>
      <w:r w:rsidR="00344377" w:rsidRPr="0076269A">
        <w:t xml:space="preserve"> Additionally, for</w:t>
      </w:r>
      <w:r w:rsidR="0019005C" w:rsidRPr="0076269A">
        <w:t xml:space="preserve"> all notifications to date</w:t>
      </w:r>
      <w:r w:rsidR="00292573">
        <w:t>,</w:t>
      </w:r>
      <w:r w:rsidR="0019005C" w:rsidRPr="0076269A">
        <w:t xml:space="preserve"> </w:t>
      </w:r>
      <w:r w:rsidR="00BD55CC" w:rsidRPr="0076269A">
        <w:t>the highest rate of infection</w:t>
      </w:r>
      <w:r w:rsidR="00344377" w:rsidRPr="0076269A">
        <w:t xml:space="preserve"> </w:t>
      </w:r>
      <w:r w:rsidR="00292573">
        <w:t>has</w:t>
      </w:r>
      <w:r w:rsidR="00292573" w:rsidRPr="0076269A">
        <w:t xml:space="preserve"> </w:t>
      </w:r>
      <w:r w:rsidR="00344377" w:rsidRPr="0076269A">
        <w:t>occurred</w:t>
      </w:r>
      <w:r w:rsidR="00BD55CC" w:rsidRPr="0076269A">
        <w:t xml:space="preserve"> in th</w:t>
      </w:r>
      <w:r w:rsidR="0019005C" w:rsidRPr="0076269A">
        <w:t xml:space="preserve">ose aged </w:t>
      </w:r>
      <w:r w:rsidR="00344377" w:rsidRPr="0076269A">
        <w:t>90</w:t>
      </w:r>
      <w:r w:rsidR="0019005C" w:rsidRPr="0076269A">
        <w:t xml:space="preserve"> years </w:t>
      </w:r>
      <w:r w:rsidR="00344377" w:rsidRPr="0076269A">
        <w:t xml:space="preserve">and over </w:t>
      </w:r>
      <w:r w:rsidR="0019005C" w:rsidRPr="0076269A">
        <w:t xml:space="preserve">with a rate of </w:t>
      </w:r>
      <w:r w:rsidR="00344377" w:rsidRPr="0076269A">
        <w:t>304.4 per 100,000 population</w:t>
      </w:r>
      <w:r w:rsidR="0019005C" w:rsidRPr="0076269A">
        <w:t xml:space="preserve"> </w:t>
      </w:r>
      <w:r w:rsidRPr="0076269A">
        <w:t>(</w:t>
      </w:r>
      <w:r w:rsidR="009944EE" w:rsidRPr="0076269A">
        <w:t>Appendix B, Table B.1)</w:t>
      </w:r>
      <w:r w:rsidR="0096267E" w:rsidRPr="0076269A">
        <w:t>.</w:t>
      </w:r>
      <w:r w:rsidR="00397922" w:rsidRPr="0076269A">
        <w:t xml:space="preserve"> </w:t>
      </w:r>
    </w:p>
    <w:p w14:paraId="4233DA3C" w14:textId="0BED051A" w:rsidR="006730AA" w:rsidRPr="0012554A" w:rsidRDefault="004A1E18" w:rsidP="00F528CB">
      <w:r w:rsidRPr="0012554A">
        <w:t>Children aged 0</w:t>
      </w:r>
      <w:r w:rsidRPr="0076269A">
        <w:t>–9 years continue to have the lowest rate</w:t>
      </w:r>
      <w:r w:rsidR="00F45C81" w:rsidRPr="0076269A">
        <w:t xml:space="preserve"> of infection</w:t>
      </w:r>
      <w:r w:rsidRPr="0076269A">
        <w:t xml:space="preserve"> (33.8 cases per 100,000 population), with testing rates comparable to other age groups (Figure </w:t>
      </w:r>
      <w:r w:rsidR="002F1043">
        <w:t>6</w:t>
      </w:r>
      <w:r w:rsidRPr="0076269A">
        <w:t>).</w:t>
      </w:r>
      <w:r w:rsidR="006730AA" w:rsidRPr="0076269A">
        <w:t xml:space="preserve"> In this reporting period, school-aged children account</w:t>
      </w:r>
      <w:r w:rsidR="00AE32D9" w:rsidRPr="0076269A">
        <w:t>ed</w:t>
      </w:r>
      <w:r w:rsidR="006730AA" w:rsidRPr="0076269A">
        <w:t xml:space="preserve"> for </w:t>
      </w:r>
      <w:r w:rsidR="00F45C81" w:rsidRPr="0076269A">
        <w:t>11</w:t>
      </w:r>
      <w:r w:rsidR="006730AA" w:rsidRPr="0076269A">
        <w:t>% of all cases, which is a higher proportion than they comprise in cumulative cases (</w:t>
      </w:r>
      <w:r w:rsidR="00F45C81" w:rsidRPr="0076269A">
        <w:t>8</w:t>
      </w:r>
      <w:r w:rsidR="006730AA" w:rsidRPr="0076269A">
        <w:t xml:space="preserve">%). </w:t>
      </w:r>
    </w:p>
    <w:p w14:paraId="5A480DFB" w14:textId="7E85BA60" w:rsidR="00397922" w:rsidRPr="0076269A" w:rsidRDefault="00397922" w:rsidP="00F528CB">
      <w:r w:rsidRPr="0076269A">
        <w:t xml:space="preserve">Cumulatively, </w:t>
      </w:r>
      <w:r w:rsidR="00F45C81" w:rsidRPr="0076269A">
        <w:t xml:space="preserve">all </w:t>
      </w:r>
      <w:r w:rsidRPr="0076269A">
        <w:t>cases show a median age of 3</w:t>
      </w:r>
      <w:r w:rsidR="004A1E18" w:rsidRPr="0076269A">
        <w:t>7</w:t>
      </w:r>
      <w:r w:rsidRPr="0076269A">
        <w:t xml:space="preserve"> years (IQR: 25 to 57)</w:t>
      </w:r>
      <w:r w:rsidR="004A1E18" w:rsidRPr="0076269A">
        <w:t>. The median age has decreased by 1 year since the previous report</w:t>
      </w:r>
      <w:r w:rsidRPr="0076269A">
        <w:t xml:space="preserve">. </w:t>
      </w:r>
      <w:r w:rsidR="00F45C81" w:rsidRPr="0076269A">
        <w:t>During the first wave of cases</w:t>
      </w:r>
      <w:r w:rsidR="00292573">
        <w:t>,</w:t>
      </w:r>
      <w:r w:rsidR="004A1E18" w:rsidRPr="0076269A">
        <w:t xml:space="preserve"> </w:t>
      </w:r>
      <w:r w:rsidRPr="0076269A">
        <w:t>the population diagnosed was slightly older, with a median age of 47</w:t>
      </w:r>
      <w:r w:rsidR="006D69D2" w:rsidRPr="0076269A">
        <w:t xml:space="preserve"> years</w:t>
      </w:r>
      <w:r w:rsidRPr="0076269A">
        <w:t xml:space="preserve"> (IQR: 29 to 62) reflecting the </w:t>
      </w:r>
      <w:r w:rsidR="00D7062A" w:rsidRPr="0076269A">
        <w:t xml:space="preserve">primary </w:t>
      </w:r>
      <w:r w:rsidRPr="0076269A">
        <w:t xml:space="preserve">source of acquisition </w:t>
      </w:r>
      <w:r w:rsidR="00292573">
        <w:t>via</w:t>
      </w:r>
      <w:r w:rsidR="00292573" w:rsidRPr="0076269A">
        <w:t xml:space="preserve"> </w:t>
      </w:r>
      <w:r w:rsidRPr="0076269A">
        <w:t>cruise ships</w:t>
      </w:r>
      <w:r w:rsidR="004A1E18" w:rsidRPr="0076269A">
        <w:t xml:space="preserve"> and overseas travel</w:t>
      </w:r>
      <w:r w:rsidRPr="0076269A">
        <w:t>.</w:t>
      </w:r>
      <w:r w:rsidR="004A1E18" w:rsidRPr="0076269A">
        <w:t xml:space="preserve"> </w:t>
      </w:r>
      <w:r w:rsidR="00C90C4F" w:rsidRPr="0076269A">
        <w:t>In cases s</w:t>
      </w:r>
      <w:r w:rsidR="004A1E18" w:rsidRPr="0076269A">
        <w:t>ince th</w:t>
      </w:r>
      <w:r w:rsidR="00C90C4F" w:rsidRPr="0076269A">
        <w:t xml:space="preserve">e first wave, the median age </w:t>
      </w:r>
      <w:r w:rsidR="004A1E18" w:rsidRPr="0076269A">
        <w:t xml:space="preserve">is 35 years (IQR: 23 to 53) reflecting </w:t>
      </w:r>
      <w:r w:rsidR="00FD35C0" w:rsidRPr="0076269A">
        <w:t>household, possibly family</w:t>
      </w:r>
      <w:r w:rsidR="00292573">
        <w:t>-</w:t>
      </w:r>
      <w:r w:rsidR="004A1E18" w:rsidRPr="0076269A">
        <w:t>based</w:t>
      </w:r>
      <w:r w:rsidR="00292573">
        <w:t>,</w:t>
      </w:r>
      <w:r w:rsidR="004A1E18" w:rsidRPr="0076269A">
        <w:t xml:space="preserve"> transmission in Victoria. The age distribution </w:t>
      </w:r>
      <w:r w:rsidR="002E5A34" w:rsidRPr="0076269A">
        <w:t xml:space="preserve">of cases </w:t>
      </w:r>
      <w:r w:rsidR="004A1E18" w:rsidRPr="0076269A">
        <w:t xml:space="preserve">in this </w:t>
      </w:r>
      <w:r w:rsidR="006730AA" w:rsidRPr="0076269A">
        <w:t>reporting</w:t>
      </w:r>
      <w:r w:rsidR="004A1E18" w:rsidRPr="0076269A">
        <w:t xml:space="preserve"> period</w:t>
      </w:r>
      <w:r w:rsidR="002E5A34" w:rsidRPr="0076269A">
        <w:t xml:space="preserve"> remains </w:t>
      </w:r>
      <w:r w:rsidR="00C65D2C" w:rsidRPr="0076269A">
        <w:t>consistent with previous reporting</w:t>
      </w:r>
      <w:r w:rsidRPr="0076269A">
        <w:t xml:space="preserve">. </w:t>
      </w:r>
    </w:p>
    <w:p w14:paraId="194D3C63" w14:textId="2E45402A" w:rsidR="004A1E18" w:rsidRPr="0076269A" w:rsidRDefault="009B60D2" w:rsidP="00F528CB">
      <w:r w:rsidRPr="0076269A">
        <w:t>Cumulatively</w:t>
      </w:r>
      <w:r w:rsidR="00292573">
        <w:t>,</w:t>
      </w:r>
      <w:r w:rsidRPr="0076269A">
        <w:t xml:space="preserve"> males show a higher per capita rate in more age groups than females</w:t>
      </w:r>
      <w:r w:rsidR="00EA1280">
        <w:t xml:space="preserve"> (Figure 7</w:t>
      </w:r>
      <w:r w:rsidR="004B33D9" w:rsidRPr="0076269A">
        <w:t>)</w:t>
      </w:r>
      <w:r w:rsidR="00292573">
        <w:t>, although females now account for a majority of cases aged 80 years and over</w:t>
      </w:r>
      <w:r w:rsidR="004B33D9" w:rsidRPr="0076269A">
        <w:t>.</w:t>
      </w:r>
      <w:r w:rsidR="00FD35C0" w:rsidRPr="0076269A">
        <w:t xml:space="preserve"> </w:t>
      </w:r>
      <w:r w:rsidRPr="0076269A">
        <w:t xml:space="preserve">The largest difference between the two </w:t>
      </w:r>
      <w:r w:rsidRPr="0076269A">
        <w:lastRenderedPageBreak/>
        <w:t>categories is seen in the 90</w:t>
      </w:r>
      <w:r w:rsidR="00AE32D9" w:rsidRPr="0076269A">
        <w:t xml:space="preserve"> years</w:t>
      </w:r>
      <w:r w:rsidRPr="0076269A">
        <w:t xml:space="preserve"> and over age group where </w:t>
      </w:r>
      <w:r w:rsidR="004B33D9" w:rsidRPr="0076269A">
        <w:t xml:space="preserve">males report a rate of 271.1 cases per 100,000 population and </w:t>
      </w:r>
      <w:r w:rsidRPr="0076269A">
        <w:t>females</w:t>
      </w:r>
      <w:r w:rsidR="004B33D9" w:rsidRPr="0076269A">
        <w:t xml:space="preserve"> report a higher rate of 320.8 cases per 100,000 population (Table B.1)</w:t>
      </w:r>
      <w:r w:rsidRPr="0076269A">
        <w:t>. In this reporting period higher rates in each age group are predominantly seen in females</w:t>
      </w:r>
      <w:r w:rsidR="004B33D9" w:rsidRPr="0076269A">
        <w:t>.</w:t>
      </w:r>
      <w:r w:rsidR="00443EA4" w:rsidRPr="0076269A">
        <w:t xml:space="preserve"> </w:t>
      </w:r>
    </w:p>
    <w:p w14:paraId="43127283" w14:textId="4AE5F815" w:rsidR="00DC1B5A" w:rsidRPr="00F528CB" w:rsidRDefault="00DC1B5A" w:rsidP="00F528CB">
      <w:pPr>
        <w:pStyle w:val="CDIFigures"/>
      </w:pPr>
      <w:r w:rsidRPr="00F528CB">
        <w:t xml:space="preserve">Figure </w:t>
      </w:r>
      <w:r w:rsidR="00EA1280" w:rsidRPr="00F528CB">
        <w:t>7.</w:t>
      </w:r>
      <w:r w:rsidRPr="00F528CB">
        <w:t xml:space="preserve"> COVID-19 cases, by age group and </w:t>
      </w:r>
      <w:r w:rsidR="0076269A" w:rsidRPr="00F528CB">
        <w:t>sex</w:t>
      </w:r>
      <w:r w:rsidRPr="00F528CB">
        <w:t xml:space="preserve">, </w:t>
      </w:r>
      <w:r w:rsidR="00F04E12" w:rsidRPr="00F528CB">
        <w:t>at</w:t>
      </w:r>
      <w:r w:rsidR="00FD75E9" w:rsidRPr="00F528CB">
        <w:t xml:space="preserve"> 16</w:t>
      </w:r>
      <w:r w:rsidR="002651DD" w:rsidRPr="00F528CB">
        <w:t xml:space="preserve"> August</w:t>
      </w:r>
      <w:r w:rsidRPr="00F528CB">
        <w:t xml:space="preserve"> 2020, Australia</w:t>
      </w:r>
    </w:p>
    <w:p w14:paraId="51D5D8BB" w14:textId="097DBB2B" w:rsidR="00902EB3" w:rsidRDefault="00C94277" w:rsidP="00902EB3">
      <w:pPr>
        <w:pStyle w:val="Heading1"/>
        <w:rPr>
          <w:rFonts w:cstheme="minorHAnsi"/>
          <w:b w:val="0"/>
          <w:bCs w:val="0"/>
          <w:noProof/>
        </w:rPr>
      </w:pPr>
      <w:r>
        <w:rPr>
          <w:rFonts w:asciiTheme="minorHAnsi" w:hAnsiTheme="minorHAnsi" w:cstheme="minorHAnsi"/>
          <w:noProof/>
        </w:rPr>
        <w:pict w14:anchorId="60EE9AA1">
          <v:shape id="_x0000_i1031" type="#_x0000_t75" alt="A bar chart showing the dependence of confirmed COVID-19 cases notified within the latest reporting period on age group and sex. The notification rate is highest for those aged 80 and over, especially females and especially those aged 90 and over. Across most age groups, rates per 100,000 population in the current reporting period have been higher for females than males. Cumulatively since the outbreak’s onset, the highest notification rates (similarly higher in females than males) have been in the 90 and over, then 20 to 29 age groups; across most other age groups, cumulative notification rates show little dependence on sex." style="width:483.45pt;height:558.85pt">
            <v:imagedata r:id="rId18" o:title="11-composite"/>
          </v:shape>
        </w:pict>
      </w:r>
      <w:r w:rsidR="00902EB3">
        <w:rPr>
          <w:rFonts w:asciiTheme="minorHAnsi" w:hAnsiTheme="minorHAnsi" w:cstheme="minorHAnsi"/>
          <w:noProof/>
        </w:rPr>
        <w:br w:type="page"/>
      </w:r>
    </w:p>
    <w:p w14:paraId="3015BD7B" w14:textId="70178853" w:rsidR="00050733" w:rsidRPr="00902EB3" w:rsidRDefault="009E1615" w:rsidP="00F528CB">
      <w:pPr>
        <w:pStyle w:val="Heading1"/>
        <w:rPr>
          <w:rFonts w:asciiTheme="minorHAnsi" w:hAnsiTheme="minorHAnsi" w:cstheme="minorHAnsi"/>
        </w:rPr>
      </w:pPr>
      <w:r w:rsidRPr="00F528CB">
        <w:lastRenderedPageBreak/>
        <w:t>Comorbidities</w:t>
      </w:r>
    </w:p>
    <w:p w14:paraId="4D12F21F" w14:textId="6A52AB35" w:rsidR="009449F1" w:rsidRPr="00EA1280" w:rsidRDefault="00AE2335" w:rsidP="00F528CB">
      <w:r w:rsidRPr="0012554A">
        <w:t xml:space="preserve">Within the NNDSS the completeness of </w:t>
      </w:r>
      <w:r w:rsidRPr="004B33D9">
        <w:t xml:space="preserve">the </w:t>
      </w:r>
      <w:r w:rsidRPr="00EA1280">
        <w:t>co</w:t>
      </w:r>
      <w:r w:rsidR="00234DB1" w:rsidRPr="00EA1280">
        <w:t>morbidity field is 94%</w:t>
      </w:r>
      <w:r w:rsidR="009449F1" w:rsidRPr="00EA1280">
        <w:t>. H</w:t>
      </w:r>
      <w:r w:rsidR="00234DB1" w:rsidRPr="00EA1280">
        <w:t>owever</w:t>
      </w:r>
      <w:r w:rsidR="009449F1" w:rsidRPr="00EA1280">
        <w:t>,</w:t>
      </w:r>
      <w:r w:rsidR="00234DB1" w:rsidRPr="00EA1280">
        <w:t xml:space="preserve"> </w:t>
      </w:r>
      <w:r w:rsidR="004B33D9" w:rsidRPr="00EA1280">
        <w:t>only 37</w:t>
      </w:r>
      <w:r w:rsidR="00234DB1" w:rsidRPr="00EA1280">
        <w:t xml:space="preserve">% of cases </w:t>
      </w:r>
      <w:r w:rsidR="009449F1" w:rsidRPr="00EA1280">
        <w:t>report</w:t>
      </w:r>
      <w:r w:rsidR="004B33D9" w:rsidRPr="00EA1280">
        <w:t xml:space="preserve"> a </w:t>
      </w:r>
      <w:r w:rsidR="00234DB1" w:rsidRPr="00EA1280">
        <w:t>known comorbidity</w:t>
      </w:r>
      <w:r w:rsidR="004B33D9" w:rsidRPr="00EA1280">
        <w:t xml:space="preserve"> (the remainder record a comorbidity listed as unknown)</w:t>
      </w:r>
      <w:r w:rsidR="00234DB1" w:rsidRPr="00EA1280">
        <w:t xml:space="preserve">. </w:t>
      </w:r>
      <w:r w:rsidR="008C0744" w:rsidRPr="00EA1280">
        <w:t xml:space="preserve">Comorbidity data must be interpreted with caution due to the low </w:t>
      </w:r>
      <w:r w:rsidR="00C65D2C" w:rsidRPr="00EA1280">
        <w:t>reliability</w:t>
      </w:r>
      <w:r w:rsidR="008C0744" w:rsidRPr="00EA1280">
        <w:t xml:space="preserve"> of </w:t>
      </w:r>
      <w:r w:rsidR="00C65D2C" w:rsidRPr="00EA1280">
        <w:t xml:space="preserve">data reported in </w:t>
      </w:r>
      <w:r w:rsidR="008C0744" w:rsidRPr="00EA1280">
        <w:t xml:space="preserve">this field. </w:t>
      </w:r>
      <w:r w:rsidR="00234DB1" w:rsidRPr="00EA1280">
        <w:t xml:space="preserve">Of </w:t>
      </w:r>
      <w:r w:rsidR="004C753B" w:rsidRPr="00EA1280">
        <w:t>those comorbidities specified within the NNDSS</w:t>
      </w:r>
      <w:r w:rsidR="009449F1" w:rsidRPr="00EA1280">
        <w:t>,</w:t>
      </w:r>
      <w:r w:rsidR="004C753B" w:rsidRPr="00EA1280">
        <w:t xml:space="preserve"> the most common was cardiac disease (2.8%). </w:t>
      </w:r>
      <w:r w:rsidR="00D31D3A" w:rsidRPr="00EA1280">
        <w:t>Of the COVID-19 cases reported to the NNDSS where comorbidity data were available</w:t>
      </w:r>
      <w:r w:rsidR="00E05596" w:rsidRPr="00EA1280">
        <w:t xml:space="preserve"> (n = 8,845)</w:t>
      </w:r>
      <w:r w:rsidR="00D31D3A" w:rsidRPr="00EA1280">
        <w:t>, 24.8% reported at least one comorbidity. This proportion increased to 47.2% of hospitalised cases</w:t>
      </w:r>
      <w:r w:rsidR="009449F1" w:rsidRPr="00EA1280">
        <w:t>;</w:t>
      </w:r>
      <w:r w:rsidR="00D31D3A" w:rsidRPr="00EA1280">
        <w:t xml:space="preserve"> 56</w:t>
      </w:r>
      <w:r w:rsidR="009449F1" w:rsidRPr="00EA1280">
        <w:t>.1% of patients admitted to ICU;</w:t>
      </w:r>
      <w:r w:rsidR="00D31D3A" w:rsidRPr="00EA1280">
        <w:t xml:space="preserve"> and 67.1% of cases that died due to COVID-19. The most common comorbidities reported included </w:t>
      </w:r>
      <w:r w:rsidR="00E05596" w:rsidRPr="00EA1280">
        <w:t>cardiac disease (7.4% of all cases</w:t>
      </w:r>
      <w:r w:rsidR="00FB1BB9" w:rsidRPr="00EA1280">
        <w:t xml:space="preserve"> with data available</w:t>
      </w:r>
      <w:r w:rsidR="00E05596" w:rsidRPr="00EA1280">
        <w:t>), diabetes (6.9% of all cases</w:t>
      </w:r>
      <w:r w:rsidR="00FB1BB9" w:rsidRPr="00EA1280">
        <w:t xml:space="preserve"> with data available</w:t>
      </w:r>
      <w:r w:rsidR="00E05596" w:rsidRPr="00EA1280">
        <w:t>), and asthma (5.9% of all cases</w:t>
      </w:r>
      <w:r w:rsidR="00FB1BB9" w:rsidRPr="00EA1280">
        <w:t xml:space="preserve"> with data available</w:t>
      </w:r>
      <w:r w:rsidR="00E05596" w:rsidRPr="00EA1280">
        <w:t>)</w:t>
      </w:r>
      <w:r w:rsidR="00F6335F" w:rsidRPr="00EA1280">
        <w:t xml:space="preserve"> (Table 4)</w:t>
      </w:r>
      <w:r w:rsidR="00E05596" w:rsidRPr="00EA1280">
        <w:t xml:space="preserve">. </w:t>
      </w:r>
    </w:p>
    <w:p w14:paraId="6ADF7251" w14:textId="005650C0" w:rsidR="00570BC7" w:rsidRPr="00F528CB" w:rsidRDefault="00EA1280" w:rsidP="00F528CB">
      <w:pPr>
        <w:pStyle w:val="CDIFigures"/>
      </w:pPr>
      <w:r w:rsidRPr="00F528CB">
        <w:t>Table 4.</w:t>
      </w:r>
      <w:r w:rsidR="00570BC7" w:rsidRPr="00F528CB">
        <w:t xml:space="preserve"> Proportion of comorbidities among those with known comorbidities for cases and deaths, 16 August 2020</w:t>
      </w:r>
    </w:p>
    <w:tbl>
      <w:tblPr>
        <w:tblStyle w:val="CDI-StandardTable"/>
        <w:tblW w:w="5000" w:type="pct"/>
        <w:tblCellMar>
          <w:top w:w="57" w:type="dxa"/>
          <w:left w:w="57" w:type="dxa"/>
          <w:bottom w:w="57" w:type="dxa"/>
          <w:right w:w="57" w:type="dxa"/>
        </w:tblCellMar>
        <w:tblLook w:val="04A0" w:firstRow="1" w:lastRow="0" w:firstColumn="1" w:lastColumn="0" w:noHBand="0" w:noVBand="1"/>
        <w:tblDescription w:val="Table 4 lists the prevalence of various reported comorbidities among all cases and among non-survivors. The most widely-reported comorbidities among all cases as well as among non-survivors, are cardiac disease (excluding hypertension) and diabetes. Asthma is also a widely-reported comorbidity among all cases, but does not feature prominently among cases who have died, for which immunosuppressive condition/therapy and neurological disorder are more commonly reported.&#10;"/>
      </w:tblPr>
      <w:tblGrid>
        <w:gridCol w:w="5600"/>
        <w:gridCol w:w="2524"/>
        <w:gridCol w:w="2342"/>
      </w:tblGrid>
      <w:tr w:rsidR="00570BC7" w:rsidRPr="0012554A" w14:paraId="1FA141FE" w14:textId="77777777" w:rsidTr="00FF3E7F">
        <w:trPr>
          <w:cnfStyle w:val="100000000000" w:firstRow="1" w:lastRow="0" w:firstColumn="0" w:lastColumn="0" w:oddVBand="0" w:evenVBand="0" w:oddHBand="0" w:evenHBand="0" w:firstRowFirstColumn="0" w:firstRowLastColumn="0" w:lastRowFirstColumn="0" w:lastRowLastColumn="0"/>
          <w:trHeight w:val="330"/>
          <w:tblHeader/>
        </w:trPr>
        <w:tc>
          <w:tcPr>
            <w:tcW w:w="2675" w:type="pct"/>
            <w:tcBorders>
              <w:right w:val="single" w:sz="2" w:space="0" w:color="FFFFFF" w:themeColor="background1"/>
            </w:tcBorders>
            <w:vAlign w:val="center"/>
            <w:hideMark/>
          </w:tcPr>
          <w:p w14:paraId="19316C36" w14:textId="77777777" w:rsidR="00570BC7" w:rsidRPr="0012554A" w:rsidRDefault="00570BC7" w:rsidP="00FF3E7F">
            <w:pPr>
              <w:jc w:val="center"/>
              <w:rPr>
                <w:rFonts w:eastAsia="Times New Roman" w:cstheme="minorHAnsi"/>
                <w:color w:val="FFFFFF" w:themeColor="background1"/>
                <w:szCs w:val="18"/>
              </w:rPr>
            </w:pPr>
            <w:r w:rsidRPr="0012554A">
              <w:rPr>
                <w:rFonts w:eastAsia="Times New Roman" w:cstheme="minorHAnsi"/>
                <w:color w:val="FFFFFF" w:themeColor="background1"/>
                <w:szCs w:val="18"/>
              </w:rPr>
              <w:t>Description</w:t>
            </w:r>
          </w:p>
        </w:tc>
        <w:tc>
          <w:tcPr>
            <w:tcW w:w="1206" w:type="pct"/>
            <w:tcBorders>
              <w:left w:val="single" w:sz="2" w:space="0" w:color="FFFFFF" w:themeColor="background1"/>
              <w:right w:val="single" w:sz="2" w:space="0" w:color="FFFFFF" w:themeColor="background1"/>
            </w:tcBorders>
            <w:vAlign w:val="center"/>
            <w:hideMark/>
          </w:tcPr>
          <w:p w14:paraId="64C201EB" w14:textId="52AA59BB" w:rsidR="00570BC7" w:rsidRPr="0012554A" w:rsidRDefault="00570BC7" w:rsidP="00FF3E7F">
            <w:pPr>
              <w:jc w:val="center"/>
              <w:rPr>
                <w:rFonts w:eastAsia="Times New Roman" w:cstheme="minorHAnsi"/>
                <w:color w:val="FFFFFF" w:themeColor="background1"/>
                <w:szCs w:val="18"/>
              </w:rPr>
            </w:pPr>
            <w:r w:rsidRPr="0012554A">
              <w:rPr>
                <w:rFonts w:eastAsia="Times New Roman" w:cstheme="minorHAnsi"/>
                <w:color w:val="FFFFFF" w:themeColor="background1"/>
                <w:szCs w:val="18"/>
              </w:rPr>
              <w:t xml:space="preserve">All </w:t>
            </w:r>
            <w:r w:rsidR="00C6405A">
              <w:rPr>
                <w:rFonts w:eastAsia="Times New Roman" w:cstheme="minorHAnsi"/>
                <w:color w:val="FFFFFF" w:themeColor="background1"/>
                <w:szCs w:val="18"/>
              </w:rPr>
              <w:t>c</w:t>
            </w:r>
            <w:r w:rsidR="00C6405A" w:rsidRPr="0012554A">
              <w:rPr>
                <w:rFonts w:eastAsia="Times New Roman" w:cstheme="minorHAnsi"/>
                <w:color w:val="FFFFFF" w:themeColor="background1"/>
                <w:szCs w:val="18"/>
              </w:rPr>
              <w:t xml:space="preserve">ases </w:t>
            </w:r>
            <w:r w:rsidRPr="0012554A">
              <w:rPr>
                <w:rFonts w:eastAsia="Times New Roman" w:cstheme="minorHAnsi"/>
                <w:color w:val="FFFFFF" w:themeColor="background1"/>
                <w:szCs w:val="18"/>
              </w:rPr>
              <w:br/>
              <w:t>(n= 8,845)</w:t>
            </w:r>
            <w:r w:rsidR="00C6405A">
              <w:rPr>
                <w:rFonts w:eastAsia="Times New Roman" w:cstheme="minorHAnsi"/>
                <w:color w:val="FFFFFF" w:themeColor="background1"/>
                <w:szCs w:val="18"/>
              </w:rPr>
              <w:br/>
            </w:r>
            <w:r w:rsidRPr="0012554A">
              <w:rPr>
                <w:rFonts w:eastAsia="Times New Roman" w:cstheme="minorHAnsi"/>
                <w:color w:val="FFFFFF" w:themeColor="background1"/>
                <w:szCs w:val="18"/>
              </w:rPr>
              <w:t>N (%)</w:t>
            </w:r>
          </w:p>
        </w:tc>
        <w:tc>
          <w:tcPr>
            <w:tcW w:w="1119" w:type="pct"/>
            <w:tcBorders>
              <w:left w:val="single" w:sz="2" w:space="0" w:color="FFFFFF" w:themeColor="background1"/>
            </w:tcBorders>
            <w:vAlign w:val="center"/>
            <w:hideMark/>
          </w:tcPr>
          <w:p w14:paraId="1D249628" w14:textId="6AA03C78" w:rsidR="00570BC7" w:rsidRPr="0012554A" w:rsidRDefault="00E852F6" w:rsidP="00FF3E7F">
            <w:pPr>
              <w:jc w:val="center"/>
              <w:rPr>
                <w:rFonts w:eastAsia="Times New Roman" w:cstheme="minorHAnsi"/>
                <w:color w:val="FFFFFF" w:themeColor="background1"/>
                <w:szCs w:val="18"/>
              </w:rPr>
            </w:pPr>
            <w:r w:rsidRPr="0012554A">
              <w:rPr>
                <w:rFonts w:eastAsia="Times New Roman" w:cstheme="minorHAnsi"/>
                <w:color w:val="FFFFFF" w:themeColor="background1"/>
                <w:szCs w:val="18"/>
              </w:rPr>
              <w:t xml:space="preserve">Deaths </w:t>
            </w:r>
            <w:r w:rsidR="00EB755B">
              <w:rPr>
                <w:rFonts w:eastAsia="Times New Roman" w:cstheme="minorHAnsi"/>
                <w:color w:val="FFFFFF" w:themeColor="background1"/>
                <w:szCs w:val="18"/>
              </w:rPr>
              <w:br/>
            </w:r>
            <w:r w:rsidR="00570BC7" w:rsidRPr="0012554A">
              <w:rPr>
                <w:rFonts w:eastAsia="Times New Roman" w:cstheme="minorHAnsi"/>
                <w:color w:val="FFFFFF" w:themeColor="background1"/>
                <w:szCs w:val="18"/>
              </w:rPr>
              <w:t xml:space="preserve">(n = </w:t>
            </w:r>
            <w:r w:rsidR="004B33D9">
              <w:rPr>
                <w:rFonts w:eastAsia="Times New Roman" w:cstheme="minorHAnsi"/>
                <w:color w:val="FFFFFF" w:themeColor="background1"/>
                <w:szCs w:val="18"/>
              </w:rPr>
              <w:t>155</w:t>
            </w:r>
            <w:r w:rsidR="00570BC7" w:rsidRPr="0012554A">
              <w:rPr>
                <w:rFonts w:eastAsia="Times New Roman" w:cstheme="minorHAnsi"/>
                <w:color w:val="FFFFFF" w:themeColor="background1"/>
                <w:szCs w:val="18"/>
              </w:rPr>
              <w:t>)</w:t>
            </w:r>
            <w:r w:rsidR="00C6405A">
              <w:rPr>
                <w:rFonts w:eastAsia="Times New Roman" w:cstheme="minorHAnsi"/>
                <w:color w:val="FFFFFF" w:themeColor="background1"/>
                <w:szCs w:val="18"/>
              </w:rPr>
              <w:br/>
            </w:r>
            <w:r w:rsidR="00570BC7" w:rsidRPr="0012554A">
              <w:rPr>
                <w:rFonts w:eastAsia="Times New Roman" w:cstheme="minorHAnsi"/>
                <w:color w:val="FFFFFF" w:themeColor="background1"/>
                <w:szCs w:val="18"/>
              </w:rPr>
              <w:t>N (%)</w:t>
            </w:r>
          </w:p>
        </w:tc>
      </w:tr>
      <w:tr w:rsidR="00570BC7" w:rsidRPr="0012554A" w14:paraId="354736E4" w14:textId="77777777" w:rsidTr="00EB755B">
        <w:trPr>
          <w:trHeight w:val="300"/>
        </w:trPr>
        <w:tc>
          <w:tcPr>
            <w:tcW w:w="2675" w:type="pct"/>
            <w:noWrap/>
            <w:vAlign w:val="center"/>
            <w:hideMark/>
          </w:tcPr>
          <w:p w14:paraId="086D6F5D" w14:textId="77777777" w:rsidR="00570BC7" w:rsidRPr="0012554A" w:rsidRDefault="00570BC7" w:rsidP="00994147">
            <w:pPr>
              <w:rPr>
                <w:rFonts w:asciiTheme="minorHAnsi" w:eastAsia="Times New Roman" w:hAnsiTheme="minorHAnsi" w:cstheme="minorHAnsi"/>
                <w:sz w:val="18"/>
                <w:szCs w:val="18"/>
              </w:rPr>
            </w:pPr>
            <w:r w:rsidRPr="0012554A">
              <w:rPr>
                <w:rFonts w:asciiTheme="minorHAnsi" w:hAnsiTheme="minorHAnsi" w:cstheme="minorHAnsi"/>
                <w:color w:val="000000"/>
              </w:rPr>
              <w:t>Asthma</w:t>
            </w:r>
          </w:p>
        </w:tc>
        <w:tc>
          <w:tcPr>
            <w:tcW w:w="1206" w:type="pct"/>
            <w:noWrap/>
            <w:vAlign w:val="center"/>
            <w:hideMark/>
          </w:tcPr>
          <w:p w14:paraId="6955FE33"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525 (5.9%)</w:t>
            </w:r>
          </w:p>
        </w:tc>
        <w:tc>
          <w:tcPr>
            <w:tcW w:w="1119" w:type="pct"/>
            <w:noWrap/>
            <w:vAlign w:val="center"/>
            <w:hideMark/>
          </w:tcPr>
          <w:p w14:paraId="2305EC4E"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5 (3.2%)</w:t>
            </w:r>
          </w:p>
        </w:tc>
      </w:tr>
      <w:tr w:rsidR="00570BC7" w:rsidRPr="0012554A" w14:paraId="18B5152A" w14:textId="77777777" w:rsidTr="00EB755B">
        <w:trPr>
          <w:cnfStyle w:val="000000010000" w:firstRow="0" w:lastRow="0" w:firstColumn="0" w:lastColumn="0" w:oddVBand="0" w:evenVBand="0" w:oddHBand="0" w:evenHBand="1" w:firstRowFirstColumn="0" w:firstRowLastColumn="0" w:lastRowFirstColumn="0" w:lastRowLastColumn="0"/>
          <w:trHeight w:val="300"/>
        </w:trPr>
        <w:tc>
          <w:tcPr>
            <w:tcW w:w="2675" w:type="pct"/>
            <w:noWrap/>
            <w:vAlign w:val="center"/>
            <w:hideMark/>
          </w:tcPr>
          <w:p w14:paraId="08119868" w14:textId="77777777" w:rsidR="00570BC7" w:rsidRPr="0012554A" w:rsidRDefault="00570BC7" w:rsidP="00994147">
            <w:pPr>
              <w:rPr>
                <w:rFonts w:asciiTheme="minorHAnsi" w:eastAsia="Times New Roman" w:hAnsiTheme="minorHAnsi" w:cstheme="minorHAnsi"/>
                <w:sz w:val="18"/>
                <w:szCs w:val="18"/>
              </w:rPr>
            </w:pPr>
            <w:r w:rsidRPr="0012554A">
              <w:rPr>
                <w:rFonts w:asciiTheme="minorHAnsi" w:hAnsiTheme="minorHAnsi" w:cstheme="minorHAnsi"/>
                <w:color w:val="000000"/>
              </w:rPr>
              <w:t>Chronic respiratory condition (excluding asthma)</w:t>
            </w:r>
          </w:p>
        </w:tc>
        <w:tc>
          <w:tcPr>
            <w:tcW w:w="1206" w:type="pct"/>
            <w:noWrap/>
            <w:vAlign w:val="center"/>
            <w:hideMark/>
          </w:tcPr>
          <w:p w14:paraId="26107D83"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227 (2.6%)</w:t>
            </w:r>
          </w:p>
        </w:tc>
        <w:tc>
          <w:tcPr>
            <w:tcW w:w="1119" w:type="pct"/>
            <w:noWrap/>
            <w:vAlign w:val="center"/>
            <w:hideMark/>
          </w:tcPr>
          <w:p w14:paraId="61ABD91D"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17 (11%)</w:t>
            </w:r>
          </w:p>
        </w:tc>
      </w:tr>
      <w:tr w:rsidR="00570BC7" w:rsidRPr="0012554A" w14:paraId="01B49FD8" w14:textId="77777777" w:rsidTr="00EB755B">
        <w:trPr>
          <w:trHeight w:val="300"/>
        </w:trPr>
        <w:tc>
          <w:tcPr>
            <w:tcW w:w="2675" w:type="pct"/>
            <w:noWrap/>
            <w:vAlign w:val="center"/>
            <w:hideMark/>
          </w:tcPr>
          <w:p w14:paraId="75F9A7BF" w14:textId="77777777" w:rsidR="00570BC7" w:rsidRPr="0012554A" w:rsidRDefault="00570BC7" w:rsidP="00994147">
            <w:pPr>
              <w:rPr>
                <w:rFonts w:asciiTheme="minorHAnsi" w:eastAsia="Times New Roman" w:hAnsiTheme="minorHAnsi" w:cstheme="minorHAnsi"/>
                <w:sz w:val="18"/>
                <w:szCs w:val="18"/>
              </w:rPr>
            </w:pPr>
            <w:r w:rsidRPr="0012554A">
              <w:rPr>
                <w:rFonts w:asciiTheme="minorHAnsi" w:hAnsiTheme="minorHAnsi" w:cstheme="minorHAnsi"/>
                <w:color w:val="000000"/>
              </w:rPr>
              <w:t>Cardiac disease (excluding hypertension)</w:t>
            </w:r>
          </w:p>
        </w:tc>
        <w:tc>
          <w:tcPr>
            <w:tcW w:w="1206" w:type="pct"/>
            <w:noWrap/>
            <w:vAlign w:val="center"/>
            <w:hideMark/>
          </w:tcPr>
          <w:p w14:paraId="05A55322"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655 (7.4%)</w:t>
            </w:r>
          </w:p>
        </w:tc>
        <w:tc>
          <w:tcPr>
            <w:tcW w:w="1119" w:type="pct"/>
            <w:noWrap/>
            <w:vAlign w:val="center"/>
            <w:hideMark/>
          </w:tcPr>
          <w:p w14:paraId="327305DC"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52 (33.5%)</w:t>
            </w:r>
          </w:p>
        </w:tc>
      </w:tr>
      <w:tr w:rsidR="00570BC7" w:rsidRPr="0012554A" w14:paraId="351AF1F1" w14:textId="77777777" w:rsidTr="00EB755B">
        <w:trPr>
          <w:cnfStyle w:val="000000010000" w:firstRow="0" w:lastRow="0" w:firstColumn="0" w:lastColumn="0" w:oddVBand="0" w:evenVBand="0" w:oddHBand="0" w:evenHBand="1" w:firstRowFirstColumn="0" w:firstRowLastColumn="0" w:lastRowFirstColumn="0" w:lastRowLastColumn="0"/>
          <w:trHeight w:val="300"/>
        </w:trPr>
        <w:tc>
          <w:tcPr>
            <w:tcW w:w="2675" w:type="pct"/>
            <w:noWrap/>
            <w:vAlign w:val="center"/>
            <w:hideMark/>
          </w:tcPr>
          <w:p w14:paraId="0964C98F" w14:textId="77777777" w:rsidR="00570BC7" w:rsidRPr="0012554A" w:rsidRDefault="00570BC7" w:rsidP="00994147">
            <w:pPr>
              <w:rPr>
                <w:rFonts w:asciiTheme="minorHAnsi" w:eastAsia="Times New Roman" w:hAnsiTheme="minorHAnsi" w:cstheme="minorHAnsi"/>
                <w:sz w:val="18"/>
                <w:szCs w:val="18"/>
              </w:rPr>
            </w:pPr>
            <w:r w:rsidRPr="0012554A">
              <w:rPr>
                <w:rFonts w:asciiTheme="minorHAnsi" w:hAnsiTheme="minorHAnsi" w:cstheme="minorHAnsi"/>
                <w:color w:val="000000"/>
              </w:rPr>
              <w:t>Immunosuppressive condition/therapy</w:t>
            </w:r>
          </w:p>
        </w:tc>
        <w:tc>
          <w:tcPr>
            <w:tcW w:w="1206" w:type="pct"/>
            <w:noWrap/>
            <w:vAlign w:val="center"/>
            <w:hideMark/>
          </w:tcPr>
          <w:p w14:paraId="7A952D3E"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204 (2.3%)</w:t>
            </w:r>
          </w:p>
        </w:tc>
        <w:tc>
          <w:tcPr>
            <w:tcW w:w="1119" w:type="pct"/>
            <w:noWrap/>
            <w:vAlign w:val="center"/>
            <w:hideMark/>
          </w:tcPr>
          <w:p w14:paraId="47F5A07F"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24 (15.5%)</w:t>
            </w:r>
          </w:p>
        </w:tc>
      </w:tr>
      <w:tr w:rsidR="00570BC7" w:rsidRPr="0012554A" w14:paraId="7AF878D5" w14:textId="77777777" w:rsidTr="00EB755B">
        <w:trPr>
          <w:trHeight w:val="300"/>
        </w:trPr>
        <w:tc>
          <w:tcPr>
            <w:tcW w:w="2675" w:type="pct"/>
            <w:noWrap/>
            <w:vAlign w:val="center"/>
            <w:hideMark/>
          </w:tcPr>
          <w:p w14:paraId="65C0812A" w14:textId="77777777" w:rsidR="00570BC7" w:rsidRPr="0012554A" w:rsidRDefault="00570BC7" w:rsidP="00994147">
            <w:pPr>
              <w:rPr>
                <w:rFonts w:asciiTheme="minorHAnsi" w:eastAsia="Times New Roman" w:hAnsiTheme="minorHAnsi" w:cstheme="minorHAnsi"/>
                <w:sz w:val="18"/>
                <w:szCs w:val="18"/>
              </w:rPr>
            </w:pPr>
            <w:r w:rsidRPr="0012554A">
              <w:rPr>
                <w:rFonts w:asciiTheme="minorHAnsi" w:hAnsiTheme="minorHAnsi" w:cstheme="minorHAnsi"/>
                <w:color w:val="000000"/>
              </w:rPr>
              <w:t>Diabetes</w:t>
            </w:r>
          </w:p>
        </w:tc>
        <w:tc>
          <w:tcPr>
            <w:tcW w:w="1206" w:type="pct"/>
            <w:noWrap/>
            <w:vAlign w:val="center"/>
            <w:hideMark/>
          </w:tcPr>
          <w:p w14:paraId="25282790"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606 (6.9%)</w:t>
            </w:r>
          </w:p>
        </w:tc>
        <w:tc>
          <w:tcPr>
            <w:tcW w:w="1119" w:type="pct"/>
            <w:noWrap/>
            <w:vAlign w:val="center"/>
            <w:hideMark/>
          </w:tcPr>
          <w:p w14:paraId="10828A18"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39 (25.2%)</w:t>
            </w:r>
          </w:p>
        </w:tc>
      </w:tr>
      <w:tr w:rsidR="00570BC7" w:rsidRPr="0012554A" w14:paraId="35F3D9EB" w14:textId="77777777" w:rsidTr="00EB755B">
        <w:trPr>
          <w:cnfStyle w:val="000000010000" w:firstRow="0" w:lastRow="0" w:firstColumn="0" w:lastColumn="0" w:oddVBand="0" w:evenVBand="0" w:oddHBand="0" w:evenHBand="1" w:firstRowFirstColumn="0" w:firstRowLastColumn="0" w:lastRowFirstColumn="0" w:lastRowLastColumn="0"/>
          <w:trHeight w:val="300"/>
        </w:trPr>
        <w:tc>
          <w:tcPr>
            <w:tcW w:w="2675" w:type="pct"/>
            <w:noWrap/>
            <w:vAlign w:val="center"/>
            <w:hideMark/>
          </w:tcPr>
          <w:p w14:paraId="29407379" w14:textId="77777777" w:rsidR="00570BC7" w:rsidRPr="0012554A" w:rsidRDefault="00570BC7" w:rsidP="00994147">
            <w:pPr>
              <w:rPr>
                <w:rFonts w:asciiTheme="minorHAnsi" w:eastAsia="Times New Roman" w:hAnsiTheme="minorHAnsi" w:cstheme="minorHAnsi"/>
                <w:sz w:val="18"/>
                <w:szCs w:val="18"/>
              </w:rPr>
            </w:pPr>
            <w:r w:rsidRPr="0012554A">
              <w:rPr>
                <w:rFonts w:asciiTheme="minorHAnsi" w:hAnsiTheme="minorHAnsi" w:cstheme="minorHAnsi"/>
                <w:color w:val="000000"/>
              </w:rPr>
              <w:t>Obesity</w:t>
            </w:r>
          </w:p>
        </w:tc>
        <w:tc>
          <w:tcPr>
            <w:tcW w:w="1206" w:type="pct"/>
            <w:noWrap/>
            <w:vAlign w:val="center"/>
            <w:hideMark/>
          </w:tcPr>
          <w:p w14:paraId="289AB89C"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262 (3%)</w:t>
            </w:r>
          </w:p>
        </w:tc>
        <w:tc>
          <w:tcPr>
            <w:tcW w:w="1119" w:type="pct"/>
            <w:noWrap/>
            <w:vAlign w:val="center"/>
            <w:hideMark/>
          </w:tcPr>
          <w:p w14:paraId="52A8EF5E"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7 (4.5%)</w:t>
            </w:r>
          </w:p>
        </w:tc>
      </w:tr>
      <w:tr w:rsidR="00570BC7" w:rsidRPr="0012554A" w14:paraId="422BB929" w14:textId="77777777" w:rsidTr="00EB755B">
        <w:trPr>
          <w:trHeight w:val="300"/>
        </w:trPr>
        <w:tc>
          <w:tcPr>
            <w:tcW w:w="2675" w:type="pct"/>
            <w:noWrap/>
            <w:vAlign w:val="center"/>
            <w:hideMark/>
          </w:tcPr>
          <w:p w14:paraId="66FBCE02" w14:textId="77777777" w:rsidR="00570BC7" w:rsidRPr="0012554A" w:rsidRDefault="00570BC7" w:rsidP="00994147">
            <w:pPr>
              <w:rPr>
                <w:rFonts w:asciiTheme="minorHAnsi" w:eastAsia="Times New Roman" w:hAnsiTheme="minorHAnsi" w:cstheme="minorHAnsi"/>
                <w:sz w:val="18"/>
                <w:szCs w:val="18"/>
              </w:rPr>
            </w:pPr>
            <w:r w:rsidRPr="0012554A">
              <w:rPr>
                <w:rFonts w:asciiTheme="minorHAnsi" w:hAnsiTheme="minorHAnsi" w:cstheme="minorHAnsi"/>
                <w:color w:val="000000"/>
              </w:rPr>
              <w:t>Liver disease</w:t>
            </w:r>
          </w:p>
        </w:tc>
        <w:tc>
          <w:tcPr>
            <w:tcW w:w="1206" w:type="pct"/>
            <w:noWrap/>
            <w:vAlign w:val="center"/>
            <w:hideMark/>
          </w:tcPr>
          <w:p w14:paraId="651B010F"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52 (0.6%)</w:t>
            </w:r>
          </w:p>
        </w:tc>
        <w:tc>
          <w:tcPr>
            <w:tcW w:w="1119" w:type="pct"/>
            <w:noWrap/>
            <w:vAlign w:val="center"/>
            <w:hideMark/>
          </w:tcPr>
          <w:p w14:paraId="58049096"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2 (1.3%)</w:t>
            </w:r>
          </w:p>
        </w:tc>
      </w:tr>
      <w:tr w:rsidR="00570BC7" w:rsidRPr="0012554A" w14:paraId="14DD8BAD" w14:textId="77777777" w:rsidTr="00EB755B">
        <w:trPr>
          <w:cnfStyle w:val="000000010000" w:firstRow="0" w:lastRow="0" w:firstColumn="0" w:lastColumn="0" w:oddVBand="0" w:evenVBand="0" w:oddHBand="0" w:evenHBand="1" w:firstRowFirstColumn="0" w:firstRowLastColumn="0" w:lastRowFirstColumn="0" w:lastRowLastColumn="0"/>
          <w:trHeight w:val="300"/>
        </w:trPr>
        <w:tc>
          <w:tcPr>
            <w:tcW w:w="2675" w:type="pct"/>
            <w:noWrap/>
            <w:vAlign w:val="center"/>
            <w:hideMark/>
          </w:tcPr>
          <w:p w14:paraId="226B3E9A" w14:textId="77777777" w:rsidR="00570BC7" w:rsidRPr="0012554A" w:rsidRDefault="00570BC7" w:rsidP="00994147">
            <w:pPr>
              <w:rPr>
                <w:rFonts w:asciiTheme="minorHAnsi" w:eastAsia="Times New Roman" w:hAnsiTheme="minorHAnsi" w:cstheme="minorHAnsi"/>
                <w:sz w:val="18"/>
                <w:szCs w:val="18"/>
              </w:rPr>
            </w:pPr>
            <w:r w:rsidRPr="0012554A">
              <w:rPr>
                <w:rFonts w:asciiTheme="minorHAnsi" w:hAnsiTheme="minorHAnsi" w:cstheme="minorHAnsi"/>
                <w:color w:val="000000"/>
              </w:rPr>
              <w:t>Renal disease</w:t>
            </w:r>
          </w:p>
        </w:tc>
        <w:tc>
          <w:tcPr>
            <w:tcW w:w="1206" w:type="pct"/>
            <w:noWrap/>
            <w:vAlign w:val="center"/>
            <w:hideMark/>
          </w:tcPr>
          <w:p w14:paraId="074D5238"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82 (0.9%)</w:t>
            </w:r>
          </w:p>
        </w:tc>
        <w:tc>
          <w:tcPr>
            <w:tcW w:w="1119" w:type="pct"/>
            <w:noWrap/>
            <w:vAlign w:val="center"/>
            <w:hideMark/>
          </w:tcPr>
          <w:p w14:paraId="3C57F1A1"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9 (5.8%)</w:t>
            </w:r>
          </w:p>
        </w:tc>
      </w:tr>
      <w:tr w:rsidR="00570BC7" w:rsidRPr="0012554A" w14:paraId="3F9361AE" w14:textId="77777777" w:rsidTr="00EB755B">
        <w:trPr>
          <w:trHeight w:val="300"/>
        </w:trPr>
        <w:tc>
          <w:tcPr>
            <w:tcW w:w="2675" w:type="pct"/>
            <w:noWrap/>
            <w:vAlign w:val="center"/>
            <w:hideMark/>
          </w:tcPr>
          <w:p w14:paraId="12442BB1" w14:textId="77777777" w:rsidR="00570BC7" w:rsidRPr="0012554A" w:rsidRDefault="00570BC7" w:rsidP="00994147">
            <w:pPr>
              <w:rPr>
                <w:rFonts w:asciiTheme="minorHAnsi" w:eastAsia="Times New Roman" w:hAnsiTheme="minorHAnsi" w:cstheme="minorHAnsi"/>
                <w:sz w:val="18"/>
                <w:szCs w:val="18"/>
              </w:rPr>
            </w:pPr>
            <w:r w:rsidRPr="0012554A">
              <w:rPr>
                <w:rFonts w:asciiTheme="minorHAnsi" w:hAnsiTheme="minorHAnsi" w:cstheme="minorHAnsi"/>
                <w:color w:val="000000"/>
              </w:rPr>
              <w:t>Neurological disorder</w:t>
            </w:r>
          </w:p>
        </w:tc>
        <w:tc>
          <w:tcPr>
            <w:tcW w:w="1206" w:type="pct"/>
            <w:noWrap/>
            <w:vAlign w:val="center"/>
            <w:hideMark/>
          </w:tcPr>
          <w:p w14:paraId="5C4CCF7C"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151 (1.7%)</w:t>
            </w:r>
          </w:p>
        </w:tc>
        <w:tc>
          <w:tcPr>
            <w:tcW w:w="1119" w:type="pct"/>
            <w:noWrap/>
            <w:vAlign w:val="center"/>
            <w:hideMark/>
          </w:tcPr>
          <w:p w14:paraId="09C0AC01"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24 (15.5%)</w:t>
            </w:r>
          </w:p>
        </w:tc>
      </w:tr>
      <w:tr w:rsidR="00570BC7" w:rsidRPr="0012554A" w14:paraId="34CBD087" w14:textId="77777777" w:rsidTr="00EB755B">
        <w:trPr>
          <w:cnfStyle w:val="000000010000" w:firstRow="0" w:lastRow="0" w:firstColumn="0" w:lastColumn="0" w:oddVBand="0" w:evenVBand="0" w:oddHBand="0" w:evenHBand="1" w:firstRowFirstColumn="0" w:firstRowLastColumn="0" w:lastRowFirstColumn="0" w:lastRowLastColumn="0"/>
          <w:trHeight w:val="300"/>
        </w:trPr>
        <w:tc>
          <w:tcPr>
            <w:tcW w:w="2675" w:type="pct"/>
            <w:noWrap/>
            <w:vAlign w:val="center"/>
            <w:hideMark/>
          </w:tcPr>
          <w:p w14:paraId="14171659" w14:textId="56BF5D6E" w:rsidR="00570BC7" w:rsidRPr="0012554A" w:rsidRDefault="00570BC7" w:rsidP="00994147">
            <w:pPr>
              <w:rPr>
                <w:rFonts w:asciiTheme="minorHAnsi" w:eastAsia="Times New Roman" w:hAnsiTheme="minorHAnsi" w:cstheme="minorHAnsi"/>
                <w:sz w:val="18"/>
                <w:szCs w:val="18"/>
              </w:rPr>
            </w:pPr>
            <w:r w:rsidRPr="0012554A">
              <w:rPr>
                <w:rFonts w:asciiTheme="minorHAnsi" w:hAnsiTheme="minorHAnsi" w:cstheme="minorHAnsi"/>
                <w:color w:val="000000"/>
              </w:rPr>
              <w:t>Pregnan</w:t>
            </w:r>
            <w:r w:rsidR="003D3C79">
              <w:rPr>
                <w:rFonts w:asciiTheme="minorHAnsi" w:hAnsiTheme="minorHAnsi" w:cstheme="minorHAnsi"/>
                <w:color w:val="000000"/>
              </w:rPr>
              <w:t>cy</w:t>
            </w:r>
          </w:p>
        </w:tc>
        <w:tc>
          <w:tcPr>
            <w:tcW w:w="1206" w:type="pct"/>
            <w:noWrap/>
            <w:vAlign w:val="center"/>
            <w:hideMark/>
          </w:tcPr>
          <w:p w14:paraId="54C10868"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77 (0.9%)</w:t>
            </w:r>
          </w:p>
        </w:tc>
        <w:tc>
          <w:tcPr>
            <w:tcW w:w="1119" w:type="pct"/>
            <w:noWrap/>
            <w:vAlign w:val="center"/>
            <w:hideMark/>
          </w:tcPr>
          <w:p w14:paraId="0C6C60D7" w14:textId="77777777" w:rsidR="00570BC7" w:rsidRPr="0012554A" w:rsidRDefault="00570BC7" w:rsidP="00EB755B">
            <w:pPr>
              <w:jc w:val="center"/>
              <w:rPr>
                <w:rFonts w:asciiTheme="minorHAnsi" w:eastAsia="Times New Roman" w:hAnsiTheme="minorHAnsi" w:cstheme="minorHAnsi"/>
                <w:sz w:val="18"/>
                <w:szCs w:val="18"/>
              </w:rPr>
            </w:pPr>
            <w:r w:rsidRPr="0012554A">
              <w:rPr>
                <w:rFonts w:asciiTheme="minorHAnsi" w:hAnsiTheme="minorHAnsi" w:cstheme="minorHAnsi"/>
                <w:color w:val="000000"/>
              </w:rPr>
              <w:t>0 (0%)</w:t>
            </w:r>
          </w:p>
        </w:tc>
      </w:tr>
    </w:tbl>
    <w:p w14:paraId="0A0B9C45" w14:textId="77777777" w:rsidR="009564FA" w:rsidRPr="00F528CB" w:rsidRDefault="001324AF" w:rsidP="00F528CB">
      <w:pPr>
        <w:pStyle w:val="Heading1"/>
      </w:pPr>
      <w:r w:rsidRPr="00F528CB">
        <w:t>Aboriginal and Torres Strait Islander persons</w:t>
      </w:r>
    </w:p>
    <w:p w14:paraId="7A76B2A5" w14:textId="606EEF6D" w:rsidR="00551330" w:rsidRPr="00EA1280" w:rsidRDefault="00164927" w:rsidP="00F528CB">
      <w:r w:rsidRPr="00EA1280">
        <w:t xml:space="preserve">There have been </w:t>
      </w:r>
      <w:r w:rsidR="00D83D71" w:rsidRPr="00EA1280">
        <w:t>132</w:t>
      </w:r>
      <w:r w:rsidRPr="00EA1280">
        <w:t xml:space="preserve"> cases of COVID-19 notified in Aboriginal and Torres Strait Islander persons. This represents approximately 0.6% of all confirmed cases. </w:t>
      </w:r>
      <w:r w:rsidR="002714F7" w:rsidRPr="00EA1280">
        <w:t>Table</w:t>
      </w:r>
      <w:r w:rsidR="00AB6CEF" w:rsidRPr="00EA1280">
        <w:t xml:space="preserve"> </w:t>
      </w:r>
      <w:r w:rsidR="00F6335F" w:rsidRPr="00EA1280">
        <w:t>5</w:t>
      </w:r>
      <w:r w:rsidR="002714F7" w:rsidRPr="00EA1280">
        <w:t xml:space="preserve"> </w:t>
      </w:r>
      <w:r w:rsidR="001324AF" w:rsidRPr="00EA1280">
        <w:t xml:space="preserve">compares </w:t>
      </w:r>
      <w:r w:rsidR="002714F7" w:rsidRPr="00EA1280">
        <w:t xml:space="preserve">the </w:t>
      </w:r>
      <w:r w:rsidR="004A719B" w:rsidRPr="00EA1280">
        <w:t xml:space="preserve">remoteness of </w:t>
      </w:r>
      <w:r w:rsidR="001324AF" w:rsidRPr="00EA1280">
        <w:t xml:space="preserve">cases </w:t>
      </w:r>
      <w:r w:rsidR="00FD75E9" w:rsidRPr="00EA1280">
        <w:t>in Aboriginal</w:t>
      </w:r>
      <w:r w:rsidR="001324AF" w:rsidRPr="00EA1280">
        <w:t xml:space="preserve"> and Torres Strait Islander persons with those in the</w:t>
      </w:r>
      <w:r w:rsidR="004A719B" w:rsidRPr="00EA1280">
        <w:t xml:space="preserve"> </w:t>
      </w:r>
      <w:r w:rsidR="001528A1" w:rsidRPr="00EA1280">
        <w:t>non-I</w:t>
      </w:r>
      <w:r w:rsidR="00CB386B" w:rsidRPr="00EA1280">
        <w:t>ndigenous</w:t>
      </w:r>
      <w:r w:rsidR="004A719B" w:rsidRPr="00EA1280">
        <w:t xml:space="preserve"> </w:t>
      </w:r>
      <w:r w:rsidR="001324AF" w:rsidRPr="00EA1280">
        <w:t>population</w:t>
      </w:r>
      <w:r w:rsidR="004A719B" w:rsidRPr="00EA1280">
        <w:t>. Approximately 2</w:t>
      </w:r>
      <w:r w:rsidR="00D83D71" w:rsidRPr="00EA1280">
        <w:t>3</w:t>
      </w:r>
      <w:r w:rsidR="004A719B" w:rsidRPr="00EA1280">
        <w:t>% (30) of all cases notified in Aboriginal and Torres Strait Islander persons are reported as acquired overseas</w:t>
      </w:r>
      <w:r w:rsidR="002F1043">
        <w:t>,</w:t>
      </w:r>
      <w:r w:rsidR="004A719B" w:rsidRPr="00EA1280">
        <w:t xml:space="preserve"> with almost half of these </w:t>
      </w:r>
      <w:r w:rsidR="0090322B" w:rsidRPr="00EA1280">
        <w:t xml:space="preserve">(13 cases) </w:t>
      </w:r>
      <w:r w:rsidR="004A719B" w:rsidRPr="00EA1280">
        <w:t>associated with cruise ships.</w:t>
      </w:r>
      <w:r w:rsidR="00551330" w:rsidRPr="00EA1280">
        <w:t xml:space="preserve"> </w:t>
      </w:r>
    </w:p>
    <w:p w14:paraId="36B04AE5" w14:textId="77777777" w:rsidR="00164927" w:rsidRPr="00EA1280" w:rsidRDefault="00551330" w:rsidP="00F528CB">
      <w:r w:rsidRPr="00EA1280">
        <w:t>The median age of COVID-19 cases in Aboriginal and Torres Strait Islander persons is 34 years (IQR: 23–51), which is younger than for non-Indigenous cases where the median age is 37 years (IQR: 25–57).</w:t>
      </w:r>
    </w:p>
    <w:p w14:paraId="2435FCD9" w14:textId="6FB0C447" w:rsidR="0090322B" w:rsidRPr="00EA1280" w:rsidRDefault="0090322B" w:rsidP="00F528CB">
      <w:r w:rsidRPr="00EA1280">
        <w:t xml:space="preserve">By </w:t>
      </w:r>
      <w:r w:rsidR="000853F2">
        <w:t>sex</w:t>
      </w:r>
      <w:r w:rsidRPr="00EA1280">
        <w:t>, there is a higher proportion of cases in Aboriginal and Torres Strait Islander females (5</w:t>
      </w:r>
      <w:r w:rsidR="000155FF" w:rsidRPr="00EA1280">
        <w:t>7</w:t>
      </w:r>
      <w:r w:rsidRPr="00EA1280">
        <w:t>%,</w:t>
      </w:r>
      <w:r w:rsidR="000155FF" w:rsidRPr="00EA1280">
        <w:t xml:space="preserve"> 76</w:t>
      </w:r>
      <w:r w:rsidRPr="00EA1280">
        <w:t xml:space="preserve"> cases) than in </w:t>
      </w:r>
      <w:r w:rsidR="002F1043">
        <w:t>n</w:t>
      </w:r>
      <w:r w:rsidRPr="00EA1280">
        <w:t>on-Indigenous females (</w:t>
      </w:r>
      <w:r w:rsidR="000155FF" w:rsidRPr="00EA1280">
        <w:t>51</w:t>
      </w:r>
      <w:r w:rsidRPr="00EA1280">
        <w:t xml:space="preserve">%, </w:t>
      </w:r>
      <w:r w:rsidR="000155FF" w:rsidRPr="00EA1280">
        <w:t>12,218</w:t>
      </w:r>
      <w:r w:rsidRPr="00EA1280">
        <w:t xml:space="preserve"> cases). The differences observed in </w:t>
      </w:r>
      <w:r w:rsidR="000853F2">
        <w:t>sex</w:t>
      </w:r>
      <w:r w:rsidRPr="00EA1280">
        <w:t xml:space="preserve"> for Aboriginal and Torres Strait Islander people likely reflect the small number of cases rather than any specific transmission pattern. </w:t>
      </w:r>
    </w:p>
    <w:p w14:paraId="4631D983" w14:textId="5D4E9690" w:rsidR="0090322B" w:rsidRPr="00EA1280" w:rsidRDefault="0090322B" w:rsidP="00F528CB">
      <w:r w:rsidRPr="00EA1280">
        <w:lastRenderedPageBreak/>
        <w:t>Overall, Aboriginal and Torres Strait Islander males are reporting a slightly higher proportion of cases in the 20–29 year age group (2</w:t>
      </w:r>
      <w:r w:rsidR="000155FF" w:rsidRPr="00EA1280">
        <w:t>6</w:t>
      </w:r>
      <w:r w:rsidRPr="00EA1280">
        <w:t xml:space="preserve">%) </w:t>
      </w:r>
      <w:r w:rsidR="00570BC7" w:rsidRPr="00EA1280">
        <w:t xml:space="preserve">compared to </w:t>
      </w:r>
      <w:r w:rsidR="002F1043">
        <w:t>n</w:t>
      </w:r>
      <w:r w:rsidRPr="00EA1280">
        <w:t>on-Indigenous cases (22%)</w:t>
      </w:r>
      <w:r w:rsidR="000155FF" w:rsidRPr="00EA1280">
        <w:t xml:space="preserve">, but a lower proportion of cases </w:t>
      </w:r>
      <w:r w:rsidR="002F1043">
        <w:t xml:space="preserve">in </w:t>
      </w:r>
      <w:r w:rsidR="000155FF" w:rsidRPr="00EA1280">
        <w:t>both the 40</w:t>
      </w:r>
      <w:r w:rsidR="002F1043">
        <w:t>–</w:t>
      </w:r>
      <w:r w:rsidR="000155FF" w:rsidRPr="00EA1280">
        <w:t>49 and 50</w:t>
      </w:r>
      <w:r w:rsidR="002F1043">
        <w:t>–</w:t>
      </w:r>
      <w:r w:rsidR="000155FF" w:rsidRPr="00EA1280">
        <w:t xml:space="preserve">59 year age groups (11% and 9% respectively) compared to </w:t>
      </w:r>
      <w:r w:rsidR="002F1043">
        <w:t>n</w:t>
      </w:r>
      <w:r w:rsidR="000155FF" w:rsidRPr="00EA1280">
        <w:t>on-Indigenous males (14% and 12% respectively)</w:t>
      </w:r>
      <w:r w:rsidR="00443EA4" w:rsidRPr="00EA1280">
        <w:t xml:space="preserve"> (Figure </w:t>
      </w:r>
      <w:r w:rsidR="002F1043">
        <w:t>8</w:t>
      </w:r>
      <w:r w:rsidR="00443EA4" w:rsidRPr="00EA1280">
        <w:t>)</w:t>
      </w:r>
      <w:r w:rsidR="000155FF" w:rsidRPr="00EA1280">
        <w:t xml:space="preserve">. </w:t>
      </w:r>
      <w:r w:rsidRPr="00EA1280">
        <w:t>Aboriginal and Torres Strait Islander females are reporting a higher proportion of cases in the</w:t>
      </w:r>
      <w:r w:rsidR="00450E15" w:rsidRPr="00EA1280">
        <w:t xml:space="preserve"> 10</w:t>
      </w:r>
      <w:r w:rsidR="00410620" w:rsidRPr="00EA1280">
        <w:t>–</w:t>
      </w:r>
      <w:r w:rsidR="00450E15" w:rsidRPr="00EA1280">
        <w:t>19 year and</w:t>
      </w:r>
      <w:r w:rsidRPr="00EA1280">
        <w:t xml:space="preserve"> 50–59 year age group</w:t>
      </w:r>
      <w:r w:rsidR="00450E15" w:rsidRPr="00EA1280">
        <w:t>s</w:t>
      </w:r>
      <w:r w:rsidRPr="00EA1280">
        <w:t xml:space="preserve"> (</w:t>
      </w:r>
      <w:r w:rsidR="00450E15" w:rsidRPr="00EA1280">
        <w:t>1</w:t>
      </w:r>
      <w:r w:rsidR="000155FF" w:rsidRPr="00EA1280">
        <w:t>5</w:t>
      </w:r>
      <w:r w:rsidR="00450E15" w:rsidRPr="00EA1280">
        <w:t xml:space="preserve">% and </w:t>
      </w:r>
      <w:r w:rsidRPr="00EA1280">
        <w:t>1</w:t>
      </w:r>
      <w:r w:rsidR="000155FF" w:rsidRPr="00EA1280">
        <w:t>7</w:t>
      </w:r>
      <w:r w:rsidRPr="00EA1280">
        <w:t>%</w:t>
      </w:r>
      <w:r w:rsidR="00450E15" w:rsidRPr="00EA1280">
        <w:t xml:space="preserve"> respectively</w:t>
      </w:r>
      <w:r w:rsidR="00570BC7" w:rsidRPr="00EA1280">
        <w:t xml:space="preserve">) than is seen among </w:t>
      </w:r>
      <w:r w:rsidR="002F1043">
        <w:t>n</w:t>
      </w:r>
      <w:r w:rsidRPr="00EA1280">
        <w:t xml:space="preserve">on-Indigenous </w:t>
      </w:r>
      <w:r w:rsidR="000155FF" w:rsidRPr="00EA1280">
        <w:t>females</w:t>
      </w:r>
      <w:r w:rsidRPr="00EA1280">
        <w:t xml:space="preserve"> (</w:t>
      </w:r>
      <w:r w:rsidR="000155FF" w:rsidRPr="00EA1280">
        <w:t>8</w:t>
      </w:r>
      <w:r w:rsidR="00450E15" w:rsidRPr="00EA1280">
        <w:t xml:space="preserve">% and </w:t>
      </w:r>
      <w:r w:rsidRPr="00EA1280">
        <w:t>1</w:t>
      </w:r>
      <w:r w:rsidR="000155FF" w:rsidRPr="00EA1280">
        <w:t>2</w:t>
      </w:r>
      <w:r w:rsidRPr="00EA1280">
        <w:t>%</w:t>
      </w:r>
      <w:r w:rsidR="00450E15" w:rsidRPr="00EA1280">
        <w:t xml:space="preserve"> respectively</w:t>
      </w:r>
      <w:r w:rsidRPr="00EA1280">
        <w:t>)</w:t>
      </w:r>
      <w:r w:rsidR="00570BC7" w:rsidRPr="00EA1280">
        <w:t xml:space="preserve">. However, </w:t>
      </w:r>
      <w:r w:rsidR="000155FF" w:rsidRPr="00EA1280">
        <w:t>rates in females age</w:t>
      </w:r>
      <w:r w:rsidR="00701BEA">
        <w:t>d</w:t>
      </w:r>
      <w:r w:rsidR="000155FF" w:rsidRPr="00EA1280">
        <w:t xml:space="preserve"> 70 and </w:t>
      </w:r>
      <w:r w:rsidR="00570BC7" w:rsidRPr="00EA1280">
        <w:t>o</w:t>
      </w:r>
      <w:r w:rsidR="000155FF" w:rsidRPr="00EA1280">
        <w:t xml:space="preserve">ver </w:t>
      </w:r>
      <w:r w:rsidR="00570BC7" w:rsidRPr="00EA1280">
        <w:t>are much lower than those in</w:t>
      </w:r>
      <w:r w:rsidR="000155FF" w:rsidRPr="00EA1280">
        <w:t xml:space="preserve"> </w:t>
      </w:r>
      <w:r w:rsidR="002F1043">
        <w:t>n</w:t>
      </w:r>
      <w:r w:rsidR="000155FF" w:rsidRPr="00EA1280">
        <w:t>on-Indigenous females</w:t>
      </w:r>
      <w:r w:rsidR="00570BC7" w:rsidRPr="00EA1280">
        <w:t xml:space="preserve"> aged 70 and over</w:t>
      </w:r>
      <w:r w:rsidR="00443EA4" w:rsidRPr="00EA1280">
        <w:t xml:space="preserve"> (Figure</w:t>
      </w:r>
      <w:r w:rsidR="00EA1280">
        <w:t xml:space="preserve"> 8</w:t>
      </w:r>
      <w:r w:rsidR="00443EA4" w:rsidRPr="00EA1280">
        <w:t>)</w:t>
      </w:r>
      <w:r w:rsidR="000155FF" w:rsidRPr="00EA1280">
        <w:t>.</w:t>
      </w:r>
      <w:r w:rsidRPr="00EA1280">
        <w:t xml:space="preserve"> </w:t>
      </w:r>
    </w:p>
    <w:p w14:paraId="017257C7" w14:textId="2156AD48" w:rsidR="00164927" w:rsidRPr="00EA1280" w:rsidRDefault="00164927" w:rsidP="000853F2">
      <w:pPr>
        <w:pStyle w:val="CDIFigures"/>
        <w:spacing w:after="0" w:afterAutospacing="0"/>
        <w:rPr>
          <w:rFonts w:cstheme="minorHAnsi"/>
        </w:rPr>
      </w:pPr>
      <w:r w:rsidRPr="00EA1280">
        <w:rPr>
          <w:rFonts w:cstheme="minorHAnsi"/>
        </w:rPr>
        <w:t xml:space="preserve">Table </w:t>
      </w:r>
      <w:r w:rsidR="00F6335F" w:rsidRPr="00EA1280">
        <w:rPr>
          <w:rFonts w:cstheme="minorHAnsi"/>
        </w:rPr>
        <w:t>5</w:t>
      </w:r>
      <w:r w:rsidR="00EA1280">
        <w:rPr>
          <w:rFonts w:cstheme="minorHAnsi"/>
        </w:rPr>
        <w:t>.</w:t>
      </w:r>
      <w:r w:rsidRPr="00EA1280">
        <w:rPr>
          <w:rFonts w:cstheme="minorHAnsi"/>
        </w:rPr>
        <w:t xml:space="preserve"> COVID-19 notifications </w:t>
      </w:r>
      <w:r w:rsidR="00DF24BD" w:rsidRPr="00EA1280">
        <w:rPr>
          <w:rFonts w:cstheme="minorHAnsi"/>
        </w:rPr>
        <w:t xml:space="preserve">by </w:t>
      </w:r>
      <w:r w:rsidR="00410620" w:rsidRPr="00EA1280">
        <w:rPr>
          <w:rFonts w:cstheme="minorHAnsi"/>
        </w:rPr>
        <w:t>Aboriginal and Torres Strait Islander s</w:t>
      </w:r>
      <w:r w:rsidR="00DF24BD" w:rsidRPr="00EA1280">
        <w:rPr>
          <w:rFonts w:cstheme="minorHAnsi"/>
        </w:rPr>
        <w:t>tatu</w:t>
      </w:r>
      <w:r w:rsidRPr="00EA1280">
        <w:rPr>
          <w:rFonts w:cstheme="minorHAnsi"/>
        </w:rPr>
        <w:t xml:space="preserve">s by jurisdiction, source of acquisition and remoteness classification as at </w:t>
      </w:r>
      <w:r w:rsidR="00FD75E9" w:rsidRPr="00EA1280">
        <w:rPr>
          <w:rFonts w:cstheme="minorHAnsi"/>
        </w:rPr>
        <w:t>16</w:t>
      </w:r>
      <w:r w:rsidR="004A719B" w:rsidRPr="00EA1280">
        <w:rPr>
          <w:rFonts w:cstheme="minorHAnsi"/>
        </w:rPr>
        <w:t xml:space="preserve"> August</w:t>
      </w:r>
      <w:r w:rsidRPr="00EA1280">
        <w:rPr>
          <w:rFonts w:cstheme="minorHAnsi"/>
        </w:rPr>
        <w:t xml:space="preserve"> 2020</w:t>
      </w:r>
      <w:r w:rsidRPr="00EA1280">
        <w:rPr>
          <w:rFonts w:cstheme="minorHAnsi"/>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notifications among Aboriginal and Torres Strait Islander people, and for all Australian cases, by place of acquisition and, for locally-acquired cases, by remoteness classification. There have been 132 notifications in Aboriginal and Torres Strait Islander people, with 30 of these cases overseas-acquired. Nationwide, notifications of locally-acquired cases among Aboriginal and Torres Strait Islander people have occurred predominantly within major cities of Australia (75 cases) rather than in inner regional Australia (16 cases) or outer regional Australia (7 cases). The trend across all locally-acquired Australian cases is broadly similar. Of 24 cases to date reported in remote or very remote Australia, 3 are in an Aboriginal or Torres Strait Islander person."/>
      </w:tblPr>
      <w:tblGrid>
        <w:gridCol w:w="1985"/>
        <w:gridCol w:w="1405"/>
        <w:gridCol w:w="1405"/>
        <w:gridCol w:w="1405"/>
        <w:gridCol w:w="1405"/>
        <w:gridCol w:w="1134"/>
        <w:gridCol w:w="1056"/>
        <w:gridCol w:w="671"/>
      </w:tblGrid>
      <w:tr w:rsidR="00654160" w:rsidRPr="00235035" w14:paraId="438CB461" w14:textId="77777777" w:rsidTr="004A719B">
        <w:trPr>
          <w:cnfStyle w:val="100000000000" w:firstRow="1" w:lastRow="0" w:firstColumn="0" w:lastColumn="0" w:oddVBand="0" w:evenVBand="0" w:oddHBand="0" w:evenHBand="0" w:firstRowFirstColumn="0" w:firstRowLastColumn="0" w:lastRowFirstColumn="0" w:lastRowLastColumn="0"/>
          <w:tblHeader/>
        </w:trPr>
        <w:tc>
          <w:tcPr>
            <w:tcW w:w="1985" w:type="dxa"/>
            <w:vMerge w:val="restart"/>
            <w:tcBorders>
              <w:bottom w:val="single" w:sz="2" w:space="0" w:color="FFFFFF" w:themeColor="background1"/>
              <w:right w:val="single" w:sz="2" w:space="0" w:color="FFFFFF" w:themeColor="background1"/>
            </w:tcBorders>
            <w:hideMark/>
          </w:tcPr>
          <w:p w14:paraId="1A9E10F6" w14:textId="77777777" w:rsidR="00164927" w:rsidRPr="00235035" w:rsidRDefault="00164927" w:rsidP="00D84D6C">
            <w:pPr>
              <w:pStyle w:val="NormalWeb"/>
              <w:rPr>
                <w:rFonts w:cstheme="minorHAnsi"/>
                <w:color w:val="FFFFFF" w:themeColor="background1"/>
                <w:sz w:val="20"/>
              </w:rPr>
            </w:pPr>
          </w:p>
        </w:tc>
        <w:tc>
          <w:tcPr>
            <w:tcW w:w="5620"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3CFD7287" w14:textId="77777777" w:rsidR="00164927" w:rsidRPr="00235035" w:rsidRDefault="00164927" w:rsidP="00551330">
            <w:pPr>
              <w:pStyle w:val="NormalWeb"/>
              <w:jc w:val="center"/>
              <w:rPr>
                <w:rFonts w:cstheme="minorHAnsi"/>
                <w:color w:val="FFFFFF" w:themeColor="background1"/>
                <w:sz w:val="20"/>
              </w:rPr>
            </w:pPr>
            <w:r w:rsidRPr="00235035">
              <w:rPr>
                <w:rFonts w:cstheme="minorHAnsi"/>
                <w:color w:val="FFFFFF" w:themeColor="background1"/>
                <w:sz w:val="20"/>
              </w:rPr>
              <w:t>Locally acquired</w:t>
            </w:r>
          </w:p>
        </w:tc>
        <w:tc>
          <w:tcPr>
            <w:tcW w:w="1134"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621F7D1F" w14:textId="77777777" w:rsidR="00164927" w:rsidRPr="00235035" w:rsidRDefault="00164927" w:rsidP="00D84D6C">
            <w:pPr>
              <w:pStyle w:val="NormalWeb"/>
              <w:jc w:val="center"/>
              <w:rPr>
                <w:rFonts w:cstheme="minorHAnsi"/>
                <w:color w:val="FFFFFF" w:themeColor="background1"/>
                <w:sz w:val="20"/>
              </w:rPr>
            </w:pPr>
            <w:r w:rsidRPr="00235035">
              <w:rPr>
                <w:rFonts w:cstheme="minorHAnsi"/>
                <w:color w:val="FFFFFF" w:themeColor="background1"/>
                <w:sz w:val="20"/>
              </w:rPr>
              <w:t>Overseas acquired</w:t>
            </w:r>
          </w:p>
        </w:tc>
        <w:tc>
          <w:tcPr>
            <w:tcW w:w="1056"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6D0FE8C6" w14:textId="77777777" w:rsidR="00164927" w:rsidRPr="00235035" w:rsidRDefault="00164927" w:rsidP="00D84D6C">
            <w:pPr>
              <w:pStyle w:val="NormalWeb"/>
              <w:jc w:val="center"/>
              <w:rPr>
                <w:rFonts w:cstheme="minorHAnsi"/>
                <w:color w:val="FFFFFF" w:themeColor="background1"/>
                <w:sz w:val="20"/>
              </w:rPr>
            </w:pPr>
            <w:proofErr w:type="spellStart"/>
            <w:r w:rsidRPr="00235035">
              <w:rPr>
                <w:rFonts w:cstheme="minorHAnsi"/>
                <w:color w:val="FFFFFF" w:themeColor="background1"/>
                <w:sz w:val="20"/>
              </w:rPr>
              <w:t>Unknown</w:t>
            </w:r>
            <w:r w:rsidR="00551330" w:rsidRPr="00235035">
              <w:rPr>
                <w:rFonts w:cstheme="minorHAnsi"/>
                <w:color w:val="FFFFFF" w:themeColor="background1"/>
                <w:sz w:val="20"/>
                <w:vertAlign w:val="superscript"/>
              </w:rPr>
              <w:t>b</w:t>
            </w:r>
            <w:proofErr w:type="spellEnd"/>
          </w:p>
        </w:tc>
        <w:tc>
          <w:tcPr>
            <w:tcW w:w="0" w:type="auto"/>
            <w:vMerge w:val="restart"/>
            <w:tcBorders>
              <w:left w:val="single" w:sz="2" w:space="0" w:color="FFFFFF" w:themeColor="background1"/>
              <w:bottom w:val="single" w:sz="2" w:space="0" w:color="FFFFFF" w:themeColor="background1"/>
            </w:tcBorders>
            <w:vAlign w:val="center"/>
            <w:hideMark/>
          </w:tcPr>
          <w:p w14:paraId="1661DDF5" w14:textId="77777777" w:rsidR="00164927" w:rsidRPr="00235035" w:rsidRDefault="00164927" w:rsidP="00D84D6C">
            <w:pPr>
              <w:pStyle w:val="NormalWeb"/>
              <w:jc w:val="center"/>
              <w:rPr>
                <w:rFonts w:cstheme="minorHAnsi"/>
                <w:color w:val="FFFFFF" w:themeColor="background1"/>
                <w:sz w:val="20"/>
              </w:rPr>
            </w:pPr>
            <w:r w:rsidRPr="00235035">
              <w:rPr>
                <w:rFonts w:cstheme="minorHAnsi"/>
                <w:color w:val="FFFFFF" w:themeColor="background1"/>
                <w:sz w:val="20"/>
                <w:lang w:val="en-US"/>
              </w:rPr>
              <w:t>Total</w:t>
            </w:r>
          </w:p>
        </w:tc>
      </w:tr>
      <w:tr w:rsidR="00654160" w:rsidRPr="00235035" w14:paraId="1EDA6CD0" w14:textId="77777777" w:rsidTr="004A719B">
        <w:trPr>
          <w:cnfStyle w:val="100000000000" w:firstRow="1" w:lastRow="0" w:firstColumn="0" w:lastColumn="0" w:oddVBand="0" w:evenVBand="0" w:oddHBand="0" w:evenHBand="0" w:firstRowFirstColumn="0" w:firstRowLastColumn="0" w:lastRowFirstColumn="0" w:lastRowLastColumn="0"/>
          <w:tblHeader/>
        </w:trPr>
        <w:tc>
          <w:tcPr>
            <w:tcW w:w="1985" w:type="dxa"/>
            <w:vMerge/>
            <w:tcBorders>
              <w:top w:val="single" w:sz="2" w:space="0" w:color="FFFFFF" w:themeColor="background1"/>
              <w:right w:val="single" w:sz="2" w:space="0" w:color="FFFFFF" w:themeColor="background1"/>
            </w:tcBorders>
            <w:hideMark/>
          </w:tcPr>
          <w:p w14:paraId="07F0C5CF" w14:textId="77777777" w:rsidR="00164927" w:rsidRPr="00235035" w:rsidRDefault="00164927" w:rsidP="00D84D6C">
            <w:pPr>
              <w:rPr>
                <w:rFonts w:cstheme="minorHAnsi"/>
                <w:color w:val="FFFFFF" w:themeColor="background1"/>
                <w:sz w:val="20"/>
              </w:rPr>
            </w:pPr>
          </w:p>
        </w:tc>
        <w:tc>
          <w:tcPr>
            <w:tcW w:w="1405" w:type="dxa"/>
            <w:tcBorders>
              <w:top w:val="single" w:sz="2" w:space="0" w:color="FFFFFF" w:themeColor="background1"/>
              <w:left w:val="single" w:sz="2" w:space="0" w:color="FFFFFF" w:themeColor="background1"/>
              <w:right w:val="single" w:sz="2" w:space="0" w:color="FFFFFF" w:themeColor="background1"/>
            </w:tcBorders>
            <w:vAlign w:val="center"/>
            <w:hideMark/>
          </w:tcPr>
          <w:p w14:paraId="3AE13E23" w14:textId="77777777" w:rsidR="00164927" w:rsidRPr="00235035" w:rsidRDefault="00164927" w:rsidP="00D84D6C">
            <w:pPr>
              <w:pStyle w:val="NormalWeb"/>
              <w:jc w:val="center"/>
              <w:rPr>
                <w:rFonts w:cstheme="minorHAnsi"/>
                <w:color w:val="FFFFFF" w:themeColor="background1"/>
                <w:sz w:val="20"/>
              </w:rPr>
            </w:pPr>
            <w:r w:rsidRPr="00235035">
              <w:rPr>
                <w:rFonts w:cstheme="minorHAnsi"/>
                <w:color w:val="FFFFFF" w:themeColor="background1"/>
                <w:sz w:val="20"/>
              </w:rPr>
              <w:t>Major Cities of Australia</w:t>
            </w:r>
          </w:p>
        </w:tc>
        <w:tc>
          <w:tcPr>
            <w:tcW w:w="1405" w:type="dxa"/>
            <w:tcBorders>
              <w:top w:val="single" w:sz="2" w:space="0" w:color="FFFFFF" w:themeColor="background1"/>
              <w:left w:val="single" w:sz="2" w:space="0" w:color="FFFFFF" w:themeColor="background1"/>
              <w:right w:val="single" w:sz="2" w:space="0" w:color="FFFFFF" w:themeColor="background1"/>
            </w:tcBorders>
            <w:vAlign w:val="center"/>
            <w:hideMark/>
          </w:tcPr>
          <w:p w14:paraId="6E19976F" w14:textId="77777777" w:rsidR="00164927" w:rsidRPr="00235035" w:rsidRDefault="00164927" w:rsidP="00D84D6C">
            <w:pPr>
              <w:pStyle w:val="NormalWeb"/>
              <w:jc w:val="center"/>
              <w:rPr>
                <w:rFonts w:cstheme="minorHAnsi"/>
                <w:color w:val="FFFFFF" w:themeColor="background1"/>
                <w:sz w:val="20"/>
              </w:rPr>
            </w:pPr>
            <w:r w:rsidRPr="00235035">
              <w:rPr>
                <w:rFonts w:cstheme="minorHAnsi"/>
                <w:color w:val="FFFFFF" w:themeColor="background1"/>
                <w:sz w:val="20"/>
              </w:rPr>
              <w:t>Inner Regional Australia</w:t>
            </w:r>
          </w:p>
        </w:tc>
        <w:tc>
          <w:tcPr>
            <w:tcW w:w="1405" w:type="dxa"/>
            <w:tcBorders>
              <w:top w:val="single" w:sz="2" w:space="0" w:color="FFFFFF" w:themeColor="background1"/>
              <w:left w:val="single" w:sz="2" w:space="0" w:color="FFFFFF" w:themeColor="background1"/>
              <w:right w:val="single" w:sz="2" w:space="0" w:color="FFFFFF" w:themeColor="background1"/>
            </w:tcBorders>
            <w:vAlign w:val="center"/>
            <w:hideMark/>
          </w:tcPr>
          <w:p w14:paraId="66D36B8B" w14:textId="77777777" w:rsidR="00164927" w:rsidRPr="00235035" w:rsidRDefault="00164927" w:rsidP="00D84D6C">
            <w:pPr>
              <w:pStyle w:val="NormalWeb"/>
              <w:jc w:val="center"/>
              <w:rPr>
                <w:rFonts w:cstheme="minorHAnsi"/>
                <w:color w:val="FFFFFF" w:themeColor="background1"/>
                <w:sz w:val="20"/>
              </w:rPr>
            </w:pPr>
            <w:r w:rsidRPr="00235035">
              <w:rPr>
                <w:rFonts w:cstheme="minorHAnsi"/>
                <w:color w:val="FFFFFF" w:themeColor="background1"/>
                <w:sz w:val="20"/>
              </w:rPr>
              <w:t>Outer Regional Australia</w:t>
            </w:r>
          </w:p>
        </w:tc>
        <w:tc>
          <w:tcPr>
            <w:tcW w:w="1405" w:type="dxa"/>
            <w:tcBorders>
              <w:top w:val="single" w:sz="2" w:space="0" w:color="FFFFFF" w:themeColor="background1"/>
              <w:left w:val="single" w:sz="2" w:space="0" w:color="FFFFFF" w:themeColor="background1"/>
              <w:right w:val="single" w:sz="2" w:space="0" w:color="FFFFFF" w:themeColor="background1"/>
            </w:tcBorders>
            <w:vAlign w:val="center"/>
            <w:hideMark/>
          </w:tcPr>
          <w:p w14:paraId="57D194D4" w14:textId="77777777" w:rsidR="00164927" w:rsidRPr="00235035" w:rsidRDefault="00164927" w:rsidP="00D84D6C">
            <w:pPr>
              <w:pStyle w:val="NormalWeb"/>
              <w:jc w:val="center"/>
              <w:rPr>
                <w:rFonts w:cstheme="minorHAnsi"/>
                <w:color w:val="FFFFFF" w:themeColor="background1"/>
                <w:sz w:val="20"/>
              </w:rPr>
            </w:pPr>
            <w:r w:rsidRPr="00235035">
              <w:rPr>
                <w:rFonts w:cstheme="minorHAnsi"/>
                <w:color w:val="FFFFFF" w:themeColor="background1"/>
                <w:sz w:val="20"/>
                <w:lang w:val="en-US"/>
              </w:rPr>
              <w:t xml:space="preserve">Remote </w:t>
            </w:r>
            <w:r w:rsidR="002714F7" w:rsidRPr="00235035">
              <w:rPr>
                <w:rFonts w:cstheme="minorHAnsi"/>
                <w:color w:val="FFFFFF" w:themeColor="background1"/>
                <w:sz w:val="20"/>
                <w:lang w:val="en-US"/>
              </w:rPr>
              <w:t xml:space="preserve">/ Very Remote </w:t>
            </w:r>
            <w:r w:rsidRPr="00235035">
              <w:rPr>
                <w:rFonts w:cstheme="minorHAnsi"/>
                <w:color w:val="FFFFFF" w:themeColor="background1"/>
                <w:sz w:val="20"/>
                <w:lang w:val="en-US"/>
              </w:rPr>
              <w:t>Australia</w:t>
            </w:r>
          </w:p>
        </w:tc>
        <w:tc>
          <w:tcPr>
            <w:tcW w:w="1134"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1E4760FC" w14:textId="77777777" w:rsidR="00164927" w:rsidRPr="00235035" w:rsidRDefault="00164927" w:rsidP="00D84D6C">
            <w:pPr>
              <w:jc w:val="center"/>
              <w:rPr>
                <w:rFonts w:cstheme="minorHAnsi"/>
                <w:color w:val="FFFFFF" w:themeColor="background1"/>
                <w:sz w:val="20"/>
              </w:rPr>
            </w:pPr>
          </w:p>
        </w:tc>
        <w:tc>
          <w:tcPr>
            <w:tcW w:w="1056"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33606077" w14:textId="77777777" w:rsidR="00164927" w:rsidRPr="00235035" w:rsidRDefault="00164927" w:rsidP="00D84D6C">
            <w:pPr>
              <w:jc w:val="center"/>
              <w:rPr>
                <w:rFonts w:cstheme="minorHAnsi"/>
                <w:color w:val="FFFFFF" w:themeColor="background1"/>
                <w:sz w:val="20"/>
              </w:rPr>
            </w:pPr>
          </w:p>
        </w:tc>
        <w:tc>
          <w:tcPr>
            <w:tcW w:w="0" w:type="auto"/>
            <w:vMerge/>
            <w:tcBorders>
              <w:top w:val="single" w:sz="2" w:space="0" w:color="FFFFFF" w:themeColor="background1"/>
              <w:left w:val="single" w:sz="2" w:space="0" w:color="FFFFFF" w:themeColor="background1"/>
            </w:tcBorders>
            <w:vAlign w:val="center"/>
            <w:hideMark/>
          </w:tcPr>
          <w:p w14:paraId="1361828F" w14:textId="77777777" w:rsidR="00164927" w:rsidRPr="00235035" w:rsidRDefault="00164927" w:rsidP="00D84D6C">
            <w:pPr>
              <w:jc w:val="center"/>
              <w:rPr>
                <w:rFonts w:cstheme="minorHAnsi"/>
                <w:color w:val="FFFFFF" w:themeColor="background1"/>
                <w:sz w:val="20"/>
              </w:rPr>
            </w:pPr>
          </w:p>
        </w:tc>
      </w:tr>
      <w:tr w:rsidR="00551330" w:rsidRPr="000853F2" w14:paraId="2F49B66F" w14:textId="77777777" w:rsidTr="004A719B">
        <w:tc>
          <w:tcPr>
            <w:tcW w:w="1985" w:type="dxa"/>
            <w:hideMark/>
          </w:tcPr>
          <w:p w14:paraId="3C8D1844" w14:textId="77777777" w:rsidR="00551330" w:rsidRPr="000853F2" w:rsidRDefault="00551330" w:rsidP="00551330">
            <w:pPr>
              <w:pStyle w:val="NormalWeb"/>
              <w:rPr>
                <w:rFonts w:asciiTheme="minorHAnsi" w:hAnsiTheme="minorHAnsi" w:cstheme="minorHAnsi"/>
                <w:sz w:val="20"/>
              </w:rPr>
            </w:pPr>
            <w:r w:rsidRPr="000853F2">
              <w:rPr>
                <w:rFonts w:asciiTheme="minorHAnsi" w:hAnsiTheme="minorHAnsi" w:cstheme="minorHAnsi"/>
                <w:sz w:val="20"/>
              </w:rPr>
              <w:t xml:space="preserve">Aboriginal and Torres Strait Islander </w:t>
            </w:r>
          </w:p>
        </w:tc>
        <w:tc>
          <w:tcPr>
            <w:tcW w:w="1405" w:type="dxa"/>
            <w:hideMark/>
          </w:tcPr>
          <w:p w14:paraId="0BE8C518"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75</w:t>
            </w:r>
          </w:p>
        </w:tc>
        <w:tc>
          <w:tcPr>
            <w:tcW w:w="1405" w:type="dxa"/>
            <w:hideMark/>
          </w:tcPr>
          <w:p w14:paraId="7BDDDBC4"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16</w:t>
            </w:r>
          </w:p>
        </w:tc>
        <w:tc>
          <w:tcPr>
            <w:tcW w:w="1405" w:type="dxa"/>
            <w:hideMark/>
          </w:tcPr>
          <w:p w14:paraId="0944FB4C"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7</w:t>
            </w:r>
          </w:p>
        </w:tc>
        <w:tc>
          <w:tcPr>
            <w:tcW w:w="1405" w:type="dxa"/>
            <w:hideMark/>
          </w:tcPr>
          <w:p w14:paraId="36694749"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3</w:t>
            </w:r>
          </w:p>
        </w:tc>
        <w:tc>
          <w:tcPr>
            <w:tcW w:w="1134" w:type="dxa"/>
            <w:hideMark/>
          </w:tcPr>
          <w:p w14:paraId="7FE08997"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30</w:t>
            </w:r>
          </w:p>
        </w:tc>
        <w:tc>
          <w:tcPr>
            <w:tcW w:w="1056" w:type="dxa"/>
            <w:hideMark/>
          </w:tcPr>
          <w:p w14:paraId="640B7065"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1</w:t>
            </w:r>
          </w:p>
        </w:tc>
        <w:tc>
          <w:tcPr>
            <w:tcW w:w="0" w:type="auto"/>
            <w:hideMark/>
          </w:tcPr>
          <w:p w14:paraId="25E3CD5A"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132</w:t>
            </w:r>
          </w:p>
        </w:tc>
      </w:tr>
      <w:tr w:rsidR="00551330" w:rsidRPr="000853F2" w14:paraId="1AF1433E" w14:textId="77777777" w:rsidTr="004A719B">
        <w:trPr>
          <w:cnfStyle w:val="000000010000" w:firstRow="0" w:lastRow="0" w:firstColumn="0" w:lastColumn="0" w:oddVBand="0" w:evenVBand="0" w:oddHBand="0" w:evenHBand="1" w:firstRowFirstColumn="0" w:firstRowLastColumn="0" w:lastRowFirstColumn="0" w:lastRowLastColumn="0"/>
        </w:trPr>
        <w:tc>
          <w:tcPr>
            <w:tcW w:w="1985" w:type="dxa"/>
            <w:hideMark/>
          </w:tcPr>
          <w:p w14:paraId="39E897C4" w14:textId="77777777" w:rsidR="00551330" w:rsidRPr="000853F2" w:rsidRDefault="00551330" w:rsidP="00551330">
            <w:pPr>
              <w:pStyle w:val="NormalWeb"/>
              <w:rPr>
                <w:rFonts w:asciiTheme="minorHAnsi" w:hAnsiTheme="minorHAnsi" w:cstheme="minorHAnsi"/>
                <w:sz w:val="20"/>
                <w:vertAlign w:val="superscript"/>
              </w:rPr>
            </w:pPr>
            <w:r w:rsidRPr="000853F2">
              <w:rPr>
                <w:rFonts w:asciiTheme="minorHAnsi" w:hAnsiTheme="minorHAnsi" w:cstheme="minorHAnsi"/>
                <w:sz w:val="20"/>
              </w:rPr>
              <w:t xml:space="preserve">Non-Indigenous </w:t>
            </w:r>
          </w:p>
        </w:tc>
        <w:tc>
          <w:tcPr>
            <w:tcW w:w="1405" w:type="dxa"/>
            <w:hideMark/>
          </w:tcPr>
          <w:p w14:paraId="2B131312"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17,027</w:t>
            </w:r>
          </w:p>
        </w:tc>
        <w:tc>
          <w:tcPr>
            <w:tcW w:w="1405" w:type="dxa"/>
            <w:hideMark/>
          </w:tcPr>
          <w:p w14:paraId="15CF5D5A"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805</w:t>
            </w:r>
          </w:p>
        </w:tc>
        <w:tc>
          <w:tcPr>
            <w:tcW w:w="1405" w:type="dxa"/>
            <w:hideMark/>
          </w:tcPr>
          <w:p w14:paraId="4F3D07EE"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229</w:t>
            </w:r>
          </w:p>
        </w:tc>
        <w:tc>
          <w:tcPr>
            <w:tcW w:w="1405" w:type="dxa"/>
            <w:hideMark/>
          </w:tcPr>
          <w:p w14:paraId="7366252D"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21</w:t>
            </w:r>
          </w:p>
        </w:tc>
        <w:tc>
          <w:tcPr>
            <w:tcW w:w="1134" w:type="dxa"/>
            <w:hideMark/>
          </w:tcPr>
          <w:p w14:paraId="30AD28E2"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5,067</w:t>
            </w:r>
          </w:p>
        </w:tc>
        <w:tc>
          <w:tcPr>
            <w:tcW w:w="1056" w:type="dxa"/>
            <w:hideMark/>
          </w:tcPr>
          <w:p w14:paraId="7E06318D"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415</w:t>
            </w:r>
          </w:p>
        </w:tc>
        <w:tc>
          <w:tcPr>
            <w:tcW w:w="0" w:type="auto"/>
            <w:hideMark/>
          </w:tcPr>
          <w:p w14:paraId="4EA7EB0D" w14:textId="77777777" w:rsidR="00551330" w:rsidRPr="000853F2" w:rsidRDefault="00551330" w:rsidP="00551330">
            <w:pPr>
              <w:pStyle w:val="NormalWeb"/>
              <w:jc w:val="center"/>
              <w:rPr>
                <w:rFonts w:asciiTheme="minorHAnsi" w:hAnsiTheme="minorHAnsi" w:cstheme="minorHAnsi"/>
                <w:sz w:val="20"/>
                <w:szCs w:val="20"/>
              </w:rPr>
            </w:pPr>
            <w:r w:rsidRPr="000853F2">
              <w:rPr>
                <w:rFonts w:asciiTheme="minorHAnsi" w:hAnsiTheme="minorHAnsi" w:cstheme="minorHAnsi"/>
                <w:sz w:val="20"/>
                <w:szCs w:val="20"/>
              </w:rPr>
              <w:t>23,564</w:t>
            </w:r>
          </w:p>
        </w:tc>
      </w:tr>
    </w:tbl>
    <w:p w14:paraId="34AD5C1E" w14:textId="77777777" w:rsidR="004A719B" w:rsidRPr="00F528CB" w:rsidRDefault="00654160" w:rsidP="00F528CB">
      <w:pPr>
        <w:pStyle w:val="CDIfootnotes"/>
      </w:pPr>
      <w:r w:rsidRPr="00F528CB">
        <w:t>a</w:t>
      </w:r>
      <w:r w:rsidRPr="00F528CB">
        <w:tab/>
      </w:r>
      <w:r w:rsidR="004A719B" w:rsidRPr="00F528CB">
        <w:t xml:space="preserve">Excludes 1 probable </w:t>
      </w:r>
      <w:r w:rsidR="00410620" w:rsidRPr="00F528CB">
        <w:t xml:space="preserve">Aboriginal and Torres Strait Islander </w:t>
      </w:r>
      <w:r w:rsidR="004A719B" w:rsidRPr="00F528CB">
        <w:t>case</w:t>
      </w:r>
      <w:r w:rsidR="00410620" w:rsidRPr="00F528CB">
        <w:t>.</w:t>
      </w:r>
    </w:p>
    <w:p w14:paraId="79B3C662" w14:textId="77777777" w:rsidR="00164927" w:rsidRPr="00F528CB" w:rsidRDefault="00654160" w:rsidP="00F528CB">
      <w:pPr>
        <w:pStyle w:val="CDIfootnotes"/>
      </w:pPr>
      <w:r w:rsidRPr="00F528CB">
        <w:t>b</w:t>
      </w:r>
      <w:r w:rsidRPr="00F528CB">
        <w:tab/>
      </w:r>
      <w:r w:rsidR="00551330" w:rsidRPr="00F528CB">
        <w:t>Includes</w:t>
      </w:r>
      <w:r w:rsidR="002714F7" w:rsidRPr="00F528CB">
        <w:t xml:space="preserve"> 2</w:t>
      </w:r>
      <w:r w:rsidR="00551330" w:rsidRPr="00F528CB">
        <w:t>9</w:t>
      </w:r>
      <w:r w:rsidR="002714F7" w:rsidRPr="00F528CB">
        <w:t xml:space="preserve"> cases classified as overseas residents who were diagnosed in Australia</w:t>
      </w:r>
      <w:r w:rsidR="00410620" w:rsidRPr="00F528CB">
        <w:t>.</w:t>
      </w:r>
      <w:r w:rsidR="002714F7" w:rsidRPr="00F528CB">
        <w:t xml:space="preserve"> </w:t>
      </w:r>
    </w:p>
    <w:p w14:paraId="4065AFA5" w14:textId="77777777" w:rsidR="008141F8" w:rsidRDefault="008141F8">
      <w:pPr>
        <w:rPr>
          <w:rFonts w:cstheme="minorHAnsi"/>
          <w:b/>
          <w:color w:val="000000" w:themeColor="text1"/>
        </w:rPr>
      </w:pPr>
      <w:r>
        <w:rPr>
          <w:rFonts w:cstheme="minorHAnsi"/>
          <w:color w:val="000000" w:themeColor="text1"/>
        </w:rPr>
        <w:br w:type="page"/>
      </w:r>
    </w:p>
    <w:p w14:paraId="00CE957E" w14:textId="1347B133" w:rsidR="009564FA" w:rsidRPr="0012554A" w:rsidRDefault="0090322B" w:rsidP="008E1895">
      <w:pPr>
        <w:pStyle w:val="CDIFigures"/>
        <w:spacing w:after="0" w:afterAutospacing="0" w:line="240" w:lineRule="auto"/>
        <w:rPr>
          <w:rFonts w:cstheme="minorHAnsi"/>
          <w:color w:val="000000" w:themeColor="text1"/>
        </w:rPr>
      </w:pPr>
      <w:r w:rsidRPr="00235035">
        <w:rPr>
          <w:rFonts w:cstheme="minorHAnsi"/>
          <w:color w:val="000000" w:themeColor="text1"/>
        </w:rPr>
        <w:lastRenderedPageBreak/>
        <w:t xml:space="preserve">Figure </w:t>
      </w:r>
      <w:r w:rsidR="00EA1280">
        <w:rPr>
          <w:rFonts w:cstheme="minorHAnsi"/>
          <w:color w:val="000000" w:themeColor="text1"/>
        </w:rPr>
        <w:t>8.</w:t>
      </w:r>
      <w:r w:rsidR="009564FA" w:rsidRPr="0012554A">
        <w:rPr>
          <w:rFonts w:cstheme="minorHAnsi"/>
          <w:color w:val="000000" w:themeColor="text1"/>
        </w:rPr>
        <w:t xml:space="preserve"> National COVID-19 notifications by age group and sex, Aboriginal and Torr</w:t>
      </w:r>
      <w:r w:rsidR="00DF24BD" w:rsidRPr="0012554A">
        <w:rPr>
          <w:rFonts w:cstheme="minorHAnsi"/>
          <w:color w:val="000000" w:themeColor="text1"/>
        </w:rPr>
        <w:t xml:space="preserve">es Strait Islander persons and </w:t>
      </w:r>
      <w:r w:rsidR="003959D3" w:rsidRPr="0012554A">
        <w:rPr>
          <w:rFonts w:cstheme="minorHAnsi"/>
          <w:color w:val="000000" w:themeColor="text1"/>
        </w:rPr>
        <w:t>n</w:t>
      </w:r>
      <w:r w:rsidR="009564FA" w:rsidRPr="0012554A">
        <w:rPr>
          <w:rFonts w:cstheme="minorHAnsi"/>
          <w:color w:val="000000" w:themeColor="text1"/>
        </w:rPr>
        <w:t xml:space="preserve">on-Indigenous </w:t>
      </w:r>
      <w:proofErr w:type="spellStart"/>
      <w:r w:rsidR="009564FA" w:rsidRPr="0012554A">
        <w:rPr>
          <w:rFonts w:cstheme="minorHAnsi"/>
          <w:color w:val="000000" w:themeColor="text1"/>
        </w:rPr>
        <w:t>Australians</w:t>
      </w:r>
      <w:r w:rsidR="009564FA" w:rsidRPr="0012554A">
        <w:rPr>
          <w:rFonts w:cstheme="minorHAnsi"/>
          <w:color w:val="000000" w:themeColor="text1"/>
          <w:vertAlign w:val="superscript"/>
        </w:rPr>
        <w:t>a</w:t>
      </w:r>
      <w:proofErr w:type="spellEnd"/>
    </w:p>
    <w:p w14:paraId="1049A7DE" w14:textId="07D2F628" w:rsidR="009564FA" w:rsidRPr="0012554A" w:rsidRDefault="00C94277" w:rsidP="00D84D6C">
      <w:pPr>
        <w:spacing w:line="240" w:lineRule="auto"/>
        <w:rPr>
          <w:rFonts w:eastAsia="Times New Roman" w:cstheme="minorHAnsi"/>
          <w:color w:val="000000" w:themeColor="text1"/>
        </w:rPr>
      </w:pPr>
      <w:r>
        <w:rPr>
          <w:rFonts w:eastAsia="Times New Roman" w:cstheme="minorHAnsi"/>
          <w:noProof/>
          <w:color w:val="000000" w:themeColor="text1"/>
        </w:rPr>
        <w:pict w14:anchorId="1423E1C3">
          <v:shape id="_x0000_i1032" type="#_x0000_t75" alt="A bar chart showing the dependence, of confirmed COVID-19 cases, on age group, Aboriginal and Torres Strait Islander status, and sex. Notifications are highest in the 20 to 29 age group for both males and females, with cases among males predominating in this age group among Aboriginal and Torres Strait Islander persons while there is a higher percentage of cases in this age group among non-Indigenous females.&#10;" style="width:522.85pt;height:262.3pt">
            <v:imagedata r:id="rId19" o:title="figures5"/>
          </v:shape>
        </w:pict>
      </w:r>
    </w:p>
    <w:p w14:paraId="74B99FC0" w14:textId="1E5B6CC4" w:rsidR="009564FA" w:rsidRPr="00F528CB" w:rsidRDefault="009564FA" w:rsidP="00F528CB">
      <w:pPr>
        <w:pStyle w:val="CDIfootnotes"/>
      </w:pPr>
      <w:r w:rsidRPr="00F528CB">
        <w:t>a</w:t>
      </w:r>
      <w:r w:rsidRPr="00F528CB">
        <w:tab/>
        <w:t>‘</w:t>
      </w:r>
      <w:proofErr w:type="gramStart"/>
      <w:r w:rsidRPr="00F528CB">
        <w:t>Non-Indigenous’</w:t>
      </w:r>
      <w:proofErr w:type="gramEnd"/>
      <w:r w:rsidRPr="00F528CB">
        <w:t xml:space="preserve"> includes one person </w:t>
      </w:r>
      <w:r w:rsidR="005C2000" w:rsidRPr="00F528CB">
        <w:t xml:space="preserve">identified as gender X, and 88 </w:t>
      </w:r>
      <w:r w:rsidR="002F1043" w:rsidRPr="00F528CB">
        <w:t>n</w:t>
      </w:r>
      <w:r w:rsidRPr="00F528CB">
        <w:t>on-Indigenous Australians with unknown gender.</w:t>
      </w:r>
    </w:p>
    <w:p w14:paraId="1032859F" w14:textId="77777777" w:rsidR="00B368F7" w:rsidRPr="00236158" w:rsidRDefault="00B368F7" w:rsidP="00236158">
      <w:pPr>
        <w:pStyle w:val="Heading1"/>
      </w:pPr>
      <w:r w:rsidRPr="00236158">
        <w:t xml:space="preserve">Public health response measures </w:t>
      </w:r>
    </w:p>
    <w:p w14:paraId="7D3CE02D" w14:textId="7D390A6F" w:rsidR="00B368F7" w:rsidRPr="0012554A" w:rsidRDefault="00B368F7" w:rsidP="00236158">
      <w:r w:rsidRPr="00BB499B">
        <w:t xml:space="preserve">Since COVID-19 first emerged internationally, Australia has implemented public health measures informed by the disease’s epidemiology (Figure </w:t>
      </w:r>
      <w:r w:rsidR="00EA1280">
        <w:t>9</w:t>
      </w:r>
      <w:r w:rsidRPr="00BB499B">
        <w:t>). On</w:t>
      </w:r>
      <w:r w:rsidRPr="0012554A">
        <w:t xml:space="preserve"> Friday 8 May, the Australian Government announced a three-step framework for easing COVID-19 restrictions, with states and territories easing restrictions at their own pace depending on the current public health situation and local epidemiology. </w:t>
      </w:r>
    </w:p>
    <w:p w14:paraId="23712020" w14:textId="76121321" w:rsidR="00C77ED4" w:rsidRPr="0012554A" w:rsidRDefault="00FF4727" w:rsidP="00236158">
      <w:r w:rsidRPr="0012554A">
        <w:t>During the current reporting period</w:t>
      </w:r>
      <w:r w:rsidR="00D05FD0" w:rsidRPr="0012554A">
        <w:t xml:space="preserve"> no new measures were introduced and no changes were made to</w:t>
      </w:r>
      <w:r w:rsidR="00880F5D" w:rsidRPr="0012554A">
        <w:t xml:space="preserve"> mea</w:t>
      </w:r>
      <w:r w:rsidR="00EA1280">
        <w:t>sures already in place</w:t>
      </w:r>
      <w:r w:rsidR="00880F5D" w:rsidRPr="0012554A">
        <w:t>.</w:t>
      </w:r>
      <w:r w:rsidR="00865BA7">
        <w:rPr>
          <w:vertAlign w:val="superscript"/>
        </w:rPr>
        <w:t>1–9</w:t>
      </w:r>
      <w:r w:rsidR="00880F5D" w:rsidRPr="0012554A">
        <w:t xml:space="preserve"> S</w:t>
      </w:r>
      <w:r w:rsidRPr="0012554A">
        <w:t xml:space="preserve">tates and territories continued to apply existing measures including use of facemasks </w:t>
      </w:r>
      <w:r w:rsidR="00C77ED4" w:rsidRPr="0012554A">
        <w:t xml:space="preserve">(Victoria and New South Wales) </w:t>
      </w:r>
      <w:r w:rsidRPr="0012554A">
        <w:t>and domestic border restrictions</w:t>
      </w:r>
      <w:r w:rsidR="00C77ED4" w:rsidRPr="0012554A">
        <w:t xml:space="preserve"> (Queensland</w:t>
      </w:r>
      <w:r w:rsidR="00BB499B">
        <w:t>, South Australia and Tasmania)</w:t>
      </w:r>
      <w:r w:rsidRPr="0012554A">
        <w:t xml:space="preserve">.  </w:t>
      </w:r>
    </w:p>
    <w:p w14:paraId="45EA362E" w14:textId="77777777" w:rsidR="00C77ED4" w:rsidRPr="0012554A" w:rsidRDefault="00C77ED4" w:rsidP="00236158">
      <w:r w:rsidRPr="0012554A">
        <w:t>Key aspects of Australia’s evolving public health response are summarised in previous reports.</w:t>
      </w:r>
    </w:p>
    <w:p w14:paraId="49F78495" w14:textId="77777777" w:rsidR="00B368F7" w:rsidRPr="0012554A" w:rsidRDefault="00B368F7" w:rsidP="00D84D6C">
      <w:pPr>
        <w:pStyle w:val="NormalWeb"/>
        <w:spacing w:line="240" w:lineRule="auto"/>
        <w:rPr>
          <w:rFonts w:cstheme="minorHAnsi"/>
          <w:color w:val="000000" w:themeColor="text1"/>
        </w:rPr>
        <w:sectPr w:rsidR="00B368F7" w:rsidRPr="0012554A" w:rsidSect="00431D19">
          <w:headerReference w:type="default" r:id="rId20"/>
          <w:footerReference w:type="default" r:id="rId21"/>
          <w:footerReference w:type="first" r:id="rId22"/>
          <w:footnotePr>
            <w:numFmt w:val="lowerRoman"/>
          </w:footnotePr>
          <w:type w:val="continuous"/>
          <w:pgSz w:w="11906" w:h="16838"/>
          <w:pgMar w:top="720" w:right="720" w:bottom="1134" w:left="720" w:header="709" w:footer="284" w:gutter="0"/>
          <w:cols w:space="708"/>
          <w:titlePg/>
          <w:docGrid w:linePitch="360"/>
        </w:sectPr>
      </w:pPr>
    </w:p>
    <w:p w14:paraId="37A62364" w14:textId="0EB96C9A" w:rsidR="00B368F7" w:rsidRPr="0012554A" w:rsidRDefault="00B368F7" w:rsidP="00A7236E">
      <w:pPr>
        <w:pStyle w:val="CDIFigures"/>
        <w:spacing w:line="240" w:lineRule="auto"/>
        <w:rPr>
          <w:rFonts w:cstheme="minorHAnsi"/>
          <w:color w:val="000000" w:themeColor="text1"/>
        </w:rPr>
      </w:pPr>
      <w:r w:rsidRPr="000B1063">
        <w:rPr>
          <w:rFonts w:cstheme="minorHAnsi"/>
          <w:color w:val="000000" w:themeColor="text1"/>
        </w:rPr>
        <w:lastRenderedPageBreak/>
        <w:t xml:space="preserve">Figure </w:t>
      </w:r>
      <w:r w:rsidR="00EA1280">
        <w:rPr>
          <w:rFonts w:cstheme="minorHAnsi"/>
          <w:color w:val="000000" w:themeColor="text1"/>
        </w:rPr>
        <w:t>9</w:t>
      </w:r>
      <w:r w:rsidRPr="000B1063">
        <w:rPr>
          <w:rFonts w:cstheme="minorHAnsi"/>
          <w:color w:val="000000" w:themeColor="text1"/>
        </w:rPr>
        <w:t>: COVID</w:t>
      </w:r>
      <w:r w:rsidRPr="0012554A">
        <w:rPr>
          <w:rFonts w:cstheme="minorHAnsi"/>
          <w:color w:val="000000" w:themeColor="text1"/>
        </w:rPr>
        <w:t xml:space="preserve">-19 notifications in Australia by </w:t>
      </w:r>
      <w:r w:rsidR="00D05FD0" w:rsidRPr="0012554A">
        <w:rPr>
          <w:rFonts w:cstheme="minorHAnsi"/>
          <w:color w:val="000000" w:themeColor="text1"/>
        </w:rPr>
        <w:t>week</w:t>
      </w:r>
      <w:r w:rsidRPr="0012554A">
        <w:rPr>
          <w:rFonts w:cstheme="minorHAnsi"/>
          <w:color w:val="000000" w:themeColor="text1"/>
        </w:rPr>
        <w:t xml:space="preserve"> of </w:t>
      </w:r>
      <w:r w:rsidR="00D05FD0" w:rsidRPr="0012554A">
        <w:rPr>
          <w:rFonts w:cstheme="minorHAnsi"/>
          <w:color w:val="000000" w:themeColor="text1"/>
        </w:rPr>
        <w:t>diagnosis</w:t>
      </w:r>
      <w:r w:rsidRPr="0012554A">
        <w:rPr>
          <w:rFonts w:cstheme="minorHAnsi"/>
          <w:color w:val="000000" w:themeColor="text1"/>
        </w:rPr>
        <w:t xml:space="preserve"> </w:t>
      </w:r>
      <w:r w:rsidR="007B4EEE" w:rsidRPr="007B4EEE">
        <w:rPr>
          <w:rFonts w:cstheme="minorHAnsi"/>
          <w:color w:val="000000" w:themeColor="text1"/>
        </w:rPr>
        <w:t>and jurisdiction</w:t>
      </w:r>
      <w:r w:rsidR="007B4EEE">
        <w:rPr>
          <w:rFonts w:cstheme="minorHAnsi"/>
          <w:color w:val="000000" w:themeColor="text1"/>
        </w:rPr>
        <w:t xml:space="preserve"> </w:t>
      </w:r>
      <w:r w:rsidRPr="0012554A">
        <w:rPr>
          <w:rFonts w:cstheme="minorHAnsi"/>
          <w:color w:val="000000" w:themeColor="text1"/>
        </w:rPr>
        <w:t xml:space="preserve">to </w:t>
      </w:r>
      <w:r w:rsidR="00D05FD0" w:rsidRPr="0012554A">
        <w:rPr>
          <w:rFonts w:cstheme="minorHAnsi"/>
          <w:color w:val="000000" w:themeColor="text1"/>
        </w:rPr>
        <w:t>16</w:t>
      </w:r>
      <w:r w:rsidR="003959D3" w:rsidRPr="0012554A">
        <w:rPr>
          <w:rFonts w:cstheme="minorHAnsi"/>
          <w:color w:val="000000" w:themeColor="text1"/>
        </w:rPr>
        <w:t xml:space="preserve"> August</w:t>
      </w:r>
      <w:r w:rsidRPr="0012554A">
        <w:rPr>
          <w:rFonts w:cstheme="minorHAnsi"/>
          <w:color w:val="000000" w:themeColor="text1"/>
        </w:rPr>
        <w:t xml:space="preserve"> 2020 with timing of key public health measures</w:t>
      </w:r>
    </w:p>
    <w:p w14:paraId="7BA8964E" w14:textId="1FB89FCC" w:rsidR="007B6B9C" w:rsidRPr="0012554A" w:rsidRDefault="00C94277" w:rsidP="00D84D6C">
      <w:pPr>
        <w:pStyle w:val="NormalWeb"/>
        <w:spacing w:line="240" w:lineRule="auto"/>
        <w:rPr>
          <w:rFonts w:cstheme="minorHAnsi"/>
          <w:color w:val="000000" w:themeColor="text1"/>
        </w:rPr>
      </w:pPr>
      <w:r>
        <w:rPr>
          <w:rFonts w:cstheme="minorHAnsi"/>
          <w:noProof/>
          <w:color w:val="000000" w:themeColor="text1"/>
        </w:rPr>
        <w:pict w14:anchorId="6A6C2954">
          <v:shape id="_x0000_i1033" type="#_x0000_t75" alt="Bar chart showing COVID-19 notifications by week of diagnosis and jurisdiction, for cases reported to NNDSS. Notifications for the cases shown have diagnosis weeks ending from 19 January 2020 to 16 August 2020. The chart also highlights the timing of key public health measures such as quarantine and self-isolation advice and restrictions on gatherings and travel." style="width:10in;height:449.15pt">
            <v:imagedata r:id="rId23" o:title="the_real_f9"/>
          </v:shape>
        </w:pict>
      </w:r>
    </w:p>
    <w:p w14:paraId="0D9B2C85" w14:textId="77777777" w:rsidR="00D84D6C" w:rsidRPr="0012554A" w:rsidRDefault="00D84D6C" w:rsidP="00D84D6C">
      <w:pPr>
        <w:spacing w:line="240" w:lineRule="auto"/>
        <w:rPr>
          <w:rFonts w:cstheme="minorHAnsi"/>
          <w:color w:val="000000" w:themeColor="text1"/>
        </w:rPr>
        <w:sectPr w:rsidR="00D84D6C" w:rsidRPr="0012554A" w:rsidSect="00D84D6C">
          <w:pgSz w:w="16838" w:h="11906" w:orient="landscape"/>
          <w:pgMar w:top="720" w:right="720" w:bottom="720" w:left="1134" w:header="709" w:footer="284" w:gutter="0"/>
          <w:cols w:space="708"/>
          <w:titlePg/>
          <w:docGrid w:linePitch="360"/>
        </w:sectPr>
      </w:pPr>
    </w:p>
    <w:p w14:paraId="1507994D" w14:textId="77777777" w:rsidR="007A37D6" w:rsidRPr="00236158" w:rsidRDefault="00D84D6C" w:rsidP="00236158">
      <w:pPr>
        <w:pStyle w:val="Heading1"/>
      </w:pPr>
      <w:r w:rsidRPr="00236158">
        <w:lastRenderedPageBreak/>
        <w:t>I</w:t>
      </w:r>
      <w:r w:rsidR="007A37D6" w:rsidRPr="00236158">
        <w:t xml:space="preserve">nternational situation </w:t>
      </w:r>
    </w:p>
    <w:p w14:paraId="5F90CE2D" w14:textId="5E3A0064" w:rsidR="007A37D6" w:rsidRPr="00EA1280" w:rsidRDefault="007A37D6" w:rsidP="00236158">
      <w:r w:rsidRPr="00EA1280">
        <w:t xml:space="preserve">On </w:t>
      </w:r>
      <w:r w:rsidR="00FD75E9" w:rsidRPr="00EA1280">
        <w:t>16</w:t>
      </w:r>
      <w:r w:rsidRPr="00EA1280">
        <w:t xml:space="preserve"> August 2020, more than 216 countries, regions and areas had reported </w:t>
      </w:r>
      <w:r w:rsidR="008B0890" w:rsidRPr="00EA1280">
        <w:t xml:space="preserve">21,028,995 </w:t>
      </w:r>
      <w:r w:rsidRPr="00EA1280">
        <w:t xml:space="preserve">COVID-19 cases and </w:t>
      </w:r>
      <w:r w:rsidR="008B0890" w:rsidRPr="00EA1280">
        <w:t xml:space="preserve">761,160 </w:t>
      </w:r>
      <w:r w:rsidRPr="00EA1280">
        <w:t>deaths to WHO.</w:t>
      </w:r>
      <w:r w:rsidR="008B179F" w:rsidRPr="003F2231">
        <w:rPr>
          <w:vertAlign w:val="superscript"/>
        </w:rPr>
        <w:t>10</w:t>
      </w:r>
      <w:r w:rsidR="002E71A3" w:rsidRPr="00EA1280">
        <w:rPr>
          <w:vertAlign w:val="superscript"/>
        </w:rPr>
        <w:t xml:space="preserve"> </w:t>
      </w:r>
      <w:r w:rsidRPr="00EA1280">
        <w:t>All data</w:t>
      </w:r>
      <w:r w:rsidR="003959D3" w:rsidRPr="00EA1280">
        <w:t xml:space="preserve"> reported below</w:t>
      </w:r>
      <w:r w:rsidRPr="00EA1280">
        <w:t xml:space="preserve"> </w:t>
      </w:r>
      <w:r w:rsidR="003959D3" w:rsidRPr="00EA1280">
        <w:t>are</w:t>
      </w:r>
      <w:r w:rsidRPr="00EA1280">
        <w:t xml:space="preserve"> drawn from the WHO Dashboard extracted on </w:t>
      </w:r>
      <w:r w:rsidR="009923F8" w:rsidRPr="00EA1280">
        <w:t>19</w:t>
      </w:r>
      <w:r w:rsidRPr="00EA1280">
        <w:t xml:space="preserve"> August </w:t>
      </w:r>
      <w:r w:rsidR="009923F8" w:rsidRPr="00EA1280">
        <w:t xml:space="preserve">2020 </w:t>
      </w:r>
      <w:r w:rsidRPr="00EA1280">
        <w:t xml:space="preserve">unless otherwise specified. The Americas and Europe continue to be the epicentres of the pandemic with the former representing approximately 54% of cumulative cases </w:t>
      </w:r>
      <w:r w:rsidR="00544CE8" w:rsidRPr="00EA1280">
        <w:t xml:space="preserve">and </w:t>
      </w:r>
      <w:r w:rsidRPr="00EA1280">
        <w:t>cumulative deaths, and the latter representing 1</w:t>
      </w:r>
      <w:r w:rsidR="00544CE8" w:rsidRPr="00EA1280">
        <w:t>8</w:t>
      </w:r>
      <w:r w:rsidRPr="00EA1280">
        <w:t xml:space="preserve">% of cases and </w:t>
      </w:r>
      <w:r w:rsidR="00544CE8" w:rsidRPr="00EA1280">
        <w:t>29</w:t>
      </w:r>
      <w:r w:rsidRPr="00EA1280">
        <w:t>% of deaths. The global case fatality rate (CFR) is approximately 3.</w:t>
      </w:r>
      <w:r w:rsidR="00544CE8" w:rsidRPr="00EA1280">
        <w:t>6</w:t>
      </w:r>
      <w:r w:rsidRPr="00EA1280">
        <w:t xml:space="preserve">% and is decreasing as case identification improves. The global cumulative per capita rates are </w:t>
      </w:r>
      <w:r w:rsidR="00544CE8" w:rsidRPr="00EA1280">
        <w:t>273.8 cases and 9.9</w:t>
      </w:r>
      <w:r w:rsidRPr="00EA1280">
        <w:t xml:space="preserve"> deaths per 100,000 population.</w:t>
      </w:r>
    </w:p>
    <w:p w14:paraId="51427ED2" w14:textId="77777777" w:rsidR="007A37D6" w:rsidRPr="00EA1280" w:rsidRDefault="007A37D6" w:rsidP="00236158">
      <w:pPr>
        <w:pStyle w:val="ListParagraph"/>
        <w:numPr>
          <w:ilvl w:val="0"/>
          <w:numId w:val="35"/>
        </w:numPr>
      </w:pPr>
      <w:r w:rsidRPr="00EA1280">
        <w:t>By country, the largest numbers of cases are from: the United States of America (</w:t>
      </w:r>
      <w:r w:rsidR="00544CE8" w:rsidRPr="00EA1280">
        <w:t>5,203,206</w:t>
      </w:r>
      <w:r w:rsidRPr="00EA1280">
        <w:t>); Brazil (</w:t>
      </w:r>
      <w:r w:rsidR="00544CE8" w:rsidRPr="00EA1280">
        <w:t>3,224,876</w:t>
      </w:r>
      <w:r w:rsidRPr="00EA1280">
        <w:t>); and India (</w:t>
      </w:r>
      <w:r w:rsidR="00544CE8" w:rsidRPr="00EA1280">
        <w:t>2,526,192</w:t>
      </w:r>
      <w:r w:rsidRPr="00EA1280">
        <w:t>).</w:t>
      </w:r>
    </w:p>
    <w:p w14:paraId="7F081C65" w14:textId="77777777" w:rsidR="007A37D6" w:rsidRPr="00EA1280" w:rsidRDefault="007A37D6" w:rsidP="00236158">
      <w:pPr>
        <w:pStyle w:val="ListParagraph"/>
        <w:numPr>
          <w:ilvl w:val="0"/>
          <w:numId w:val="35"/>
        </w:numPr>
      </w:pPr>
      <w:r w:rsidRPr="00EA1280">
        <w:t>By country, the largest numbers of deaths are from: the United States of America (</w:t>
      </w:r>
      <w:r w:rsidR="00544CE8" w:rsidRPr="00EA1280">
        <w:t>165,995</w:t>
      </w:r>
      <w:r w:rsidRPr="00EA1280">
        <w:t>); Brazil (</w:t>
      </w:r>
      <w:r w:rsidR="00544CE8" w:rsidRPr="00EA1280">
        <w:t>105,463</w:t>
      </w:r>
      <w:r w:rsidRPr="00EA1280">
        <w:t xml:space="preserve">); and </w:t>
      </w:r>
      <w:r w:rsidR="00544CE8" w:rsidRPr="00EA1280">
        <w:t>Mexico</w:t>
      </w:r>
      <w:r w:rsidRPr="00EA1280">
        <w:t xml:space="preserve"> (</w:t>
      </w:r>
      <w:r w:rsidR="00544CE8" w:rsidRPr="00EA1280">
        <w:t>55,293</w:t>
      </w:r>
      <w:r w:rsidRPr="00EA1280">
        <w:t>).</w:t>
      </w:r>
    </w:p>
    <w:p w14:paraId="75365449" w14:textId="77777777" w:rsidR="007A37D6" w:rsidRPr="00EA1280" w:rsidRDefault="007A37D6" w:rsidP="00236158">
      <w:r w:rsidRPr="00EA1280">
        <w:t xml:space="preserve">In the previous fortnight the largest number of cases </w:t>
      </w:r>
      <w:r w:rsidR="002A660F" w:rsidRPr="00EA1280">
        <w:t>were</w:t>
      </w:r>
      <w:r w:rsidRPr="00EA1280">
        <w:t xml:space="preserve"> reported by the Americas (5</w:t>
      </w:r>
      <w:r w:rsidR="00544CE8" w:rsidRPr="00EA1280">
        <w:t>4</w:t>
      </w:r>
      <w:r w:rsidRPr="00EA1280">
        <w:t>%) and the South East Asian (2</w:t>
      </w:r>
      <w:r w:rsidR="00544CE8" w:rsidRPr="00EA1280">
        <w:t>5</w:t>
      </w:r>
      <w:r w:rsidRPr="00EA1280">
        <w:t xml:space="preserve">%) regions, led predominantly by the countries highlighted above. </w:t>
      </w:r>
    </w:p>
    <w:p w14:paraId="404C6FA1" w14:textId="77777777" w:rsidR="007A37D6" w:rsidRPr="00236158" w:rsidRDefault="007A37D6" w:rsidP="00236158">
      <w:pPr>
        <w:pStyle w:val="Heading2"/>
      </w:pPr>
      <w:r w:rsidRPr="00236158">
        <w:t>Western Pacific Region</w:t>
      </w:r>
    </w:p>
    <w:p w14:paraId="4F6337BF" w14:textId="4035790E" w:rsidR="007A37D6" w:rsidRPr="00EA1280" w:rsidRDefault="007A37D6" w:rsidP="00236158">
      <w:r w:rsidRPr="00EA1280">
        <w:t>To date, the Western Pacific Region is the least</w:t>
      </w:r>
      <w:r w:rsidR="002F1043">
        <w:t>-</w:t>
      </w:r>
      <w:r w:rsidR="00171149" w:rsidRPr="00EA1280">
        <w:t xml:space="preserve">affected region on </w:t>
      </w:r>
      <w:r w:rsidRPr="00EA1280">
        <w:t>the globe, reporting the lowest number of COVID-19 cases and deaths. The cumulative number of cases in th</w:t>
      </w:r>
      <w:r w:rsidR="00171149" w:rsidRPr="00EA1280">
        <w:t>is</w:t>
      </w:r>
      <w:r w:rsidRPr="00EA1280">
        <w:t xml:space="preserve"> region stands at approximately </w:t>
      </w:r>
      <w:r w:rsidR="00544CE8" w:rsidRPr="00EA1280">
        <w:t>403,000</w:t>
      </w:r>
      <w:r w:rsidRPr="00EA1280">
        <w:t xml:space="preserve">, with approximately </w:t>
      </w:r>
      <w:r w:rsidR="00544CE8" w:rsidRPr="00EA1280">
        <w:t>91</w:t>
      </w:r>
      <w:r w:rsidRPr="00EA1280">
        <w:t>,000 new cases reported in the previous fortnight (</w:t>
      </w:r>
      <w:r w:rsidR="00923CA1">
        <w:t xml:space="preserve">a </w:t>
      </w:r>
      <w:r w:rsidRPr="00EA1280">
        <w:t>2</w:t>
      </w:r>
      <w:r w:rsidR="00544CE8" w:rsidRPr="00EA1280">
        <w:t>9</w:t>
      </w:r>
      <w:r w:rsidRPr="00EA1280">
        <w:t>%</w:t>
      </w:r>
      <w:r w:rsidR="00544CE8" w:rsidRPr="00EA1280">
        <w:t xml:space="preserve"> increase). This represents 2.5</w:t>
      </w:r>
      <w:r w:rsidRPr="00EA1280">
        <w:t>% of the global total number of new cases reported in the period.  Cumulatively, the Western Pacific region accounts for 1.</w:t>
      </w:r>
      <w:r w:rsidR="00544CE8" w:rsidRPr="00EA1280">
        <w:t>9</w:t>
      </w:r>
      <w:r w:rsidRPr="00EA1280">
        <w:t xml:space="preserve">% of all cases globally and 1.2% of all deaths. This region </w:t>
      </w:r>
      <w:r w:rsidR="00544CE8" w:rsidRPr="00EA1280">
        <w:t>reports a cumulative rate of 21.3</w:t>
      </w:r>
      <w:r w:rsidRPr="00EA1280">
        <w:t xml:space="preserve"> cases per 100,000 people and a mortality rate of 0.</w:t>
      </w:r>
      <w:r w:rsidR="00544CE8" w:rsidRPr="00EA1280">
        <w:t>5</w:t>
      </w:r>
      <w:r w:rsidRPr="00EA1280">
        <w:t xml:space="preserve"> deaths per 100,000 population, which is low when compared to the global rates. </w:t>
      </w:r>
    </w:p>
    <w:p w14:paraId="2C5E866F" w14:textId="020F3E10" w:rsidR="007A37D6" w:rsidRPr="00EA1280" w:rsidRDefault="007A37D6" w:rsidP="00236158">
      <w:r w:rsidRPr="00EA1280">
        <w:t xml:space="preserve">The </w:t>
      </w:r>
      <w:r w:rsidR="00171149" w:rsidRPr="00EA1280">
        <w:t>highest numbers of cases</w:t>
      </w:r>
      <w:r w:rsidRPr="00EA1280">
        <w:t xml:space="preserve"> in the region </w:t>
      </w:r>
      <w:r w:rsidR="00171149" w:rsidRPr="00EA1280">
        <w:t xml:space="preserve">have been </w:t>
      </w:r>
      <w:r w:rsidRPr="00EA1280">
        <w:t>observed in the Philippines, China</w:t>
      </w:r>
      <w:r w:rsidR="003223EE">
        <w:t xml:space="preserve"> and Singapore (Figure 10)</w:t>
      </w:r>
      <w:r w:rsidRPr="00EA1280">
        <w:t xml:space="preserve">. However, in the past fortnight the </w:t>
      </w:r>
      <w:r w:rsidR="000B1063" w:rsidRPr="00EA1280">
        <w:t>highest</w:t>
      </w:r>
      <w:r w:rsidRPr="00EA1280">
        <w:t xml:space="preserve"> numbers of new cases have been observed in the Philippines (</w:t>
      </w:r>
      <w:r w:rsidR="00544CE8" w:rsidRPr="00EA1280">
        <w:t>67</w:t>
      </w:r>
      <w:r w:rsidRPr="00EA1280">
        <w:t>%</w:t>
      </w:r>
      <w:r w:rsidR="00544CE8" w:rsidRPr="00EA1280">
        <w:t xml:space="preserve"> of regional cases</w:t>
      </w:r>
      <w:r w:rsidRPr="00EA1280">
        <w:t>) and Japan (2</w:t>
      </w:r>
      <w:r w:rsidR="00544CE8" w:rsidRPr="00EA1280">
        <w:t>0</w:t>
      </w:r>
      <w:r w:rsidRPr="00EA1280">
        <w:t>%</w:t>
      </w:r>
      <w:r w:rsidR="00544CE8" w:rsidRPr="00EA1280">
        <w:t xml:space="preserve"> of regional cases</w:t>
      </w:r>
      <w:r w:rsidRPr="00EA1280">
        <w:t xml:space="preserve">). </w:t>
      </w:r>
      <w:r w:rsidR="00544CE8" w:rsidRPr="00EA1280">
        <w:t>Only Lao People's Democratic Republic did not report any new cases in this reporting period.</w:t>
      </w:r>
    </w:p>
    <w:p w14:paraId="41582751" w14:textId="389A05A0" w:rsidR="00236857" w:rsidRPr="0012554A" w:rsidRDefault="00223965" w:rsidP="00236158">
      <w:r w:rsidRPr="0012554A">
        <w:t>In the region</w:t>
      </w:r>
      <w:r w:rsidR="00923CA1">
        <w:t>,</w:t>
      </w:r>
      <w:r w:rsidRPr="0012554A">
        <w:t xml:space="preserve"> many countries are seeing a resurgence in cases where rates had previously been low. </w:t>
      </w:r>
      <w:r w:rsidR="007A37D6" w:rsidRPr="0012554A">
        <w:t>In the past fortnight</w:t>
      </w:r>
      <w:r w:rsidR="00923CA1">
        <w:t>,</w:t>
      </w:r>
      <w:r w:rsidR="007A37D6" w:rsidRPr="0012554A">
        <w:t xml:space="preserve"> </w:t>
      </w:r>
      <w:r w:rsidR="00544CE8" w:rsidRPr="0012554A">
        <w:t xml:space="preserve">New Zealand has reported local transmission in and around the Auckland region. Investigation is ongoing regarding the method of transmission into the community. </w:t>
      </w:r>
      <w:r w:rsidR="008C0744">
        <w:t>The cluster has been named</w:t>
      </w:r>
      <w:r w:rsidRPr="0012554A">
        <w:t xml:space="preserve"> the </w:t>
      </w:r>
      <w:r w:rsidR="00923CA1">
        <w:t>‘</w:t>
      </w:r>
      <w:r w:rsidRPr="0012554A">
        <w:t>Auckland August Cluster</w:t>
      </w:r>
      <w:r w:rsidR="00923CA1">
        <w:t>’</w:t>
      </w:r>
      <w:r w:rsidRPr="0012554A">
        <w:t xml:space="preserve"> and on 20 August 2020 a total of 78 cases had been linked to this cluster</w:t>
      </w:r>
      <w:r w:rsidR="000B1063">
        <w:t>.</w:t>
      </w:r>
      <w:r w:rsidR="008B179F">
        <w:rPr>
          <w:vertAlign w:val="superscript"/>
        </w:rPr>
        <w:t>11</w:t>
      </w:r>
      <w:r w:rsidR="000B1063">
        <w:t xml:space="preserve"> Auckland has returned to </w:t>
      </w:r>
      <w:r w:rsidR="00544CE8" w:rsidRPr="0012554A">
        <w:t>Alert Lev</w:t>
      </w:r>
      <w:r w:rsidR="000B1063">
        <w:t>el 3 while</w:t>
      </w:r>
      <w:r w:rsidR="00544CE8" w:rsidRPr="0012554A">
        <w:t xml:space="preserve"> the rest of New Zealand is at Alert Level 2</w:t>
      </w:r>
      <w:r w:rsidRPr="0012554A">
        <w:t>.</w:t>
      </w:r>
      <w:r w:rsidR="008B179F">
        <w:rPr>
          <w:vertAlign w:val="superscript"/>
        </w:rPr>
        <w:t>12</w:t>
      </w:r>
      <w:r w:rsidRPr="0012554A">
        <w:t xml:space="preserve"> </w:t>
      </w:r>
    </w:p>
    <w:p w14:paraId="6DE923D7" w14:textId="250B4EBA" w:rsidR="00544CE8" w:rsidRPr="0012554A" w:rsidRDefault="00223965" w:rsidP="00236158">
      <w:r w:rsidRPr="0012554A">
        <w:t>In Papua New Guinea</w:t>
      </w:r>
      <w:r w:rsidR="000B1063">
        <w:t>,</w:t>
      </w:r>
      <w:r w:rsidRPr="0012554A">
        <w:t xml:space="preserve"> </w:t>
      </w:r>
      <w:r w:rsidR="00236857" w:rsidRPr="0012554A">
        <w:t xml:space="preserve">widespread </w:t>
      </w:r>
      <w:r w:rsidRPr="0012554A">
        <w:t xml:space="preserve">community transmission has been confirmed </w:t>
      </w:r>
      <w:r w:rsidR="00236857" w:rsidRPr="0012554A">
        <w:t xml:space="preserve">in the National </w:t>
      </w:r>
      <w:r w:rsidR="00291169">
        <w:t>C</w:t>
      </w:r>
      <w:r w:rsidR="00291169" w:rsidRPr="0012554A">
        <w:t xml:space="preserve">apital </w:t>
      </w:r>
      <w:r w:rsidR="00236857" w:rsidRPr="0012554A">
        <w:t xml:space="preserve">District </w:t>
      </w:r>
      <w:r w:rsidRPr="0012554A">
        <w:t xml:space="preserve">and as of 16 August 2020 </w:t>
      </w:r>
      <w:r w:rsidR="00923CA1">
        <w:t>the nation had</w:t>
      </w:r>
      <w:r w:rsidR="00923CA1" w:rsidRPr="0012554A">
        <w:t xml:space="preserve"> </w:t>
      </w:r>
      <w:r w:rsidRPr="0012554A">
        <w:t>reported 323 cases and 3 deaths.</w:t>
      </w:r>
      <w:r w:rsidR="008B179F">
        <w:rPr>
          <w:vertAlign w:val="superscript"/>
        </w:rPr>
        <w:t>13</w:t>
      </w:r>
      <w:r w:rsidRPr="0012554A">
        <w:t xml:space="preserve"> In the previous fortnight 212 new cases were reported (282% growth)</w:t>
      </w:r>
      <w:r w:rsidR="00236857" w:rsidRPr="0012554A">
        <w:t>. Cases have been reported</w:t>
      </w:r>
      <w:r w:rsidRPr="0012554A">
        <w:t xml:space="preserve"> from 10 </w:t>
      </w:r>
      <w:r w:rsidR="00923CA1">
        <w:t>p</w:t>
      </w:r>
      <w:r w:rsidRPr="0012554A">
        <w:t xml:space="preserve">rovinces, half of which </w:t>
      </w:r>
      <w:r w:rsidR="00236857" w:rsidRPr="0012554A">
        <w:t>reported their first case in the previous fortnight. Due to low compliance with the non-pharmaceutical interventions within the country</w:t>
      </w:r>
      <w:r w:rsidR="00923CA1">
        <w:t>,</w:t>
      </w:r>
      <w:r w:rsidR="00236857" w:rsidRPr="0012554A">
        <w:t xml:space="preserve"> case number are expected to increase.</w:t>
      </w:r>
    </w:p>
    <w:p w14:paraId="2410F202" w14:textId="77777777" w:rsidR="007A37D6" w:rsidRPr="00236158" w:rsidRDefault="007A37D6" w:rsidP="00236158">
      <w:pPr>
        <w:pStyle w:val="Heading2"/>
      </w:pPr>
      <w:r w:rsidRPr="00236158">
        <w:t>South East Asia Region</w:t>
      </w:r>
    </w:p>
    <w:p w14:paraId="3920F6CA" w14:textId="37D3CFDB" w:rsidR="007A37D6" w:rsidRPr="00EA1280" w:rsidRDefault="007A37D6" w:rsidP="00236158">
      <w:r w:rsidRPr="0012554A">
        <w:t>In this fortnight</w:t>
      </w:r>
      <w:r w:rsidR="00171149" w:rsidRPr="0012554A">
        <w:t>,</w:t>
      </w:r>
      <w:r w:rsidRPr="0012554A">
        <w:t xml:space="preserve"> the South East Asia region has seen a large growth in new case numbers. Cumulatively the region </w:t>
      </w:r>
      <w:r w:rsidR="00171149" w:rsidRPr="0012554A">
        <w:t xml:space="preserve">has reported </w:t>
      </w:r>
      <w:r w:rsidR="006F0C7C" w:rsidRPr="00EA1280">
        <w:t>approximately 2.9</w:t>
      </w:r>
      <w:r w:rsidRPr="00EA1280">
        <w:t xml:space="preserve">7 </w:t>
      </w:r>
      <w:r w:rsidR="006F0C7C" w:rsidRPr="00EA1280">
        <w:t>million cases and 58,800</w:t>
      </w:r>
      <w:r w:rsidRPr="00EA1280">
        <w:t xml:space="preserve"> </w:t>
      </w:r>
      <w:r w:rsidR="006F0C7C" w:rsidRPr="00EA1280">
        <w:t>deaths, with approximately 899</w:t>
      </w:r>
      <w:r w:rsidRPr="00EA1280">
        <w:t>,000 cases reported in the last fortnight (</w:t>
      </w:r>
      <w:r w:rsidR="00171149" w:rsidRPr="00EA1280">
        <w:t xml:space="preserve">a </w:t>
      </w:r>
      <w:r w:rsidR="006F0C7C" w:rsidRPr="00EA1280">
        <w:t>43</w:t>
      </w:r>
      <w:r w:rsidRPr="00EA1280">
        <w:t>% increase). Cumulative</w:t>
      </w:r>
      <w:r w:rsidR="006F0C7C" w:rsidRPr="00EA1280">
        <w:t>ly, the region accounts for 14.1</w:t>
      </w:r>
      <w:r w:rsidRPr="00EA1280">
        <w:t xml:space="preserve">% </w:t>
      </w:r>
      <w:r w:rsidR="006F0C7C" w:rsidRPr="00EA1280">
        <w:t>of global cumulative cases and 7</w:t>
      </w:r>
      <w:r w:rsidRPr="00EA1280">
        <w:t>.7% of global cumulative deaths. Regionally</w:t>
      </w:r>
      <w:r w:rsidR="00171149" w:rsidRPr="00EA1280">
        <w:t>,</w:t>
      </w:r>
      <w:r w:rsidRPr="00EA1280">
        <w:t xml:space="preserve"> the per capita burden of disease is relatively low, compared to the global rates, </w:t>
      </w:r>
      <w:r w:rsidR="006F0C7C" w:rsidRPr="00EA1280">
        <w:t>at 148</w:t>
      </w:r>
      <w:r w:rsidRPr="00EA1280">
        <w:t>.</w:t>
      </w:r>
      <w:r w:rsidR="006F0C7C" w:rsidRPr="00EA1280">
        <w:t>9</w:t>
      </w:r>
      <w:r w:rsidRPr="00EA1280">
        <w:t xml:space="preserve"> </w:t>
      </w:r>
      <w:r w:rsidR="006F0C7C" w:rsidRPr="00EA1280">
        <w:t>cases and 2.9</w:t>
      </w:r>
      <w:r w:rsidRPr="00EA1280">
        <w:t xml:space="preserve"> deaths per 100,000 population</w:t>
      </w:r>
      <w:r w:rsidR="006F0C7C" w:rsidRPr="00EA1280">
        <w:t xml:space="preserve">. The per </w:t>
      </w:r>
      <w:r w:rsidR="006F0C7C" w:rsidRPr="00EA1280">
        <w:lastRenderedPageBreak/>
        <w:t>capita case rate has increased by more than 40 cases per 100,000 population in the region</w:t>
      </w:r>
      <w:r w:rsidRPr="00EA1280">
        <w:t xml:space="preserve"> </w:t>
      </w:r>
      <w:r w:rsidR="00171149" w:rsidRPr="00EA1280">
        <w:t xml:space="preserve">in </w:t>
      </w:r>
      <w:r w:rsidRPr="00EA1280">
        <w:t>this reporting period.</w:t>
      </w:r>
    </w:p>
    <w:p w14:paraId="40A888D6" w14:textId="29CA2173" w:rsidR="007A37D6" w:rsidRPr="00EA1280" w:rsidRDefault="000B1063" w:rsidP="00236158">
      <w:r w:rsidRPr="00EA1280">
        <w:t>The majority of the cases in this</w:t>
      </w:r>
      <w:r w:rsidR="007A37D6" w:rsidRPr="00EA1280">
        <w:t xml:space="preserve"> region </w:t>
      </w:r>
      <w:r w:rsidR="00171149" w:rsidRPr="00EA1280">
        <w:t xml:space="preserve">have </w:t>
      </w:r>
      <w:r w:rsidR="000C400A" w:rsidRPr="00EA1280">
        <w:t xml:space="preserve">been </w:t>
      </w:r>
      <w:r w:rsidR="007A37D6" w:rsidRPr="00EA1280">
        <w:t>observed almost exclusively in India, Bangladesh and Indonesia, which also comprise the greatest proportion of new cases in the previous fortnight</w:t>
      </w:r>
      <w:r w:rsidR="00171149" w:rsidRPr="00EA1280">
        <w:t xml:space="preserve">, </w:t>
      </w:r>
      <w:r w:rsidR="006F0C7C" w:rsidRPr="00EA1280">
        <w:t>at 92</w:t>
      </w:r>
      <w:r w:rsidR="007A37D6" w:rsidRPr="00EA1280">
        <w:t xml:space="preserve">%, </w:t>
      </w:r>
      <w:r w:rsidR="006F0C7C" w:rsidRPr="00EA1280">
        <w:t>4% and 3</w:t>
      </w:r>
      <w:r w:rsidR="007A37D6" w:rsidRPr="00EA1280">
        <w:t xml:space="preserve">% respectively. Their epidemic trajectories are shown in Figure </w:t>
      </w:r>
      <w:r w:rsidR="00AB6CEF" w:rsidRPr="00EA1280">
        <w:t>1</w:t>
      </w:r>
      <w:r w:rsidR="00BA3D7D">
        <w:t>0</w:t>
      </w:r>
      <w:r w:rsidR="007A37D6" w:rsidRPr="00EA1280">
        <w:t xml:space="preserve">. </w:t>
      </w:r>
      <w:r w:rsidR="006F0C7C" w:rsidRPr="00EA1280">
        <w:t>Together, t</w:t>
      </w:r>
      <w:r w:rsidR="007A37D6" w:rsidRPr="00EA1280">
        <w:t xml:space="preserve">he remaining countries </w:t>
      </w:r>
      <w:r w:rsidR="006F0C7C" w:rsidRPr="00EA1280">
        <w:t>in th</w:t>
      </w:r>
      <w:r w:rsidRPr="00EA1280">
        <w:t>is</w:t>
      </w:r>
      <w:r w:rsidR="006F0C7C" w:rsidRPr="00EA1280">
        <w:t xml:space="preserve"> region have reported a cumulative total of only 7,739 cases.</w:t>
      </w:r>
      <w:r w:rsidR="007A37D6" w:rsidRPr="00EA1280">
        <w:t xml:space="preserve"> India reported the greatest rise in cas</w:t>
      </w:r>
      <w:r w:rsidR="006F0C7C" w:rsidRPr="00EA1280">
        <w:t>e count, increasing by 49</w:t>
      </w:r>
      <w:r w:rsidR="007A37D6" w:rsidRPr="00EA1280">
        <w:t>% over the reporting period. The Maldives is the most affected country in the region per capita</w:t>
      </w:r>
      <w:r w:rsidR="000C400A" w:rsidRPr="00EA1280">
        <w:t>,</w:t>
      </w:r>
      <w:r w:rsidR="007A37D6" w:rsidRPr="00EA1280">
        <w:t xml:space="preserve"> reporting </w:t>
      </w:r>
      <w:r w:rsidR="006F0C7C" w:rsidRPr="00EA1280">
        <w:t>1</w:t>
      </w:r>
      <w:r w:rsidR="00923CA1">
        <w:t>,</w:t>
      </w:r>
      <w:r w:rsidR="006F0C7C" w:rsidRPr="00EA1280">
        <w:t xml:space="preserve">029.9 cases per 100,000 population (increased from </w:t>
      </w:r>
      <w:r w:rsidR="007A37D6" w:rsidRPr="00EA1280">
        <w:t xml:space="preserve">701.1 cases per 100,000 </w:t>
      </w:r>
      <w:r w:rsidR="006F0C7C" w:rsidRPr="00EA1280">
        <w:t>population in the last reporting period)</w:t>
      </w:r>
      <w:r w:rsidR="007A37D6" w:rsidRPr="00EA1280">
        <w:t xml:space="preserve">. Timor-Leste </w:t>
      </w:r>
      <w:r w:rsidR="006F0C7C" w:rsidRPr="00EA1280">
        <w:t>reported one case in the past fortnight</w:t>
      </w:r>
      <w:r w:rsidR="007A37D6" w:rsidRPr="00EA1280">
        <w:t>.</w:t>
      </w:r>
    </w:p>
    <w:p w14:paraId="1C965156" w14:textId="79B881A1" w:rsidR="007A37D6" w:rsidRPr="00236158" w:rsidRDefault="007A37D6" w:rsidP="00236158">
      <w:pPr>
        <w:pStyle w:val="CDIFigures"/>
      </w:pPr>
      <w:r w:rsidRPr="00236158">
        <w:t xml:space="preserve">Figure </w:t>
      </w:r>
      <w:r w:rsidR="00F04EAC" w:rsidRPr="00236158">
        <w:t>1</w:t>
      </w:r>
      <w:r w:rsidR="003223EE" w:rsidRPr="00236158">
        <w:t>0.</w:t>
      </w:r>
      <w:r w:rsidRPr="00236158">
        <w:t xml:space="preserve"> Number of COVID-19 cases (logarithmic scale) by selected country and days since passing 100 cases, up to </w:t>
      </w:r>
      <w:r w:rsidR="00796C59" w:rsidRPr="00236158">
        <w:t>16</w:t>
      </w:r>
      <w:r w:rsidRPr="00236158">
        <w:t xml:space="preserve"> August 2020</w:t>
      </w:r>
    </w:p>
    <w:p w14:paraId="4DBB10AE" w14:textId="4FB3EC5B" w:rsidR="007A37D6" w:rsidRPr="0012554A" w:rsidRDefault="00C94277" w:rsidP="007A37D6">
      <w:pPr>
        <w:pStyle w:val="CDIFigures"/>
        <w:spacing w:before="0" w:beforeAutospacing="0" w:after="0" w:afterAutospacing="0"/>
        <w:rPr>
          <w:rFonts w:cstheme="minorHAnsi"/>
          <w:color w:val="000000" w:themeColor="text1"/>
        </w:rPr>
      </w:pPr>
      <w:r>
        <w:rPr>
          <w:rFonts w:cstheme="minorHAnsi"/>
          <w:noProof/>
          <w:color w:val="000000" w:themeColor="text1"/>
        </w:rPr>
        <w:pict w14:anchorId="727057EB">
          <v:shape id="_x0000_i1034" type="#_x0000_t75" alt="Line graph comparing the growth in number of COVID-19 cases, from the ‘starting point’ of 100 cases in each country, for Australia and several other countries in the Western Pacific and South East Asia Regions (China, Singapore, the Philippines, India, Bangladesh, and Indonesia). The highest sustained growth in cases among these countries has occurred in India, though recent growth in Bangladesh and Indonesia is also high. While case numbers in Australia are currently increasing, the extent of the outbreak remains substantially less than that seen in the other countries surveyed here." style="width:515.15pt;height:312pt">
            <v:imagedata r:id="rId24" o:title="Plot_of_Days_Since_100_Cases_CDI20200820_-_Based_on_WHO_SITREP_from_20200816"/>
          </v:shape>
        </w:pict>
      </w:r>
    </w:p>
    <w:p w14:paraId="1C7BC525" w14:textId="77777777" w:rsidR="007A37D6" w:rsidRPr="0012554A" w:rsidRDefault="007A37D6" w:rsidP="007A37D6">
      <w:pPr>
        <w:rPr>
          <w:rFonts w:eastAsiaTheme="majorEastAsia" w:cstheme="minorHAnsi"/>
          <w:b/>
          <w:bCs/>
          <w:color w:val="000000" w:themeColor="text1"/>
          <w:sz w:val="26"/>
          <w:szCs w:val="26"/>
        </w:rPr>
      </w:pPr>
      <w:r w:rsidRPr="0012554A">
        <w:rPr>
          <w:rFonts w:cstheme="minorHAnsi"/>
          <w:color w:val="000000" w:themeColor="text1"/>
        </w:rPr>
        <w:br w:type="page"/>
      </w:r>
    </w:p>
    <w:p w14:paraId="5346DF6D" w14:textId="77777777" w:rsidR="00DC1B5A" w:rsidRPr="00203669" w:rsidRDefault="00DC1B5A" w:rsidP="00203669">
      <w:pPr>
        <w:pStyle w:val="Heading1"/>
      </w:pPr>
      <w:r w:rsidRPr="00203669">
        <w:lastRenderedPageBreak/>
        <w:t xml:space="preserve">Data considerations </w:t>
      </w:r>
    </w:p>
    <w:p w14:paraId="60F64145" w14:textId="735C4B98" w:rsidR="00DC1B5A" w:rsidRPr="0012554A" w:rsidRDefault="00DC1B5A" w:rsidP="00203669">
      <w:r w:rsidRPr="0012554A">
        <w:t>Data were extracted from the N</w:t>
      </w:r>
      <w:r w:rsidR="002A660F" w:rsidRPr="0012554A">
        <w:t>ND</w:t>
      </w:r>
      <w:r w:rsidRPr="0012554A">
        <w:t xml:space="preserve">SS on </w:t>
      </w:r>
      <w:r w:rsidR="00913882">
        <w:t>19</w:t>
      </w:r>
      <w:r w:rsidR="00913882" w:rsidRPr="0012554A">
        <w:t xml:space="preserve"> </w:t>
      </w:r>
      <w:r w:rsidR="002A660F" w:rsidRPr="0012554A">
        <w:t>Augus</w:t>
      </w:r>
      <w:r w:rsidR="00006639" w:rsidRPr="0012554A">
        <w:t>t</w:t>
      </w:r>
      <w:r w:rsidRPr="0012554A">
        <w:t xml:space="preserve"> 2020 for notifications received up to </w:t>
      </w:r>
      <w:r w:rsidR="00913882">
        <w:t>16</w:t>
      </w:r>
      <w:r w:rsidR="00913882" w:rsidRPr="0012554A">
        <w:t xml:space="preserve"> </w:t>
      </w:r>
      <w:r w:rsidR="00006639" w:rsidRPr="0012554A">
        <w:t>August</w:t>
      </w:r>
      <w:r w:rsidRPr="0012554A">
        <w:t xml:space="preserve">. Due to the dynamic nature of the NNDSS, numbers presented in this report are subject to revision and may vary from numbers previously reported and from case notifications released by states and territories. </w:t>
      </w:r>
    </w:p>
    <w:p w14:paraId="6232EAC0" w14:textId="77777777" w:rsidR="00DC1B5A" w:rsidRPr="00203669" w:rsidRDefault="00DC1B5A" w:rsidP="00203669">
      <w:pPr>
        <w:pStyle w:val="Heading2"/>
      </w:pPr>
      <w:r w:rsidRPr="00203669">
        <w:t xml:space="preserve">Definitions </w:t>
      </w:r>
    </w:p>
    <w:p w14:paraId="5664BD29" w14:textId="77777777" w:rsidR="000627A0" w:rsidRPr="003223EE" w:rsidRDefault="000627A0" w:rsidP="00203669">
      <w:r w:rsidRPr="003223EE">
        <w:rPr>
          <w:b/>
        </w:rPr>
        <w:t xml:space="preserve">‘COVID-19’ </w:t>
      </w:r>
      <w:r w:rsidRPr="003223EE">
        <w:t xml:space="preserve">is the disease caused by a novel coronavirus that emerged in China in late 2019. ‘CO’ stands for corona-, ‘V’ stands for virus, ‘ID’ stands for infectious disease, and ‘-19’ refers to the year that this disease was first reported. </w:t>
      </w:r>
    </w:p>
    <w:p w14:paraId="71B9BFEF" w14:textId="77777777" w:rsidR="000627A0" w:rsidRPr="003223EE" w:rsidRDefault="000627A0" w:rsidP="00203669">
      <w:r w:rsidRPr="003223EE">
        <w:rPr>
          <w:b/>
        </w:rPr>
        <w:t>‘SARS-CoV-2’</w:t>
      </w:r>
      <w:r w:rsidRPr="003223EE">
        <w:t xml:space="preserve"> is the virus that causes the disease COVID-19. It is a </w:t>
      </w:r>
      <w:proofErr w:type="spellStart"/>
      <w:r w:rsidRPr="003223EE">
        <w:t>betacoronavirus</w:t>
      </w:r>
      <w:proofErr w:type="spellEnd"/>
      <w:r w:rsidRPr="003223EE">
        <w:t xml:space="preserve"> </w:t>
      </w:r>
      <w:r w:rsidR="00BC46F0" w:rsidRPr="003223EE">
        <w:t>genetically</w:t>
      </w:r>
      <w:r w:rsidRPr="003223EE">
        <w:t xml:space="preserve"> related to the 2003 </w:t>
      </w:r>
      <w:proofErr w:type="gramStart"/>
      <w:r w:rsidRPr="003223EE">
        <w:t>Severe acute respiratory syndrome</w:t>
      </w:r>
      <w:proofErr w:type="gramEnd"/>
      <w:r w:rsidRPr="003223EE">
        <w:t xml:space="preserve"> coronavirus (SARS-</w:t>
      </w:r>
      <w:proofErr w:type="spellStart"/>
      <w:r w:rsidRPr="003223EE">
        <w:t>CoV</w:t>
      </w:r>
      <w:proofErr w:type="spellEnd"/>
      <w:r w:rsidRPr="003223EE">
        <w:t>).</w:t>
      </w:r>
    </w:p>
    <w:p w14:paraId="7E051F31" w14:textId="77777777" w:rsidR="00DC1B5A" w:rsidRPr="0012554A" w:rsidRDefault="00DC1B5A" w:rsidP="00203669">
      <w:r w:rsidRPr="0012554A">
        <w:t>‘</w:t>
      </w:r>
      <w:r w:rsidRPr="0012554A">
        <w:rPr>
          <w:rStyle w:val="Strong"/>
          <w:rFonts w:cstheme="minorHAnsi"/>
          <w:color w:val="000000" w:themeColor="text1"/>
        </w:rPr>
        <w:t>Date of illness onset’</w:t>
      </w:r>
      <w:r w:rsidRPr="0012554A">
        <w:t xml:space="preserve"> is derived from data collected by the NNDSS and represents the diagnosis date, or reported true onset of disease date. If unknown, the earliest of specimen collection date, notification date or notification receive date is used. </w:t>
      </w:r>
    </w:p>
    <w:p w14:paraId="258AA63F" w14:textId="77777777" w:rsidR="00DC1B5A" w:rsidRPr="0012554A" w:rsidRDefault="00DC1B5A" w:rsidP="00203669">
      <w:r w:rsidRPr="0012554A">
        <w:t>‘</w:t>
      </w:r>
      <w:r w:rsidRPr="0012554A">
        <w:rPr>
          <w:rStyle w:val="Strong"/>
          <w:rFonts w:cstheme="minorHAnsi"/>
          <w:color w:val="000000" w:themeColor="text1"/>
        </w:rPr>
        <w:t>Notification received date’</w:t>
      </w:r>
      <w:r w:rsidRPr="0012554A">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531873B6" w14:textId="77777777" w:rsidR="00DC1B5A" w:rsidRPr="0012554A" w:rsidRDefault="00DC1B5A" w:rsidP="00203669">
      <w:r w:rsidRPr="0012554A">
        <w:rPr>
          <w:rStyle w:val="Strong"/>
          <w:rFonts w:cstheme="minorHAnsi"/>
          <w:color w:val="000000" w:themeColor="text1"/>
        </w:rPr>
        <w:t>‘Cluster’</w:t>
      </w:r>
      <w:r w:rsidRPr="0012554A">
        <w:t xml:space="preserve"> in relation to COVID-19 refers to two or more cases (who do not reside in the same household) that are epidemiologically related in time, place or person where a common source (such as an event or within a community) of infection is suspected but not yet established. </w:t>
      </w:r>
    </w:p>
    <w:p w14:paraId="6C1BE920" w14:textId="77777777" w:rsidR="00DC1B5A" w:rsidRPr="0012554A" w:rsidRDefault="00DC1B5A" w:rsidP="00203669">
      <w:r w:rsidRPr="0012554A">
        <w:t>‘</w:t>
      </w:r>
      <w:r w:rsidRPr="0012554A">
        <w:rPr>
          <w:rStyle w:val="Strong"/>
          <w:rFonts w:cstheme="minorHAnsi"/>
          <w:color w:val="000000" w:themeColor="text1"/>
        </w:rPr>
        <w:t>Outbreak’</w:t>
      </w:r>
      <w:r w:rsidRPr="0012554A">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05CB72EE" w14:textId="77777777" w:rsidR="00DC1B5A" w:rsidRPr="00B4096C" w:rsidRDefault="00DC1B5A" w:rsidP="00B4096C">
      <w:pPr>
        <w:pStyle w:val="Heading1"/>
      </w:pPr>
      <w:r w:rsidRPr="00B4096C">
        <w:t xml:space="preserve">Acknowledgements </w:t>
      </w:r>
    </w:p>
    <w:p w14:paraId="6904C324" w14:textId="77777777" w:rsidR="00DC1B5A" w:rsidRPr="0012554A" w:rsidRDefault="00DC1B5A" w:rsidP="00B4096C">
      <w:r w:rsidRPr="0012554A">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p>
    <w:p w14:paraId="76BF1C22" w14:textId="77777777" w:rsidR="00DC1B5A" w:rsidRPr="00B4096C" w:rsidRDefault="00DC1B5A" w:rsidP="00B4096C">
      <w:pPr>
        <w:pStyle w:val="Heading1"/>
      </w:pPr>
      <w:r w:rsidRPr="00B4096C">
        <w:t xml:space="preserve">Author details </w:t>
      </w:r>
    </w:p>
    <w:p w14:paraId="1CA73F50" w14:textId="77777777" w:rsidR="00DC1B5A" w:rsidRPr="00B4096C" w:rsidRDefault="00DC1B5A" w:rsidP="00B4096C">
      <w:pPr>
        <w:pStyle w:val="Heading2"/>
      </w:pPr>
      <w:r w:rsidRPr="00B4096C">
        <w:t xml:space="preserve">Corresponding author </w:t>
      </w:r>
    </w:p>
    <w:p w14:paraId="57349662" w14:textId="28288B83" w:rsidR="00DC1B5A" w:rsidRPr="0012554A" w:rsidRDefault="00DC1B5A" w:rsidP="00B4096C">
      <w:r w:rsidRPr="0012554A">
        <w:t xml:space="preserve">COVID-19 National Incident Room Surveillance Team, Australian Government Department of Health, GPO Box 9484, MDP 14, Canberra, ACT 2601. Email: </w:t>
      </w:r>
      <w:hyperlink r:id="rId25" w:history="1">
        <w:r w:rsidR="00CD2E83" w:rsidRPr="0012554A">
          <w:rPr>
            <w:rStyle w:val="Hyperlink"/>
            <w:rFonts w:cstheme="minorHAnsi"/>
            <w:color w:val="000000" w:themeColor="text1"/>
          </w:rPr>
          <w:t>epi.coronavirus@health.gov.au</w:t>
        </w:r>
      </w:hyperlink>
      <w:r w:rsidR="00CD2E83" w:rsidRPr="0012554A">
        <w:t xml:space="preserve"> </w:t>
      </w:r>
      <w:r w:rsidRPr="0012554A">
        <w:t xml:space="preserve"> </w:t>
      </w:r>
    </w:p>
    <w:p w14:paraId="2BD628D6" w14:textId="77777777" w:rsidR="00902EB3" w:rsidRDefault="00902EB3">
      <w:pPr>
        <w:rPr>
          <w:rFonts w:asciiTheme="majorHAnsi" w:eastAsiaTheme="majorEastAsia" w:hAnsiTheme="majorHAnsi" w:cstheme="majorBidi"/>
          <w:b/>
          <w:bCs/>
          <w:sz w:val="32"/>
          <w:szCs w:val="28"/>
        </w:rPr>
      </w:pPr>
      <w:r>
        <w:br w:type="page"/>
      </w:r>
    </w:p>
    <w:p w14:paraId="4372FE12" w14:textId="76B228DA" w:rsidR="00DC1B5A" w:rsidRPr="00B4096C" w:rsidRDefault="00DC1B5A" w:rsidP="00B4096C">
      <w:pPr>
        <w:pStyle w:val="Heading1"/>
      </w:pPr>
      <w:r w:rsidRPr="00B4096C">
        <w:lastRenderedPageBreak/>
        <w:t xml:space="preserve">References </w:t>
      </w:r>
    </w:p>
    <w:p w14:paraId="5EC5402E" w14:textId="3CB1E9F5" w:rsidR="00C83583" w:rsidRPr="0026374D" w:rsidRDefault="00C83583" w:rsidP="003F70A7">
      <w:pPr>
        <w:pStyle w:val="ListParagraph"/>
        <w:numPr>
          <w:ilvl w:val="1"/>
          <w:numId w:val="33"/>
        </w:numPr>
      </w:pPr>
      <w:r w:rsidRPr="0026374D">
        <w:t>Government of New South Wales. What you can and can't do under the rules</w:t>
      </w:r>
      <w:r>
        <w:t>: outdoor public gatherings</w:t>
      </w:r>
      <w:r w:rsidRPr="0026374D">
        <w:t xml:space="preserve">. [Internet.] Sydney: Government of New South Wales; 2020. [Accessed on </w:t>
      </w:r>
      <w:r>
        <w:t>4 August</w:t>
      </w:r>
      <w:r w:rsidRPr="0026374D">
        <w:t xml:space="preserve"> 2020.] Available from: </w:t>
      </w:r>
      <w:r w:rsidRPr="000543A3">
        <w:t>https://www.nsw.gov.au/covid-19/what-you-can-and-cant-do-under-rules#outdoor-public-gatherings</w:t>
      </w:r>
      <w:r w:rsidRPr="0026374D">
        <w:t>.</w:t>
      </w:r>
    </w:p>
    <w:p w14:paraId="503C1E3E" w14:textId="6AB0FDA5" w:rsidR="00C83583" w:rsidRPr="0026374D" w:rsidRDefault="00C83583" w:rsidP="003F70A7">
      <w:pPr>
        <w:pStyle w:val="ListParagraph"/>
        <w:numPr>
          <w:ilvl w:val="1"/>
          <w:numId w:val="33"/>
        </w:numPr>
      </w:pPr>
      <w:r w:rsidRPr="0026374D">
        <w:t xml:space="preserve">Government of New South Wales. </w:t>
      </w:r>
      <w:r>
        <w:t>Health advice update on masks</w:t>
      </w:r>
      <w:r w:rsidRPr="0026374D">
        <w:t xml:space="preserve">. [Internet.] Sydney: Government of New South Wales; </w:t>
      </w:r>
      <w:r>
        <w:t xml:space="preserve">2 August </w:t>
      </w:r>
      <w:r w:rsidRPr="0026374D">
        <w:t>2020. [Accessed on</w:t>
      </w:r>
      <w:r>
        <w:t xml:space="preserve"> 4 August </w:t>
      </w:r>
      <w:r w:rsidRPr="0026374D">
        <w:t xml:space="preserve">2020.] Available from: </w:t>
      </w:r>
      <w:r w:rsidRPr="000543A3">
        <w:t>https://www.nsw.gov.au/media-releases/health-advice-update-on-masks</w:t>
      </w:r>
      <w:r w:rsidRPr="0026374D">
        <w:t>.</w:t>
      </w:r>
    </w:p>
    <w:p w14:paraId="2D612231" w14:textId="3B5F2B31" w:rsidR="00C83583" w:rsidRPr="0026374D" w:rsidRDefault="00C83583" w:rsidP="003F70A7">
      <w:pPr>
        <w:pStyle w:val="ListParagraph"/>
        <w:numPr>
          <w:ilvl w:val="1"/>
          <w:numId w:val="33"/>
        </w:numPr>
      </w:pPr>
      <w:r w:rsidRPr="0026374D">
        <w:t xml:space="preserve">Department of Health and Human Services (DHHS). </w:t>
      </w:r>
      <w:r>
        <w:t>Stage 4 restrictions</w:t>
      </w:r>
      <w:r w:rsidRPr="0026374D">
        <w:t xml:space="preserve">. [Internet.] Melbourne: Victoria State Government, DHHS; 2020. [Accessed on </w:t>
      </w:r>
      <w:r>
        <w:t>4 August</w:t>
      </w:r>
      <w:r w:rsidRPr="0026374D">
        <w:t xml:space="preserve"> 2020.] Available from: </w:t>
      </w:r>
      <w:r w:rsidRPr="000543A3">
        <w:t>https://www.nsw.gov.au/media-releases/health-advice-update-on-masks</w:t>
      </w:r>
      <w:r w:rsidRPr="0026374D">
        <w:t>.</w:t>
      </w:r>
    </w:p>
    <w:p w14:paraId="02697A56" w14:textId="0A690706" w:rsidR="00C83583" w:rsidRPr="0026374D" w:rsidRDefault="00C83583" w:rsidP="003F70A7">
      <w:pPr>
        <w:pStyle w:val="ListParagraph"/>
        <w:numPr>
          <w:ilvl w:val="1"/>
          <w:numId w:val="33"/>
        </w:numPr>
      </w:pPr>
      <w:r w:rsidRPr="0026374D">
        <w:t xml:space="preserve">Queensland Government. </w:t>
      </w:r>
      <w:r>
        <w:t>Border restrictions</w:t>
      </w:r>
      <w:r w:rsidRPr="0026374D">
        <w:t xml:space="preserve">. </w:t>
      </w:r>
      <w:r>
        <w:t xml:space="preserve">[Internet.] </w:t>
      </w:r>
      <w:r w:rsidRPr="0026374D">
        <w:t xml:space="preserve">Brisbane: Queensland Government; 2020. [Accessed on </w:t>
      </w:r>
      <w:r>
        <w:t>4 August</w:t>
      </w:r>
      <w:r w:rsidRPr="0026374D">
        <w:t xml:space="preserve"> 2020.] Available from: </w:t>
      </w:r>
      <w:r w:rsidRPr="002D400C">
        <w:t>https://www.qld.gov.au/health/conditions/health-alerts/coronavirus-covid-19/current-status/public-health-directions/border-restrictions</w:t>
      </w:r>
      <w:r>
        <w:t>.</w:t>
      </w:r>
    </w:p>
    <w:p w14:paraId="2386E220" w14:textId="731864D2" w:rsidR="00C83583" w:rsidRPr="0026374D" w:rsidRDefault="00C83583" w:rsidP="003F70A7">
      <w:pPr>
        <w:pStyle w:val="ListParagraph"/>
        <w:numPr>
          <w:ilvl w:val="1"/>
          <w:numId w:val="33"/>
        </w:numPr>
      </w:pPr>
      <w:r w:rsidRPr="0026374D">
        <w:t xml:space="preserve">Government of Western Australia. COVID-19 coronavirus: WA Roadmap. [Internet.] Perth: Government of Western Australia; 2020. [Accessed on </w:t>
      </w:r>
      <w:r>
        <w:t>4 August</w:t>
      </w:r>
      <w:r w:rsidRPr="0026374D">
        <w:t xml:space="preserve"> 2020.] Available from: https://www.wa.gov.au/organisation/department-of-the-premier-and-cabinet/covid-19-coronavirus-wa-roadmap.</w:t>
      </w:r>
    </w:p>
    <w:p w14:paraId="089DB7E7" w14:textId="194681EA" w:rsidR="00C83583" w:rsidRPr="0026374D" w:rsidRDefault="00C83583" w:rsidP="003F70A7">
      <w:pPr>
        <w:pStyle w:val="ListParagraph"/>
        <w:numPr>
          <w:ilvl w:val="1"/>
          <w:numId w:val="33"/>
        </w:numPr>
      </w:pPr>
      <w:r w:rsidRPr="0026374D">
        <w:t xml:space="preserve">Government of South Australia. Recovery from COVID-19. [Internet.] Adelaide: Government of South Australia; 2020. [Accessed on </w:t>
      </w:r>
      <w:r>
        <w:t>4 August</w:t>
      </w:r>
      <w:r w:rsidRPr="0026374D">
        <w:t xml:space="preserve"> 2020.] Available from: https://www.covid-19.sa.gov.au/recovery.</w:t>
      </w:r>
    </w:p>
    <w:p w14:paraId="25A4CDF8" w14:textId="2BF458D5" w:rsidR="00C83583" w:rsidRPr="0026374D" w:rsidRDefault="00C83583" w:rsidP="003F70A7">
      <w:pPr>
        <w:pStyle w:val="ListParagraph"/>
        <w:numPr>
          <w:ilvl w:val="1"/>
          <w:numId w:val="33"/>
        </w:numPr>
      </w:pPr>
      <w:r w:rsidRPr="0026374D">
        <w:t xml:space="preserve">Tasmanian Government. Roadmap to recovery. [Internet.] Hobart: Tasmanian Government; 2020. [Accessed on </w:t>
      </w:r>
      <w:r>
        <w:t>4 August</w:t>
      </w:r>
      <w:r w:rsidRPr="0026374D">
        <w:t xml:space="preserve"> 2020.] Available from: https://coronavirus.tas.gov.au/families-community/roadmap-to-recovery.</w:t>
      </w:r>
    </w:p>
    <w:p w14:paraId="3E7E6DA6" w14:textId="4334FFA4" w:rsidR="00C83583" w:rsidRPr="0026374D" w:rsidRDefault="00C83583" w:rsidP="003F70A7">
      <w:pPr>
        <w:pStyle w:val="ListParagraph"/>
        <w:numPr>
          <w:ilvl w:val="1"/>
          <w:numId w:val="33"/>
        </w:numPr>
      </w:pPr>
      <w:r w:rsidRPr="0026374D">
        <w:t xml:space="preserve">Australian Capital Territory Government. </w:t>
      </w:r>
      <w:r w:rsidRPr="002D400C">
        <w:t xml:space="preserve">Canberra’s </w:t>
      </w:r>
      <w:r>
        <w:t>recovery plan: easing of r</w:t>
      </w:r>
      <w:r w:rsidRPr="002D400C">
        <w:t>estrictions</w:t>
      </w:r>
      <w:r w:rsidRPr="0026374D">
        <w:t xml:space="preserve">. [Internet.] Canberra: Australian Capital Territory Government; 2020. [Accessed on </w:t>
      </w:r>
      <w:r>
        <w:t>4 August</w:t>
      </w:r>
      <w:r w:rsidRPr="0026374D">
        <w:t xml:space="preserve"> 2020.] Available from: </w:t>
      </w:r>
      <w:r w:rsidRPr="002D400C">
        <w:t>https://www.covid19.act.gov.au/community/canberra-recovery</w:t>
      </w:r>
      <w:r w:rsidRPr="0026374D">
        <w:t>.</w:t>
      </w:r>
    </w:p>
    <w:p w14:paraId="134148E2" w14:textId="41C8AA5A" w:rsidR="00C83583" w:rsidRPr="0026374D" w:rsidRDefault="00C83583" w:rsidP="003F70A7">
      <w:pPr>
        <w:pStyle w:val="ListParagraph"/>
        <w:numPr>
          <w:ilvl w:val="1"/>
          <w:numId w:val="33"/>
        </w:numPr>
      </w:pPr>
      <w:r w:rsidRPr="0026374D">
        <w:t>Northern Territory Government. Roadmap to the new normal</w:t>
      </w:r>
      <w:r>
        <w:t>: other information</w:t>
      </w:r>
      <w:r w:rsidRPr="0026374D">
        <w:t xml:space="preserve">. [Internet.] Darwin: Northern Territory Government; 2020. [Accessed on </w:t>
      </w:r>
      <w:r>
        <w:t>4 August</w:t>
      </w:r>
      <w:r w:rsidRPr="0026374D">
        <w:t xml:space="preserve"> 2020.] Available from: </w:t>
      </w:r>
      <w:r w:rsidRPr="002D400C">
        <w:t>https://coronavirus.nt.gov.au/roadmap-new-normal#section2</w:t>
      </w:r>
      <w:r w:rsidRPr="0026374D">
        <w:t>.</w:t>
      </w:r>
    </w:p>
    <w:p w14:paraId="4A95B5D5" w14:textId="0B237236" w:rsidR="00C83583" w:rsidRDefault="00C83583" w:rsidP="003F70A7">
      <w:pPr>
        <w:pStyle w:val="ListParagraph"/>
        <w:numPr>
          <w:ilvl w:val="1"/>
          <w:numId w:val="33"/>
        </w:numPr>
      </w:pPr>
      <w:r w:rsidRPr="00EE6B7B">
        <w:t>World Health Organization (WHO). WHO Coronavirus Disease (COVID-19) dashboard. [Internet.] Geneva: WHO; 2020. [Accessed on 1</w:t>
      </w:r>
      <w:r>
        <w:t>9</w:t>
      </w:r>
      <w:r w:rsidRPr="00EE6B7B">
        <w:t xml:space="preserve"> August 2020.] Available from: https://covid19.who.int/.</w:t>
      </w:r>
    </w:p>
    <w:p w14:paraId="6C6D7AE7" w14:textId="6CD67D6C" w:rsidR="00C83583" w:rsidRPr="00EE6B7B" w:rsidRDefault="00C83583" w:rsidP="003F70A7">
      <w:pPr>
        <w:pStyle w:val="ListParagraph"/>
        <w:numPr>
          <w:ilvl w:val="1"/>
          <w:numId w:val="33"/>
        </w:numPr>
      </w:pPr>
      <w:r w:rsidRPr="00EE6B7B">
        <w:t>New Zealand Government Ministry of Health. COVID-19 - Significant clusters. [Internet.] Wellington: New Zealand Government, Ministry of Health; 2020. [Accessed on 20 August 2020.] Available from: https://www.health.govt.nz/our-work/diseases-and-conditions/covid-19-novel-coronavirus/covid-19-current-situation/covid-19-current-cases/covid-19-significant-clusters.</w:t>
      </w:r>
    </w:p>
    <w:p w14:paraId="3F10D78B" w14:textId="72E20B60" w:rsidR="00C83583" w:rsidRPr="00EE6B7B" w:rsidRDefault="00C83583" w:rsidP="003F70A7">
      <w:pPr>
        <w:pStyle w:val="ListParagraph"/>
        <w:numPr>
          <w:ilvl w:val="1"/>
          <w:numId w:val="33"/>
        </w:numPr>
      </w:pPr>
      <w:r w:rsidRPr="00EE6B7B">
        <w:t>New Zealand Government. Current alert level. [Internet.] Wellington: New Zealand Government; 2020. [Accessed on 20 August 2020.] Available from: https://covid19.govt.nz/covid-19/current-alert-level/.</w:t>
      </w:r>
    </w:p>
    <w:p w14:paraId="0429D16E" w14:textId="5B2754BF" w:rsidR="00C83583" w:rsidRDefault="00C83583" w:rsidP="003F70A7">
      <w:pPr>
        <w:pStyle w:val="ListParagraph"/>
        <w:numPr>
          <w:ilvl w:val="1"/>
          <w:numId w:val="33"/>
        </w:numPr>
      </w:pPr>
      <w:r w:rsidRPr="00F9162C">
        <w:t xml:space="preserve">Papua New Guinea National Department of Health, WHO Representative Office for Papua New Guinea. </w:t>
      </w:r>
      <w:r w:rsidRPr="003F70A7">
        <w:rPr>
          <w:i/>
        </w:rPr>
        <w:t>Papua New Guinea Coronavirus Disease 2019 (COVID-19) Health Situation Report #34: 17 August 2020</w:t>
      </w:r>
      <w:r w:rsidRPr="00F9162C">
        <w:t xml:space="preserve">. Port Moresby: Papua New Guinea National Department of Health; 2020. [Accessed on </w:t>
      </w:r>
      <w:r>
        <w:t>20</w:t>
      </w:r>
      <w:r w:rsidRPr="00F9162C">
        <w:t xml:space="preserve"> August 2020.] Available from: </w:t>
      </w:r>
      <w:r w:rsidRPr="0028110D">
        <w:lastRenderedPageBreak/>
        <w:t>https://covid19.info.gov.pg/files/Situation%20Report/PNG%20COVID-19%20Health%20Situation%20Report%2034%20(2020-08-17)_FINAL.pdf</w:t>
      </w:r>
      <w:r w:rsidRPr="00F9162C">
        <w:t>.</w:t>
      </w:r>
    </w:p>
    <w:p w14:paraId="53542BF2" w14:textId="7DBDE698" w:rsidR="00C83583" w:rsidRDefault="00C83583" w:rsidP="003F70A7">
      <w:pPr>
        <w:pStyle w:val="ListParagraph"/>
        <w:numPr>
          <w:ilvl w:val="1"/>
          <w:numId w:val="33"/>
        </w:numPr>
      </w:pPr>
      <w:r w:rsidRPr="00ED4E53">
        <w:t>WHO. Report of the WHO-China joint mission on coronavirus disease 2019 (COVID-19). [Internet.] Geneva: WHO; 2020. [Accessed 1 Mar 2020.] Available from: https://www.who.int/docs/default-source/coronaviruse/who-china-joint-mission-on-covid-19-final-report.pdf.</w:t>
      </w:r>
    </w:p>
    <w:p w14:paraId="5F26CB96" w14:textId="4F82CA74" w:rsidR="00C83583" w:rsidRDefault="00C83583" w:rsidP="003F70A7">
      <w:pPr>
        <w:pStyle w:val="ListParagraph"/>
        <w:numPr>
          <w:ilvl w:val="1"/>
          <w:numId w:val="33"/>
        </w:numPr>
      </w:pPr>
      <w:r w:rsidRPr="0067180F">
        <w:t xml:space="preserve">Harding H, Broom A, Broom J. Aerosol-generating </w:t>
      </w:r>
      <w:proofErr w:type="gramStart"/>
      <w:r w:rsidRPr="0067180F">
        <w:t>procedures</w:t>
      </w:r>
      <w:proofErr w:type="gramEnd"/>
      <w:r w:rsidRPr="0067180F">
        <w:t xml:space="preserve"> and infective risk to healthcare workers from SARS-CoV-2: the limits of the evidence. </w:t>
      </w:r>
      <w:r w:rsidRPr="003F70A7">
        <w:rPr>
          <w:i/>
        </w:rPr>
        <w:t>J Hosp Infect</w:t>
      </w:r>
      <w:r w:rsidRPr="0067180F">
        <w:t>. 2020;105(4):717</w:t>
      </w:r>
      <w:r>
        <w:t>–</w:t>
      </w:r>
      <w:r w:rsidRPr="0067180F">
        <w:t>25.</w:t>
      </w:r>
    </w:p>
    <w:p w14:paraId="6E5D302D" w14:textId="70C0C17B" w:rsidR="00C83583" w:rsidRDefault="00C83583" w:rsidP="003F70A7">
      <w:pPr>
        <w:pStyle w:val="ListParagraph"/>
        <w:numPr>
          <w:ilvl w:val="1"/>
          <w:numId w:val="33"/>
        </w:numPr>
      </w:pPr>
      <w:proofErr w:type="spellStart"/>
      <w:r w:rsidRPr="0067180F">
        <w:t>Morawska</w:t>
      </w:r>
      <w:proofErr w:type="spellEnd"/>
      <w:r w:rsidRPr="0067180F">
        <w:t xml:space="preserve"> L, Milton DK. It is time to address airborne transmission of COVID-19. </w:t>
      </w:r>
      <w:r w:rsidRPr="003F70A7">
        <w:rPr>
          <w:i/>
        </w:rPr>
        <w:t>Clin Infect Dis</w:t>
      </w:r>
      <w:r w:rsidRPr="0067180F">
        <w:t>. 2020;ciaa939. doi: https://doi.org/10.1093/cid/ciaa939.</w:t>
      </w:r>
    </w:p>
    <w:p w14:paraId="080E23C4" w14:textId="66603C1D" w:rsidR="00C83583" w:rsidRDefault="00C83583" w:rsidP="003F70A7">
      <w:pPr>
        <w:pStyle w:val="ListParagraph"/>
        <w:numPr>
          <w:ilvl w:val="1"/>
          <w:numId w:val="33"/>
        </w:numPr>
      </w:pPr>
      <w:r w:rsidRPr="0016173F">
        <w:t>WHO. Transmission of SARS-CoV-2: implications for infection prevention precautions. [Internet.] Geneva: WHO; 9 July 2020. [Accessed on 28 July 2020.] Available from: https://www.who.int/news-room/commentaries/detail/transmission-of-sars-cov-2-implications-for-infection-prevention-precautions.</w:t>
      </w:r>
    </w:p>
    <w:p w14:paraId="217EBB98" w14:textId="3C752FED" w:rsidR="00C83583" w:rsidRDefault="00C83583" w:rsidP="003F70A7">
      <w:pPr>
        <w:pStyle w:val="ListParagraph"/>
        <w:numPr>
          <w:ilvl w:val="1"/>
          <w:numId w:val="33"/>
        </w:numPr>
      </w:pPr>
      <w:proofErr w:type="spellStart"/>
      <w:r w:rsidRPr="0016173F">
        <w:t>Pulinx</w:t>
      </w:r>
      <w:proofErr w:type="spellEnd"/>
      <w:r w:rsidRPr="0016173F">
        <w:t xml:space="preserve"> B, Kieffer D, Michiels I, </w:t>
      </w:r>
      <w:proofErr w:type="spellStart"/>
      <w:r w:rsidRPr="0016173F">
        <w:t>Petermans</w:t>
      </w:r>
      <w:proofErr w:type="spellEnd"/>
      <w:r w:rsidRPr="0016173F">
        <w:t xml:space="preserve"> S, </w:t>
      </w:r>
      <w:proofErr w:type="spellStart"/>
      <w:r w:rsidRPr="0016173F">
        <w:t>Strybol</w:t>
      </w:r>
      <w:proofErr w:type="spellEnd"/>
      <w:r w:rsidRPr="0016173F">
        <w:t xml:space="preserve"> D, </w:t>
      </w:r>
      <w:proofErr w:type="spellStart"/>
      <w:r w:rsidRPr="0016173F">
        <w:t>Delvaux</w:t>
      </w:r>
      <w:proofErr w:type="spellEnd"/>
      <w:r w:rsidRPr="0016173F">
        <w:t xml:space="preserve"> S et al. Vertical transmission of SARS-CoV-2 infection and preterm birth. </w:t>
      </w:r>
      <w:proofErr w:type="spellStart"/>
      <w:r w:rsidRPr="003F70A7">
        <w:rPr>
          <w:i/>
        </w:rPr>
        <w:t>Eur</w:t>
      </w:r>
      <w:proofErr w:type="spellEnd"/>
      <w:r w:rsidRPr="003F70A7">
        <w:rPr>
          <w:i/>
        </w:rPr>
        <w:t xml:space="preserve"> J Clin Microbiol Infect Dis</w:t>
      </w:r>
      <w:r w:rsidRPr="0016173F">
        <w:t>. 2020. doi: https://doi.org/10.1007/s10096-020-03964-y.</w:t>
      </w:r>
    </w:p>
    <w:p w14:paraId="15EF8233" w14:textId="3EEC3FC0" w:rsidR="00C83583" w:rsidRPr="004D6FD3" w:rsidRDefault="00C83583" w:rsidP="003F70A7">
      <w:pPr>
        <w:pStyle w:val="ListParagraph"/>
        <w:numPr>
          <w:ilvl w:val="1"/>
          <w:numId w:val="33"/>
        </w:numPr>
      </w:pPr>
      <w:r w:rsidRPr="004D6FD3">
        <w:t>ECDC. Rapid risk assessment: Paediatric inflammatory multisystem syndrome and SARS-CoV-2 infection in children – 15 May 2020. Solna: ECDC; 2020. [Accessed on 19 May 2020.] Available from: https://www.ecdc.europa.eu/sites/default/files/documents/covid-19-risk-assessment-paediatric-inflammatory-multisystem-syndrome-15-May-2020.pdf.</w:t>
      </w:r>
    </w:p>
    <w:p w14:paraId="2062990C" w14:textId="487F576D" w:rsidR="00C83583" w:rsidRPr="004D6FD3" w:rsidRDefault="00C83583" w:rsidP="003F70A7">
      <w:pPr>
        <w:pStyle w:val="ListParagraph"/>
        <w:numPr>
          <w:ilvl w:val="1"/>
          <w:numId w:val="33"/>
        </w:numPr>
      </w:pPr>
      <w:r w:rsidRPr="004D6FD3">
        <w:t>WHO. Coronavirus disease 2019 (COVID-19) situation report – 29. [Internet.] Geneva: WHO; 2020. [Accessed 22 Feb 2020.] Available from: https://www.who.int/docs/default-source/coronaviruse/situation-reports/20200218-sitrep-29-covid-19.pdf.</w:t>
      </w:r>
    </w:p>
    <w:p w14:paraId="019635E2" w14:textId="288D7F22" w:rsidR="00C83583" w:rsidRPr="004D6FD3" w:rsidRDefault="00C83583" w:rsidP="003F70A7">
      <w:pPr>
        <w:pStyle w:val="ListParagraph"/>
        <w:numPr>
          <w:ilvl w:val="1"/>
          <w:numId w:val="33"/>
        </w:numPr>
      </w:pPr>
      <w:proofErr w:type="spellStart"/>
      <w:r w:rsidRPr="004D6FD3">
        <w:t>Pung</w:t>
      </w:r>
      <w:proofErr w:type="spellEnd"/>
      <w:r w:rsidRPr="004D6FD3">
        <w:t xml:space="preserve"> R, </w:t>
      </w:r>
      <w:proofErr w:type="spellStart"/>
      <w:r w:rsidRPr="004D6FD3">
        <w:t>Chiew</w:t>
      </w:r>
      <w:proofErr w:type="spellEnd"/>
      <w:r w:rsidRPr="004D6FD3">
        <w:t xml:space="preserve"> CJ, Young BE, Chin S, Chen M, Clapham HE. Investigation of three clusters of COVID-19 in Singapore: implications for surveillance and response measures. </w:t>
      </w:r>
      <w:r w:rsidRPr="003F70A7">
        <w:rPr>
          <w:i/>
        </w:rPr>
        <w:t>Lancet</w:t>
      </w:r>
      <w:r w:rsidRPr="004D6FD3">
        <w:t>. 2020;395(10229):1039–46.</w:t>
      </w:r>
    </w:p>
    <w:p w14:paraId="7A9DCE61" w14:textId="26989C23" w:rsidR="00C83583" w:rsidRDefault="00C83583" w:rsidP="003F70A7">
      <w:pPr>
        <w:pStyle w:val="ListParagraph"/>
        <w:numPr>
          <w:ilvl w:val="1"/>
          <w:numId w:val="33"/>
        </w:numPr>
      </w:pPr>
      <w:r w:rsidRPr="00611B5C">
        <w:t xml:space="preserve">Park M, Cook AR, Lim JT, Sun Y, Dickens BL. A systematic review of COVID-19 epidemiology based on current evidence. </w:t>
      </w:r>
      <w:r w:rsidRPr="003F70A7">
        <w:rPr>
          <w:i/>
        </w:rPr>
        <w:t>J Clin Med</w:t>
      </w:r>
      <w:r w:rsidRPr="00611B5C">
        <w:t>. 2020;9(4):967.</w:t>
      </w:r>
    </w:p>
    <w:p w14:paraId="130350AF" w14:textId="559EFA79" w:rsidR="00C83583" w:rsidRDefault="00C83583" w:rsidP="003F70A7">
      <w:pPr>
        <w:pStyle w:val="ListParagraph"/>
        <w:numPr>
          <w:ilvl w:val="1"/>
          <w:numId w:val="33"/>
        </w:numPr>
      </w:pPr>
      <w:r w:rsidRPr="0067180F">
        <w:t xml:space="preserve">WHO. Coronavirus disease 2019 (COVID-19) situation report – </w:t>
      </w:r>
      <w:r>
        <w:t>73</w:t>
      </w:r>
      <w:r w:rsidRPr="0067180F">
        <w:t xml:space="preserve">. [Internet.] Geneva: WHO; 2020. [Accessed on </w:t>
      </w:r>
      <w:r>
        <w:t>4</w:t>
      </w:r>
      <w:r w:rsidRPr="0067180F">
        <w:t xml:space="preserve"> August 2020.] Available from: https://www.who.int/docs/default-source/coronaviruse/situation-reports/20200</w:t>
      </w:r>
      <w:r>
        <w:t>402</w:t>
      </w:r>
      <w:r w:rsidRPr="0067180F">
        <w:t>-sitrep-</w:t>
      </w:r>
      <w:r>
        <w:t>73-C</w:t>
      </w:r>
      <w:r w:rsidRPr="0067180F">
        <w:t>ovid-19.pdf.</w:t>
      </w:r>
    </w:p>
    <w:p w14:paraId="013B08BE" w14:textId="037C84CC" w:rsidR="00C83583" w:rsidRDefault="00C83583" w:rsidP="003F70A7">
      <w:pPr>
        <w:pStyle w:val="ListParagraph"/>
        <w:numPr>
          <w:ilvl w:val="1"/>
          <w:numId w:val="33"/>
        </w:numPr>
      </w:pPr>
      <w:r w:rsidRPr="00611B5C">
        <w:t>WHO. Criteria for releasing COVID-19 patients from isolation: scientific brief. [Internet.] Geneva: WHO; 17 June 2020. [Accessed on 4 August 2020.] Available from: https://www.who.int/news-room/commentaries/detail/criteria-for-releasing-covid-19-patients-from-isolation.</w:t>
      </w:r>
    </w:p>
    <w:p w14:paraId="50CB1938" w14:textId="19852D0D" w:rsidR="00C83583" w:rsidRPr="004D6FD3" w:rsidRDefault="00C83583" w:rsidP="003F70A7">
      <w:pPr>
        <w:pStyle w:val="ListParagraph"/>
        <w:numPr>
          <w:ilvl w:val="1"/>
          <w:numId w:val="33"/>
        </w:numPr>
      </w:pPr>
      <w:proofErr w:type="spellStart"/>
      <w:r w:rsidRPr="004D6FD3">
        <w:t>Wölfel</w:t>
      </w:r>
      <w:proofErr w:type="spellEnd"/>
      <w:r w:rsidRPr="004D6FD3">
        <w:t xml:space="preserve"> R, Corman VM, </w:t>
      </w:r>
      <w:proofErr w:type="spellStart"/>
      <w:r w:rsidRPr="004D6FD3">
        <w:t>Guggemos</w:t>
      </w:r>
      <w:proofErr w:type="spellEnd"/>
      <w:r w:rsidRPr="004D6FD3">
        <w:t xml:space="preserve"> W, </w:t>
      </w:r>
      <w:proofErr w:type="spellStart"/>
      <w:r w:rsidRPr="004D6FD3">
        <w:t>Seilmaier</w:t>
      </w:r>
      <w:proofErr w:type="spellEnd"/>
      <w:r w:rsidRPr="004D6FD3">
        <w:t xml:space="preserve"> M, </w:t>
      </w:r>
      <w:proofErr w:type="spellStart"/>
      <w:r w:rsidRPr="004D6FD3">
        <w:t>Zange</w:t>
      </w:r>
      <w:proofErr w:type="spellEnd"/>
      <w:r w:rsidRPr="004D6FD3">
        <w:t xml:space="preserve"> S, Müller MA et al. Virological assessment of hospitalized patients with COVID-2019. </w:t>
      </w:r>
      <w:r w:rsidRPr="003F70A7">
        <w:rPr>
          <w:i/>
        </w:rPr>
        <w:t>Nature</w:t>
      </w:r>
      <w:r w:rsidRPr="004D6FD3">
        <w:t>. 2020. doi: https://doi.org/10.1038/s41586-020-2196-x.</w:t>
      </w:r>
    </w:p>
    <w:p w14:paraId="1A935C07" w14:textId="0137712B" w:rsidR="00C83583" w:rsidRDefault="00C83583" w:rsidP="003F70A7">
      <w:pPr>
        <w:pStyle w:val="ListParagraph"/>
        <w:numPr>
          <w:ilvl w:val="1"/>
          <w:numId w:val="33"/>
        </w:numPr>
      </w:pPr>
      <w:r w:rsidRPr="00611B5C">
        <w:t xml:space="preserve">He X, Lau EHY, Wu P, Deng X, Wang J, Hao X. Temporal dynamics in viral shedding and transmissibility of COVID-19. </w:t>
      </w:r>
      <w:r w:rsidRPr="003F70A7">
        <w:rPr>
          <w:i/>
        </w:rPr>
        <w:t>Nat Med</w:t>
      </w:r>
      <w:r w:rsidRPr="00611B5C">
        <w:t>. 2020;26(5):672-675.</w:t>
      </w:r>
    </w:p>
    <w:p w14:paraId="223E3FF4" w14:textId="1AEC0D73" w:rsidR="00C83583" w:rsidRDefault="00C83583" w:rsidP="003F70A7">
      <w:pPr>
        <w:pStyle w:val="ListParagraph"/>
        <w:numPr>
          <w:ilvl w:val="1"/>
          <w:numId w:val="33"/>
        </w:numPr>
      </w:pPr>
      <w:r w:rsidRPr="00944290">
        <w:t>WHO Regional Office for the Eastern Mediterranean. Transmission of COVID-19 by asymptomatic cases. [Internet.] Geneva: WHO; 11 June 2020. [Accessed on 4 August 2020.] Available from: http://www.emro.who.int/health-topics/corona-virus/transmission-of-covid-19-by-asymptomatic-cases.html.</w:t>
      </w:r>
    </w:p>
    <w:p w14:paraId="49282B16" w14:textId="410868EC" w:rsidR="00C83583" w:rsidRDefault="00C83583" w:rsidP="003F70A7">
      <w:pPr>
        <w:pStyle w:val="ListParagraph"/>
        <w:numPr>
          <w:ilvl w:val="1"/>
          <w:numId w:val="33"/>
        </w:numPr>
      </w:pPr>
      <w:r w:rsidRPr="00944290">
        <w:lastRenderedPageBreak/>
        <w:t xml:space="preserve">Lennon NJ, Bhattacharyya RP, Mina MJ, Rehm HL, Hung DT, </w:t>
      </w:r>
      <w:proofErr w:type="spellStart"/>
      <w:r w:rsidRPr="00944290">
        <w:t>Smole</w:t>
      </w:r>
      <w:proofErr w:type="spellEnd"/>
      <w:r w:rsidRPr="00944290">
        <w:t xml:space="preserve"> S et al. Comparison of viral levels in individuals with or without symptoms at time of COVID-19 testing among 32,480 residents and staff of nursing homes and assisted living facilities in Massachusetts. </w:t>
      </w:r>
      <w:proofErr w:type="spellStart"/>
      <w:r w:rsidRPr="003F70A7">
        <w:rPr>
          <w:i/>
        </w:rPr>
        <w:t>medRxiv</w:t>
      </w:r>
      <w:proofErr w:type="spellEnd"/>
      <w:r w:rsidRPr="00944290">
        <w:t>. 2020. doi: https://doi.org/10.1101/2020.07.20.20157792.</w:t>
      </w:r>
    </w:p>
    <w:p w14:paraId="2509D4B8" w14:textId="4E1BFC1B" w:rsidR="00C83583" w:rsidRPr="004D6FD3" w:rsidRDefault="00C83583" w:rsidP="003F70A7">
      <w:pPr>
        <w:pStyle w:val="ListParagraph"/>
        <w:numPr>
          <w:ilvl w:val="1"/>
          <w:numId w:val="33"/>
        </w:numPr>
      </w:pPr>
      <w:r w:rsidRPr="004D6FD3">
        <w:t xml:space="preserve">Cheng HY, Jian SW, Liu DP, Ng TC, Huang WT, Lin HH. Contact tracing assessment of COVID-19 transmission dynamics in Taiwan and risk at different exposure periods before and after symptom onset. </w:t>
      </w:r>
      <w:r w:rsidRPr="003F70A7">
        <w:rPr>
          <w:i/>
        </w:rPr>
        <w:t>JAMA Intern Med</w:t>
      </w:r>
      <w:r w:rsidRPr="004D6FD3">
        <w:t>. 2020. doi: https://doi.org/10.1001/jamainternmed.2020.2020.</w:t>
      </w:r>
    </w:p>
    <w:p w14:paraId="053255A3" w14:textId="6B187BC0" w:rsidR="00C83583" w:rsidRDefault="00C83583" w:rsidP="003F70A7">
      <w:pPr>
        <w:pStyle w:val="ListParagraph"/>
        <w:numPr>
          <w:ilvl w:val="1"/>
          <w:numId w:val="33"/>
        </w:numPr>
      </w:pPr>
      <w:r w:rsidRPr="00944290">
        <w:t xml:space="preserve">Chandrashekar A, Liu J, </w:t>
      </w:r>
      <w:proofErr w:type="spellStart"/>
      <w:r w:rsidRPr="00944290">
        <w:t>Martinot</w:t>
      </w:r>
      <w:proofErr w:type="spellEnd"/>
      <w:r w:rsidRPr="00944290">
        <w:t xml:space="preserve"> AJ, McMahan K, Mercado NB, Peter L et al. Deng W, Bao L, Liu J, Xiao C, Liu J, Xue J et al. SARS-CoV-2 infection protects against rechallenge in rhesus macaques. </w:t>
      </w:r>
      <w:r w:rsidRPr="003F70A7">
        <w:rPr>
          <w:i/>
        </w:rPr>
        <w:t>Science</w:t>
      </w:r>
      <w:r w:rsidRPr="00944290">
        <w:t>. 2020;eabc4776. doi: https://doi.org/10.1126/science.abc4776.</w:t>
      </w:r>
    </w:p>
    <w:p w14:paraId="770C09EE" w14:textId="443191CA" w:rsidR="00C83583" w:rsidRDefault="00C83583" w:rsidP="003F70A7">
      <w:pPr>
        <w:pStyle w:val="ListParagraph"/>
        <w:numPr>
          <w:ilvl w:val="1"/>
          <w:numId w:val="33"/>
        </w:numPr>
      </w:pPr>
      <w:r w:rsidRPr="00944290">
        <w:t xml:space="preserve">Deng W, Bao L, Liu J, Xiao C, Liu J, Xue J et al. Primary exposure to SARS-CoV-2 protects against reinfection in rhesus macaques. </w:t>
      </w:r>
      <w:r w:rsidRPr="003F70A7">
        <w:rPr>
          <w:i/>
        </w:rPr>
        <w:t>Science</w:t>
      </w:r>
      <w:r w:rsidRPr="00944290">
        <w:t>. 2020;eabc5343. doi: https://doi.org/10.1126/science.abc5343.</w:t>
      </w:r>
    </w:p>
    <w:p w14:paraId="23E5E6C0" w14:textId="4C23FBA4" w:rsidR="00C83583" w:rsidRDefault="00C83583" w:rsidP="003F70A7">
      <w:pPr>
        <w:pStyle w:val="ListParagraph"/>
        <w:numPr>
          <w:ilvl w:val="1"/>
          <w:numId w:val="33"/>
        </w:numPr>
      </w:pPr>
      <w:proofErr w:type="spellStart"/>
      <w:r w:rsidRPr="00A45DE5">
        <w:t>Seow</w:t>
      </w:r>
      <w:proofErr w:type="spellEnd"/>
      <w:r w:rsidRPr="00A45DE5">
        <w:t xml:space="preserve"> J, Graham C, Merrick B, </w:t>
      </w:r>
      <w:proofErr w:type="spellStart"/>
      <w:r w:rsidRPr="00A45DE5">
        <w:t>Acors</w:t>
      </w:r>
      <w:proofErr w:type="spellEnd"/>
      <w:r w:rsidRPr="00A45DE5">
        <w:t xml:space="preserve"> S, Steel KJA, Hemmings O et al. Longitudinal evaluation and decline of antibody responses in SARS-CoV-2 infection. </w:t>
      </w:r>
      <w:proofErr w:type="spellStart"/>
      <w:r w:rsidRPr="003F70A7">
        <w:rPr>
          <w:i/>
        </w:rPr>
        <w:t>medRxiv</w:t>
      </w:r>
      <w:proofErr w:type="spellEnd"/>
      <w:r w:rsidRPr="00A45DE5">
        <w:t>. 2020. doi: https://doi.org/10.1101/2020.07.09.20148429.</w:t>
      </w:r>
    </w:p>
    <w:p w14:paraId="45D20DD2" w14:textId="3E578F58" w:rsidR="00C83583" w:rsidRPr="00ED4E53" w:rsidRDefault="00C83583" w:rsidP="003F70A7">
      <w:pPr>
        <w:pStyle w:val="ListParagraph"/>
        <w:numPr>
          <w:ilvl w:val="1"/>
          <w:numId w:val="33"/>
        </w:numPr>
      </w:pPr>
      <w:r w:rsidRPr="00ED4E53">
        <w:t xml:space="preserve">Korea </w:t>
      </w:r>
      <w:proofErr w:type="spellStart"/>
      <w:r w:rsidRPr="00ED4E53">
        <w:t>Centers</w:t>
      </w:r>
      <w:proofErr w:type="spellEnd"/>
      <w:r w:rsidRPr="00ED4E53">
        <w:t xml:space="preserve"> for Disease Control and Prevention (KCDC). Division of risk assessment and international cooperation. Findings from investigation and analysis of re-positive cases. [Internet.] Cheongju: Government of South Korea, KCDC; 2020. [Accessed on 24 May 2020.] Available from: https://www.cdc.go.kr/board/board.es?mid=a30402000000&amp;bid=0030&amp;act=view&amp;list_no=367267&amp;nPage=1.</w:t>
      </w:r>
    </w:p>
    <w:p w14:paraId="2669025D" w14:textId="32B0FBDD" w:rsidR="00C83583" w:rsidRDefault="00C83583" w:rsidP="003F70A7">
      <w:pPr>
        <w:pStyle w:val="ListParagraph"/>
        <w:numPr>
          <w:ilvl w:val="1"/>
          <w:numId w:val="33"/>
        </w:numPr>
      </w:pPr>
      <w:proofErr w:type="spellStart"/>
      <w:r w:rsidRPr="00A45DE5">
        <w:t>Rockett</w:t>
      </w:r>
      <w:proofErr w:type="spellEnd"/>
      <w:r w:rsidRPr="00A45DE5">
        <w:t xml:space="preserve"> RJ, Arnott A, Lam C, </w:t>
      </w:r>
      <w:proofErr w:type="spellStart"/>
      <w:r w:rsidRPr="00A45DE5">
        <w:t>Sadsad</w:t>
      </w:r>
      <w:proofErr w:type="spellEnd"/>
      <w:r w:rsidRPr="00A45DE5">
        <w:t xml:space="preserve"> R, Timms V, Gray KA et al. Revealing COVID-19 transmission in Australia by SARS-CoV-2 genome sequencing and agent-based </w:t>
      </w:r>
      <w:proofErr w:type="spellStart"/>
      <w:r w:rsidRPr="00A45DE5">
        <w:t>modeling</w:t>
      </w:r>
      <w:proofErr w:type="spellEnd"/>
      <w:r w:rsidRPr="00A45DE5">
        <w:t xml:space="preserve">. </w:t>
      </w:r>
      <w:r w:rsidRPr="003F70A7">
        <w:rPr>
          <w:i/>
        </w:rPr>
        <w:t>Nat Med</w:t>
      </w:r>
      <w:r w:rsidRPr="00A45DE5">
        <w:t>. 2020. doi: https://doi.org/10.1038/s41591-020-1000-7.</w:t>
      </w:r>
    </w:p>
    <w:p w14:paraId="258C71CB" w14:textId="1C4B95F3" w:rsidR="00C83583" w:rsidRDefault="00C83583" w:rsidP="003F70A7">
      <w:pPr>
        <w:pStyle w:val="ListParagraph"/>
        <w:numPr>
          <w:ilvl w:val="1"/>
          <w:numId w:val="33"/>
        </w:numPr>
      </w:pPr>
      <w:r w:rsidRPr="0047114F">
        <w:t xml:space="preserve">Seemann T, Lane C, Sherry N, Duchene S, Goncalves da Silva A, </w:t>
      </w:r>
      <w:proofErr w:type="spellStart"/>
      <w:r w:rsidRPr="0047114F">
        <w:t>Caly</w:t>
      </w:r>
      <w:proofErr w:type="spellEnd"/>
      <w:r w:rsidRPr="0047114F">
        <w:t xml:space="preserve"> L et al. Tracking the COVID-19 pandemic in Australia using genomics. </w:t>
      </w:r>
      <w:proofErr w:type="spellStart"/>
      <w:r w:rsidRPr="003F70A7">
        <w:rPr>
          <w:i/>
        </w:rPr>
        <w:t>medRxiv</w:t>
      </w:r>
      <w:proofErr w:type="spellEnd"/>
      <w:r w:rsidRPr="0047114F">
        <w:t>. 2020 doi: https://doi.org/10.1101/2020.05.12.20099929.</w:t>
      </w:r>
    </w:p>
    <w:p w14:paraId="17F64194" w14:textId="57AD1DE8" w:rsidR="00C83583" w:rsidRDefault="00C83583" w:rsidP="003F70A7">
      <w:pPr>
        <w:pStyle w:val="ListParagraph"/>
        <w:numPr>
          <w:ilvl w:val="1"/>
          <w:numId w:val="33"/>
        </w:numPr>
      </w:pPr>
      <w:r w:rsidRPr="00A45DE5">
        <w:t xml:space="preserve">Eden JS, </w:t>
      </w:r>
      <w:proofErr w:type="spellStart"/>
      <w:r w:rsidRPr="00A45DE5">
        <w:t>Rockett</w:t>
      </w:r>
      <w:proofErr w:type="spellEnd"/>
      <w:r w:rsidRPr="00A45DE5">
        <w:t xml:space="preserve"> R, Carter I, Rahman H, de </w:t>
      </w:r>
      <w:proofErr w:type="spellStart"/>
      <w:r w:rsidRPr="00A45DE5">
        <w:t>Ligt</w:t>
      </w:r>
      <w:proofErr w:type="spellEnd"/>
      <w:r w:rsidRPr="00A45DE5">
        <w:t xml:space="preserve"> J, Hadfield J et al. An emergent clade of SARS-CoV-2 linked to returned travellers from Iran. </w:t>
      </w:r>
      <w:r w:rsidRPr="003F70A7">
        <w:rPr>
          <w:i/>
        </w:rPr>
        <w:t xml:space="preserve">Virus </w:t>
      </w:r>
      <w:proofErr w:type="spellStart"/>
      <w:r w:rsidRPr="003F70A7">
        <w:rPr>
          <w:i/>
        </w:rPr>
        <w:t>Evol</w:t>
      </w:r>
      <w:proofErr w:type="spellEnd"/>
      <w:r w:rsidRPr="00A45DE5">
        <w:t>. 2020;6(1):veaa027. doi: https://doi.org/10.1093/ve/veaa027.</w:t>
      </w:r>
    </w:p>
    <w:p w14:paraId="5D3E9385" w14:textId="32EA1B6D" w:rsidR="00C83583" w:rsidRPr="004D6FD3" w:rsidRDefault="00C83583" w:rsidP="003F70A7">
      <w:pPr>
        <w:pStyle w:val="ListParagraph"/>
        <w:numPr>
          <w:ilvl w:val="1"/>
          <w:numId w:val="33"/>
        </w:numPr>
      </w:pPr>
      <w:r w:rsidRPr="0086709A">
        <w:t xml:space="preserve">Sun P, </w:t>
      </w:r>
      <w:proofErr w:type="spellStart"/>
      <w:r w:rsidRPr="0086709A">
        <w:t>Qie</w:t>
      </w:r>
      <w:proofErr w:type="spellEnd"/>
      <w:r w:rsidRPr="0086709A">
        <w:t xml:space="preserve"> S, Liu Z, Ren J, Li K, Xi JJ. Clinical characteristics of hospitalized patients with SARS-CoV-2 infection: A single arm meta-analysis. </w:t>
      </w:r>
      <w:r w:rsidRPr="003F70A7">
        <w:rPr>
          <w:i/>
        </w:rPr>
        <w:t xml:space="preserve">J Med </w:t>
      </w:r>
      <w:proofErr w:type="spellStart"/>
      <w:r w:rsidRPr="003F70A7">
        <w:rPr>
          <w:i/>
        </w:rPr>
        <w:t>Virol</w:t>
      </w:r>
      <w:proofErr w:type="spellEnd"/>
      <w:r w:rsidRPr="0086709A">
        <w:t>. 2020;92(6):612–7. doi: https://doi.org/10.1002/jmv.25735.</w:t>
      </w:r>
    </w:p>
    <w:p w14:paraId="44AE3D77" w14:textId="0821AE4B" w:rsidR="00C83583" w:rsidRPr="004D6FD3" w:rsidRDefault="00C83583" w:rsidP="003F70A7">
      <w:pPr>
        <w:pStyle w:val="ListParagraph"/>
        <w:numPr>
          <w:ilvl w:val="1"/>
          <w:numId w:val="33"/>
        </w:numPr>
      </w:pPr>
      <w:r w:rsidRPr="004D6FD3">
        <w:t xml:space="preserve">Li B, Bai W, </w:t>
      </w:r>
      <w:proofErr w:type="spellStart"/>
      <w:r w:rsidRPr="004D6FD3">
        <w:t>Hashikawa</w:t>
      </w:r>
      <w:proofErr w:type="spellEnd"/>
      <w:r w:rsidRPr="004D6FD3">
        <w:t xml:space="preserve"> T. The neuroinvasive potential of SARS-CoV-2 may be at least partially responsible for the respiratory failure of COVID-19 patients. </w:t>
      </w:r>
      <w:r w:rsidRPr="003F70A7">
        <w:rPr>
          <w:i/>
        </w:rPr>
        <w:t xml:space="preserve">J Med </w:t>
      </w:r>
      <w:proofErr w:type="spellStart"/>
      <w:r w:rsidRPr="003F70A7">
        <w:rPr>
          <w:i/>
        </w:rPr>
        <w:t>Virol</w:t>
      </w:r>
      <w:proofErr w:type="spellEnd"/>
      <w:r w:rsidRPr="004D6FD3">
        <w:t>. 2020. doi: https://doi.org/10.1002/jmv.25728.</w:t>
      </w:r>
    </w:p>
    <w:p w14:paraId="6B78EA80" w14:textId="4BEEB034" w:rsidR="00C83583" w:rsidRPr="004D6FD3" w:rsidRDefault="00C83583" w:rsidP="003F70A7">
      <w:pPr>
        <w:pStyle w:val="ListParagraph"/>
        <w:numPr>
          <w:ilvl w:val="1"/>
          <w:numId w:val="33"/>
        </w:numPr>
      </w:pPr>
      <w:r w:rsidRPr="004D6FD3">
        <w:t xml:space="preserve">Mao L, Jin H, Wang M, Hu Y, Chen S, He Q et al. Neurological manifestations of hospitalized patients with coronavirus disease 2019 in Wuhan, China. </w:t>
      </w:r>
      <w:r w:rsidRPr="003F70A7">
        <w:rPr>
          <w:i/>
        </w:rPr>
        <w:t>JAMA Neurol</w:t>
      </w:r>
      <w:r w:rsidRPr="004D6FD3">
        <w:t>. 2020;e201127. doi: https://doi.org/10.1001/jamaneurol.2020.1127.</w:t>
      </w:r>
    </w:p>
    <w:p w14:paraId="18C91C66" w14:textId="0F04BFD8" w:rsidR="00C83583" w:rsidRPr="004D6FD3" w:rsidRDefault="00C83583" w:rsidP="003F70A7">
      <w:pPr>
        <w:pStyle w:val="ListParagraph"/>
        <w:numPr>
          <w:ilvl w:val="1"/>
          <w:numId w:val="33"/>
        </w:numPr>
      </w:pPr>
      <w:r w:rsidRPr="0086709A">
        <w:t xml:space="preserve">Drew DA, Nguyen LH, </w:t>
      </w:r>
      <w:proofErr w:type="spellStart"/>
      <w:r w:rsidRPr="0086709A">
        <w:t>Steves</w:t>
      </w:r>
      <w:proofErr w:type="spellEnd"/>
      <w:r w:rsidRPr="0086709A">
        <w:t xml:space="preserve"> CJ, </w:t>
      </w:r>
      <w:proofErr w:type="spellStart"/>
      <w:r w:rsidRPr="0086709A">
        <w:t>Menni</w:t>
      </w:r>
      <w:proofErr w:type="spellEnd"/>
      <w:r w:rsidRPr="0086709A">
        <w:t xml:space="preserve"> C, </w:t>
      </w:r>
      <w:proofErr w:type="spellStart"/>
      <w:r w:rsidRPr="0086709A">
        <w:t>Freydin</w:t>
      </w:r>
      <w:proofErr w:type="spellEnd"/>
      <w:r w:rsidRPr="0086709A">
        <w:t xml:space="preserve"> M, </w:t>
      </w:r>
      <w:proofErr w:type="spellStart"/>
      <w:r w:rsidRPr="0086709A">
        <w:t>Varsavsky</w:t>
      </w:r>
      <w:proofErr w:type="spellEnd"/>
      <w:r w:rsidRPr="0086709A">
        <w:t xml:space="preserve"> T et al. Rapid implementation of mobile technology for real-time epidemiology of COVID-19. </w:t>
      </w:r>
      <w:r w:rsidRPr="003F70A7">
        <w:rPr>
          <w:i/>
        </w:rPr>
        <w:t>Science</w:t>
      </w:r>
      <w:r w:rsidRPr="0086709A">
        <w:t>. 2020;368(6497):1362–7. doi: https://doi.org/10.1126/science.abc0473.</w:t>
      </w:r>
    </w:p>
    <w:p w14:paraId="76533E1B" w14:textId="7FC289E6" w:rsidR="00C83583" w:rsidRDefault="00C83583" w:rsidP="003F70A7">
      <w:pPr>
        <w:pStyle w:val="ListParagraph"/>
        <w:numPr>
          <w:ilvl w:val="1"/>
          <w:numId w:val="33"/>
        </w:numPr>
      </w:pPr>
      <w:r w:rsidRPr="00712C30">
        <w:t xml:space="preserve">Ellul MA, Benjamin L, Singh </w:t>
      </w:r>
      <w:proofErr w:type="spellStart"/>
      <w:r w:rsidRPr="00712C30">
        <w:t>B,Lant</w:t>
      </w:r>
      <w:proofErr w:type="spellEnd"/>
      <w:r w:rsidRPr="00712C30">
        <w:t xml:space="preserve"> S, Michael BD, Easton A et al. Neurological associations of COVID-19. </w:t>
      </w:r>
      <w:r w:rsidRPr="003F70A7">
        <w:rPr>
          <w:i/>
        </w:rPr>
        <w:t>Lancet Neurol</w:t>
      </w:r>
      <w:r w:rsidRPr="00712C30">
        <w:t>. 2020. doi: https://doi.org/10.1016/S1474-4422(20)30221-0.</w:t>
      </w:r>
    </w:p>
    <w:p w14:paraId="728295D4" w14:textId="75925219" w:rsidR="00C83583" w:rsidRPr="004D6FD3" w:rsidRDefault="00C83583" w:rsidP="003F70A7">
      <w:pPr>
        <w:pStyle w:val="ListParagraph"/>
        <w:numPr>
          <w:ilvl w:val="1"/>
          <w:numId w:val="33"/>
        </w:numPr>
      </w:pPr>
      <w:r w:rsidRPr="0086709A">
        <w:lastRenderedPageBreak/>
        <w:t xml:space="preserve">Venkatakrishnan AJ, </w:t>
      </w:r>
      <w:proofErr w:type="spellStart"/>
      <w:r w:rsidRPr="0086709A">
        <w:t>Puranik</w:t>
      </w:r>
      <w:proofErr w:type="spellEnd"/>
      <w:r w:rsidRPr="0086709A">
        <w:t xml:space="preserve"> A, Anand A, </w:t>
      </w:r>
      <w:proofErr w:type="spellStart"/>
      <w:r w:rsidRPr="0086709A">
        <w:t>Zemmour</w:t>
      </w:r>
      <w:proofErr w:type="spellEnd"/>
      <w:r w:rsidRPr="0086709A">
        <w:t xml:space="preserve"> D, Yao X, Wu X et al. Knowledge synthesis of 100 million biomedical documents augments the deep expression profiling of coronavirus receptors. </w:t>
      </w:r>
      <w:proofErr w:type="spellStart"/>
      <w:r w:rsidRPr="003F70A7">
        <w:rPr>
          <w:i/>
        </w:rPr>
        <w:t>Elife</w:t>
      </w:r>
      <w:proofErr w:type="spellEnd"/>
      <w:r w:rsidRPr="0086709A">
        <w:t>. 2020;9:e58040. doi: https://doi.org/10.7554/eLife.58040.</w:t>
      </w:r>
      <w:r w:rsidRPr="004D6FD3">
        <w:t xml:space="preserve"> </w:t>
      </w:r>
    </w:p>
    <w:p w14:paraId="16BAE852" w14:textId="332DC6CA" w:rsidR="00C83583" w:rsidRPr="004D6FD3" w:rsidRDefault="00C83583" w:rsidP="003F70A7">
      <w:pPr>
        <w:pStyle w:val="ListParagraph"/>
        <w:numPr>
          <w:ilvl w:val="1"/>
          <w:numId w:val="33"/>
        </w:numPr>
      </w:pPr>
      <w:r w:rsidRPr="0086709A">
        <w:t xml:space="preserve">Brann DH, Tsukahara T, </w:t>
      </w:r>
      <w:proofErr w:type="spellStart"/>
      <w:r w:rsidRPr="0086709A">
        <w:t>Weinreb</w:t>
      </w:r>
      <w:proofErr w:type="spellEnd"/>
      <w:r w:rsidRPr="0086709A">
        <w:t xml:space="preserve"> C, </w:t>
      </w:r>
      <w:proofErr w:type="spellStart"/>
      <w:r w:rsidRPr="0086709A">
        <w:t>Lipovsek</w:t>
      </w:r>
      <w:proofErr w:type="spellEnd"/>
      <w:r w:rsidRPr="0086709A">
        <w:t xml:space="preserve"> M, Van den Berge K, Gong B et al. Non-neural expression of SARS-CoV-2 entry genes in the olfactory epithelium suggests mechanisms underlying anosmia in COVID-19 patients. </w:t>
      </w:r>
      <w:r w:rsidRPr="003F70A7">
        <w:rPr>
          <w:i/>
        </w:rPr>
        <w:t>Sci Adv</w:t>
      </w:r>
      <w:r w:rsidRPr="0086709A">
        <w:t>. 2020;6(31):eabc5801. doi: https://doi.org/10.1126/sciadv.abc5801.</w:t>
      </w:r>
    </w:p>
    <w:p w14:paraId="1B6F4079" w14:textId="06390AC1" w:rsidR="00C83583" w:rsidRPr="004D6FD3" w:rsidRDefault="00C83583" w:rsidP="003F70A7">
      <w:pPr>
        <w:pStyle w:val="ListParagraph"/>
        <w:numPr>
          <w:ilvl w:val="1"/>
          <w:numId w:val="33"/>
        </w:numPr>
      </w:pPr>
      <w:proofErr w:type="spellStart"/>
      <w:r w:rsidRPr="004D6FD3">
        <w:t>Inciardi</w:t>
      </w:r>
      <w:proofErr w:type="spellEnd"/>
      <w:r w:rsidRPr="004D6FD3">
        <w:t xml:space="preserve"> RM, </w:t>
      </w:r>
      <w:proofErr w:type="spellStart"/>
      <w:r w:rsidRPr="004D6FD3">
        <w:t>Lupi</w:t>
      </w:r>
      <w:proofErr w:type="spellEnd"/>
      <w:r w:rsidRPr="004D6FD3">
        <w:t xml:space="preserve"> L, Zaccone G, Italia L, </w:t>
      </w:r>
      <w:proofErr w:type="spellStart"/>
      <w:r w:rsidRPr="004D6FD3">
        <w:t>Raffo</w:t>
      </w:r>
      <w:proofErr w:type="spellEnd"/>
      <w:r w:rsidRPr="004D6FD3">
        <w:t xml:space="preserve"> M, </w:t>
      </w:r>
      <w:proofErr w:type="spellStart"/>
      <w:r w:rsidRPr="004D6FD3">
        <w:t>Tomasoni</w:t>
      </w:r>
      <w:proofErr w:type="spellEnd"/>
      <w:r w:rsidRPr="004D6FD3">
        <w:t xml:space="preserve"> D et al. Cardiac involvement in a patient with coronavirus disease 2019 (COVID-19)</w:t>
      </w:r>
      <w:r w:rsidRPr="00B10F8B">
        <w:t xml:space="preserve">. </w:t>
      </w:r>
      <w:r w:rsidRPr="003F70A7">
        <w:rPr>
          <w:i/>
        </w:rPr>
        <w:t xml:space="preserve">JAMA </w:t>
      </w:r>
      <w:proofErr w:type="spellStart"/>
      <w:r w:rsidRPr="003F70A7">
        <w:rPr>
          <w:i/>
        </w:rPr>
        <w:t>Cardiol</w:t>
      </w:r>
      <w:proofErr w:type="spellEnd"/>
      <w:r w:rsidRPr="004D6FD3">
        <w:t>. 2020. doi: https://doi.org/10.1001/jamacardio.2020.1096.</w:t>
      </w:r>
    </w:p>
    <w:p w14:paraId="16091BA8" w14:textId="57EE40E2" w:rsidR="00C83583" w:rsidRPr="004D6FD3" w:rsidRDefault="00C83583" w:rsidP="003F70A7">
      <w:pPr>
        <w:pStyle w:val="ListParagraph"/>
        <w:numPr>
          <w:ilvl w:val="1"/>
          <w:numId w:val="33"/>
        </w:numPr>
      </w:pPr>
      <w:r w:rsidRPr="004D6FD3">
        <w:t xml:space="preserve">Guo T, Fan Y, Chen M, Wu X, Zhang L, He T et al. Cardiovascular implications of fatal outcomes of patients with coronavirus disease 2019 (COVID-19). </w:t>
      </w:r>
      <w:r w:rsidRPr="003F70A7">
        <w:rPr>
          <w:i/>
        </w:rPr>
        <w:t xml:space="preserve">JAMA </w:t>
      </w:r>
      <w:proofErr w:type="spellStart"/>
      <w:r w:rsidRPr="003F70A7">
        <w:rPr>
          <w:i/>
        </w:rPr>
        <w:t>Cardiol</w:t>
      </w:r>
      <w:proofErr w:type="spellEnd"/>
      <w:r w:rsidRPr="004D6FD3">
        <w:t>. 2020. doi: https://doi.org/10.1001/jamacardio.2020.1017.</w:t>
      </w:r>
    </w:p>
    <w:p w14:paraId="7676AA42" w14:textId="354D4674" w:rsidR="00C83583" w:rsidRPr="004D6FD3" w:rsidRDefault="00C83583" w:rsidP="003F70A7">
      <w:pPr>
        <w:pStyle w:val="ListParagraph"/>
        <w:numPr>
          <w:ilvl w:val="1"/>
          <w:numId w:val="33"/>
        </w:numPr>
      </w:pPr>
      <w:proofErr w:type="spellStart"/>
      <w:r w:rsidRPr="004D6FD3">
        <w:t>Madjid</w:t>
      </w:r>
      <w:proofErr w:type="spellEnd"/>
      <w:r w:rsidRPr="004D6FD3">
        <w:t xml:space="preserve"> M, </w:t>
      </w:r>
      <w:proofErr w:type="spellStart"/>
      <w:r w:rsidRPr="004D6FD3">
        <w:t>Safavi-Naeini</w:t>
      </w:r>
      <w:proofErr w:type="spellEnd"/>
      <w:r w:rsidRPr="004D6FD3">
        <w:t xml:space="preserve"> P, Solomon SD, </w:t>
      </w:r>
      <w:proofErr w:type="spellStart"/>
      <w:r w:rsidRPr="004D6FD3">
        <w:t>Vardeny</w:t>
      </w:r>
      <w:proofErr w:type="spellEnd"/>
      <w:r w:rsidRPr="004D6FD3">
        <w:t xml:space="preserve"> O. Potential effects of coronaviruses on the cardiovascular system: a review. </w:t>
      </w:r>
      <w:r w:rsidRPr="003F70A7">
        <w:rPr>
          <w:i/>
        </w:rPr>
        <w:t xml:space="preserve">JAMA </w:t>
      </w:r>
      <w:proofErr w:type="spellStart"/>
      <w:r w:rsidRPr="003F70A7">
        <w:rPr>
          <w:i/>
        </w:rPr>
        <w:t>Cardiol</w:t>
      </w:r>
      <w:proofErr w:type="spellEnd"/>
      <w:r w:rsidRPr="004D6FD3">
        <w:t>. 2020. doi: https://doi.org/10.1001/jamacardio.2020.1286.</w:t>
      </w:r>
    </w:p>
    <w:p w14:paraId="416EA8F4" w14:textId="5AE2D2C1" w:rsidR="00C83583" w:rsidRPr="004D6FD3" w:rsidRDefault="00C83583" w:rsidP="003F70A7">
      <w:pPr>
        <w:pStyle w:val="ListParagraph"/>
        <w:numPr>
          <w:ilvl w:val="1"/>
          <w:numId w:val="33"/>
        </w:numPr>
      </w:pPr>
      <w:proofErr w:type="spellStart"/>
      <w:r w:rsidRPr="004D6FD3">
        <w:t>Riphagen</w:t>
      </w:r>
      <w:proofErr w:type="spellEnd"/>
      <w:r w:rsidRPr="004D6FD3">
        <w:t xml:space="preserve"> S, Gomez X, Gonzalez-Martinez C, Wilkinson N, </w:t>
      </w:r>
      <w:proofErr w:type="spellStart"/>
      <w:r w:rsidRPr="004D6FD3">
        <w:t>Theocharis</w:t>
      </w:r>
      <w:proofErr w:type="spellEnd"/>
      <w:r w:rsidRPr="004D6FD3">
        <w:t xml:space="preserve"> P. Hyperinflammatory shock in children during COVID-19 pandemic. </w:t>
      </w:r>
      <w:r w:rsidRPr="003F70A7">
        <w:rPr>
          <w:i/>
        </w:rPr>
        <w:t>Lancet</w:t>
      </w:r>
      <w:r w:rsidRPr="004D6FD3">
        <w:t>. 2020. doi: https://doi.org/10.1016/S0140-6736(20)31094-1.</w:t>
      </w:r>
    </w:p>
    <w:p w14:paraId="4D545F99" w14:textId="0E6A45F9" w:rsidR="00C83583" w:rsidRPr="004D6FD3" w:rsidRDefault="00C83583" w:rsidP="003F70A7">
      <w:pPr>
        <w:pStyle w:val="ListParagraph"/>
        <w:numPr>
          <w:ilvl w:val="1"/>
          <w:numId w:val="33"/>
        </w:numPr>
      </w:pPr>
      <w:proofErr w:type="spellStart"/>
      <w:r w:rsidRPr="004D6FD3">
        <w:t>Morand</w:t>
      </w:r>
      <w:proofErr w:type="spellEnd"/>
      <w:r w:rsidRPr="004D6FD3">
        <w:t xml:space="preserve"> A, Urbina D, Fabre A. COVID-19 and Kawasaki like disease: the known-known, the unknown-known and the unknown-unknown. </w:t>
      </w:r>
      <w:r w:rsidRPr="003F70A7">
        <w:rPr>
          <w:i/>
        </w:rPr>
        <w:t>Preprints</w:t>
      </w:r>
      <w:r w:rsidRPr="004D6FD3">
        <w:t>. 2020;2020050160. doi: https://doi.org/10.20944/preprints202005.0160.v1.</w:t>
      </w:r>
    </w:p>
    <w:p w14:paraId="38E44AF2" w14:textId="1CDAF773" w:rsidR="00C83583" w:rsidRPr="004D6FD3" w:rsidRDefault="00C83583" w:rsidP="003F70A7">
      <w:pPr>
        <w:pStyle w:val="ListParagraph"/>
        <w:numPr>
          <w:ilvl w:val="1"/>
          <w:numId w:val="33"/>
        </w:numPr>
      </w:pPr>
      <w:r w:rsidRPr="004D6FD3">
        <w:t>WHO. Clinical management of severe acute respiratory infection when novel coronavirus (</w:t>
      </w:r>
      <w:proofErr w:type="spellStart"/>
      <w:r w:rsidRPr="004D6FD3">
        <w:t>nCoV</w:t>
      </w:r>
      <w:proofErr w:type="spellEnd"/>
      <w:r w:rsidRPr="004D6FD3">
        <w:t>) infection is suspected. [Internet.] Geneva: WHO; 2020. [Accessed 23 Feb 2020.] Available from: https://www.who.int/publications-detail/clinical-management-of-severe-acute-respiratory-infection-when-novel-coronavirus-(ncov)-infection-is-suspected.</w:t>
      </w:r>
    </w:p>
    <w:p w14:paraId="291C0201" w14:textId="6E86D28D" w:rsidR="00C83583" w:rsidRPr="004D6FD3" w:rsidRDefault="00C83583" w:rsidP="003F70A7">
      <w:pPr>
        <w:pStyle w:val="ListParagraph"/>
        <w:numPr>
          <w:ilvl w:val="1"/>
          <w:numId w:val="33"/>
        </w:numPr>
      </w:pPr>
      <w:r w:rsidRPr="004D6FD3">
        <w:t xml:space="preserve">Harrison C. Coronavirus puts drug re-purposing on the fast track. </w:t>
      </w:r>
      <w:r w:rsidRPr="003F70A7">
        <w:rPr>
          <w:i/>
        </w:rPr>
        <w:t xml:space="preserve">Nat </w:t>
      </w:r>
      <w:proofErr w:type="spellStart"/>
      <w:r w:rsidRPr="003F70A7">
        <w:rPr>
          <w:i/>
        </w:rPr>
        <w:t>Biotechnol</w:t>
      </w:r>
      <w:proofErr w:type="spellEnd"/>
      <w:r w:rsidRPr="004D6FD3">
        <w:t>. 2020. doi: https://doi.org/10.1038/d41587-020-00003-1.</w:t>
      </w:r>
    </w:p>
    <w:p w14:paraId="32859CE8" w14:textId="5FEEE136" w:rsidR="00C83583" w:rsidRPr="004D6FD3" w:rsidRDefault="00C83583" w:rsidP="003F70A7">
      <w:pPr>
        <w:pStyle w:val="ListParagraph"/>
        <w:numPr>
          <w:ilvl w:val="1"/>
          <w:numId w:val="33"/>
        </w:numPr>
      </w:pPr>
      <w:r w:rsidRPr="004D6FD3">
        <w:t xml:space="preserve">Wang M, Cao R, Zhang L, Yang X, Liu J, Xu M et al. Remdesivir and chloroquine effectively inhibit the recently emerged novel coronavirus (2019-nCoV) in vitro. </w:t>
      </w:r>
      <w:r w:rsidRPr="003F70A7">
        <w:rPr>
          <w:i/>
        </w:rPr>
        <w:t>Cell Research</w:t>
      </w:r>
      <w:r w:rsidRPr="004D6FD3">
        <w:t>. 2020;30;269–71.</w:t>
      </w:r>
    </w:p>
    <w:p w14:paraId="4AE14121" w14:textId="61E607FF" w:rsidR="00C83583" w:rsidRPr="004D6FD3" w:rsidRDefault="00C83583" w:rsidP="003F70A7">
      <w:pPr>
        <w:pStyle w:val="ListParagraph"/>
        <w:numPr>
          <w:ilvl w:val="1"/>
          <w:numId w:val="33"/>
        </w:numPr>
      </w:pPr>
      <w:r w:rsidRPr="004D6FD3">
        <w:t xml:space="preserve">Tang W, Cao Z, Han M, Wang Z, Chen W, Sun W et al. Hydroxychloroquine in patients with mainly mild to moderate coronavirus disease 2019: open label, randomised controlled trial. </w:t>
      </w:r>
      <w:r w:rsidRPr="003F70A7">
        <w:rPr>
          <w:i/>
        </w:rPr>
        <w:t>BMJ</w:t>
      </w:r>
      <w:r w:rsidRPr="004D6FD3">
        <w:t>. 2020. doi: https://doi.org/10.1136/bmj.m1849.</w:t>
      </w:r>
    </w:p>
    <w:p w14:paraId="3E8C6874" w14:textId="4417E4EF" w:rsidR="00C83583" w:rsidRPr="004D6FD3" w:rsidRDefault="00C83583" w:rsidP="003F70A7">
      <w:pPr>
        <w:pStyle w:val="ListParagraph"/>
        <w:numPr>
          <w:ilvl w:val="1"/>
          <w:numId w:val="33"/>
        </w:numPr>
      </w:pPr>
      <w:r w:rsidRPr="004D6FD3">
        <w:t>Cao B, Wang Y, Wen D, Liu W, Wang J, Fan G et al. A trial of lopinavir–ritonavir in adults hospitalized with severe Covid-19.</w:t>
      </w:r>
      <w:r w:rsidRPr="003F70A7">
        <w:rPr>
          <w:i/>
        </w:rPr>
        <w:t xml:space="preserve"> N Engl J Med</w:t>
      </w:r>
      <w:r w:rsidRPr="004D6FD3">
        <w:t>. 2020;382:1787–99.</w:t>
      </w:r>
    </w:p>
    <w:p w14:paraId="2B8FFF56" w14:textId="1BAC1CCF" w:rsidR="00C83583" w:rsidRDefault="00C83583" w:rsidP="003F70A7">
      <w:pPr>
        <w:pStyle w:val="ListParagraph"/>
        <w:numPr>
          <w:ilvl w:val="1"/>
          <w:numId w:val="33"/>
        </w:numPr>
      </w:pPr>
      <w:r w:rsidRPr="00712C30">
        <w:t>WHO. “Solidarity” clinical trial for COVID-19 treatments. [Internet.] Geneva: WHO; 2020. [Accessed on 4 August 2020.] Available from: https://www.who.int/emergencies/diseases/novel-coronavirus-2019/global-research-on-novel-coronavirus-2019-ncov/solidarity-clinical-trial-for-covid-19-treatments.</w:t>
      </w:r>
    </w:p>
    <w:p w14:paraId="4E434DE0" w14:textId="2F89C368" w:rsidR="00C83583" w:rsidRPr="004D6FD3" w:rsidRDefault="00C83583" w:rsidP="003F70A7">
      <w:pPr>
        <w:pStyle w:val="ListParagraph"/>
        <w:numPr>
          <w:ilvl w:val="1"/>
          <w:numId w:val="33"/>
        </w:numPr>
      </w:pPr>
      <w:r w:rsidRPr="004D6FD3">
        <w:t xml:space="preserve">National Institute of Allergy and Infectious Diseases (NIAID). NIH Clinical Trial Shows Remdesivir Accelerates Recovery from Advanced COVID-19. [Internet.] Bethesda: Government of the United States of America, National Institutes of </w:t>
      </w:r>
      <w:proofErr w:type="spellStart"/>
      <w:r w:rsidRPr="004D6FD3">
        <w:t>Heath</w:t>
      </w:r>
      <w:proofErr w:type="spellEnd"/>
      <w:r w:rsidRPr="004D6FD3">
        <w:t>, NIAID; 2020. [Accessed on 19 May 2020.] Available from: https://www.niaid.nih.gov/news-events/nih-clinical-trial-shows-remdesivir-accelerates-recovery-advanced-covid-19.</w:t>
      </w:r>
    </w:p>
    <w:p w14:paraId="070F56BB" w14:textId="56792ED7" w:rsidR="00C83583" w:rsidRPr="004D6FD3" w:rsidRDefault="00C83583" w:rsidP="003F70A7">
      <w:pPr>
        <w:pStyle w:val="ListParagraph"/>
        <w:numPr>
          <w:ilvl w:val="1"/>
          <w:numId w:val="33"/>
        </w:numPr>
      </w:pPr>
      <w:r w:rsidRPr="004D6FD3">
        <w:t xml:space="preserve">Wang Y, Zhang D, Du G, Du R, Zhao J, Jin Y et al. Remdesivir in adults with severe COVID-19: a randomised, double-blind, placebo-controlled, multicentre trial. </w:t>
      </w:r>
      <w:r w:rsidRPr="003F70A7">
        <w:rPr>
          <w:i/>
        </w:rPr>
        <w:t>Lancet</w:t>
      </w:r>
      <w:r w:rsidRPr="004D6FD3">
        <w:t>. 2020;395(10236);1569–78.</w:t>
      </w:r>
    </w:p>
    <w:p w14:paraId="727EFAEE" w14:textId="6F5AACFD" w:rsidR="00C83583" w:rsidRDefault="00C83583" w:rsidP="003F70A7">
      <w:pPr>
        <w:pStyle w:val="ListParagraph"/>
        <w:numPr>
          <w:ilvl w:val="1"/>
          <w:numId w:val="33"/>
        </w:numPr>
      </w:pPr>
      <w:r w:rsidRPr="00712C30">
        <w:lastRenderedPageBreak/>
        <w:t>Therapeutic Goods Administration (TGA). Australia's first COVID treatment approved. [Internet.] Canberra: Australian Government Department of Health, TGA; 10 July 2020. [Accessed on 4 August 2020.] https://www.tga.gov.au/media-release/australias-first-covid-treatment-approved.</w:t>
      </w:r>
    </w:p>
    <w:p w14:paraId="0C6D62BE" w14:textId="0DB68CA5" w:rsidR="00C83583" w:rsidRDefault="00C83583" w:rsidP="003F70A7">
      <w:pPr>
        <w:pStyle w:val="ListParagraph"/>
        <w:numPr>
          <w:ilvl w:val="1"/>
          <w:numId w:val="33"/>
        </w:numPr>
      </w:pPr>
      <w:r w:rsidRPr="00712C30">
        <w:t>WHO. Draft landscape of COVID-19 candidate vaccines. [Internet.] Geneva: WHO; 2020. [Accessed on 4 August 2020.] Available from: https://www.who.int/publications/m/item/draft-landscape-of-covid-19-candidate-vaccines.</w:t>
      </w:r>
    </w:p>
    <w:p w14:paraId="5B71C440" w14:textId="0F8F77F9" w:rsidR="00C83583" w:rsidRDefault="00C83583" w:rsidP="003F70A7">
      <w:pPr>
        <w:pStyle w:val="ListParagraph"/>
        <w:numPr>
          <w:ilvl w:val="1"/>
          <w:numId w:val="33"/>
        </w:numPr>
      </w:pPr>
      <w:r w:rsidRPr="004D6FD3">
        <w:t>University of Oxford. Low-cost dexamethasone reduces death by up to one third in hospitalised patients with severe respiratory complications of COVID-19. [News release.] Oxford: University of Oxford; 16 June 2020. [Accessed on 24 June 2020.] Available from: https://www.recoverytrial.net/files/recovery_dexamethasone_statement_160620_final.pdf.</w:t>
      </w:r>
    </w:p>
    <w:p w14:paraId="6D59152C" w14:textId="77777777" w:rsidR="004F5B72" w:rsidRPr="0012554A" w:rsidRDefault="004F5B72">
      <w:pPr>
        <w:rPr>
          <w:rFonts w:eastAsiaTheme="majorEastAsia" w:cstheme="minorHAnsi"/>
          <w:b/>
          <w:bCs/>
          <w:color w:val="000000" w:themeColor="text1"/>
          <w:sz w:val="32"/>
          <w:szCs w:val="28"/>
        </w:rPr>
      </w:pPr>
      <w:r w:rsidRPr="0012554A">
        <w:rPr>
          <w:rFonts w:cstheme="minorHAnsi"/>
          <w:color w:val="000000" w:themeColor="text1"/>
        </w:rPr>
        <w:br w:type="page"/>
      </w:r>
    </w:p>
    <w:p w14:paraId="0D8E2A34" w14:textId="77777777" w:rsidR="00DC1B5A" w:rsidRPr="003F70A7" w:rsidRDefault="00DC1B5A" w:rsidP="003F70A7">
      <w:pPr>
        <w:pStyle w:val="Heading1"/>
      </w:pPr>
      <w:r w:rsidRPr="003F70A7">
        <w:lastRenderedPageBreak/>
        <w:t xml:space="preserve">Appendix A: Background </w:t>
      </w:r>
    </w:p>
    <w:p w14:paraId="21F5D20D" w14:textId="77777777" w:rsidR="009D768B" w:rsidRPr="00F528CB" w:rsidRDefault="00D84D6C" w:rsidP="00B66515">
      <w:pPr>
        <w:rPr>
          <w:rFonts w:cstheme="minorHAnsi"/>
          <w:i/>
        </w:rPr>
      </w:pPr>
      <w:r w:rsidRPr="0012554A">
        <w:rPr>
          <w:rFonts w:cstheme="minorHAnsi"/>
          <w:i/>
        </w:rPr>
        <w:t>Last updated 4 August 2020</w:t>
      </w:r>
    </w:p>
    <w:p w14:paraId="6E88094C" w14:textId="77777777" w:rsidR="009D768B" w:rsidRPr="0012554A" w:rsidRDefault="009D768B" w:rsidP="00B90B43">
      <w:r w:rsidRPr="0012554A">
        <w:t>Epidemiological parameters of SARS-CoV-2 infection and COVID-19 disease are under investigation and are likely to change as more info</w:t>
      </w:r>
      <w:r w:rsidR="0080172D" w:rsidRPr="0012554A">
        <w:t xml:space="preserve">rmation becomes available. The information provided in this Appendix comes from </w:t>
      </w:r>
      <w:r w:rsidRPr="0012554A">
        <w:t>peer-reviewed and official sources. Pre-prints that have not been peer reviewed have been referenced and are identified in the text.</w:t>
      </w:r>
    </w:p>
    <w:p w14:paraId="73D99ADF" w14:textId="77777777" w:rsidR="009D768B" w:rsidRPr="00B90B43" w:rsidRDefault="009D768B" w:rsidP="00B90B43">
      <w:pPr>
        <w:pStyle w:val="Heading2"/>
      </w:pPr>
      <w:r w:rsidRPr="00B90B43">
        <w:t xml:space="preserve">Modes of transmission </w:t>
      </w:r>
    </w:p>
    <w:p w14:paraId="7E175D5C" w14:textId="7E654C84" w:rsidR="009D768B" w:rsidRPr="0012554A" w:rsidRDefault="009D768B" w:rsidP="00B90B43">
      <w:r w:rsidRPr="0012554A">
        <w:t>Human-to-human transmission of SARS-CoV-2 is primarily via droplets and fomites from an infected person to a close contact.</w:t>
      </w:r>
      <w:r w:rsidR="008B179F">
        <w:rPr>
          <w:vertAlign w:val="superscript"/>
        </w:rPr>
        <w:t>14</w:t>
      </w:r>
      <w:r w:rsidR="008B179F" w:rsidRPr="0012554A">
        <w:t xml:space="preserve"> </w:t>
      </w:r>
    </w:p>
    <w:p w14:paraId="61659878" w14:textId="416AB06A" w:rsidR="009D768B" w:rsidRPr="0012554A" w:rsidRDefault="009D768B" w:rsidP="00B90B43">
      <w:r w:rsidRPr="0012554A">
        <w:t>Airborne transmission may occur through medical aerosol generating procedures, and although there are limited studies in the literature to evaluate the risk of specific procedures, it is prudent for health care workers to continue to undertake appropriate precautions.</w:t>
      </w:r>
      <w:r w:rsidR="008B179F">
        <w:rPr>
          <w:vertAlign w:val="superscript"/>
        </w:rPr>
        <w:t>15</w:t>
      </w:r>
      <w:r w:rsidR="008B179F" w:rsidRPr="0012554A">
        <w:t xml:space="preserve"> </w:t>
      </w:r>
      <w:r w:rsidRPr="0012554A">
        <w:t>The potential for transmission by aerosols in other settings is the subject of discussion.</w:t>
      </w:r>
      <w:r w:rsidR="008B179F">
        <w:rPr>
          <w:vertAlign w:val="superscript"/>
        </w:rPr>
        <w:t>16</w:t>
      </w:r>
      <w:r w:rsidR="008B179F" w:rsidRPr="0012554A">
        <w:t xml:space="preserve"> </w:t>
      </w:r>
    </w:p>
    <w:p w14:paraId="11970BCA" w14:textId="7B780060" w:rsidR="009D768B" w:rsidRPr="0012554A" w:rsidRDefault="009D768B" w:rsidP="00B90B43">
      <w:r w:rsidRPr="0012554A">
        <w:t>SARS-CoV-2 may cause intestinal infection and viral shedding in faeces has been reported, but there are no reports of faecal-oral transmission.</w:t>
      </w:r>
      <w:r w:rsidR="008B179F">
        <w:rPr>
          <w:vertAlign w:val="superscript"/>
        </w:rPr>
        <w:t>17</w:t>
      </w:r>
      <w:r w:rsidR="008B179F" w:rsidRPr="0012554A">
        <w:t xml:space="preserve">  </w:t>
      </w:r>
    </w:p>
    <w:p w14:paraId="6AABEFD7" w14:textId="20BCD4F8" w:rsidR="009D768B" w:rsidRPr="0012554A" w:rsidRDefault="009D768B" w:rsidP="00B90B43">
      <w:r w:rsidRPr="0012554A">
        <w:t>There is limited information about the potential for vertical transmission</w:t>
      </w:r>
      <w:r w:rsidR="000C400A" w:rsidRPr="0012554A">
        <w:t>;</w:t>
      </w:r>
      <w:r w:rsidRPr="0012554A">
        <w:t xml:space="preserve"> however</w:t>
      </w:r>
      <w:r w:rsidR="000C400A" w:rsidRPr="0012554A">
        <w:t>,</w:t>
      </w:r>
      <w:r w:rsidRPr="0012554A">
        <w:t xml:space="preserve"> SARS-CoV-2 RNA has been detected in placental tissue and amniotic fluid associated with a stillbirth in Belgium,</w:t>
      </w:r>
      <w:r w:rsidR="008B179F">
        <w:rPr>
          <w:vertAlign w:val="superscript"/>
        </w:rPr>
        <w:t>18</w:t>
      </w:r>
      <w:r w:rsidR="008B179F" w:rsidRPr="0012554A">
        <w:t xml:space="preserve"> </w:t>
      </w:r>
      <w:r w:rsidRPr="0012554A">
        <w:t xml:space="preserve">suggesting it may be possible under some circumstances.  </w:t>
      </w:r>
    </w:p>
    <w:p w14:paraId="611CF26E" w14:textId="152D577B" w:rsidR="009D768B" w:rsidRPr="0012554A" w:rsidRDefault="009D768B" w:rsidP="00B90B43">
      <w:r w:rsidRPr="0012554A">
        <w:t>Several studies suggest that children do not play a key role in transmission and are unlikely to be the primary source of infections.</w:t>
      </w:r>
      <w:r w:rsidR="008B179F">
        <w:rPr>
          <w:vertAlign w:val="superscript"/>
        </w:rPr>
        <w:t>19</w:t>
      </w:r>
      <w:r w:rsidR="008B179F" w:rsidRPr="0012554A">
        <w:t xml:space="preserve"> </w:t>
      </w:r>
      <w:r w:rsidRPr="0012554A">
        <w:t>Studies from the EU have suggested that child</w:t>
      </w:r>
      <w:r w:rsidR="000C400A" w:rsidRPr="0012554A">
        <w:t>-</w:t>
      </w:r>
      <w:r w:rsidRPr="0012554A">
        <w:t>to</w:t>
      </w:r>
      <w:r w:rsidR="000C400A" w:rsidRPr="0012554A">
        <w:t>-</w:t>
      </w:r>
      <w:r w:rsidRPr="0012554A">
        <w:t>adult transmission is uncommon.</w:t>
      </w:r>
      <w:r w:rsidR="008B179F">
        <w:rPr>
          <w:vertAlign w:val="superscript"/>
        </w:rPr>
        <w:t>20,21</w:t>
      </w:r>
      <w:r w:rsidRPr="0012554A">
        <w:t xml:space="preserve"> </w:t>
      </w:r>
    </w:p>
    <w:p w14:paraId="2E8D524F" w14:textId="77777777" w:rsidR="009D768B" w:rsidRPr="00B90B43" w:rsidRDefault="009D768B" w:rsidP="00B90B43">
      <w:pPr>
        <w:pStyle w:val="Heading2"/>
      </w:pPr>
      <w:r w:rsidRPr="00B90B43">
        <w:t xml:space="preserve">Incubation period </w:t>
      </w:r>
    </w:p>
    <w:p w14:paraId="7E9B6D33" w14:textId="4FE53D32" w:rsidR="009D768B" w:rsidRPr="0012554A" w:rsidRDefault="009D768B" w:rsidP="00B90B43">
      <w:r w:rsidRPr="0012554A">
        <w:t xml:space="preserve">A systematic review of published and preprint studies </w:t>
      </w:r>
      <w:r w:rsidR="000C400A" w:rsidRPr="0012554A">
        <w:t xml:space="preserve">has </w:t>
      </w:r>
      <w:r w:rsidRPr="0012554A">
        <w:t xml:space="preserve">estimated the median incubation period of COVID-19 </w:t>
      </w:r>
      <w:r w:rsidR="000C400A" w:rsidRPr="0012554A">
        <w:t xml:space="preserve">as </w:t>
      </w:r>
      <w:r w:rsidRPr="0012554A">
        <w:t xml:space="preserve">between 5 </w:t>
      </w:r>
      <w:r w:rsidR="000C400A" w:rsidRPr="0012554A">
        <w:t xml:space="preserve">and </w:t>
      </w:r>
      <w:r w:rsidRPr="0012554A">
        <w:t>6 days (ranging from 1 to 14 days).</w:t>
      </w:r>
      <w:r w:rsidR="008B179F">
        <w:rPr>
          <w:vertAlign w:val="superscript"/>
        </w:rPr>
        <w:t>22,</w:t>
      </w:r>
      <w:proofErr w:type="gramStart"/>
      <w:r w:rsidR="008B179F">
        <w:rPr>
          <w:vertAlign w:val="superscript"/>
        </w:rPr>
        <w:t>23</w:t>
      </w:r>
      <w:proofErr w:type="gramEnd"/>
      <w:r w:rsidRPr="0012554A">
        <w:t xml:space="preserve"> </w:t>
      </w:r>
    </w:p>
    <w:p w14:paraId="2BB928D4" w14:textId="77777777" w:rsidR="009D768B" w:rsidRPr="00B90B43" w:rsidRDefault="009D768B" w:rsidP="00B90B43">
      <w:pPr>
        <w:pStyle w:val="Heading2"/>
      </w:pPr>
      <w:r w:rsidRPr="00B90B43">
        <w:t>Infectious period</w:t>
      </w:r>
    </w:p>
    <w:p w14:paraId="796004AF" w14:textId="13DDD947" w:rsidR="009D768B" w:rsidRPr="0012554A" w:rsidRDefault="009D768B" w:rsidP="00B90B43">
      <w:r w:rsidRPr="0012554A">
        <w:t>The infectious period is not well described due to a lack of studies using virus isolation to assess the presence of viable SARS-CoV-2 over time following infection.</w:t>
      </w:r>
      <w:r w:rsidR="008B179F">
        <w:rPr>
          <w:vertAlign w:val="superscript"/>
        </w:rPr>
        <w:t>24</w:t>
      </w:r>
      <w:r w:rsidR="008B179F" w:rsidRPr="0012554A">
        <w:t xml:space="preserve"> </w:t>
      </w:r>
    </w:p>
    <w:p w14:paraId="73A0AC33" w14:textId="59787BB2" w:rsidR="009D768B" w:rsidRPr="0012554A" w:rsidRDefault="009D768B" w:rsidP="00B90B43">
      <w:pPr>
        <w:rPr>
          <w:vertAlign w:val="superscript"/>
        </w:rPr>
      </w:pPr>
      <w:r w:rsidRPr="0012554A">
        <w:t>Viral RNA has been identified in respiratory tract specimens 1</w:t>
      </w:r>
      <w:r w:rsidR="000C400A" w:rsidRPr="0012554A">
        <w:t>–</w:t>
      </w:r>
      <w:r w:rsidRPr="0012554A">
        <w:t>2 days prior to symptom onset, and has been observed after symptom cessation.</w:t>
      </w:r>
      <w:r w:rsidR="008B179F">
        <w:rPr>
          <w:vertAlign w:val="superscript"/>
        </w:rPr>
        <w:t>25</w:t>
      </w:r>
      <w:r w:rsidR="008B179F" w:rsidRPr="0012554A">
        <w:t xml:space="preserve"> </w:t>
      </w:r>
      <w:r w:rsidRPr="0012554A">
        <w:t>A retrospective analysis of 77 pairs of primary and secondary cases suggested that infectiousness may commence from 2.3 days before symptom onset, peaking at 0.7 days before symptom onset. It also suggested 44% of secondary cases may have been infected before the primary case was symptomatic.</w:t>
      </w:r>
      <w:r w:rsidR="008B179F">
        <w:rPr>
          <w:vertAlign w:val="superscript"/>
        </w:rPr>
        <w:t>26</w:t>
      </w:r>
    </w:p>
    <w:p w14:paraId="75FB1FD4" w14:textId="6999F3C1" w:rsidR="009D768B" w:rsidRPr="0012554A" w:rsidRDefault="009D768B" w:rsidP="00B90B43">
      <w:r w:rsidRPr="0012554A">
        <w:t>Cases can be infectious while not displaying symptoms, although it is not clear whether these individuals are pre-symptomatic or truly asymptomatic. Current World Health Organization (WHO) advice is that asymptomatic individuals are less infectious than people who display symptoms.</w:t>
      </w:r>
      <w:r w:rsidR="008B179F">
        <w:rPr>
          <w:vertAlign w:val="superscript"/>
        </w:rPr>
        <w:t>27</w:t>
      </w:r>
      <w:r w:rsidR="008B179F" w:rsidRPr="0012554A">
        <w:t xml:space="preserve"> </w:t>
      </w:r>
      <w:r w:rsidRPr="0012554A">
        <w:t>However, a cross-sectional study in Massachusetts USA of residents and staff in aged care settings demonstrated that viral shedding was similar between people who were symptomatic and not symptomatic at the time of sampling.</w:t>
      </w:r>
      <w:r w:rsidR="008B179F">
        <w:rPr>
          <w:vertAlign w:val="superscript"/>
        </w:rPr>
        <w:t>28</w:t>
      </w:r>
      <w:r w:rsidR="008B179F" w:rsidRPr="0012554A">
        <w:t xml:space="preserve"> </w:t>
      </w:r>
      <w:r w:rsidRPr="0012554A">
        <w:t xml:space="preserve">This study has not yet been peer reviewed. </w:t>
      </w:r>
    </w:p>
    <w:p w14:paraId="3E00F93C" w14:textId="43E12736" w:rsidR="009D768B" w:rsidRPr="0012554A" w:rsidRDefault="009D768B" w:rsidP="00B90B43">
      <w:r w:rsidRPr="0012554A">
        <w:t>Viral RNA levels peak in the first week of illness, suggesting transmission is most likely to occur early with infectivity gradually decreasing over time.</w:t>
      </w:r>
      <w:r w:rsidR="008B179F">
        <w:rPr>
          <w:vertAlign w:val="superscript"/>
        </w:rPr>
        <w:t>25</w:t>
      </w:r>
      <w:r w:rsidR="008B179F" w:rsidRPr="0012554A">
        <w:t xml:space="preserve"> </w:t>
      </w:r>
      <w:r w:rsidRPr="0012554A">
        <w:t xml:space="preserve">In a Taiwanese study examining over 2,500 close contacts of </w:t>
      </w:r>
      <w:r w:rsidRPr="0012554A">
        <w:lastRenderedPageBreak/>
        <w:t>100 patients with COVID-19, all 22 secondary cases had their first exposure to the index case within six days of symptom onset. No infections were documented in the 850 contacts whose exposure was after six days.</w:t>
      </w:r>
      <w:r w:rsidR="008B179F">
        <w:rPr>
          <w:vertAlign w:val="superscript"/>
        </w:rPr>
        <w:t>29</w:t>
      </w:r>
      <w:r w:rsidR="008B179F" w:rsidRPr="0012554A">
        <w:t xml:space="preserve"> </w:t>
      </w:r>
    </w:p>
    <w:p w14:paraId="466637F5" w14:textId="77777777" w:rsidR="009D768B" w:rsidRPr="00B90B43" w:rsidRDefault="009D768B" w:rsidP="00B90B43">
      <w:pPr>
        <w:pStyle w:val="Heading2"/>
      </w:pPr>
      <w:r w:rsidRPr="00B90B43">
        <w:t>Immunology</w:t>
      </w:r>
    </w:p>
    <w:p w14:paraId="5A7D7E94" w14:textId="694E100E" w:rsidR="009D768B" w:rsidRPr="0012554A" w:rsidRDefault="009D768B" w:rsidP="00B90B43">
      <w:r w:rsidRPr="0012554A">
        <w:t>No correlates of immunity have been established but two challenge trials of rhesus macaques suggest that individuals with neutralising antibody titres between 8</w:t>
      </w:r>
      <w:r w:rsidR="000C400A" w:rsidRPr="0012554A">
        <w:t xml:space="preserve"> and </w:t>
      </w:r>
      <w:r w:rsidRPr="0012554A">
        <w:t>200 were protected from clinical signs of disease (but not viral shedding) when exposed to SARS-CoV-2 at 28 and 35 days after initial challenge.</w:t>
      </w:r>
      <w:r w:rsidR="008B179F">
        <w:rPr>
          <w:vertAlign w:val="superscript"/>
        </w:rPr>
        <w:t>30,31</w:t>
      </w:r>
      <w:r w:rsidRPr="0012554A">
        <w:t xml:space="preserve"> Cell</w:t>
      </w:r>
      <w:r w:rsidR="000C400A" w:rsidRPr="0012554A">
        <w:t>-</w:t>
      </w:r>
      <w:r w:rsidRPr="0012554A">
        <w:t>mediated immunity has also been demonstrated in recovered people, but the importance of cell</w:t>
      </w:r>
      <w:r w:rsidR="000C400A" w:rsidRPr="0012554A">
        <w:t>-</w:t>
      </w:r>
      <w:r w:rsidRPr="0012554A">
        <w:t>mediated and humoral immunity in clinical recovery and protection against infection and disease requires further study.</w:t>
      </w:r>
    </w:p>
    <w:p w14:paraId="1B6DE609" w14:textId="6F6E4FEE" w:rsidR="009D768B" w:rsidRPr="0012554A" w:rsidRDefault="009D768B" w:rsidP="00B90B43">
      <w:r w:rsidRPr="0012554A">
        <w:t xml:space="preserve">In a study of nine cases in Germany, around 50% of the patients seroconverted occurred seven days after symptom onset, and all patients had seroconverted by 14 days. Infectious virus was not able to be isolated from </w:t>
      </w:r>
      <w:proofErr w:type="spellStart"/>
      <w:r w:rsidRPr="0012554A">
        <w:t>naso</w:t>
      </w:r>
      <w:proofErr w:type="spellEnd"/>
      <w:r w:rsidRPr="0012554A">
        <w:t>/oropharyngeal and sputum samples after the first 8 days of illness.</w:t>
      </w:r>
      <w:r w:rsidR="008B179F">
        <w:rPr>
          <w:vertAlign w:val="superscript"/>
        </w:rPr>
        <w:t>25</w:t>
      </w:r>
      <w:r w:rsidR="008B179F" w:rsidRPr="0012554A">
        <w:t xml:space="preserve"> </w:t>
      </w:r>
    </w:p>
    <w:p w14:paraId="621E9AD2" w14:textId="79DF3295" w:rsidR="009D768B" w:rsidRPr="0012554A" w:rsidRDefault="009D768B" w:rsidP="00B90B43">
      <w:r w:rsidRPr="0012554A">
        <w:t>The duration of humoral antibody response is not well characterised. A cohort study of 96 SARS-CoV-2 infected people in the United Kingdom demonstrated that serum neutralising antibody responses waned after 40 days post infection, and individuals who had experienced milder symptoms had no neutralisation response at around 60 days post infection.</w:t>
      </w:r>
      <w:r w:rsidR="008B179F">
        <w:rPr>
          <w:vertAlign w:val="superscript"/>
        </w:rPr>
        <w:t>32</w:t>
      </w:r>
      <w:r w:rsidR="008B179F" w:rsidRPr="0012554A">
        <w:t xml:space="preserve"> </w:t>
      </w:r>
      <w:r w:rsidRPr="0012554A">
        <w:t>This study has not been peer reviewed</w:t>
      </w:r>
      <w:r w:rsidR="00433C8C" w:rsidRPr="0012554A">
        <w:t>.</w:t>
      </w:r>
    </w:p>
    <w:p w14:paraId="4B2642EE" w14:textId="1D62A04F" w:rsidR="009D768B" w:rsidRPr="0012554A" w:rsidRDefault="009D768B" w:rsidP="00B90B43">
      <w:r w:rsidRPr="0012554A">
        <w:t>The potential for reinfection or recrudescence of infection is also unclear. However, analysis from the Korea Centres for Disease Control and Prevention</w:t>
      </w:r>
      <w:r w:rsidR="00433C8C" w:rsidRPr="0012554A">
        <w:t>,</w:t>
      </w:r>
      <w:r w:rsidRPr="0012554A">
        <w:t xml:space="preserve"> of 108 cases who tested positive after previously being cleared from isolation</w:t>
      </w:r>
      <w:r w:rsidR="00433C8C" w:rsidRPr="0012554A">
        <w:t>,</w:t>
      </w:r>
      <w:r w:rsidRPr="0012554A">
        <w:t xml:space="preserve"> found live virus was unable to be cultured from any cases selected for testing.</w:t>
      </w:r>
      <w:r w:rsidR="008B179F">
        <w:rPr>
          <w:vertAlign w:val="superscript"/>
        </w:rPr>
        <w:t>33</w:t>
      </w:r>
      <w:r w:rsidR="008B179F" w:rsidRPr="0012554A">
        <w:t xml:space="preserve"> </w:t>
      </w:r>
    </w:p>
    <w:p w14:paraId="15E279BB" w14:textId="77777777" w:rsidR="009D768B" w:rsidRPr="004F632D" w:rsidRDefault="009D768B" w:rsidP="004F632D">
      <w:pPr>
        <w:pStyle w:val="Heading2"/>
      </w:pPr>
      <w:r w:rsidRPr="004F632D">
        <w:t>Viral genomics</w:t>
      </w:r>
    </w:p>
    <w:p w14:paraId="2C64C989" w14:textId="742C672F" w:rsidR="009D768B" w:rsidRPr="004F632D" w:rsidRDefault="009D768B" w:rsidP="004F632D">
      <w:r w:rsidRPr="004F632D">
        <w:t>Since December 2019, the virus has diversified into multiple lineages as it has spread globally, with some degree of geographical clustering. There are currently 2,</w:t>
      </w:r>
      <w:r w:rsidR="00BC46F0" w:rsidRPr="004F632D">
        <w:t>884</w:t>
      </w:r>
      <w:r w:rsidRPr="004F632D">
        <w:t xml:space="preserve"> SARS-CoV-2 genome sequences available from Australian cases on the global sequence repository, GISAID. These sequences are dispersed throughout the global lineages, reflecting multiple concurrent introductions into Australia.</w:t>
      </w:r>
      <w:r w:rsidR="008B179F" w:rsidRPr="004F632D">
        <w:rPr>
          <w:vertAlign w:val="superscript"/>
        </w:rPr>
        <w:t>34–36</w:t>
      </w:r>
      <w:r w:rsidRPr="004F632D">
        <w:t xml:space="preserve"> Recent Australian SARS-CoV-2 sequences from the last month include </w:t>
      </w:r>
      <w:r w:rsidR="00BC46F0" w:rsidRPr="004F632D">
        <w:t>96</w:t>
      </w:r>
      <w:r w:rsidR="0C09B6DF" w:rsidRPr="004F632D">
        <w:t xml:space="preserve"> </w:t>
      </w:r>
      <w:r w:rsidRPr="004F632D">
        <w:t>collected from NSW and</w:t>
      </w:r>
      <w:r w:rsidR="0C09B6DF" w:rsidRPr="004F632D">
        <w:t xml:space="preserve"> </w:t>
      </w:r>
      <w:r w:rsidR="00BC46F0" w:rsidRPr="004F632D">
        <w:t>11</w:t>
      </w:r>
      <w:r w:rsidRPr="004F632D">
        <w:t xml:space="preserve"> from </w:t>
      </w:r>
      <w:r w:rsidR="0C09B6DF" w:rsidRPr="004F632D">
        <w:t>South Australia</w:t>
      </w:r>
      <w:r w:rsidRPr="004F632D">
        <w:t>. Most of these sequences belong to the B.1.1.25 lineage, reflecting ongoing local transmission of this lineage. Genomic epidemiology continues to be used to support epidemiological investigations, particularly for confirming presumed transmission pathways. It has proven particularly useful for linking those cases classified as ‘locally-acquired – contact not identified’ to known genomic clusters, highlighting the utility of virus sequencing to informing the public health response.</w:t>
      </w:r>
      <w:r w:rsidR="008B179F" w:rsidRPr="004F632D">
        <w:rPr>
          <w:vertAlign w:val="superscript"/>
        </w:rPr>
        <w:t>34,</w:t>
      </w:r>
      <w:proofErr w:type="gramStart"/>
      <w:r w:rsidR="008B179F" w:rsidRPr="004F632D">
        <w:rPr>
          <w:vertAlign w:val="superscript"/>
        </w:rPr>
        <w:t>35</w:t>
      </w:r>
      <w:proofErr w:type="gramEnd"/>
      <w:r w:rsidRPr="004F632D">
        <w:t xml:space="preserve"> </w:t>
      </w:r>
    </w:p>
    <w:p w14:paraId="31945500" w14:textId="77777777" w:rsidR="009D768B" w:rsidRPr="004F632D" w:rsidRDefault="009D768B" w:rsidP="004F632D">
      <w:pPr>
        <w:pStyle w:val="Heading2"/>
      </w:pPr>
      <w:r w:rsidRPr="004F632D">
        <w:t xml:space="preserve">Clinical features </w:t>
      </w:r>
    </w:p>
    <w:p w14:paraId="228DBEBD" w14:textId="47285E4B" w:rsidR="00DC1B5A" w:rsidRPr="0012554A" w:rsidRDefault="009D768B" w:rsidP="004F632D">
      <w:r w:rsidRPr="0012554A">
        <w:t xml:space="preserve">COVID-19 presents as mild illness in the majority of cases, with cough and fever the most commonly reported symptoms (see Appendix </w:t>
      </w:r>
      <w:r w:rsidR="00D84D6C" w:rsidRPr="0012554A">
        <w:t>B)</w:t>
      </w:r>
      <w:r w:rsidR="00433C8C" w:rsidRPr="0012554A">
        <w:t>.</w:t>
      </w:r>
      <w:r w:rsidR="00D84D6C" w:rsidRPr="0012554A">
        <w:t xml:space="preserve"> </w:t>
      </w:r>
      <w:r w:rsidR="00DC1B5A" w:rsidRPr="0012554A">
        <w:t>Severe or fatal outcomes are more likely to occur in the elderly or those with comorbid conditions.</w:t>
      </w:r>
      <w:r w:rsidR="008B179F">
        <w:rPr>
          <w:vertAlign w:val="superscript"/>
        </w:rPr>
        <w:t>14,</w:t>
      </w:r>
      <w:proofErr w:type="gramStart"/>
      <w:r w:rsidR="008B179F">
        <w:rPr>
          <w:vertAlign w:val="superscript"/>
        </w:rPr>
        <w:t>37</w:t>
      </w:r>
      <w:proofErr w:type="gramEnd"/>
      <w:r w:rsidR="00DC1B5A" w:rsidRPr="0012554A">
        <w:rPr>
          <w:vertAlign w:val="superscript"/>
        </w:rPr>
        <w:t xml:space="preserve"> </w:t>
      </w:r>
    </w:p>
    <w:p w14:paraId="32DB150E" w14:textId="7F0AE320" w:rsidR="00DC1B5A" w:rsidRPr="0012554A" w:rsidRDefault="00DC1B5A" w:rsidP="004F632D">
      <w:r w:rsidRPr="0012554A">
        <w:t xml:space="preserve">Some COVID-19 patients show neurological signs such as headache, nausea and vomiting. There is evidence that SARS-CoV-2 viruses are not always confined to the respiratory tract and may invade the central nervous system </w:t>
      </w:r>
      <w:r w:rsidR="009D768B" w:rsidRPr="0012554A">
        <w:t>causing neurological signs and symptoms. As such, it is possible that invasion of the central nervous system is partially responsible for the acute respiratory failure of COVID-19 patients.</w:t>
      </w:r>
      <w:r w:rsidR="008B179F">
        <w:rPr>
          <w:vertAlign w:val="superscript"/>
        </w:rPr>
        <w:t>38</w:t>
      </w:r>
      <w:r w:rsidR="008B179F" w:rsidRPr="0012554A">
        <w:rPr>
          <w:vertAlign w:val="superscript"/>
        </w:rPr>
        <w:t xml:space="preserve"> </w:t>
      </w:r>
    </w:p>
    <w:p w14:paraId="19C37D00" w14:textId="0FDECB44" w:rsidR="009D768B" w:rsidRPr="0012554A" w:rsidRDefault="009D768B" w:rsidP="004F632D">
      <w:r w:rsidRPr="0012554A">
        <w:t>Impairment or loss of the sense of smell (hyposmia/anosmia) or taste (</w:t>
      </w:r>
      <w:proofErr w:type="spellStart"/>
      <w:r w:rsidRPr="0012554A">
        <w:t>hypoguesia</w:t>
      </w:r>
      <w:proofErr w:type="spellEnd"/>
      <w:r w:rsidRPr="0012554A">
        <w:t>/</w:t>
      </w:r>
      <w:proofErr w:type="spellStart"/>
      <w:r w:rsidRPr="0012554A">
        <w:t>aguesia</w:t>
      </w:r>
      <w:proofErr w:type="spellEnd"/>
      <w:r w:rsidRPr="0012554A">
        <w:t>) is commonly associated with COVID-19.</w:t>
      </w:r>
      <w:r w:rsidR="008B179F">
        <w:rPr>
          <w:vertAlign w:val="superscript"/>
        </w:rPr>
        <w:t>39–41</w:t>
      </w:r>
      <w:r w:rsidRPr="0012554A">
        <w:t xml:space="preserve"> This is supported by research finding a biological mechanism for the SARS-CoV-2 virus to cause olfactory dysfunction.</w:t>
      </w:r>
      <w:r w:rsidR="008B179F">
        <w:rPr>
          <w:vertAlign w:val="superscript"/>
        </w:rPr>
        <w:t>42,43</w:t>
      </w:r>
      <w:r w:rsidRPr="0012554A">
        <w:rPr>
          <w:vertAlign w:val="superscript"/>
        </w:rPr>
        <w:t xml:space="preserve"> </w:t>
      </w:r>
      <w:r w:rsidRPr="0012554A">
        <w:t xml:space="preserve">Case reports have also linked SARS-CoV-2 infection </w:t>
      </w:r>
      <w:r w:rsidRPr="0012554A">
        <w:lastRenderedPageBreak/>
        <w:t xml:space="preserve">with less common neurological syndromes including encephalopathy, encephalitis, </w:t>
      </w:r>
      <w:proofErr w:type="spellStart"/>
      <w:r w:rsidRPr="0012554A">
        <w:t>Guillian</w:t>
      </w:r>
      <w:proofErr w:type="spellEnd"/>
      <w:r w:rsidRPr="0012554A">
        <w:t>-Barré syndrome and acute cerebrovascular disease.</w:t>
      </w:r>
      <w:r w:rsidR="008B179F">
        <w:rPr>
          <w:vertAlign w:val="superscript"/>
        </w:rPr>
        <w:t>41</w:t>
      </w:r>
      <w:r w:rsidR="008B179F" w:rsidRPr="0012554A">
        <w:t xml:space="preserve"> </w:t>
      </w:r>
    </w:p>
    <w:p w14:paraId="7B9F2457" w14:textId="1527AD55" w:rsidR="00DC1B5A" w:rsidRPr="0012554A" w:rsidRDefault="009D768B" w:rsidP="004F632D">
      <w:r w:rsidRPr="0012554A">
        <w:t xml:space="preserve">Several studies have also </w:t>
      </w:r>
      <w:r w:rsidR="00DC1B5A" w:rsidRPr="0012554A">
        <w:t xml:space="preserve">identified </w:t>
      </w:r>
      <w:r w:rsidRPr="0012554A">
        <w:t xml:space="preserve">linked </w:t>
      </w:r>
      <w:r w:rsidR="00DC1B5A" w:rsidRPr="0012554A">
        <w:t xml:space="preserve">cardiovascular </w:t>
      </w:r>
      <w:r w:rsidRPr="0012554A">
        <w:t>diseases to COVID-19.</w:t>
      </w:r>
      <w:r w:rsidR="008B179F">
        <w:rPr>
          <w:vertAlign w:val="superscript"/>
        </w:rPr>
        <w:t>44–46</w:t>
      </w:r>
      <w:r w:rsidR="00DC1B5A" w:rsidRPr="0012554A">
        <w:t xml:space="preserve"> Vascular inflammation has been observed in a number of cases and may be a potential mechanism for myocardial injury which can result in cardiac dysfunction and arrhythmias. </w:t>
      </w:r>
    </w:p>
    <w:p w14:paraId="2342186A" w14:textId="5F588E94" w:rsidR="00DC1B5A" w:rsidRPr="0012554A" w:rsidRDefault="00DC1B5A" w:rsidP="004F632D">
      <w:r w:rsidRPr="0012554A">
        <w:t>COVID-19 disease in children is more likely to be mild and self-limiting, compared to adults. Internationally, children make up a small proportion of confirmed COVID-19 cases, with those shown to be infected either presenting with milder symptoms than adults or remaining asymptomatic</w:t>
      </w:r>
      <w:r w:rsidR="009D768B" w:rsidRPr="0012554A">
        <w:t>. However, the greater likelihood of mild clinical presentation in children may result in lower testing and case detection in this cohort. Studies have also shown that hospital admission is inversely related to age. From European reporting, death associated with COVID-19 has been rare among those aged less than 15 years, with 4 deaths reported from 44,695 cases, as at 13 May 2020.</w:t>
      </w:r>
      <w:r w:rsidR="008B179F">
        <w:rPr>
          <w:vertAlign w:val="superscript"/>
        </w:rPr>
        <w:t>19</w:t>
      </w:r>
      <w:r w:rsidR="008B179F" w:rsidRPr="0012554A">
        <w:t xml:space="preserve"> </w:t>
      </w:r>
    </w:p>
    <w:p w14:paraId="39AF6942" w14:textId="1C7EAC54" w:rsidR="00DC1B5A" w:rsidRPr="0012554A" w:rsidRDefault="00DC1B5A" w:rsidP="004F632D">
      <w:r w:rsidRPr="0012554A">
        <w:t>There have been reports of a rare clinical presentation of paediatric inflammatory multisystem syndrome resembling Kawasaki disease temporally associated with SARS-CoV-2 infection in children. However, evidence of the association between COVID-19 and the development of a Kawasaki</w:t>
      </w:r>
      <w:r w:rsidR="009D768B" w:rsidRPr="0012554A">
        <w:t>-</w:t>
      </w:r>
      <w:r w:rsidRPr="0012554A">
        <w:t>like disease is currently inconclusive and further investigation is needed due to variability in clinical presentations in reported paediatric cases.</w:t>
      </w:r>
      <w:r w:rsidR="000B35AA">
        <w:rPr>
          <w:vertAlign w:val="superscript"/>
        </w:rPr>
        <w:t>47,</w:t>
      </w:r>
      <w:proofErr w:type="gramStart"/>
      <w:r w:rsidR="000B35AA">
        <w:rPr>
          <w:vertAlign w:val="superscript"/>
        </w:rPr>
        <w:t>48</w:t>
      </w:r>
      <w:proofErr w:type="gramEnd"/>
      <w:r w:rsidRPr="0012554A">
        <w:rPr>
          <w:vertAlign w:val="superscript"/>
        </w:rPr>
        <w:t xml:space="preserve"> </w:t>
      </w:r>
    </w:p>
    <w:p w14:paraId="1965DF26" w14:textId="77777777" w:rsidR="00DC1B5A" w:rsidRPr="004F632D" w:rsidRDefault="00DC1B5A" w:rsidP="004F632D">
      <w:pPr>
        <w:pStyle w:val="Heading2"/>
      </w:pPr>
      <w:r w:rsidRPr="004F632D">
        <w:t xml:space="preserve">Treatment </w:t>
      </w:r>
    </w:p>
    <w:p w14:paraId="742E63EF" w14:textId="06B32F8E" w:rsidR="00DC1B5A" w:rsidRPr="0012554A" w:rsidRDefault="00DC1B5A" w:rsidP="004F632D">
      <w:r w:rsidRPr="0012554A">
        <w:t>Current clinical management of COVID-19 cases focuses on early recognition, isolation, appropriate infection control measures and provision of supportive care.</w:t>
      </w:r>
      <w:r w:rsidR="000B35AA">
        <w:rPr>
          <w:vertAlign w:val="superscript"/>
        </w:rPr>
        <w:t>49</w:t>
      </w:r>
      <w:r w:rsidR="000B35AA" w:rsidRPr="0012554A">
        <w:t xml:space="preserve"> </w:t>
      </w:r>
      <w:r w:rsidRPr="0012554A">
        <w:t>Whilst there is no specific antiviral treatment currently recommended for patients with suspected or confirmed SARS-CoV-2 infection, multiple clinical trials are underway to evaluate a number of therapeutic agents, including remdesivir, lopinavir/ritonavir, and chloroquine or hydroxychloroquine.</w:t>
      </w:r>
      <w:r w:rsidR="000B35AA">
        <w:rPr>
          <w:vertAlign w:val="superscript"/>
        </w:rPr>
        <w:t>50,51</w:t>
      </w:r>
      <w:r w:rsidRPr="0012554A">
        <w:t xml:space="preserve"> </w:t>
      </w:r>
    </w:p>
    <w:p w14:paraId="32BCAB55" w14:textId="46442925" w:rsidR="00DC1B5A" w:rsidRPr="0012554A" w:rsidRDefault="00DC1B5A" w:rsidP="004F632D">
      <w:r w:rsidRPr="0012554A">
        <w:t>An open-label randomised controlled trial did not find a significant impact of hydroxychloroquine treatment on disease progression for hospitalised patients with mild to moderate COVID-19, with those receiving treatment also reporting a higher number of adverse events.</w:t>
      </w:r>
      <w:r w:rsidR="000B35AA">
        <w:rPr>
          <w:vertAlign w:val="superscript"/>
        </w:rPr>
        <w:t>52</w:t>
      </w:r>
      <w:r w:rsidR="009D768B" w:rsidRPr="0012554A">
        <w:t>Similarly, an open-label randomised controlled trial of lopinavir/ritonavir among hospitalised patients found no benefit for time to clinical improvement.</w:t>
      </w:r>
      <w:r w:rsidR="000B35AA">
        <w:rPr>
          <w:vertAlign w:val="superscript"/>
        </w:rPr>
        <w:t>53</w:t>
      </w:r>
      <w:r w:rsidR="000B35AA" w:rsidRPr="0012554A">
        <w:t xml:space="preserve"> </w:t>
      </w:r>
      <w:r w:rsidR="009D768B" w:rsidRPr="0012554A">
        <w:t>WHO announced the interruption of clinical trials of hydroxychloroquine and lopinavir/ritonavir under the ‘Solidarity Trial’ on 4 July 2020.</w:t>
      </w:r>
      <w:r w:rsidR="000B35AA">
        <w:rPr>
          <w:vertAlign w:val="superscript"/>
        </w:rPr>
        <w:t>54</w:t>
      </w:r>
      <w:r w:rsidR="000B35AA" w:rsidRPr="0012554A">
        <w:t xml:space="preserve"> </w:t>
      </w:r>
    </w:p>
    <w:p w14:paraId="0B0597C0" w14:textId="22FAC0AC" w:rsidR="009D768B" w:rsidRPr="0012554A" w:rsidRDefault="009D768B" w:rsidP="004F632D">
      <w:r w:rsidRPr="0012554A">
        <w:t>Results for remdesivir treatment have been mixed, with one randomised double-blind placebo-controlled trial finding patients recovered 31% faster and a lower mortality rate (8.0% compared with 11.6% among placebo patients),</w:t>
      </w:r>
      <w:r w:rsidR="000B35AA">
        <w:rPr>
          <w:vertAlign w:val="superscript"/>
        </w:rPr>
        <w:t>55</w:t>
      </w:r>
      <w:r w:rsidR="000B35AA" w:rsidRPr="0012554A">
        <w:t xml:space="preserve"> </w:t>
      </w:r>
      <w:r w:rsidRPr="0012554A">
        <w:t>while another found no effect.</w:t>
      </w:r>
      <w:r w:rsidR="000B35AA">
        <w:rPr>
          <w:vertAlign w:val="superscript"/>
        </w:rPr>
        <w:t>56</w:t>
      </w:r>
      <w:r w:rsidR="000B35AA" w:rsidRPr="0012554A">
        <w:t xml:space="preserve"> </w:t>
      </w:r>
      <w:r w:rsidRPr="0012554A">
        <w:t>The Therapeutic Goods Administration has granted provisional approval for use of remdesivir in hospitalised adults and adolescents with severe COVID-19 symptoms.</w:t>
      </w:r>
      <w:r w:rsidR="000B35AA">
        <w:rPr>
          <w:vertAlign w:val="superscript"/>
        </w:rPr>
        <w:t>57</w:t>
      </w:r>
      <w:r w:rsidR="000B35AA" w:rsidRPr="0012554A">
        <w:t xml:space="preserve"> </w:t>
      </w:r>
    </w:p>
    <w:p w14:paraId="709B593E" w14:textId="4C44D172" w:rsidR="009D768B" w:rsidRPr="0012554A" w:rsidRDefault="009D768B" w:rsidP="004F632D">
      <w:r w:rsidRPr="0012554A">
        <w:t>As at 27 July 2020, the WHO reports that at least 25 candidate vaccines are in clinical trials and 139 are in preclinical evaluation.</w:t>
      </w:r>
      <w:r w:rsidR="000B35AA">
        <w:rPr>
          <w:vertAlign w:val="superscript"/>
        </w:rPr>
        <w:t>58</w:t>
      </w:r>
      <w:r w:rsidR="000B35AA" w:rsidRPr="0012554A">
        <w:t xml:space="preserve"> </w:t>
      </w:r>
    </w:p>
    <w:p w14:paraId="12BB9E15" w14:textId="207C1D47" w:rsidR="00181C9D" w:rsidRPr="0012554A" w:rsidRDefault="00DC1B5A" w:rsidP="004F632D">
      <w:pPr>
        <w:rPr>
          <w:color w:val="000000" w:themeColor="text1"/>
        </w:rPr>
        <w:sectPr w:rsidR="00181C9D" w:rsidRPr="0012554A" w:rsidSect="00D84D6C">
          <w:pgSz w:w="11906" w:h="16838"/>
          <w:pgMar w:top="720" w:right="720" w:bottom="1134" w:left="720" w:header="709" w:footer="284" w:gutter="0"/>
          <w:cols w:space="708"/>
          <w:titlePg/>
          <w:docGrid w:linePitch="360"/>
        </w:sectPr>
      </w:pPr>
      <w:r w:rsidRPr="0012554A">
        <w:t>Research from the UK has found dexamethasone could significantly reduce death in critically ill patients.</w:t>
      </w:r>
      <w:r w:rsidR="000B35AA">
        <w:rPr>
          <w:vertAlign w:val="superscript"/>
        </w:rPr>
        <w:t>59</w:t>
      </w:r>
      <w:r w:rsidR="000B35AA" w:rsidRPr="0012554A">
        <w:t xml:space="preserve"> </w:t>
      </w:r>
      <w:r w:rsidRPr="0012554A">
        <w:t xml:space="preserve">Yet to be published, the preliminary findings announcing by Oxford University reported a 30% reduction in deaths for patients with severe respiratory symptoms. Reduced mortality was observed in ventilated cases and cases requiring oxygen support. No benefit was observed for mild to moderate cases. </w:t>
      </w:r>
      <w:r w:rsidR="009D768B" w:rsidRPr="0012554A">
        <w:t>There are no barriers to the use of dexamethasone in Australian patients who are critically ill, such as cases who require ventilation or oxygen support.</w:t>
      </w:r>
      <w:r w:rsidR="000B35AA">
        <w:rPr>
          <w:vertAlign w:val="superscript"/>
        </w:rPr>
        <w:t>59</w:t>
      </w:r>
      <w:r w:rsidR="000B35AA" w:rsidRPr="0012554A">
        <w:rPr>
          <w:color w:val="000000" w:themeColor="text1"/>
        </w:rPr>
        <w:t xml:space="preserve"> </w:t>
      </w:r>
    </w:p>
    <w:p w14:paraId="42AC372A" w14:textId="77777777" w:rsidR="00DC1B5A" w:rsidRPr="004F632D" w:rsidRDefault="00DC1B5A" w:rsidP="004F632D">
      <w:pPr>
        <w:pStyle w:val="Heading1"/>
      </w:pPr>
      <w:r w:rsidRPr="004F632D">
        <w:lastRenderedPageBreak/>
        <w:t xml:space="preserve">Appendix B: Supplementary figures and tables </w:t>
      </w:r>
    </w:p>
    <w:p w14:paraId="63CD0E30" w14:textId="526D0795" w:rsidR="00DC1B5A" w:rsidRPr="003223EE" w:rsidRDefault="00DC1B5A" w:rsidP="004F5B72">
      <w:pPr>
        <w:pStyle w:val="CDIFigures"/>
        <w:rPr>
          <w:rFonts w:eastAsia="Times New Roman" w:cstheme="minorHAnsi"/>
        </w:rPr>
      </w:pPr>
      <w:r w:rsidRPr="003223EE">
        <w:rPr>
          <w:rFonts w:eastAsia="Times New Roman" w:cstheme="minorHAnsi"/>
        </w:rPr>
        <w:t>Table B.1: COVID-19 case notifications and rates per 100,000 population, by age g</w:t>
      </w:r>
      <w:r w:rsidR="002651DD" w:rsidRPr="003223EE">
        <w:rPr>
          <w:rFonts w:eastAsia="Times New Roman" w:cstheme="minorHAnsi"/>
        </w:rPr>
        <w:t xml:space="preserve">roup and </w:t>
      </w:r>
      <w:r w:rsidR="003223EE">
        <w:rPr>
          <w:rFonts w:eastAsia="Times New Roman" w:cstheme="minorHAnsi"/>
        </w:rPr>
        <w:t>sex</w:t>
      </w:r>
      <w:r w:rsidR="002651DD" w:rsidRPr="003223EE">
        <w:rPr>
          <w:rFonts w:eastAsia="Times New Roman" w:cstheme="minorHAnsi"/>
        </w:rPr>
        <w:t xml:space="preserve">, </w:t>
      </w:r>
      <w:r w:rsidR="00796C59" w:rsidRPr="003223EE">
        <w:rPr>
          <w:rFonts w:eastAsia="Times New Roman" w:cstheme="minorHAnsi"/>
        </w:rPr>
        <w:t>16</w:t>
      </w:r>
      <w:r w:rsidR="002651DD" w:rsidRPr="003223EE">
        <w:rPr>
          <w:rFonts w:eastAsia="Times New Roman" w:cstheme="minorHAnsi"/>
        </w:rPr>
        <w:t xml:space="preserve"> August </w:t>
      </w:r>
      <w:r w:rsidRPr="003223EE">
        <w:rPr>
          <w:rFonts w:eastAsia="Times New Roman" w:cstheme="minorHAnsi"/>
        </w:rPr>
        <w:t xml:space="preserve">2020, </w:t>
      </w:r>
      <w:proofErr w:type="spellStart"/>
      <w:r w:rsidRPr="003223EE">
        <w:rPr>
          <w:rFonts w:eastAsia="Times New Roman" w:cstheme="minorHAnsi"/>
        </w:rPr>
        <w:t>Australia</w:t>
      </w:r>
      <w:r w:rsidRPr="003223EE">
        <w:rPr>
          <w:rFonts w:eastAsia="Times New Roman" w:cstheme="minorHAnsi"/>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B.1: COVID-19 case notifications and rate per 100,000 population in Australia, by age group and gender, for the current reporting period and cumulatively, 16 August 2020, Australia &#10;This table summarises cumulative confirmed cases and fortnightly rates per 100,000 population, as a function of age group and sex.  &#10;"/>
      </w:tblPr>
      <w:tblGrid>
        <w:gridCol w:w="1127"/>
        <w:gridCol w:w="1154"/>
        <w:gridCol w:w="1155"/>
        <w:gridCol w:w="1155"/>
        <w:gridCol w:w="1155"/>
        <w:gridCol w:w="1154"/>
        <w:gridCol w:w="1155"/>
        <w:gridCol w:w="1155"/>
        <w:gridCol w:w="1155"/>
        <w:gridCol w:w="1154"/>
        <w:gridCol w:w="1155"/>
        <w:gridCol w:w="1155"/>
        <w:gridCol w:w="1155"/>
      </w:tblGrid>
      <w:tr w:rsidR="00B66515" w:rsidRPr="00913882" w14:paraId="5A2C80EB" w14:textId="77777777" w:rsidTr="007E71F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CA62FAA" w14:textId="77777777" w:rsidR="00DC1B5A" w:rsidRPr="003F2231" w:rsidRDefault="00DC1B5A">
            <w:pPr>
              <w:pStyle w:val="NormalWeb"/>
              <w:rPr>
                <w:rFonts w:cstheme="minorHAnsi"/>
                <w:color w:val="FFFFFF" w:themeColor="background1"/>
              </w:rPr>
            </w:pPr>
            <w:r w:rsidRPr="003F2231">
              <w:rPr>
                <w:rFonts w:cstheme="minorHAnsi"/>
                <w:color w:val="FFFFFF" w:themeColor="background1"/>
              </w:rPr>
              <w:t>Age Group</w:t>
            </w:r>
          </w:p>
        </w:tc>
        <w:tc>
          <w:tcPr>
            <w:tcW w:w="6928" w:type="dxa"/>
            <w:gridSpan w:val="6"/>
            <w:tcBorders>
              <w:left w:val="single" w:sz="2" w:space="0" w:color="FFFFFF" w:themeColor="background1"/>
              <w:bottom w:val="single" w:sz="2" w:space="0" w:color="FFFFFF" w:themeColor="background1"/>
              <w:right w:val="single" w:sz="2" w:space="0" w:color="FFFFFF" w:themeColor="background1"/>
            </w:tcBorders>
            <w:hideMark/>
          </w:tcPr>
          <w:p w14:paraId="1E7F59A3" w14:textId="77777777" w:rsidR="00DC1B5A" w:rsidRPr="003F2231" w:rsidRDefault="00DC1B5A" w:rsidP="00796C59">
            <w:pPr>
              <w:pStyle w:val="NormalWeb"/>
              <w:jc w:val="center"/>
              <w:rPr>
                <w:rFonts w:cstheme="minorHAnsi"/>
                <w:color w:val="FFFFFF" w:themeColor="background1"/>
              </w:rPr>
            </w:pPr>
            <w:r w:rsidRPr="003F2231">
              <w:rPr>
                <w:rFonts w:cstheme="minorHAnsi"/>
                <w:color w:val="FFFFFF" w:themeColor="background1"/>
                <w:lang w:val="en-US"/>
              </w:rPr>
              <w:t>This reporting period</w:t>
            </w:r>
            <w:r w:rsidR="00796C59" w:rsidRPr="003F2231">
              <w:rPr>
                <w:rFonts w:cstheme="minorHAnsi"/>
                <w:color w:val="FFFFFF" w:themeColor="background1"/>
                <w:lang w:val="en-US"/>
              </w:rPr>
              <w:t xml:space="preserve"> 3—16</w:t>
            </w:r>
            <w:r w:rsidR="0080172D" w:rsidRPr="003F2231">
              <w:rPr>
                <w:rFonts w:cstheme="minorHAnsi"/>
                <w:color w:val="FFFFFF" w:themeColor="background1"/>
                <w:lang w:val="en-US"/>
              </w:rPr>
              <w:t xml:space="preserve"> August 2020</w:t>
            </w:r>
          </w:p>
        </w:tc>
        <w:tc>
          <w:tcPr>
            <w:tcW w:w="6929" w:type="dxa"/>
            <w:gridSpan w:val="6"/>
            <w:tcBorders>
              <w:left w:val="single" w:sz="2" w:space="0" w:color="FFFFFF" w:themeColor="background1"/>
              <w:bottom w:val="single" w:sz="2" w:space="0" w:color="FFFFFF" w:themeColor="background1"/>
            </w:tcBorders>
            <w:hideMark/>
          </w:tcPr>
          <w:p w14:paraId="169E83A1"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Cumulative</w:t>
            </w:r>
          </w:p>
        </w:tc>
      </w:tr>
      <w:tr w:rsidR="00B66515" w:rsidRPr="003223EE" w14:paraId="5CBDB807" w14:textId="77777777" w:rsidTr="007E71F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785A9182" w14:textId="77777777" w:rsidR="00DC1B5A" w:rsidRPr="003223EE" w:rsidRDefault="00DC1B5A">
            <w:pPr>
              <w:rPr>
                <w:rFonts w:cstheme="minorHAnsi"/>
              </w:rPr>
            </w:pPr>
          </w:p>
        </w:tc>
        <w:tc>
          <w:tcPr>
            <w:tcW w:w="34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58D15C6"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Cases</w:t>
            </w:r>
          </w:p>
        </w:tc>
        <w:tc>
          <w:tcPr>
            <w:tcW w:w="34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08915FC"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Rate per 100,000 population</w:t>
            </w:r>
          </w:p>
        </w:tc>
        <w:tc>
          <w:tcPr>
            <w:tcW w:w="34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61D4235"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Cases</w:t>
            </w:r>
          </w:p>
        </w:tc>
        <w:tc>
          <w:tcPr>
            <w:tcW w:w="3465" w:type="dxa"/>
            <w:gridSpan w:val="3"/>
            <w:tcBorders>
              <w:top w:val="single" w:sz="2" w:space="0" w:color="FFFFFF" w:themeColor="background1"/>
              <w:left w:val="single" w:sz="2" w:space="0" w:color="FFFFFF" w:themeColor="background1"/>
              <w:bottom w:val="single" w:sz="2" w:space="0" w:color="FFFFFF" w:themeColor="background1"/>
            </w:tcBorders>
            <w:hideMark/>
          </w:tcPr>
          <w:p w14:paraId="1B81C70B"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Rate per 100,000 population</w:t>
            </w:r>
          </w:p>
        </w:tc>
      </w:tr>
      <w:tr w:rsidR="00B66515" w:rsidRPr="003223EE" w14:paraId="19324AAB" w14:textId="77777777" w:rsidTr="007E71F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549C5DF" w14:textId="77777777" w:rsidR="00DC1B5A" w:rsidRPr="003223EE" w:rsidRDefault="00DC1B5A">
            <w:pPr>
              <w:rPr>
                <w:rFonts w:cstheme="minorHAnsi"/>
              </w:rPr>
            </w:pPr>
          </w:p>
        </w:tc>
        <w:tc>
          <w:tcPr>
            <w:tcW w:w="1154" w:type="dxa"/>
            <w:tcBorders>
              <w:top w:val="single" w:sz="2" w:space="0" w:color="FFFFFF" w:themeColor="background1"/>
              <w:left w:val="single" w:sz="2" w:space="0" w:color="FFFFFF" w:themeColor="background1"/>
              <w:right w:val="single" w:sz="2" w:space="0" w:color="FFFFFF" w:themeColor="background1"/>
            </w:tcBorders>
            <w:hideMark/>
          </w:tcPr>
          <w:p w14:paraId="2A38FA58"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Male</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66E8BF09"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Female</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09F59789"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Total</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2DC31F63"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Male</w:t>
            </w:r>
          </w:p>
        </w:tc>
        <w:tc>
          <w:tcPr>
            <w:tcW w:w="1154" w:type="dxa"/>
            <w:tcBorders>
              <w:top w:val="single" w:sz="2" w:space="0" w:color="FFFFFF" w:themeColor="background1"/>
              <w:left w:val="single" w:sz="2" w:space="0" w:color="FFFFFF" w:themeColor="background1"/>
              <w:right w:val="single" w:sz="2" w:space="0" w:color="FFFFFF" w:themeColor="background1"/>
            </w:tcBorders>
            <w:hideMark/>
          </w:tcPr>
          <w:p w14:paraId="3197F0C8"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Female</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2CFCFE00"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Total</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00A91B93"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Male</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72937425"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Female</w:t>
            </w:r>
          </w:p>
        </w:tc>
        <w:tc>
          <w:tcPr>
            <w:tcW w:w="1154" w:type="dxa"/>
            <w:tcBorders>
              <w:top w:val="single" w:sz="2" w:space="0" w:color="FFFFFF" w:themeColor="background1"/>
              <w:left w:val="single" w:sz="2" w:space="0" w:color="FFFFFF" w:themeColor="background1"/>
              <w:right w:val="single" w:sz="2" w:space="0" w:color="FFFFFF" w:themeColor="background1"/>
            </w:tcBorders>
            <w:hideMark/>
          </w:tcPr>
          <w:p w14:paraId="1DDBB3EB"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Total</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109202C9"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Male</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4C818647"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rPr>
              <w:t>Female</w:t>
            </w:r>
          </w:p>
        </w:tc>
        <w:tc>
          <w:tcPr>
            <w:tcW w:w="1155" w:type="dxa"/>
            <w:tcBorders>
              <w:top w:val="single" w:sz="2" w:space="0" w:color="FFFFFF" w:themeColor="background1"/>
              <w:left w:val="single" w:sz="2" w:space="0" w:color="FFFFFF" w:themeColor="background1"/>
            </w:tcBorders>
            <w:hideMark/>
          </w:tcPr>
          <w:p w14:paraId="2009208B" w14:textId="77777777" w:rsidR="00DC1B5A" w:rsidRPr="003F2231" w:rsidRDefault="00DC1B5A" w:rsidP="00B942C5">
            <w:pPr>
              <w:pStyle w:val="NormalWeb"/>
              <w:jc w:val="center"/>
              <w:rPr>
                <w:rFonts w:cstheme="minorHAnsi"/>
                <w:color w:val="FFFFFF" w:themeColor="background1"/>
              </w:rPr>
            </w:pPr>
            <w:r w:rsidRPr="003F2231">
              <w:rPr>
                <w:rFonts w:cstheme="minorHAnsi"/>
                <w:color w:val="FFFFFF" w:themeColor="background1"/>
                <w:lang w:val="en-US"/>
              </w:rPr>
              <w:t>Total</w:t>
            </w:r>
          </w:p>
        </w:tc>
      </w:tr>
      <w:tr w:rsidR="00796C59" w:rsidRPr="003223EE" w14:paraId="078AA00B" w14:textId="77777777" w:rsidTr="00796C59">
        <w:tc>
          <w:tcPr>
            <w:tcW w:w="0" w:type="auto"/>
            <w:hideMark/>
          </w:tcPr>
          <w:p w14:paraId="39673140" w14:textId="097347F4" w:rsidR="00796C59" w:rsidRPr="003223EE" w:rsidRDefault="00796C59" w:rsidP="000B35AA">
            <w:pPr>
              <w:pStyle w:val="NormalWeb"/>
              <w:rPr>
                <w:rFonts w:asciiTheme="minorHAnsi" w:hAnsiTheme="minorHAnsi" w:cstheme="minorHAnsi"/>
              </w:rPr>
            </w:pPr>
            <w:r w:rsidRPr="003223EE">
              <w:rPr>
                <w:rFonts w:asciiTheme="minorHAnsi" w:hAnsiTheme="minorHAnsi" w:cstheme="minorHAnsi"/>
              </w:rPr>
              <w:t>0—</w:t>
            </w:r>
            <w:r w:rsidR="000B35AA">
              <w:rPr>
                <w:rFonts w:asciiTheme="minorHAnsi" w:hAnsiTheme="minorHAnsi" w:cstheme="minorHAnsi"/>
              </w:rPr>
              <w:t>9</w:t>
            </w:r>
          </w:p>
        </w:tc>
        <w:tc>
          <w:tcPr>
            <w:tcW w:w="1154" w:type="dxa"/>
            <w:vAlign w:val="center"/>
            <w:hideMark/>
          </w:tcPr>
          <w:p w14:paraId="46D947C1"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138</w:t>
            </w:r>
          </w:p>
        </w:tc>
        <w:tc>
          <w:tcPr>
            <w:tcW w:w="1155" w:type="dxa"/>
            <w:vAlign w:val="center"/>
            <w:hideMark/>
          </w:tcPr>
          <w:p w14:paraId="18A29959"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116</w:t>
            </w:r>
          </w:p>
        </w:tc>
        <w:tc>
          <w:tcPr>
            <w:tcW w:w="1155" w:type="dxa"/>
            <w:vAlign w:val="center"/>
            <w:hideMark/>
          </w:tcPr>
          <w:p w14:paraId="30E1A3D4"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254</w:t>
            </w:r>
          </w:p>
        </w:tc>
        <w:tc>
          <w:tcPr>
            <w:tcW w:w="1155" w:type="dxa"/>
            <w:vAlign w:val="center"/>
            <w:hideMark/>
          </w:tcPr>
          <w:p w14:paraId="5B56D434"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8.4</w:t>
            </w:r>
          </w:p>
        </w:tc>
        <w:tc>
          <w:tcPr>
            <w:tcW w:w="1154" w:type="dxa"/>
            <w:vAlign w:val="center"/>
            <w:hideMark/>
          </w:tcPr>
          <w:p w14:paraId="2D17C714"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7.5</w:t>
            </w:r>
          </w:p>
        </w:tc>
        <w:tc>
          <w:tcPr>
            <w:tcW w:w="1155" w:type="dxa"/>
            <w:vAlign w:val="center"/>
            <w:hideMark/>
          </w:tcPr>
          <w:p w14:paraId="043D0B3C"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8.0</w:t>
            </w:r>
          </w:p>
        </w:tc>
        <w:tc>
          <w:tcPr>
            <w:tcW w:w="1155" w:type="dxa"/>
            <w:vAlign w:val="center"/>
            <w:hideMark/>
          </w:tcPr>
          <w:p w14:paraId="34E49C6B"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567</w:t>
            </w:r>
          </w:p>
        </w:tc>
        <w:tc>
          <w:tcPr>
            <w:tcW w:w="1155" w:type="dxa"/>
            <w:vAlign w:val="center"/>
            <w:hideMark/>
          </w:tcPr>
          <w:p w14:paraId="41518160"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509</w:t>
            </w:r>
          </w:p>
        </w:tc>
        <w:tc>
          <w:tcPr>
            <w:tcW w:w="1154" w:type="dxa"/>
            <w:vAlign w:val="center"/>
            <w:hideMark/>
          </w:tcPr>
          <w:p w14:paraId="6EDD04CE" w14:textId="18A25512"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077</w:t>
            </w:r>
          </w:p>
        </w:tc>
        <w:tc>
          <w:tcPr>
            <w:tcW w:w="1155" w:type="dxa"/>
            <w:vAlign w:val="center"/>
            <w:hideMark/>
          </w:tcPr>
          <w:p w14:paraId="300E573C"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34.7</w:t>
            </w:r>
          </w:p>
        </w:tc>
        <w:tc>
          <w:tcPr>
            <w:tcW w:w="1155" w:type="dxa"/>
            <w:vAlign w:val="center"/>
            <w:hideMark/>
          </w:tcPr>
          <w:p w14:paraId="31357123"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32.8</w:t>
            </w:r>
          </w:p>
        </w:tc>
        <w:tc>
          <w:tcPr>
            <w:tcW w:w="1155" w:type="dxa"/>
            <w:vAlign w:val="center"/>
            <w:hideMark/>
          </w:tcPr>
          <w:p w14:paraId="6A422B79"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33.8</w:t>
            </w:r>
          </w:p>
        </w:tc>
      </w:tr>
      <w:tr w:rsidR="00796C59" w:rsidRPr="003223EE" w14:paraId="591941C0" w14:textId="77777777" w:rsidTr="00796C59">
        <w:trPr>
          <w:cnfStyle w:val="000000010000" w:firstRow="0" w:lastRow="0" w:firstColumn="0" w:lastColumn="0" w:oddVBand="0" w:evenVBand="0" w:oddHBand="0" w:evenHBand="1" w:firstRowFirstColumn="0" w:firstRowLastColumn="0" w:lastRowFirstColumn="0" w:lastRowLastColumn="0"/>
        </w:trPr>
        <w:tc>
          <w:tcPr>
            <w:tcW w:w="0" w:type="auto"/>
            <w:hideMark/>
          </w:tcPr>
          <w:p w14:paraId="6C2A8CBA" w14:textId="3B82538B" w:rsidR="00796C59" w:rsidRPr="003223EE" w:rsidRDefault="00796C59" w:rsidP="000B35AA">
            <w:pPr>
              <w:pStyle w:val="NormalWeb"/>
              <w:rPr>
                <w:rFonts w:asciiTheme="minorHAnsi" w:hAnsiTheme="minorHAnsi" w:cstheme="minorHAnsi"/>
              </w:rPr>
            </w:pPr>
            <w:r w:rsidRPr="003223EE">
              <w:rPr>
                <w:rFonts w:asciiTheme="minorHAnsi" w:hAnsiTheme="minorHAnsi" w:cstheme="minorHAnsi"/>
                <w:lang w:val="en-US"/>
              </w:rPr>
              <w:t>10—</w:t>
            </w:r>
            <w:r w:rsidR="000B35AA">
              <w:rPr>
                <w:rFonts w:asciiTheme="minorHAnsi" w:hAnsiTheme="minorHAnsi" w:cstheme="minorHAnsi"/>
                <w:lang w:val="en-US"/>
              </w:rPr>
              <w:t>19</w:t>
            </w:r>
          </w:p>
        </w:tc>
        <w:tc>
          <w:tcPr>
            <w:tcW w:w="1154" w:type="dxa"/>
            <w:vAlign w:val="center"/>
            <w:hideMark/>
          </w:tcPr>
          <w:p w14:paraId="3765A765"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191</w:t>
            </w:r>
          </w:p>
        </w:tc>
        <w:tc>
          <w:tcPr>
            <w:tcW w:w="1155" w:type="dxa"/>
            <w:vAlign w:val="center"/>
            <w:hideMark/>
          </w:tcPr>
          <w:p w14:paraId="51D38FDA"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193</w:t>
            </w:r>
          </w:p>
        </w:tc>
        <w:tc>
          <w:tcPr>
            <w:tcW w:w="1155" w:type="dxa"/>
            <w:vAlign w:val="center"/>
            <w:hideMark/>
          </w:tcPr>
          <w:p w14:paraId="3C4286F2"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385</w:t>
            </w:r>
          </w:p>
        </w:tc>
        <w:tc>
          <w:tcPr>
            <w:tcW w:w="1155" w:type="dxa"/>
            <w:vAlign w:val="center"/>
            <w:hideMark/>
          </w:tcPr>
          <w:p w14:paraId="5F3FC934"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12.2</w:t>
            </w:r>
          </w:p>
        </w:tc>
        <w:tc>
          <w:tcPr>
            <w:tcW w:w="1154" w:type="dxa"/>
            <w:vAlign w:val="center"/>
            <w:hideMark/>
          </w:tcPr>
          <w:p w14:paraId="2D16C12F"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13.0</w:t>
            </w:r>
          </w:p>
        </w:tc>
        <w:tc>
          <w:tcPr>
            <w:tcW w:w="1155" w:type="dxa"/>
            <w:vAlign w:val="center"/>
            <w:hideMark/>
          </w:tcPr>
          <w:p w14:paraId="5CFDF420"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12.6</w:t>
            </w:r>
          </w:p>
        </w:tc>
        <w:tc>
          <w:tcPr>
            <w:tcW w:w="1155" w:type="dxa"/>
            <w:vAlign w:val="center"/>
            <w:hideMark/>
          </w:tcPr>
          <w:p w14:paraId="158B577B" w14:textId="682CEAEF"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019</w:t>
            </w:r>
          </w:p>
        </w:tc>
        <w:tc>
          <w:tcPr>
            <w:tcW w:w="1155" w:type="dxa"/>
            <w:vAlign w:val="center"/>
            <w:hideMark/>
          </w:tcPr>
          <w:p w14:paraId="1DA7B3B9"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953</w:t>
            </w:r>
          </w:p>
        </w:tc>
        <w:tc>
          <w:tcPr>
            <w:tcW w:w="1154" w:type="dxa"/>
            <w:vAlign w:val="center"/>
            <w:hideMark/>
          </w:tcPr>
          <w:p w14:paraId="45A66FDD" w14:textId="03A7DA11"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973</w:t>
            </w:r>
          </w:p>
        </w:tc>
        <w:tc>
          <w:tcPr>
            <w:tcW w:w="1155" w:type="dxa"/>
            <w:vAlign w:val="center"/>
            <w:hideMark/>
          </w:tcPr>
          <w:p w14:paraId="1D1E38D8"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64.9</w:t>
            </w:r>
          </w:p>
        </w:tc>
        <w:tc>
          <w:tcPr>
            <w:tcW w:w="1155" w:type="dxa"/>
            <w:vAlign w:val="center"/>
            <w:hideMark/>
          </w:tcPr>
          <w:p w14:paraId="2B777BDB"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64.1</w:t>
            </w:r>
          </w:p>
        </w:tc>
        <w:tc>
          <w:tcPr>
            <w:tcW w:w="1155" w:type="dxa"/>
            <w:vAlign w:val="center"/>
            <w:hideMark/>
          </w:tcPr>
          <w:p w14:paraId="21D73BAE"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64.5</w:t>
            </w:r>
          </w:p>
        </w:tc>
      </w:tr>
      <w:tr w:rsidR="00796C59" w:rsidRPr="003223EE" w14:paraId="30FC8442" w14:textId="77777777" w:rsidTr="00796C59">
        <w:tc>
          <w:tcPr>
            <w:tcW w:w="0" w:type="auto"/>
            <w:hideMark/>
          </w:tcPr>
          <w:p w14:paraId="38FC3DCA" w14:textId="26C36992" w:rsidR="00796C59" w:rsidRPr="003223EE" w:rsidRDefault="00796C59" w:rsidP="000B35AA">
            <w:pPr>
              <w:pStyle w:val="NormalWeb"/>
              <w:rPr>
                <w:rFonts w:asciiTheme="minorHAnsi" w:hAnsiTheme="minorHAnsi" w:cstheme="minorHAnsi"/>
              </w:rPr>
            </w:pPr>
            <w:r w:rsidRPr="003223EE">
              <w:rPr>
                <w:rFonts w:asciiTheme="minorHAnsi" w:hAnsiTheme="minorHAnsi" w:cstheme="minorHAnsi"/>
                <w:lang w:val="en-US"/>
              </w:rPr>
              <w:t>20—</w:t>
            </w:r>
            <w:r w:rsidR="000B35AA">
              <w:rPr>
                <w:rFonts w:asciiTheme="minorHAnsi" w:hAnsiTheme="minorHAnsi" w:cstheme="minorHAnsi"/>
                <w:lang w:val="en-US"/>
              </w:rPr>
              <w:t>29</w:t>
            </w:r>
          </w:p>
        </w:tc>
        <w:tc>
          <w:tcPr>
            <w:tcW w:w="1154" w:type="dxa"/>
            <w:vAlign w:val="center"/>
            <w:hideMark/>
          </w:tcPr>
          <w:p w14:paraId="3FDB3C75"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375</w:t>
            </w:r>
          </w:p>
        </w:tc>
        <w:tc>
          <w:tcPr>
            <w:tcW w:w="1155" w:type="dxa"/>
            <w:vAlign w:val="center"/>
            <w:hideMark/>
          </w:tcPr>
          <w:p w14:paraId="58AB38AF"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474</w:t>
            </w:r>
          </w:p>
        </w:tc>
        <w:tc>
          <w:tcPr>
            <w:tcW w:w="1155" w:type="dxa"/>
            <w:vAlign w:val="center"/>
            <w:hideMark/>
          </w:tcPr>
          <w:p w14:paraId="3BAA65CB"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852</w:t>
            </w:r>
          </w:p>
        </w:tc>
        <w:tc>
          <w:tcPr>
            <w:tcW w:w="1155" w:type="dxa"/>
            <w:vAlign w:val="center"/>
            <w:hideMark/>
          </w:tcPr>
          <w:p w14:paraId="130FFCE2"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20.1</w:t>
            </w:r>
          </w:p>
        </w:tc>
        <w:tc>
          <w:tcPr>
            <w:tcW w:w="1154" w:type="dxa"/>
            <w:vAlign w:val="center"/>
            <w:hideMark/>
          </w:tcPr>
          <w:p w14:paraId="67651F4C"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26.3</w:t>
            </w:r>
          </w:p>
        </w:tc>
        <w:tc>
          <w:tcPr>
            <w:tcW w:w="1155" w:type="dxa"/>
            <w:vAlign w:val="center"/>
            <w:hideMark/>
          </w:tcPr>
          <w:p w14:paraId="2D6EA577"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23.2</w:t>
            </w:r>
          </w:p>
        </w:tc>
        <w:tc>
          <w:tcPr>
            <w:tcW w:w="1155" w:type="dxa"/>
            <w:vAlign w:val="center"/>
            <w:hideMark/>
          </w:tcPr>
          <w:p w14:paraId="08CE8D91" w14:textId="1B9083DA"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w:t>
            </w:r>
            <w:r w:rsidR="000B35AA">
              <w:rPr>
                <w:rFonts w:asciiTheme="minorHAnsi" w:hAnsiTheme="minorHAnsi" w:cstheme="minorHAnsi"/>
              </w:rPr>
              <w:t>,</w:t>
            </w:r>
            <w:r w:rsidRPr="003223EE">
              <w:rPr>
                <w:rFonts w:asciiTheme="minorHAnsi" w:hAnsiTheme="minorHAnsi" w:cstheme="minorHAnsi"/>
              </w:rPr>
              <w:t>569</w:t>
            </w:r>
          </w:p>
        </w:tc>
        <w:tc>
          <w:tcPr>
            <w:tcW w:w="1155" w:type="dxa"/>
            <w:vAlign w:val="center"/>
            <w:hideMark/>
          </w:tcPr>
          <w:p w14:paraId="7719A427" w14:textId="187C98E8"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w:t>
            </w:r>
            <w:r w:rsidR="000B35AA">
              <w:rPr>
                <w:rFonts w:asciiTheme="minorHAnsi" w:hAnsiTheme="minorHAnsi" w:cstheme="minorHAnsi"/>
              </w:rPr>
              <w:t>,</w:t>
            </w:r>
            <w:r w:rsidRPr="003223EE">
              <w:rPr>
                <w:rFonts w:asciiTheme="minorHAnsi" w:hAnsiTheme="minorHAnsi" w:cstheme="minorHAnsi"/>
              </w:rPr>
              <w:t>790</w:t>
            </w:r>
          </w:p>
        </w:tc>
        <w:tc>
          <w:tcPr>
            <w:tcW w:w="1154" w:type="dxa"/>
            <w:vAlign w:val="center"/>
            <w:hideMark/>
          </w:tcPr>
          <w:p w14:paraId="2DBB5A04" w14:textId="40DDE45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5</w:t>
            </w:r>
            <w:r w:rsidR="000B35AA">
              <w:rPr>
                <w:rFonts w:asciiTheme="minorHAnsi" w:hAnsiTheme="minorHAnsi" w:cstheme="minorHAnsi"/>
              </w:rPr>
              <w:t>,</w:t>
            </w:r>
            <w:r w:rsidRPr="003223EE">
              <w:rPr>
                <w:rFonts w:asciiTheme="minorHAnsi" w:hAnsiTheme="minorHAnsi" w:cstheme="minorHAnsi"/>
              </w:rPr>
              <w:t>388</w:t>
            </w:r>
          </w:p>
        </w:tc>
        <w:tc>
          <w:tcPr>
            <w:tcW w:w="1155" w:type="dxa"/>
            <w:vAlign w:val="center"/>
            <w:hideMark/>
          </w:tcPr>
          <w:p w14:paraId="07790A06"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138.0</w:t>
            </w:r>
          </w:p>
        </w:tc>
        <w:tc>
          <w:tcPr>
            <w:tcW w:w="1155" w:type="dxa"/>
            <w:vAlign w:val="center"/>
            <w:hideMark/>
          </w:tcPr>
          <w:p w14:paraId="49822EFE"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154.6</w:t>
            </w:r>
          </w:p>
        </w:tc>
        <w:tc>
          <w:tcPr>
            <w:tcW w:w="1155" w:type="dxa"/>
            <w:vAlign w:val="center"/>
            <w:hideMark/>
          </w:tcPr>
          <w:p w14:paraId="2251A390"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146.9</w:t>
            </w:r>
          </w:p>
        </w:tc>
      </w:tr>
      <w:tr w:rsidR="00796C59" w:rsidRPr="003223EE" w14:paraId="00088390" w14:textId="77777777" w:rsidTr="00796C59">
        <w:trPr>
          <w:cnfStyle w:val="000000010000" w:firstRow="0" w:lastRow="0" w:firstColumn="0" w:lastColumn="0" w:oddVBand="0" w:evenVBand="0" w:oddHBand="0" w:evenHBand="1" w:firstRowFirstColumn="0" w:firstRowLastColumn="0" w:lastRowFirstColumn="0" w:lastRowLastColumn="0"/>
        </w:trPr>
        <w:tc>
          <w:tcPr>
            <w:tcW w:w="0" w:type="auto"/>
            <w:hideMark/>
          </w:tcPr>
          <w:p w14:paraId="626AB39D" w14:textId="2165313C" w:rsidR="00796C59" w:rsidRPr="003223EE" w:rsidRDefault="00796C59" w:rsidP="000B35AA">
            <w:pPr>
              <w:pStyle w:val="NormalWeb"/>
              <w:rPr>
                <w:rFonts w:asciiTheme="minorHAnsi" w:hAnsiTheme="minorHAnsi" w:cstheme="minorHAnsi"/>
              </w:rPr>
            </w:pPr>
            <w:r w:rsidRPr="003223EE">
              <w:rPr>
                <w:rFonts w:asciiTheme="minorHAnsi" w:hAnsiTheme="minorHAnsi" w:cstheme="minorHAnsi"/>
                <w:lang w:val="en-US"/>
              </w:rPr>
              <w:t>30—</w:t>
            </w:r>
            <w:r w:rsidR="000B35AA">
              <w:rPr>
                <w:rFonts w:asciiTheme="minorHAnsi" w:hAnsiTheme="minorHAnsi" w:cstheme="minorHAnsi"/>
                <w:lang w:val="en-US"/>
              </w:rPr>
              <w:t>39</w:t>
            </w:r>
          </w:p>
        </w:tc>
        <w:tc>
          <w:tcPr>
            <w:tcW w:w="1154" w:type="dxa"/>
            <w:vAlign w:val="center"/>
            <w:hideMark/>
          </w:tcPr>
          <w:p w14:paraId="32796D7F"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302</w:t>
            </w:r>
          </w:p>
        </w:tc>
        <w:tc>
          <w:tcPr>
            <w:tcW w:w="1155" w:type="dxa"/>
            <w:vAlign w:val="center"/>
            <w:hideMark/>
          </w:tcPr>
          <w:p w14:paraId="776A6458"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365</w:t>
            </w:r>
          </w:p>
        </w:tc>
        <w:tc>
          <w:tcPr>
            <w:tcW w:w="1155" w:type="dxa"/>
            <w:vAlign w:val="center"/>
            <w:hideMark/>
          </w:tcPr>
          <w:p w14:paraId="4798818C"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668</w:t>
            </w:r>
          </w:p>
        </w:tc>
        <w:tc>
          <w:tcPr>
            <w:tcW w:w="1155" w:type="dxa"/>
            <w:vAlign w:val="center"/>
            <w:hideMark/>
          </w:tcPr>
          <w:p w14:paraId="40AEC22F"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16.6</w:t>
            </w:r>
          </w:p>
        </w:tc>
        <w:tc>
          <w:tcPr>
            <w:tcW w:w="1154" w:type="dxa"/>
            <w:vAlign w:val="center"/>
            <w:hideMark/>
          </w:tcPr>
          <w:p w14:paraId="0B5C5540"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19.7</w:t>
            </w:r>
          </w:p>
        </w:tc>
        <w:tc>
          <w:tcPr>
            <w:tcW w:w="1155" w:type="dxa"/>
            <w:vAlign w:val="center"/>
            <w:hideMark/>
          </w:tcPr>
          <w:p w14:paraId="703F395C"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18.2</w:t>
            </w:r>
          </w:p>
        </w:tc>
        <w:tc>
          <w:tcPr>
            <w:tcW w:w="1155" w:type="dxa"/>
            <w:vAlign w:val="center"/>
            <w:hideMark/>
          </w:tcPr>
          <w:p w14:paraId="448878B4" w14:textId="5E14DF51"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w:t>
            </w:r>
            <w:r w:rsidR="000B35AA">
              <w:rPr>
                <w:rFonts w:asciiTheme="minorHAnsi" w:hAnsiTheme="minorHAnsi" w:cstheme="minorHAnsi"/>
              </w:rPr>
              <w:t>,</w:t>
            </w:r>
            <w:r w:rsidRPr="003223EE">
              <w:rPr>
                <w:rFonts w:asciiTheme="minorHAnsi" w:hAnsiTheme="minorHAnsi" w:cstheme="minorHAnsi"/>
              </w:rPr>
              <w:t>077</w:t>
            </w:r>
          </w:p>
        </w:tc>
        <w:tc>
          <w:tcPr>
            <w:tcW w:w="1155" w:type="dxa"/>
            <w:vAlign w:val="center"/>
            <w:hideMark/>
          </w:tcPr>
          <w:p w14:paraId="428B7C04" w14:textId="333C1885"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w:t>
            </w:r>
            <w:r w:rsidR="000B35AA">
              <w:rPr>
                <w:rFonts w:asciiTheme="minorHAnsi" w:hAnsiTheme="minorHAnsi" w:cstheme="minorHAnsi"/>
              </w:rPr>
              <w:t>,</w:t>
            </w:r>
            <w:r w:rsidRPr="003223EE">
              <w:rPr>
                <w:rFonts w:asciiTheme="minorHAnsi" w:hAnsiTheme="minorHAnsi" w:cstheme="minorHAnsi"/>
              </w:rPr>
              <w:t>008</w:t>
            </w:r>
          </w:p>
        </w:tc>
        <w:tc>
          <w:tcPr>
            <w:tcW w:w="1154" w:type="dxa"/>
            <w:vAlign w:val="center"/>
            <w:hideMark/>
          </w:tcPr>
          <w:p w14:paraId="7C216B22" w14:textId="3C7611CA"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4</w:t>
            </w:r>
            <w:r w:rsidR="000B35AA">
              <w:rPr>
                <w:rFonts w:asciiTheme="minorHAnsi" w:hAnsiTheme="minorHAnsi" w:cstheme="minorHAnsi"/>
              </w:rPr>
              <w:t>,</w:t>
            </w:r>
            <w:r w:rsidRPr="003223EE">
              <w:rPr>
                <w:rFonts w:asciiTheme="minorHAnsi" w:hAnsiTheme="minorHAnsi" w:cstheme="minorHAnsi"/>
              </w:rPr>
              <w:t>106</w:t>
            </w:r>
          </w:p>
        </w:tc>
        <w:tc>
          <w:tcPr>
            <w:tcW w:w="1155" w:type="dxa"/>
            <w:vAlign w:val="center"/>
            <w:hideMark/>
          </w:tcPr>
          <w:p w14:paraId="2917F4B5"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114.2</w:t>
            </w:r>
          </w:p>
        </w:tc>
        <w:tc>
          <w:tcPr>
            <w:tcW w:w="1155" w:type="dxa"/>
            <w:vAlign w:val="center"/>
            <w:hideMark/>
          </w:tcPr>
          <w:p w14:paraId="17139940"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108.2</w:t>
            </w:r>
          </w:p>
        </w:tc>
        <w:tc>
          <w:tcPr>
            <w:tcW w:w="1155" w:type="dxa"/>
            <w:vAlign w:val="center"/>
            <w:hideMark/>
          </w:tcPr>
          <w:p w14:paraId="65EAE964"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111.8</w:t>
            </w:r>
          </w:p>
        </w:tc>
      </w:tr>
      <w:tr w:rsidR="00796C59" w:rsidRPr="003223EE" w14:paraId="7B9DE489" w14:textId="77777777" w:rsidTr="00796C59">
        <w:tc>
          <w:tcPr>
            <w:tcW w:w="0" w:type="auto"/>
            <w:hideMark/>
          </w:tcPr>
          <w:p w14:paraId="61ABE3CF" w14:textId="7A157A7F" w:rsidR="00796C59" w:rsidRPr="003223EE" w:rsidRDefault="00796C59" w:rsidP="000B35AA">
            <w:pPr>
              <w:pStyle w:val="NormalWeb"/>
              <w:rPr>
                <w:rFonts w:asciiTheme="minorHAnsi" w:hAnsiTheme="minorHAnsi" w:cstheme="minorHAnsi"/>
              </w:rPr>
            </w:pPr>
            <w:r w:rsidRPr="003223EE">
              <w:rPr>
                <w:rFonts w:asciiTheme="minorHAnsi" w:hAnsiTheme="minorHAnsi" w:cstheme="minorHAnsi"/>
                <w:lang w:val="en-US"/>
              </w:rPr>
              <w:t>40—</w:t>
            </w:r>
            <w:r w:rsidR="000B35AA">
              <w:rPr>
                <w:rFonts w:asciiTheme="minorHAnsi" w:hAnsiTheme="minorHAnsi" w:cstheme="minorHAnsi"/>
                <w:lang w:val="en-US"/>
              </w:rPr>
              <w:t>49</w:t>
            </w:r>
          </w:p>
        </w:tc>
        <w:tc>
          <w:tcPr>
            <w:tcW w:w="1154" w:type="dxa"/>
            <w:vAlign w:val="center"/>
            <w:hideMark/>
          </w:tcPr>
          <w:p w14:paraId="1A4F5465"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201</w:t>
            </w:r>
          </w:p>
        </w:tc>
        <w:tc>
          <w:tcPr>
            <w:tcW w:w="1155" w:type="dxa"/>
            <w:vAlign w:val="center"/>
            <w:hideMark/>
          </w:tcPr>
          <w:p w14:paraId="70655FC9"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236</w:t>
            </w:r>
          </w:p>
        </w:tc>
        <w:tc>
          <w:tcPr>
            <w:tcW w:w="1155" w:type="dxa"/>
            <w:vAlign w:val="center"/>
            <w:hideMark/>
          </w:tcPr>
          <w:p w14:paraId="7C188B97"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439</w:t>
            </w:r>
          </w:p>
        </w:tc>
        <w:tc>
          <w:tcPr>
            <w:tcW w:w="1155" w:type="dxa"/>
            <w:vAlign w:val="center"/>
            <w:hideMark/>
          </w:tcPr>
          <w:p w14:paraId="54B01D82"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12.4</w:t>
            </w:r>
          </w:p>
        </w:tc>
        <w:tc>
          <w:tcPr>
            <w:tcW w:w="1154" w:type="dxa"/>
            <w:vAlign w:val="center"/>
            <w:hideMark/>
          </w:tcPr>
          <w:p w14:paraId="0368F599"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14.3</w:t>
            </w:r>
          </w:p>
        </w:tc>
        <w:tc>
          <w:tcPr>
            <w:tcW w:w="1155" w:type="dxa"/>
            <w:vAlign w:val="center"/>
            <w:hideMark/>
          </w:tcPr>
          <w:p w14:paraId="6CA29B3D"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13.4</w:t>
            </w:r>
          </w:p>
        </w:tc>
        <w:tc>
          <w:tcPr>
            <w:tcW w:w="1155" w:type="dxa"/>
            <w:vAlign w:val="center"/>
            <w:hideMark/>
          </w:tcPr>
          <w:p w14:paraId="352A56E4" w14:textId="720F59FD"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547</w:t>
            </w:r>
          </w:p>
        </w:tc>
        <w:tc>
          <w:tcPr>
            <w:tcW w:w="1155" w:type="dxa"/>
            <w:vAlign w:val="center"/>
            <w:hideMark/>
          </w:tcPr>
          <w:p w14:paraId="345439AD" w14:textId="4AA76408"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488</w:t>
            </w:r>
          </w:p>
        </w:tc>
        <w:tc>
          <w:tcPr>
            <w:tcW w:w="1154" w:type="dxa"/>
            <w:vAlign w:val="center"/>
            <w:hideMark/>
          </w:tcPr>
          <w:p w14:paraId="1E357B50" w14:textId="395F8E72"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3</w:t>
            </w:r>
            <w:r w:rsidR="000B35AA">
              <w:rPr>
                <w:rFonts w:asciiTheme="minorHAnsi" w:hAnsiTheme="minorHAnsi" w:cstheme="minorHAnsi"/>
              </w:rPr>
              <w:t>,</w:t>
            </w:r>
            <w:r w:rsidRPr="003223EE">
              <w:rPr>
                <w:rFonts w:asciiTheme="minorHAnsi" w:hAnsiTheme="minorHAnsi" w:cstheme="minorHAnsi"/>
              </w:rPr>
              <w:t>067</w:t>
            </w:r>
          </w:p>
        </w:tc>
        <w:tc>
          <w:tcPr>
            <w:tcW w:w="1155" w:type="dxa"/>
            <w:vAlign w:val="center"/>
            <w:hideMark/>
          </w:tcPr>
          <w:p w14:paraId="04C88143"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95.6</w:t>
            </w:r>
          </w:p>
        </w:tc>
        <w:tc>
          <w:tcPr>
            <w:tcW w:w="1155" w:type="dxa"/>
            <w:vAlign w:val="center"/>
            <w:hideMark/>
          </w:tcPr>
          <w:p w14:paraId="1B13889C"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89.9</w:t>
            </w:r>
          </w:p>
        </w:tc>
        <w:tc>
          <w:tcPr>
            <w:tcW w:w="1155" w:type="dxa"/>
            <w:vAlign w:val="center"/>
            <w:hideMark/>
          </w:tcPr>
          <w:p w14:paraId="576C9506"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93.7</w:t>
            </w:r>
          </w:p>
        </w:tc>
      </w:tr>
      <w:tr w:rsidR="00796C59" w:rsidRPr="003223EE" w14:paraId="27AEC6DB" w14:textId="77777777" w:rsidTr="00796C59">
        <w:trPr>
          <w:cnfStyle w:val="000000010000" w:firstRow="0" w:lastRow="0" w:firstColumn="0" w:lastColumn="0" w:oddVBand="0" w:evenVBand="0" w:oddHBand="0" w:evenHBand="1" w:firstRowFirstColumn="0" w:firstRowLastColumn="0" w:lastRowFirstColumn="0" w:lastRowLastColumn="0"/>
        </w:trPr>
        <w:tc>
          <w:tcPr>
            <w:tcW w:w="0" w:type="auto"/>
            <w:hideMark/>
          </w:tcPr>
          <w:p w14:paraId="73556868" w14:textId="3AD9880B" w:rsidR="00796C59" w:rsidRPr="003223EE" w:rsidRDefault="00796C59" w:rsidP="000B35AA">
            <w:pPr>
              <w:pStyle w:val="NormalWeb"/>
              <w:rPr>
                <w:rFonts w:asciiTheme="minorHAnsi" w:hAnsiTheme="minorHAnsi" w:cstheme="minorHAnsi"/>
              </w:rPr>
            </w:pPr>
            <w:r w:rsidRPr="003223EE">
              <w:rPr>
                <w:rFonts w:asciiTheme="minorHAnsi" w:hAnsiTheme="minorHAnsi" w:cstheme="minorHAnsi"/>
                <w:lang w:val="en-US"/>
              </w:rPr>
              <w:t>50—</w:t>
            </w:r>
            <w:r w:rsidR="000B35AA">
              <w:rPr>
                <w:rFonts w:asciiTheme="minorHAnsi" w:hAnsiTheme="minorHAnsi" w:cstheme="minorHAnsi"/>
                <w:lang w:val="en-US"/>
              </w:rPr>
              <w:t>59</w:t>
            </w:r>
          </w:p>
        </w:tc>
        <w:tc>
          <w:tcPr>
            <w:tcW w:w="1154" w:type="dxa"/>
            <w:vAlign w:val="center"/>
            <w:hideMark/>
          </w:tcPr>
          <w:p w14:paraId="2E935BBD"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158</w:t>
            </w:r>
          </w:p>
        </w:tc>
        <w:tc>
          <w:tcPr>
            <w:tcW w:w="1155" w:type="dxa"/>
            <w:vAlign w:val="center"/>
            <w:hideMark/>
          </w:tcPr>
          <w:p w14:paraId="6633222C"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232</w:t>
            </w:r>
          </w:p>
        </w:tc>
        <w:tc>
          <w:tcPr>
            <w:tcW w:w="1155" w:type="dxa"/>
            <w:vAlign w:val="center"/>
            <w:hideMark/>
          </w:tcPr>
          <w:p w14:paraId="52B2DAE2"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390</w:t>
            </w:r>
          </w:p>
        </w:tc>
        <w:tc>
          <w:tcPr>
            <w:tcW w:w="1155" w:type="dxa"/>
            <w:vAlign w:val="center"/>
            <w:hideMark/>
          </w:tcPr>
          <w:p w14:paraId="3283F555"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10.5</w:t>
            </w:r>
          </w:p>
        </w:tc>
        <w:tc>
          <w:tcPr>
            <w:tcW w:w="1154" w:type="dxa"/>
            <w:vAlign w:val="center"/>
            <w:hideMark/>
          </w:tcPr>
          <w:p w14:paraId="0B678092"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14.8</w:t>
            </w:r>
          </w:p>
        </w:tc>
        <w:tc>
          <w:tcPr>
            <w:tcW w:w="1155" w:type="dxa"/>
            <w:vAlign w:val="center"/>
            <w:hideMark/>
          </w:tcPr>
          <w:p w14:paraId="1CBC077B"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12.7</w:t>
            </w:r>
          </w:p>
        </w:tc>
        <w:tc>
          <w:tcPr>
            <w:tcW w:w="1155" w:type="dxa"/>
            <w:vAlign w:val="center"/>
            <w:hideMark/>
          </w:tcPr>
          <w:p w14:paraId="7477B420" w14:textId="7FFD45CD"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362</w:t>
            </w:r>
          </w:p>
        </w:tc>
        <w:tc>
          <w:tcPr>
            <w:tcW w:w="1155" w:type="dxa"/>
            <w:vAlign w:val="center"/>
            <w:hideMark/>
          </w:tcPr>
          <w:p w14:paraId="2F46238A" w14:textId="30F486F3"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492</w:t>
            </w:r>
          </w:p>
        </w:tc>
        <w:tc>
          <w:tcPr>
            <w:tcW w:w="1154" w:type="dxa"/>
            <w:vAlign w:val="center"/>
            <w:hideMark/>
          </w:tcPr>
          <w:p w14:paraId="30CE3EF9" w14:textId="480BF47D"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w:t>
            </w:r>
            <w:r w:rsidR="000B35AA">
              <w:rPr>
                <w:rFonts w:asciiTheme="minorHAnsi" w:hAnsiTheme="minorHAnsi" w:cstheme="minorHAnsi"/>
              </w:rPr>
              <w:t>,</w:t>
            </w:r>
            <w:r w:rsidRPr="003223EE">
              <w:rPr>
                <w:rFonts w:asciiTheme="minorHAnsi" w:hAnsiTheme="minorHAnsi" w:cstheme="minorHAnsi"/>
              </w:rPr>
              <w:t>864</w:t>
            </w:r>
          </w:p>
        </w:tc>
        <w:tc>
          <w:tcPr>
            <w:tcW w:w="1155" w:type="dxa"/>
            <w:vAlign w:val="center"/>
            <w:hideMark/>
          </w:tcPr>
          <w:p w14:paraId="7352A820"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90.3</w:t>
            </w:r>
          </w:p>
        </w:tc>
        <w:tc>
          <w:tcPr>
            <w:tcW w:w="1155" w:type="dxa"/>
            <w:vAlign w:val="center"/>
            <w:hideMark/>
          </w:tcPr>
          <w:p w14:paraId="4508D361"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94.9</w:t>
            </w:r>
          </w:p>
        </w:tc>
        <w:tc>
          <w:tcPr>
            <w:tcW w:w="1155" w:type="dxa"/>
            <w:vAlign w:val="center"/>
            <w:hideMark/>
          </w:tcPr>
          <w:p w14:paraId="7EA1FE89"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93.0</w:t>
            </w:r>
          </w:p>
        </w:tc>
      </w:tr>
      <w:tr w:rsidR="00796C59" w:rsidRPr="003223EE" w14:paraId="1FBE2DF0" w14:textId="77777777" w:rsidTr="00796C59">
        <w:tc>
          <w:tcPr>
            <w:tcW w:w="0" w:type="auto"/>
            <w:hideMark/>
          </w:tcPr>
          <w:p w14:paraId="770F8769" w14:textId="3C8032AB" w:rsidR="00796C59" w:rsidRPr="003223EE" w:rsidRDefault="00796C59" w:rsidP="000B35AA">
            <w:pPr>
              <w:pStyle w:val="NormalWeb"/>
              <w:rPr>
                <w:rFonts w:asciiTheme="minorHAnsi" w:hAnsiTheme="minorHAnsi" w:cstheme="minorHAnsi"/>
              </w:rPr>
            </w:pPr>
            <w:r w:rsidRPr="003223EE">
              <w:rPr>
                <w:rFonts w:asciiTheme="minorHAnsi" w:hAnsiTheme="minorHAnsi" w:cstheme="minorHAnsi"/>
                <w:lang w:val="en-US"/>
              </w:rPr>
              <w:t>60—</w:t>
            </w:r>
            <w:r w:rsidR="000B35AA">
              <w:rPr>
                <w:rFonts w:asciiTheme="minorHAnsi" w:hAnsiTheme="minorHAnsi" w:cstheme="minorHAnsi"/>
                <w:lang w:val="en-US"/>
              </w:rPr>
              <w:t>69</w:t>
            </w:r>
          </w:p>
        </w:tc>
        <w:tc>
          <w:tcPr>
            <w:tcW w:w="1154" w:type="dxa"/>
            <w:vAlign w:val="center"/>
            <w:hideMark/>
          </w:tcPr>
          <w:p w14:paraId="29CACEC4"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102</w:t>
            </w:r>
          </w:p>
        </w:tc>
        <w:tc>
          <w:tcPr>
            <w:tcW w:w="1155" w:type="dxa"/>
            <w:vAlign w:val="center"/>
            <w:hideMark/>
          </w:tcPr>
          <w:p w14:paraId="646B0659"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101</w:t>
            </w:r>
          </w:p>
        </w:tc>
        <w:tc>
          <w:tcPr>
            <w:tcW w:w="1155" w:type="dxa"/>
            <w:vAlign w:val="center"/>
            <w:hideMark/>
          </w:tcPr>
          <w:p w14:paraId="78DF79AB"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204</w:t>
            </w:r>
          </w:p>
        </w:tc>
        <w:tc>
          <w:tcPr>
            <w:tcW w:w="1155" w:type="dxa"/>
            <w:vAlign w:val="center"/>
            <w:hideMark/>
          </w:tcPr>
          <w:p w14:paraId="304B8032"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8.0</w:t>
            </w:r>
          </w:p>
        </w:tc>
        <w:tc>
          <w:tcPr>
            <w:tcW w:w="1154" w:type="dxa"/>
            <w:vAlign w:val="center"/>
            <w:hideMark/>
          </w:tcPr>
          <w:p w14:paraId="5B81C75E"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7.5</w:t>
            </w:r>
          </w:p>
        </w:tc>
        <w:tc>
          <w:tcPr>
            <w:tcW w:w="1155" w:type="dxa"/>
            <w:vAlign w:val="center"/>
            <w:hideMark/>
          </w:tcPr>
          <w:p w14:paraId="1CCA4CBF"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7.8</w:t>
            </w:r>
          </w:p>
        </w:tc>
        <w:tc>
          <w:tcPr>
            <w:tcW w:w="1155" w:type="dxa"/>
            <w:vAlign w:val="center"/>
            <w:hideMark/>
          </w:tcPr>
          <w:p w14:paraId="17EF0EEF" w14:textId="1824D77E"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037</w:t>
            </w:r>
          </w:p>
        </w:tc>
        <w:tc>
          <w:tcPr>
            <w:tcW w:w="1155" w:type="dxa"/>
            <w:vAlign w:val="center"/>
            <w:hideMark/>
          </w:tcPr>
          <w:p w14:paraId="491CAE9B" w14:textId="004EDCD1"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074</w:t>
            </w:r>
          </w:p>
        </w:tc>
        <w:tc>
          <w:tcPr>
            <w:tcW w:w="1154" w:type="dxa"/>
            <w:vAlign w:val="center"/>
            <w:hideMark/>
          </w:tcPr>
          <w:p w14:paraId="6C634A98" w14:textId="2312DA10"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w:t>
            </w:r>
            <w:r w:rsidR="000B35AA">
              <w:rPr>
                <w:rFonts w:asciiTheme="minorHAnsi" w:hAnsiTheme="minorHAnsi" w:cstheme="minorHAnsi"/>
              </w:rPr>
              <w:t>,</w:t>
            </w:r>
            <w:r w:rsidRPr="003223EE">
              <w:rPr>
                <w:rFonts w:asciiTheme="minorHAnsi" w:hAnsiTheme="minorHAnsi" w:cstheme="minorHAnsi"/>
              </w:rPr>
              <w:t>114</w:t>
            </w:r>
          </w:p>
        </w:tc>
        <w:tc>
          <w:tcPr>
            <w:tcW w:w="1155" w:type="dxa"/>
            <w:vAlign w:val="center"/>
            <w:hideMark/>
          </w:tcPr>
          <w:p w14:paraId="3831A4B4"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81.6</w:t>
            </w:r>
          </w:p>
        </w:tc>
        <w:tc>
          <w:tcPr>
            <w:tcW w:w="1155" w:type="dxa"/>
            <w:vAlign w:val="center"/>
            <w:hideMark/>
          </w:tcPr>
          <w:p w14:paraId="63884E0D"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80.0</w:t>
            </w:r>
          </w:p>
        </w:tc>
        <w:tc>
          <w:tcPr>
            <w:tcW w:w="1155" w:type="dxa"/>
            <w:vAlign w:val="center"/>
            <w:hideMark/>
          </w:tcPr>
          <w:p w14:paraId="7F273F8E"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80.9</w:t>
            </w:r>
          </w:p>
        </w:tc>
      </w:tr>
      <w:tr w:rsidR="00796C59" w:rsidRPr="003223EE" w14:paraId="529EF074" w14:textId="77777777" w:rsidTr="00796C59">
        <w:trPr>
          <w:cnfStyle w:val="000000010000" w:firstRow="0" w:lastRow="0" w:firstColumn="0" w:lastColumn="0" w:oddVBand="0" w:evenVBand="0" w:oddHBand="0" w:evenHBand="1" w:firstRowFirstColumn="0" w:firstRowLastColumn="0" w:lastRowFirstColumn="0" w:lastRowLastColumn="0"/>
        </w:trPr>
        <w:tc>
          <w:tcPr>
            <w:tcW w:w="0" w:type="auto"/>
            <w:hideMark/>
          </w:tcPr>
          <w:p w14:paraId="5DF513B2" w14:textId="0133601F" w:rsidR="00796C59" w:rsidRPr="003223EE" w:rsidRDefault="00796C59" w:rsidP="000B35AA">
            <w:pPr>
              <w:pStyle w:val="NormalWeb"/>
              <w:rPr>
                <w:rFonts w:asciiTheme="minorHAnsi" w:hAnsiTheme="minorHAnsi" w:cstheme="minorHAnsi"/>
              </w:rPr>
            </w:pPr>
            <w:r w:rsidRPr="003223EE">
              <w:rPr>
                <w:rFonts w:asciiTheme="minorHAnsi" w:hAnsiTheme="minorHAnsi" w:cstheme="minorHAnsi"/>
                <w:lang w:val="en-US"/>
              </w:rPr>
              <w:t>70—</w:t>
            </w:r>
            <w:r w:rsidR="000B35AA">
              <w:rPr>
                <w:rFonts w:asciiTheme="minorHAnsi" w:hAnsiTheme="minorHAnsi" w:cstheme="minorHAnsi"/>
                <w:lang w:val="en-US"/>
              </w:rPr>
              <w:t>79</w:t>
            </w:r>
          </w:p>
        </w:tc>
        <w:tc>
          <w:tcPr>
            <w:tcW w:w="1154" w:type="dxa"/>
            <w:vAlign w:val="center"/>
            <w:hideMark/>
          </w:tcPr>
          <w:p w14:paraId="1E0186C2"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97</w:t>
            </w:r>
          </w:p>
        </w:tc>
        <w:tc>
          <w:tcPr>
            <w:tcW w:w="1155" w:type="dxa"/>
            <w:vAlign w:val="center"/>
            <w:hideMark/>
          </w:tcPr>
          <w:p w14:paraId="3B9B73F4"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80</w:t>
            </w:r>
          </w:p>
        </w:tc>
        <w:tc>
          <w:tcPr>
            <w:tcW w:w="1155" w:type="dxa"/>
            <w:vAlign w:val="center"/>
            <w:hideMark/>
          </w:tcPr>
          <w:p w14:paraId="55BC2950"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179</w:t>
            </w:r>
          </w:p>
        </w:tc>
        <w:tc>
          <w:tcPr>
            <w:tcW w:w="1155" w:type="dxa"/>
            <w:vAlign w:val="center"/>
            <w:hideMark/>
          </w:tcPr>
          <w:p w14:paraId="2E89BB74"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11.1</w:t>
            </w:r>
          </w:p>
        </w:tc>
        <w:tc>
          <w:tcPr>
            <w:tcW w:w="1154" w:type="dxa"/>
            <w:vAlign w:val="center"/>
            <w:hideMark/>
          </w:tcPr>
          <w:p w14:paraId="74E91F5D"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8.7</w:t>
            </w:r>
          </w:p>
        </w:tc>
        <w:tc>
          <w:tcPr>
            <w:tcW w:w="1155" w:type="dxa"/>
            <w:vAlign w:val="center"/>
            <w:hideMark/>
          </w:tcPr>
          <w:p w14:paraId="2E6524E7"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10.0</w:t>
            </w:r>
          </w:p>
        </w:tc>
        <w:tc>
          <w:tcPr>
            <w:tcW w:w="1155" w:type="dxa"/>
            <w:vAlign w:val="center"/>
            <w:hideMark/>
          </w:tcPr>
          <w:p w14:paraId="79457DF8"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755</w:t>
            </w:r>
          </w:p>
        </w:tc>
        <w:tc>
          <w:tcPr>
            <w:tcW w:w="1155" w:type="dxa"/>
            <w:vAlign w:val="center"/>
            <w:hideMark/>
          </w:tcPr>
          <w:p w14:paraId="79FE7AF1"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655</w:t>
            </w:r>
          </w:p>
        </w:tc>
        <w:tc>
          <w:tcPr>
            <w:tcW w:w="1154" w:type="dxa"/>
            <w:vAlign w:val="center"/>
            <w:hideMark/>
          </w:tcPr>
          <w:p w14:paraId="32BF6677" w14:textId="79891426"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412</w:t>
            </w:r>
          </w:p>
        </w:tc>
        <w:tc>
          <w:tcPr>
            <w:tcW w:w="1155" w:type="dxa"/>
            <w:vAlign w:val="center"/>
            <w:hideMark/>
          </w:tcPr>
          <w:p w14:paraId="73CAA0E5"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86.8</w:t>
            </w:r>
          </w:p>
        </w:tc>
        <w:tc>
          <w:tcPr>
            <w:tcW w:w="1155" w:type="dxa"/>
            <w:vAlign w:val="center"/>
            <w:hideMark/>
          </w:tcPr>
          <w:p w14:paraId="3F8B5DD6"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71.0</w:t>
            </w:r>
          </w:p>
        </w:tc>
        <w:tc>
          <w:tcPr>
            <w:tcW w:w="1155" w:type="dxa"/>
            <w:vAlign w:val="center"/>
            <w:hideMark/>
          </w:tcPr>
          <w:p w14:paraId="609BC344"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78.8</w:t>
            </w:r>
          </w:p>
        </w:tc>
      </w:tr>
      <w:tr w:rsidR="00796C59" w:rsidRPr="003223EE" w14:paraId="43ADD2E5" w14:textId="77777777" w:rsidTr="00796C59">
        <w:tc>
          <w:tcPr>
            <w:tcW w:w="0" w:type="auto"/>
            <w:hideMark/>
          </w:tcPr>
          <w:p w14:paraId="367B696F" w14:textId="31060578" w:rsidR="00796C59" w:rsidRPr="003223EE" w:rsidRDefault="00796C59" w:rsidP="000B35AA">
            <w:pPr>
              <w:pStyle w:val="NormalWeb"/>
              <w:rPr>
                <w:rFonts w:asciiTheme="minorHAnsi" w:hAnsiTheme="minorHAnsi" w:cstheme="minorHAnsi"/>
              </w:rPr>
            </w:pPr>
            <w:r w:rsidRPr="003223EE">
              <w:rPr>
                <w:rFonts w:asciiTheme="minorHAnsi" w:hAnsiTheme="minorHAnsi" w:cstheme="minorHAnsi"/>
                <w:lang w:val="en-US"/>
              </w:rPr>
              <w:t>80—</w:t>
            </w:r>
            <w:r w:rsidR="000B35AA">
              <w:rPr>
                <w:rFonts w:asciiTheme="minorHAnsi" w:hAnsiTheme="minorHAnsi" w:cstheme="minorHAnsi"/>
                <w:lang w:val="en-US"/>
              </w:rPr>
              <w:t>89</w:t>
            </w:r>
          </w:p>
        </w:tc>
        <w:tc>
          <w:tcPr>
            <w:tcW w:w="1154" w:type="dxa"/>
            <w:vAlign w:val="center"/>
            <w:hideMark/>
          </w:tcPr>
          <w:p w14:paraId="37889241"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75</w:t>
            </w:r>
          </w:p>
        </w:tc>
        <w:tc>
          <w:tcPr>
            <w:tcW w:w="1155" w:type="dxa"/>
            <w:vAlign w:val="center"/>
            <w:hideMark/>
          </w:tcPr>
          <w:p w14:paraId="0D5F93AB"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140</w:t>
            </w:r>
          </w:p>
        </w:tc>
        <w:tc>
          <w:tcPr>
            <w:tcW w:w="1155" w:type="dxa"/>
            <w:vAlign w:val="center"/>
            <w:hideMark/>
          </w:tcPr>
          <w:p w14:paraId="26B0C89C"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215</w:t>
            </w:r>
          </w:p>
        </w:tc>
        <w:tc>
          <w:tcPr>
            <w:tcW w:w="1155" w:type="dxa"/>
            <w:vAlign w:val="center"/>
            <w:hideMark/>
          </w:tcPr>
          <w:p w14:paraId="670CD911"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21.0</w:t>
            </w:r>
          </w:p>
        </w:tc>
        <w:tc>
          <w:tcPr>
            <w:tcW w:w="1154" w:type="dxa"/>
            <w:vAlign w:val="center"/>
            <w:hideMark/>
          </w:tcPr>
          <w:p w14:paraId="72F05D8E"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30.4</w:t>
            </w:r>
          </w:p>
        </w:tc>
        <w:tc>
          <w:tcPr>
            <w:tcW w:w="1155" w:type="dxa"/>
            <w:vAlign w:val="center"/>
            <w:hideMark/>
          </w:tcPr>
          <w:p w14:paraId="0A41FE82"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26.3</w:t>
            </w:r>
          </w:p>
        </w:tc>
        <w:tc>
          <w:tcPr>
            <w:tcW w:w="1155" w:type="dxa"/>
            <w:vAlign w:val="center"/>
            <w:hideMark/>
          </w:tcPr>
          <w:p w14:paraId="20CD86B0"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415</w:t>
            </w:r>
          </w:p>
        </w:tc>
        <w:tc>
          <w:tcPr>
            <w:tcW w:w="1155" w:type="dxa"/>
            <w:vAlign w:val="center"/>
            <w:hideMark/>
          </w:tcPr>
          <w:p w14:paraId="07B4D007"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635</w:t>
            </w:r>
          </w:p>
        </w:tc>
        <w:tc>
          <w:tcPr>
            <w:tcW w:w="1154" w:type="dxa"/>
            <w:vAlign w:val="center"/>
            <w:hideMark/>
          </w:tcPr>
          <w:p w14:paraId="3E9D57F6" w14:textId="4674ED13"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w:t>
            </w:r>
            <w:r w:rsidR="000B35AA">
              <w:rPr>
                <w:rFonts w:asciiTheme="minorHAnsi" w:hAnsiTheme="minorHAnsi" w:cstheme="minorHAnsi"/>
              </w:rPr>
              <w:t>,</w:t>
            </w:r>
            <w:r w:rsidRPr="003223EE">
              <w:rPr>
                <w:rFonts w:asciiTheme="minorHAnsi" w:hAnsiTheme="minorHAnsi" w:cstheme="minorHAnsi"/>
              </w:rPr>
              <w:t>050</w:t>
            </w:r>
          </w:p>
        </w:tc>
        <w:tc>
          <w:tcPr>
            <w:tcW w:w="1155" w:type="dxa"/>
            <w:vAlign w:val="center"/>
            <w:hideMark/>
          </w:tcPr>
          <w:p w14:paraId="354453C8"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116.1</w:t>
            </w:r>
          </w:p>
        </w:tc>
        <w:tc>
          <w:tcPr>
            <w:tcW w:w="1155" w:type="dxa"/>
            <w:vAlign w:val="center"/>
            <w:hideMark/>
          </w:tcPr>
          <w:p w14:paraId="194EEA36"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137.7</w:t>
            </w:r>
          </w:p>
        </w:tc>
        <w:tc>
          <w:tcPr>
            <w:tcW w:w="1155" w:type="dxa"/>
            <w:vAlign w:val="center"/>
            <w:hideMark/>
          </w:tcPr>
          <w:p w14:paraId="037BE932" w14:textId="77777777" w:rsidR="00796C59" w:rsidRPr="003223EE" w:rsidRDefault="00796C59" w:rsidP="00796C59">
            <w:pPr>
              <w:pStyle w:val="NormalWeb"/>
              <w:jc w:val="center"/>
              <w:rPr>
                <w:rFonts w:asciiTheme="minorHAnsi" w:hAnsiTheme="minorHAnsi" w:cstheme="minorHAnsi"/>
              </w:rPr>
            </w:pPr>
            <w:r w:rsidRPr="003223EE">
              <w:rPr>
                <w:rFonts w:asciiTheme="minorHAnsi" w:hAnsiTheme="minorHAnsi" w:cstheme="minorHAnsi"/>
              </w:rPr>
              <w:t>128.3</w:t>
            </w:r>
          </w:p>
        </w:tc>
      </w:tr>
      <w:tr w:rsidR="00344377" w:rsidRPr="003223EE" w14:paraId="0CE35CD1" w14:textId="77777777" w:rsidTr="004B33D9">
        <w:trPr>
          <w:cnfStyle w:val="000000010000" w:firstRow="0" w:lastRow="0" w:firstColumn="0" w:lastColumn="0" w:oddVBand="0" w:evenVBand="0" w:oddHBand="0" w:evenHBand="1" w:firstRowFirstColumn="0" w:firstRowLastColumn="0" w:lastRowFirstColumn="0" w:lastRowLastColumn="0"/>
        </w:trPr>
        <w:tc>
          <w:tcPr>
            <w:tcW w:w="0" w:type="auto"/>
          </w:tcPr>
          <w:p w14:paraId="7E8069B6" w14:textId="77777777" w:rsidR="00344377" w:rsidRPr="003223EE" w:rsidRDefault="00344377" w:rsidP="00344377">
            <w:pPr>
              <w:pStyle w:val="NormalWeb"/>
              <w:rPr>
                <w:rFonts w:asciiTheme="minorHAnsi" w:hAnsiTheme="minorHAnsi" w:cstheme="minorHAnsi"/>
                <w:lang w:val="en-US"/>
              </w:rPr>
            </w:pPr>
            <w:r w:rsidRPr="003223EE">
              <w:rPr>
                <w:rFonts w:asciiTheme="minorHAnsi" w:hAnsiTheme="minorHAnsi" w:cstheme="minorHAnsi"/>
                <w:lang w:val="en-US"/>
              </w:rPr>
              <w:t>90 +</w:t>
            </w:r>
          </w:p>
        </w:tc>
        <w:tc>
          <w:tcPr>
            <w:tcW w:w="1154" w:type="dxa"/>
          </w:tcPr>
          <w:p w14:paraId="1F64791C"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56</w:t>
            </w:r>
          </w:p>
        </w:tc>
        <w:tc>
          <w:tcPr>
            <w:tcW w:w="1155" w:type="dxa"/>
          </w:tcPr>
          <w:p w14:paraId="6C86E2BD"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112</w:t>
            </w:r>
          </w:p>
        </w:tc>
        <w:tc>
          <w:tcPr>
            <w:tcW w:w="1155" w:type="dxa"/>
          </w:tcPr>
          <w:p w14:paraId="0DB55603"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168</w:t>
            </w:r>
          </w:p>
        </w:tc>
        <w:tc>
          <w:tcPr>
            <w:tcW w:w="1155" w:type="dxa"/>
          </w:tcPr>
          <w:p w14:paraId="00B1738E"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81.2</w:t>
            </w:r>
          </w:p>
        </w:tc>
        <w:tc>
          <w:tcPr>
            <w:tcW w:w="1154" w:type="dxa"/>
          </w:tcPr>
          <w:p w14:paraId="32AAC67C"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83.8</w:t>
            </w:r>
          </w:p>
        </w:tc>
        <w:tc>
          <w:tcPr>
            <w:tcW w:w="1155" w:type="dxa"/>
          </w:tcPr>
          <w:p w14:paraId="5C8D49DB"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82.9</w:t>
            </w:r>
          </w:p>
        </w:tc>
        <w:tc>
          <w:tcPr>
            <w:tcW w:w="1155" w:type="dxa"/>
          </w:tcPr>
          <w:p w14:paraId="33572E7D"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187</w:t>
            </w:r>
          </w:p>
        </w:tc>
        <w:tc>
          <w:tcPr>
            <w:tcW w:w="1155" w:type="dxa"/>
          </w:tcPr>
          <w:p w14:paraId="329F3DFD"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429</w:t>
            </w:r>
          </w:p>
        </w:tc>
        <w:tc>
          <w:tcPr>
            <w:tcW w:w="1154" w:type="dxa"/>
          </w:tcPr>
          <w:p w14:paraId="2219DED1"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617</w:t>
            </w:r>
          </w:p>
        </w:tc>
        <w:tc>
          <w:tcPr>
            <w:tcW w:w="1155" w:type="dxa"/>
          </w:tcPr>
          <w:p w14:paraId="5585AB7A"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271.1</w:t>
            </w:r>
          </w:p>
        </w:tc>
        <w:tc>
          <w:tcPr>
            <w:tcW w:w="1155" w:type="dxa"/>
          </w:tcPr>
          <w:p w14:paraId="04103FF7"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320.8</w:t>
            </w:r>
          </w:p>
        </w:tc>
        <w:tc>
          <w:tcPr>
            <w:tcW w:w="1155" w:type="dxa"/>
          </w:tcPr>
          <w:p w14:paraId="7E7295A2" w14:textId="77777777" w:rsidR="00344377" w:rsidRPr="003223EE" w:rsidRDefault="00344377" w:rsidP="00344377">
            <w:pPr>
              <w:pStyle w:val="NormalWeb"/>
              <w:jc w:val="center"/>
              <w:rPr>
                <w:rFonts w:asciiTheme="minorHAnsi" w:hAnsiTheme="minorHAnsi" w:cstheme="minorHAnsi"/>
              </w:rPr>
            </w:pPr>
            <w:r w:rsidRPr="003223EE">
              <w:rPr>
                <w:rFonts w:asciiTheme="minorHAnsi" w:hAnsiTheme="minorHAnsi" w:cstheme="minorHAnsi"/>
              </w:rPr>
              <w:t>304.4</w:t>
            </w:r>
          </w:p>
        </w:tc>
      </w:tr>
    </w:tbl>
    <w:p w14:paraId="156471FB" w14:textId="61743134" w:rsidR="00913882" w:rsidRDefault="00A45426" w:rsidP="002C3AC9">
      <w:pPr>
        <w:pStyle w:val="CDIfootnotes"/>
        <w:rPr>
          <w:rFonts w:cstheme="minorHAnsi"/>
          <w:b/>
        </w:rPr>
      </w:pPr>
      <w:r w:rsidRPr="004F632D">
        <w:t>a</w:t>
      </w:r>
      <w:r w:rsidRPr="004F632D">
        <w:tab/>
      </w:r>
      <w:r w:rsidR="00DC1B5A" w:rsidRPr="004F632D">
        <w:t>Cases and rates for persons include 5 cases with unknown gender.</w:t>
      </w:r>
      <w:r w:rsidR="002C3AC9">
        <w:rPr>
          <w:rFonts w:cstheme="minorHAnsi"/>
          <w:b/>
        </w:rPr>
        <w:t xml:space="preserve"> </w:t>
      </w:r>
    </w:p>
    <w:p w14:paraId="34CADEA0" w14:textId="77777777" w:rsidR="00902EB3" w:rsidRDefault="00902EB3">
      <w:pPr>
        <w:rPr>
          <w:b/>
        </w:rPr>
      </w:pPr>
      <w:r>
        <w:br w:type="page"/>
      </w:r>
    </w:p>
    <w:p w14:paraId="5A99763E" w14:textId="5F8963EA" w:rsidR="00181C9D" w:rsidRPr="004F632D" w:rsidRDefault="00181C9D" w:rsidP="004F632D">
      <w:pPr>
        <w:pStyle w:val="CDIFigures"/>
      </w:pPr>
      <w:r w:rsidRPr="004F632D">
        <w:lastRenderedPageBreak/>
        <w:t xml:space="preserve">Figure B.1: Variation in combinations of COVID-19 symptoms in confirmed cases as at </w:t>
      </w:r>
      <w:r w:rsidR="008C0744" w:rsidRPr="004F632D">
        <w:t>16</w:t>
      </w:r>
      <w:r w:rsidRPr="004F632D">
        <w:t xml:space="preserve"> August 2020, </w:t>
      </w:r>
      <w:proofErr w:type="spellStart"/>
      <w:r w:rsidRPr="004F632D">
        <w:t>Australia</w:t>
      </w:r>
      <w:r w:rsidRPr="004F632D">
        <w:rPr>
          <w:vertAlign w:val="superscript"/>
        </w:rPr>
        <w:t>a</w:t>
      </w:r>
      <w:proofErr w:type="spellEnd"/>
    </w:p>
    <w:p w14:paraId="4C5A0C7A" w14:textId="463AD5D6" w:rsidR="00181C9D" w:rsidRPr="0012554A" w:rsidRDefault="00C94277" w:rsidP="00796C59">
      <w:pPr>
        <w:pStyle w:val="Heading1"/>
        <w:rPr>
          <w:rFonts w:asciiTheme="minorHAnsi" w:hAnsiTheme="minorHAnsi" w:cstheme="minorHAnsi"/>
        </w:rPr>
      </w:pPr>
      <w:r>
        <w:rPr>
          <w:rFonts w:asciiTheme="minorHAnsi" w:hAnsiTheme="minorHAnsi" w:cstheme="minorHAnsi"/>
          <w:noProof/>
        </w:rPr>
        <w:pict w14:anchorId="65EDE352">
          <v:shape id="_x0000_i1035" type="#_x0000_t75" alt="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style="width:602.55pt;height:377.15pt">
            <v:imagedata r:id="rId26" o:title="Figure_-_Symptom_Graph_-__20200820_"/>
          </v:shape>
        </w:pict>
      </w:r>
    </w:p>
    <w:p w14:paraId="359D8A00" w14:textId="77777777" w:rsidR="00181C9D" w:rsidRPr="00934939" w:rsidRDefault="00181C9D" w:rsidP="00934939">
      <w:pPr>
        <w:pStyle w:val="CDIfootnotes"/>
        <w:sectPr w:rsidR="00181C9D" w:rsidRPr="00934939" w:rsidSect="00181C9D">
          <w:pgSz w:w="16838" w:h="11906" w:orient="landscape"/>
          <w:pgMar w:top="720" w:right="720" w:bottom="720" w:left="1134" w:header="709" w:footer="284" w:gutter="0"/>
          <w:cols w:space="708"/>
          <w:titlePg/>
          <w:docGrid w:linePitch="360"/>
        </w:sectPr>
      </w:pPr>
      <w:proofErr w:type="spellStart"/>
      <w:r w:rsidRPr="00934939">
        <w:t>a</w:t>
      </w:r>
      <w:proofErr w:type="spellEnd"/>
      <w:r w:rsidRPr="00934939">
        <w:tab/>
        <w:t xml:space="preserve"> This figure shows the variation in combinations of symptoms observed in reported cases (n = 12,636)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w:t>
      </w:r>
    </w:p>
    <w:p w14:paraId="77C3E821" w14:textId="77777777" w:rsidR="00DC1B5A" w:rsidRPr="00934939" w:rsidRDefault="00DC1B5A" w:rsidP="00934939">
      <w:pPr>
        <w:pStyle w:val="Heading1"/>
      </w:pPr>
      <w:r w:rsidRPr="00934939">
        <w:lastRenderedPageBreak/>
        <w:t xml:space="preserve">Appendix C: Frequently asked questions </w:t>
      </w:r>
    </w:p>
    <w:p w14:paraId="31AD3ACB" w14:textId="77777777" w:rsidR="00DC1B5A" w:rsidRPr="0012554A" w:rsidRDefault="00DC1B5A" w:rsidP="00934939">
      <w:r w:rsidRPr="0012554A">
        <w:rPr>
          <w:rStyle w:val="Strong"/>
          <w:rFonts w:cstheme="minorHAnsi"/>
          <w:color w:val="000000" w:themeColor="text1"/>
        </w:rPr>
        <w:t xml:space="preserve">Q: Can I request access to the COVID-19 data behind your CDI fortnightly reports? </w:t>
      </w:r>
    </w:p>
    <w:p w14:paraId="5DB53A83" w14:textId="77777777" w:rsidR="00DC1B5A" w:rsidRPr="0012554A" w:rsidRDefault="00DC1B5A" w:rsidP="00934939">
      <w:r w:rsidRPr="0012554A">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0C929959" w14:textId="77777777" w:rsidR="00DC1B5A" w:rsidRPr="0012554A" w:rsidRDefault="00DC1B5A" w:rsidP="00934939">
      <w:r w:rsidRPr="0012554A">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6F119211" w14:textId="77777777" w:rsidR="00DC1B5A" w:rsidRPr="0012554A" w:rsidRDefault="00DC1B5A" w:rsidP="00934939">
      <w:r w:rsidRPr="0012554A">
        <w:t xml:space="preserve">Due to the COVID-19 response, unfortunately, specific requests for NNDSS data have been put on hold. We are currently looking into options to be able to respond to data requests in the near future. </w:t>
      </w:r>
    </w:p>
    <w:p w14:paraId="101D92DC" w14:textId="77777777" w:rsidR="00DC1B5A" w:rsidRPr="0012554A" w:rsidRDefault="00DC1B5A" w:rsidP="00934939">
      <w:r w:rsidRPr="0012554A">
        <w:t xml:space="preserve">We will continue to publish regular summaries and analyses of the NNDSS dataset and recommend the following resources be referred to in the meantime: </w:t>
      </w:r>
    </w:p>
    <w:p w14:paraId="5997BEFD" w14:textId="77777777" w:rsidR="00DC1B5A" w:rsidRPr="00934939" w:rsidRDefault="00DC1B5A" w:rsidP="00934939">
      <w:pPr>
        <w:pStyle w:val="ListParagraph"/>
        <w:numPr>
          <w:ilvl w:val="0"/>
          <w:numId w:val="37"/>
        </w:numPr>
        <w:rPr>
          <w:rFonts w:eastAsia="Times New Roman"/>
        </w:rPr>
      </w:pPr>
      <w:r w:rsidRPr="00934939">
        <w:rPr>
          <w:rFonts w:eastAsia="Times New Roman"/>
        </w:rPr>
        <w:t xml:space="preserve">NNDSS summary tables: http://www9.health.gov.au/cda/source/cda-index.cfm </w:t>
      </w:r>
    </w:p>
    <w:p w14:paraId="2D86CB2D" w14:textId="77777777" w:rsidR="00DC1B5A" w:rsidRPr="00934939" w:rsidRDefault="00DC1B5A" w:rsidP="00934939">
      <w:pPr>
        <w:pStyle w:val="ListParagraph"/>
        <w:numPr>
          <w:ilvl w:val="0"/>
          <w:numId w:val="37"/>
        </w:numPr>
        <w:rPr>
          <w:rFonts w:eastAsia="Times New Roman"/>
        </w:rPr>
      </w:pPr>
      <w:r w:rsidRPr="00934939">
        <w:rPr>
          <w:rFonts w:eastAsia="Times New Roman"/>
        </w:rPr>
        <w:t xml:space="preserve">Daily case summary of cases: https://www.health.gov.au/news/health-alerts/novel-coronavirus-2019-ncov-health-alert/coronavirus-covid-19-current-situation-and-case-numbers </w:t>
      </w:r>
    </w:p>
    <w:p w14:paraId="272D39F7" w14:textId="77777777" w:rsidR="00DC1B5A" w:rsidRPr="00934939" w:rsidRDefault="00DC1B5A" w:rsidP="00934939">
      <w:pPr>
        <w:pStyle w:val="ListParagraph"/>
        <w:numPr>
          <w:ilvl w:val="0"/>
          <w:numId w:val="37"/>
        </w:numPr>
        <w:rPr>
          <w:rFonts w:eastAsia="Times New Roman"/>
        </w:rPr>
      </w:pPr>
      <w:r w:rsidRPr="00934939">
        <w:rPr>
          <w:rStyle w:val="Emphasis"/>
          <w:rFonts w:eastAsia="Times New Roman" w:cstheme="minorHAnsi"/>
          <w:b w:val="0"/>
          <w:color w:val="000000" w:themeColor="text1"/>
        </w:rPr>
        <w:t>Communicable Diseases Intelligence</w:t>
      </w:r>
      <w:r w:rsidRPr="00934939">
        <w:rPr>
          <w:rFonts w:eastAsia="Times New Roman"/>
        </w:rPr>
        <w:t xml:space="preserve"> COVID-19 epidemiology report: https://www1.health.gov.au/internet/main/publishing.nsf/Content/novel_coronavirus_2019_ncov_weekly_epidemiology_reports_australia_2020.htm </w:t>
      </w:r>
    </w:p>
    <w:p w14:paraId="0D15908D" w14:textId="77777777" w:rsidR="00DC1B5A" w:rsidRPr="00934939" w:rsidRDefault="00DC1B5A" w:rsidP="00934939">
      <w:pPr>
        <w:pStyle w:val="ListParagraph"/>
        <w:numPr>
          <w:ilvl w:val="0"/>
          <w:numId w:val="37"/>
        </w:numPr>
        <w:rPr>
          <w:rFonts w:eastAsia="Times New Roman"/>
        </w:rPr>
      </w:pPr>
      <w:r w:rsidRPr="00934939">
        <w:rPr>
          <w:rFonts w:eastAsia="Times New Roman"/>
        </w:rPr>
        <w:t xml:space="preserve">State and territory public health websites. </w:t>
      </w:r>
    </w:p>
    <w:p w14:paraId="0F572035" w14:textId="77777777" w:rsidR="00DC1B5A" w:rsidRPr="0012554A" w:rsidRDefault="00DC1B5A" w:rsidP="00934939">
      <w:r w:rsidRPr="0012554A">
        <w:rPr>
          <w:rStyle w:val="Strong"/>
          <w:rFonts w:cstheme="minorHAnsi"/>
          <w:color w:val="000000" w:themeColor="text1"/>
        </w:rPr>
        <w:t xml:space="preserve">Q: Why have the reports changed from weekly to fortnightly? </w:t>
      </w:r>
    </w:p>
    <w:p w14:paraId="1C7B4076" w14:textId="77777777" w:rsidR="00DC1B5A" w:rsidRPr="0012554A" w:rsidRDefault="00DC1B5A" w:rsidP="00934939">
      <w:r w:rsidRPr="0012554A">
        <w:t xml:space="preserve">A: The change to fortnightly reporting is to allow more time for an in-depth analysis of the NNDSS data, therefore enhancing the contents of the report. </w:t>
      </w:r>
    </w:p>
    <w:p w14:paraId="3F64B2FA" w14:textId="77777777" w:rsidR="00DC1B5A" w:rsidRPr="0012554A" w:rsidRDefault="00DC1B5A" w:rsidP="00934939">
      <w:r w:rsidRPr="0012554A">
        <w:rPr>
          <w:rStyle w:val="Strong"/>
          <w:rFonts w:cstheme="minorHAnsi"/>
          <w:color w:val="000000" w:themeColor="text1"/>
        </w:rPr>
        <w:t xml:space="preserve">Q: Can I request access to data at post-code level of confirmed cases? </w:t>
      </w:r>
    </w:p>
    <w:p w14:paraId="1532FEEF" w14:textId="77777777" w:rsidR="00DC1B5A" w:rsidRPr="0012554A" w:rsidRDefault="00DC1B5A" w:rsidP="00934939">
      <w:r w:rsidRPr="0012554A">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06ACFB1" w14:textId="77777777" w:rsidR="00DC1B5A" w:rsidRPr="0012554A" w:rsidRDefault="00DC1B5A" w:rsidP="00934939">
      <w:r w:rsidRPr="0012554A">
        <w:t xml:space="preserve">Where current or recent reported case numbers are high enough to justify it, a GIS/mapping analysis of cases will be included in the </w:t>
      </w:r>
      <w:r w:rsidRPr="00F528CB">
        <w:rPr>
          <w:rStyle w:val="Emphasis"/>
          <w:rFonts w:cstheme="minorHAnsi"/>
          <w:b w:val="0"/>
          <w:color w:val="000000" w:themeColor="text1"/>
        </w:rPr>
        <w:t>Communicable Diseases Intelligence</w:t>
      </w:r>
      <w:r w:rsidRPr="0012554A">
        <w:t xml:space="preserve"> COVID-19 epidemiology report. In order to protect privacy of confirmed cases, data in this map will be presented at SA3 level. </w:t>
      </w:r>
    </w:p>
    <w:p w14:paraId="7CAEB454" w14:textId="77777777" w:rsidR="00DC1B5A" w:rsidRPr="0012554A" w:rsidRDefault="00DC1B5A" w:rsidP="00934939">
      <w:r w:rsidRPr="0012554A">
        <w:rPr>
          <w:rStyle w:val="Strong"/>
          <w:rFonts w:cstheme="minorHAnsi"/>
          <w:color w:val="000000" w:themeColor="text1"/>
        </w:rPr>
        <w:t xml:space="preserve">Q: Where can I find more detailed data on COVID-19 cases? </w:t>
      </w:r>
    </w:p>
    <w:p w14:paraId="55490475" w14:textId="77777777" w:rsidR="008B5348" w:rsidRPr="0012554A" w:rsidRDefault="00DC1B5A" w:rsidP="00934939">
      <w:pPr>
        <w:rPr>
          <w:rStyle w:val="A10"/>
          <w:rFonts w:cstheme="minorHAnsi"/>
          <w:color w:val="000000" w:themeColor="text1"/>
        </w:rPr>
      </w:pPr>
      <w:r w:rsidRPr="0012554A">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F528CB">
        <w:rPr>
          <w:rStyle w:val="Emphasis"/>
          <w:rFonts w:cstheme="minorHAnsi"/>
          <w:b w:val="0"/>
          <w:color w:val="000000" w:themeColor="text1"/>
        </w:rPr>
        <w:t>Communicable Diseases Intelligence</w:t>
      </w:r>
      <w:r w:rsidRPr="0012554A">
        <w:t xml:space="preserve"> report.</w:t>
      </w:r>
    </w:p>
    <w:p w14:paraId="6D3CE5C7" w14:textId="77777777" w:rsidR="008B5348" w:rsidRPr="0012554A" w:rsidRDefault="008B5348">
      <w:pPr>
        <w:rPr>
          <w:rStyle w:val="A10"/>
          <w:rFonts w:cstheme="minorHAnsi"/>
          <w:color w:val="000000" w:themeColor="text1"/>
        </w:rPr>
        <w:sectPr w:rsidR="008B5348" w:rsidRPr="0012554A" w:rsidSect="00AD2843">
          <w:pgSz w:w="11906" w:h="16838"/>
          <w:pgMar w:top="720" w:right="720" w:bottom="1134" w:left="720" w:header="709" w:footer="284" w:gutter="0"/>
          <w:cols w:space="708"/>
          <w:titlePg/>
          <w:docGrid w:linePitch="360"/>
        </w:sectPr>
      </w:pPr>
    </w:p>
    <w:p w14:paraId="5447E500" w14:textId="77777777" w:rsidR="000A5F42" w:rsidRPr="0012554A" w:rsidRDefault="000A5F42" w:rsidP="000A5F42">
      <w:pPr>
        <w:pStyle w:val="NoSpacing"/>
        <w:rPr>
          <w:rFonts w:cstheme="minorHAnsi"/>
          <w:color w:val="000000" w:themeColor="text1"/>
          <w:sz w:val="18"/>
          <w:szCs w:val="18"/>
        </w:rPr>
      </w:pPr>
      <w:r w:rsidRPr="0012554A">
        <w:rPr>
          <w:rStyle w:val="Strong"/>
          <w:rFonts w:cstheme="minorHAnsi"/>
          <w:bCs w:val="0"/>
          <w:color w:val="000000" w:themeColor="text1"/>
          <w:sz w:val="20"/>
        </w:rPr>
        <w:lastRenderedPageBreak/>
        <w:t>Communicable Diseases Intelligence</w:t>
      </w:r>
    </w:p>
    <w:p w14:paraId="65290571" w14:textId="77777777" w:rsidR="000A5F42" w:rsidRPr="0012554A" w:rsidRDefault="000A5F42" w:rsidP="000A5F42">
      <w:pPr>
        <w:pStyle w:val="NoSpacing"/>
        <w:rPr>
          <w:rFonts w:cstheme="minorHAnsi"/>
          <w:color w:val="000000" w:themeColor="text1"/>
          <w:sz w:val="20"/>
          <w:szCs w:val="18"/>
        </w:rPr>
      </w:pPr>
      <w:r w:rsidRPr="0012554A">
        <w:rPr>
          <w:rFonts w:cstheme="minorHAnsi"/>
          <w:color w:val="000000" w:themeColor="text1"/>
          <w:sz w:val="20"/>
          <w:szCs w:val="18"/>
        </w:rPr>
        <w:t>ISSN: 2209-6051 Online</w:t>
      </w:r>
    </w:p>
    <w:p w14:paraId="71C2B516" w14:textId="77777777" w:rsidR="000A5F42" w:rsidRPr="0012554A" w:rsidRDefault="000A5F42" w:rsidP="000A5F42">
      <w:pPr>
        <w:pStyle w:val="NoSpacing"/>
        <w:rPr>
          <w:rStyle w:val="URI"/>
          <w:rFonts w:cstheme="minorHAnsi"/>
          <w:color w:val="000000" w:themeColor="text1"/>
          <w:sz w:val="20"/>
          <w:szCs w:val="18"/>
        </w:rPr>
      </w:pPr>
    </w:p>
    <w:p w14:paraId="55AA028E" w14:textId="77777777" w:rsidR="000A5F42" w:rsidRPr="0012554A" w:rsidRDefault="000A5F42" w:rsidP="000A5F42">
      <w:pPr>
        <w:pStyle w:val="NoSpacing"/>
        <w:rPr>
          <w:rStyle w:val="Strong"/>
          <w:rFonts w:cstheme="minorHAnsi"/>
          <w:color w:val="000000" w:themeColor="text1"/>
          <w:sz w:val="20"/>
          <w:szCs w:val="18"/>
        </w:rPr>
      </w:pPr>
      <w:r w:rsidRPr="0012554A">
        <w:rPr>
          <w:rStyle w:val="Strong"/>
          <w:rFonts w:cstheme="minorHAnsi"/>
          <w:b w:val="0"/>
          <w:bCs w:val="0"/>
          <w:color w:val="000000" w:themeColor="text1"/>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630DB46" w14:textId="77777777" w:rsidR="000A5F42" w:rsidRPr="0012554A" w:rsidRDefault="000A5F42" w:rsidP="000A5F42">
      <w:pPr>
        <w:pStyle w:val="NoSpacing"/>
        <w:rPr>
          <w:rStyle w:val="Strong"/>
          <w:rFonts w:cstheme="minorHAnsi"/>
          <w:color w:val="000000" w:themeColor="text1"/>
          <w:sz w:val="20"/>
          <w:szCs w:val="18"/>
        </w:rPr>
      </w:pPr>
    </w:p>
    <w:p w14:paraId="4B58F687" w14:textId="77777777" w:rsidR="000A5F42" w:rsidRPr="0012554A" w:rsidRDefault="000A5F42" w:rsidP="000A5F42">
      <w:pPr>
        <w:pStyle w:val="NoSpacing"/>
        <w:rPr>
          <w:rFonts w:cstheme="minorHAnsi"/>
          <w:color w:val="000000" w:themeColor="text1"/>
          <w:sz w:val="20"/>
          <w:szCs w:val="18"/>
        </w:rPr>
      </w:pPr>
      <w:r w:rsidRPr="0012554A">
        <w:rPr>
          <w:rStyle w:val="Strong"/>
          <w:rFonts w:cstheme="minorHAnsi"/>
          <w:color w:val="000000" w:themeColor="text1"/>
          <w:sz w:val="20"/>
          <w:szCs w:val="18"/>
        </w:rPr>
        <w:t xml:space="preserve">Editor: </w:t>
      </w:r>
      <w:r w:rsidR="00C42834" w:rsidRPr="0012554A">
        <w:rPr>
          <w:rFonts w:cstheme="minorHAnsi"/>
          <w:color w:val="000000" w:themeColor="text1"/>
          <w:sz w:val="20"/>
          <w:szCs w:val="18"/>
        </w:rPr>
        <w:t>Tanja Farmer</w:t>
      </w:r>
    </w:p>
    <w:p w14:paraId="2EF67AAD" w14:textId="77777777" w:rsidR="000A5F42" w:rsidRPr="0012554A" w:rsidRDefault="000A5F42" w:rsidP="000A5F42">
      <w:pPr>
        <w:pStyle w:val="NoSpacing"/>
        <w:rPr>
          <w:rFonts w:cstheme="minorHAnsi"/>
          <w:color w:val="000000" w:themeColor="text1"/>
          <w:sz w:val="20"/>
          <w:szCs w:val="18"/>
        </w:rPr>
      </w:pPr>
      <w:r w:rsidRPr="0012554A">
        <w:rPr>
          <w:rStyle w:val="Strong"/>
          <w:rFonts w:cstheme="minorHAnsi"/>
          <w:color w:val="000000" w:themeColor="text1"/>
          <w:sz w:val="20"/>
          <w:szCs w:val="18"/>
        </w:rPr>
        <w:t xml:space="preserve">Deputy Editor: </w:t>
      </w:r>
      <w:r w:rsidR="00C838F5" w:rsidRPr="0012554A">
        <w:rPr>
          <w:rFonts w:cstheme="minorHAnsi"/>
          <w:color w:val="000000" w:themeColor="text1"/>
          <w:sz w:val="20"/>
          <w:szCs w:val="18"/>
        </w:rPr>
        <w:t>Simon Petrie</w:t>
      </w:r>
    </w:p>
    <w:p w14:paraId="40CD0C53" w14:textId="77777777" w:rsidR="000A5F42" w:rsidRPr="0012554A" w:rsidRDefault="00967410" w:rsidP="000A5F42">
      <w:pPr>
        <w:pStyle w:val="NoSpacing"/>
        <w:rPr>
          <w:rFonts w:cstheme="minorHAnsi"/>
          <w:color w:val="000000" w:themeColor="text1"/>
          <w:sz w:val="20"/>
          <w:szCs w:val="18"/>
        </w:rPr>
      </w:pPr>
      <w:r w:rsidRPr="0012554A">
        <w:rPr>
          <w:rStyle w:val="Strong"/>
          <w:rFonts w:cstheme="minorHAnsi"/>
          <w:color w:val="000000" w:themeColor="text1"/>
          <w:sz w:val="20"/>
          <w:szCs w:val="18"/>
        </w:rPr>
        <w:t>Design</w:t>
      </w:r>
      <w:r w:rsidR="000A5F42" w:rsidRPr="0012554A">
        <w:rPr>
          <w:rStyle w:val="Strong"/>
          <w:rFonts w:cstheme="minorHAnsi"/>
          <w:color w:val="000000" w:themeColor="text1"/>
          <w:sz w:val="20"/>
          <w:szCs w:val="18"/>
        </w:rPr>
        <w:t xml:space="preserve"> and Production: </w:t>
      </w:r>
      <w:r w:rsidR="000A5F42" w:rsidRPr="0012554A">
        <w:rPr>
          <w:rFonts w:cstheme="minorHAnsi"/>
          <w:color w:val="000000" w:themeColor="text1"/>
          <w:sz w:val="20"/>
          <w:szCs w:val="18"/>
        </w:rPr>
        <w:t>Kasra Yousefi</w:t>
      </w:r>
    </w:p>
    <w:p w14:paraId="155E9EF3" w14:textId="77777777" w:rsidR="000A5F42" w:rsidRPr="0012554A" w:rsidRDefault="000A5F42" w:rsidP="000A5F42">
      <w:pPr>
        <w:pStyle w:val="NoSpacing"/>
        <w:rPr>
          <w:rFonts w:cstheme="minorHAnsi"/>
          <w:b/>
          <w:bCs/>
          <w:color w:val="000000" w:themeColor="text1"/>
          <w:sz w:val="20"/>
          <w:szCs w:val="18"/>
        </w:rPr>
      </w:pPr>
      <w:r w:rsidRPr="0012554A">
        <w:rPr>
          <w:rStyle w:val="Strong"/>
          <w:rFonts w:cstheme="minorHAnsi"/>
          <w:color w:val="000000" w:themeColor="text1"/>
          <w:sz w:val="20"/>
          <w:szCs w:val="18"/>
        </w:rPr>
        <w:t xml:space="preserve">Editorial Advisory Board: </w:t>
      </w:r>
      <w:r w:rsidRPr="0012554A">
        <w:rPr>
          <w:rFonts w:cstheme="minorHAnsi"/>
          <w:color w:val="000000" w:themeColor="text1"/>
          <w:sz w:val="20"/>
          <w:szCs w:val="18"/>
        </w:rPr>
        <w:t xml:space="preserve">David Durrheim, </w:t>
      </w:r>
      <w:r w:rsidRPr="0012554A">
        <w:rPr>
          <w:rStyle w:val="nobreak"/>
          <w:rFonts w:cstheme="minorHAnsi"/>
          <w:color w:val="000000" w:themeColor="text1"/>
          <w:sz w:val="20"/>
          <w:szCs w:val="18"/>
        </w:rPr>
        <w:t>Mark Ferson</w:t>
      </w:r>
      <w:r w:rsidR="00F55648" w:rsidRPr="0012554A">
        <w:rPr>
          <w:rFonts w:cstheme="minorHAnsi"/>
          <w:color w:val="000000" w:themeColor="text1"/>
          <w:sz w:val="20"/>
          <w:szCs w:val="18"/>
        </w:rPr>
        <w:t xml:space="preserve">, John Kaldor, </w:t>
      </w:r>
      <w:r w:rsidRPr="0012554A">
        <w:rPr>
          <w:rStyle w:val="nobreak"/>
          <w:rFonts w:cstheme="minorHAnsi"/>
          <w:color w:val="000000" w:themeColor="text1"/>
          <w:sz w:val="20"/>
          <w:szCs w:val="18"/>
        </w:rPr>
        <w:t>Martyn Kirk</w:t>
      </w:r>
      <w:r w:rsidR="00F55648" w:rsidRPr="0012554A">
        <w:rPr>
          <w:rStyle w:val="nobreak"/>
          <w:rFonts w:cstheme="minorHAnsi"/>
          <w:color w:val="000000" w:themeColor="text1"/>
          <w:sz w:val="20"/>
          <w:szCs w:val="18"/>
        </w:rPr>
        <w:t xml:space="preserve"> and Linda Selvey</w:t>
      </w:r>
    </w:p>
    <w:p w14:paraId="6A049F1A" w14:textId="77777777" w:rsidR="000A5F42" w:rsidRPr="0012554A" w:rsidRDefault="000A5F42" w:rsidP="000A5F42">
      <w:pPr>
        <w:pStyle w:val="NoSpacing"/>
        <w:rPr>
          <w:rStyle w:val="Strong"/>
          <w:rFonts w:cstheme="minorHAnsi"/>
          <w:color w:val="000000" w:themeColor="text1"/>
          <w:sz w:val="20"/>
          <w:szCs w:val="18"/>
        </w:rPr>
      </w:pPr>
    </w:p>
    <w:p w14:paraId="4E588595" w14:textId="245A6612" w:rsidR="000A5F42" w:rsidRPr="0012554A" w:rsidRDefault="000A5F42" w:rsidP="000A5F42">
      <w:pPr>
        <w:pStyle w:val="NoSpacing"/>
        <w:rPr>
          <w:rStyle w:val="URI"/>
          <w:rFonts w:cstheme="minorHAnsi"/>
          <w:color w:val="000000" w:themeColor="text1"/>
          <w:sz w:val="20"/>
          <w:szCs w:val="18"/>
        </w:rPr>
      </w:pPr>
      <w:r w:rsidRPr="0012554A">
        <w:rPr>
          <w:rStyle w:val="Strong"/>
          <w:rFonts w:cstheme="minorHAnsi"/>
          <w:color w:val="000000" w:themeColor="text1"/>
          <w:sz w:val="20"/>
          <w:szCs w:val="18"/>
        </w:rPr>
        <w:t>Website</w:t>
      </w:r>
      <w:r w:rsidRPr="0012554A">
        <w:rPr>
          <w:rFonts w:cstheme="minorHAnsi"/>
          <w:color w:val="000000" w:themeColor="text1"/>
          <w:sz w:val="20"/>
          <w:szCs w:val="18"/>
        </w:rPr>
        <w:t xml:space="preserve">: </w:t>
      </w:r>
      <w:hyperlink r:id="rId27" w:tooltip="CDI website" w:history="1">
        <w:r w:rsidRPr="0012554A">
          <w:rPr>
            <w:rStyle w:val="Hyperlink"/>
            <w:rFonts w:cstheme="minorHAnsi"/>
            <w:color w:val="000000" w:themeColor="text1"/>
            <w:sz w:val="20"/>
            <w:szCs w:val="18"/>
          </w:rPr>
          <w:t>http://www.health.gov.au/cdi</w:t>
        </w:r>
      </w:hyperlink>
      <w:r w:rsidRPr="0012554A">
        <w:rPr>
          <w:rStyle w:val="URI"/>
          <w:rFonts w:cstheme="minorHAnsi"/>
          <w:color w:val="000000" w:themeColor="text1"/>
          <w:sz w:val="20"/>
          <w:szCs w:val="18"/>
        </w:rPr>
        <w:t xml:space="preserve"> </w:t>
      </w:r>
    </w:p>
    <w:p w14:paraId="35097681" w14:textId="77777777" w:rsidR="000A5F42" w:rsidRPr="0012554A" w:rsidRDefault="000A5F42" w:rsidP="000A5F42">
      <w:pPr>
        <w:pStyle w:val="NoSpacing"/>
        <w:rPr>
          <w:rStyle w:val="Strong"/>
          <w:rFonts w:cstheme="minorHAnsi"/>
          <w:color w:val="000000" w:themeColor="text1"/>
          <w:sz w:val="20"/>
          <w:szCs w:val="18"/>
        </w:rPr>
      </w:pPr>
    </w:p>
    <w:p w14:paraId="4713F061" w14:textId="77777777" w:rsidR="000A5F42" w:rsidRPr="0012554A" w:rsidRDefault="000A5F42" w:rsidP="000A5F42">
      <w:pPr>
        <w:pStyle w:val="NoSpacing"/>
        <w:rPr>
          <w:rFonts w:cstheme="minorHAnsi"/>
          <w:color w:val="000000" w:themeColor="text1"/>
          <w:sz w:val="20"/>
          <w:szCs w:val="18"/>
        </w:rPr>
      </w:pPr>
      <w:r w:rsidRPr="0012554A">
        <w:rPr>
          <w:rStyle w:val="Strong"/>
          <w:rFonts w:cstheme="minorHAnsi"/>
          <w:color w:val="000000" w:themeColor="text1"/>
          <w:sz w:val="20"/>
          <w:szCs w:val="18"/>
        </w:rPr>
        <w:t>Contacts</w:t>
      </w:r>
      <w:r w:rsidRPr="0012554A">
        <w:rPr>
          <w:rStyle w:val="Strong"/>
          <w:rFonts w:cstheme="minorHAnsi"/>
          <w:color w:val="000000" w:themeColor="text1"/>
          <w:sz w:val="20"/>
          <w:szCs w:val="18"/>
        </w:rPr>
        <w:br/>
      </w:r>
      <w:r w:rsidRPr="0012554A">
        <w:rPr>
          <w:rFonts w:cstheme="minorHAnsi"/>
          <w:color w:val="000000" w:themeColor="text1"/>
          <w:sz w:val="20"/>
          <w:szCs w:val="18"/>
        </w:rPr>
        <w:t xml:space="preserve">Communicable Diseases Intelligence is produced by: </w:t>
      </w:r>
      <w:r w:rsidRPr="0012554A">
        <w:rPr>
          <w:rFonts w:cstheme="minorHAnsi"/>
          <w:color w:val="000000" w:themeColor="text1"/>
          <w:sz w:val="20"/>
          <w:szCs w:val="18"/>
        </w:rPr>
        <w:br/>
        <w:t>Health Protection Policy Branch, Office of Health Protection, Australian Government Department of Health</w:t>
      </w:r>
      <w:r w:rsidRPr="0012554A">
        <w:rPr>
          <w:rFonts w:cstheme="minorHAnsi"/>
          <w:color w:val="000000" w:themeColor="text1"/>
          <w:sz w:val="20"/>
          <w:szCs w:val="18"/>
        </w:rPr>
        <w:br/>
        <w:t>GPO Box 9848, (MDP 6) CANBERRA ACT 2601</w:t>
      </w:r>
    </w:p>
    <w:p w14:paraId="62F997F2" w14:textId="77777777" w:rsidR="000A5F42" w:rsidRPr="0012554A" w:rsidRDefault="000A5F42" w:rsidP="000A5F42">
      <w:pPr>
        <w:pStyle w:val="NoSpacing"/>
        <w:rPr>
          <w:rStyle w:val="Strong"/>
          <w:rFonts w:cstheme="minorHAnsi"/>
          <w:color w:val="000000" w:themeColor="text1"/>
          <w:sz w:val="20"/>
          <w:szCs w:val="18"/>
        </w:rPr>
      </w:pPr>
    </w:p>
    <w:p w14:paraId="1C470F89" w14:textId="0E0CDD75" w:rsidR="000A5F42" w:rsidRPr="0012554A" w:rsidRDefault="000A5F42" w:rsidP="000A5F42">
      <w:pPr>
        <w:pStyle w:val="NoSpacing"/>
        <w:rPr>
          <w:rStyle w:val="URI"/>
          <w:rFonts w:cstheme="minorHAnsi"/>
          <w:color w:val="000000" w:themeColor="text1"/>
          <w:sz w:val="20"/>
          <w:szCs w:val="18"/>
        </w:rPr>
      </w:pPr>
      <w:r w:rsidRPr="0012554A">
        <w:rPr>
          <w:rStyle w:val="Strong"/>
          <w:rFonts w:cstheme="minorHAnsi"/>
          <w:color w:val="000000" w:themeColor="text1"/>
          <w:sz w:val="20"/>
          <w:szCs w:val="18"/>
        </w:rPr>
        <w:t xml:space="preserve">Email: </w:t>
      </w:r>
      <w:hyperlink r:id="rId28" w:history="1">
        <w:r w:rsidRPr="0012554A">
          <w:rPr>
            <w:rStyle w:val="Hyperlink"/>
            <w:rFonts w:cstheme="minorHAnsi"/>
            <w:color w:val="000000" w:themeColor="text1"/>
            <w:sz w:val="20"/>
            <w:szCs w:val="18"/>
          </w:rPr>
          <w:t>cdi.editor@health.gov.au</w:t>
        </w:r>
      </w:hyperlink>
      <w:r w:rsidRPr="0012554A">
        <w:rPr>
          <w:rStyle w:val="URI"/>
          <w:rFonts w:cstheme="minorHAnsi"/>
          <w:color w:val="000000" w:themeColor="text1"/>
          <w:sz w:val="20"/>
          <w:szCs w:val="18"/>
        </w:rPr>
        <w:t xml:space="preserve"> </w:t>
      </w:r>
    </w:p>
    <w:p w14:paraId="6D2BAE78" w14:textId="77777777" w:rsidR="000A5F42" w:rsidRPr="0012554A" w:rsidRDefault="000A5F42" w:rsidP="000A5F42">
      <w:pPr>
        <w:pStyle w:val="NoSpacing"/>
        <w:rPr>
          <w:rStyle w:val="Strong"/>
          <w:rFonts w:cstheme="minorHAnsi"/>
          <w:color w:val="000000" w:themeColor="text1"/>
          <w:sz w:val="20"/>
          <w:szCs w:val="18"/>
        </w:rPr>
      </w:pPr>
    </w:p>
    <w:p w14:paraId="3FD1182C" w14:textId="3D707E30" w:rsidR="000A5F42" w:rsidRPr="0012554A" w:rsidRDefault="000A5F42" w:rsidP="000A5F42">
      <w:pPr>
        <w:pStyle w:val="NoSpacing"/>
        <w:rPr>
          <w:rFonts w:cstheme="minorHAnsi"/>
          <w:color w:val="000000" w:themeColor="text1"/>
          <w:sz w:val="20"/>
          <w:szCs w:val="18"/>
        </w:rPr>
      </w:pPr>
      <w:r w:rsidRPr="0012554A">
        <w:rPr>
          <w:rStyle w:val="Strong"/>
          <w:rFonts w:cstheme="minorHAnsi"/>
          <w:color w:val="000000" w:themeColor="text1"/>
          <w:sz w:val="20"/>
          <w:szCs w:val="18"/>
        </w:rPr>
        <w:t xml:space="preserve">Submit an </w:t>
      </w:r>
      <w:proofErr w:type="gramStart"/>
      <w:r w:rsidRPr="0012554A">
        <w:rPr>
          <w:rStyle w:val="Strong"/>
          <w:rFonts w:cstheme="minorHAnsi"/>
          <w:color w:val="000000" w:themeColor="text1"/>
          <w:sz w:val="20"/>
          <w:szCs w:val="18"/>
        </w:rPr>
        <w:t>Article</w:t>
      </w:r>
      <w:proofErr w:type="gramEnd"/>
      <w:r w:rsidRPr="0012554A">
        <w:rPr>
          <w:rStyle w:val="Strong"/>
          <w:rFonts w:cstheme="minorHAnsi"/>
          <w:color w:val="000000" w:themeColor="text1"/>
          <w:sz w:val="20"/>
          <w:szCs w:val="18"/>
        </w:rPr>
        <w:br/>
      </w:r>
      <w:r w:rsidRPr="0012554A">
        <w:rPr>
          <w:rFonts w:cstheme="minorHAnsi"/>
          <w:color w:val="000000" w:themeColor="text1"/>
          <w:sz w:val="20"/>
          <w:szCs w:val="18"/>
        </w:rPr>
        <w:t xml:space="preserve">You are invited to submit your next communicable disease related article to the Communicable Diseases Intelligence (CDI) for consideration. More information regarding CDI can be found at: </w:t>
      </w:r>
      <w:hyperlink r:id="rId29" w:tooltip="CDI Website" w:history="1">
        <w:r w:rsidRPr="0012554A">
          <w:rPr>
            <w:rStyle w:val="Hyperlink"/>
            <w:rFonts w:cstheme="minorHAnsi"/>
            <w:color w:val="000000" w:themeColor="text1"/>
            <w:sz w:val="20"/>
            <w:szCs w:val="18"/>
          </w:rPr>
          <w:t>http://health.gov.au/cdi</w:t>
        </w:r>
      </w:hyperlink>
      <w:r w:rsidRPr="0012554A">
        <w:rPr>
          <w:rFonts w:cstheme="minorHAnsi"/>
          <w:color w:val="000000" w:themeColor="text1"/>
          <w:sz w:val="20"/>
          <w:szCs w:val="18"/>
        </w:rPr>
        <w:t xml:space="preserve">. </w:t>
      </w:r>
    </w:p>
    <w:p w14:paraId="53991D16" w14:textId="05D16967" w:rsidR="000A5F42" w:rsidRPr="0012554A" w:rsidRDefault="000A5F42" w:rsidP="000A5F42">
      <w:pPr>
        <w:pStyle w:val="NoSpacing"/>
        <w:rPr>
          <w:rFonts w:cstheme="minorHAnsi"/>
          <w:color w:val="000000" w:themeColor="text1"/>
          <w:sz w:val="20"/>
          <w:szCs w:val="18"/>
        </w:rPr>
      </w:pPr>
      <w:r w:rsidRPr="0012554A">
        <w:rPr>
          <w:rFonts w:cstheme="minorHAnsi"/>
          <w:color w:val="000000" w:themeColor="text1"/>
          <w:sz w:val="20"/>
          <w:szCs w:val="18"/>
        </w:rPr>
        <w:t xml:space="preserve">Further enquiries should be directed to: </w:t>
      </w:r>
      <w:hyperlink r:id="rId30" w:history="1">
        <w:r w:rsidRPr="0012554A">
          <w:rPr>
            <w:rStyle w:val="Hyperlink"/>
            <w:rFonts w:cstheme="minorHAnsi"/>
            <w:color w:val="000000" w:themeColor="text1"/>
            <w:sz w:val="20"/>
            <w:szCs w:val="18"/>
          </w:rPr>
          <w:t>cdi.editor@health.gov.au</w:t>
        </w:r>
      </w:hyperlink>
      <w:r w:rsidRPr="0012554A">
        <w:rPr>
          <w:rFonts w:cstheme="minorHAnsi"/>
          <w:color w:val="000000" w:themeColor="text1"/>
          <w:sz w:val="20"/>
          <w:szCs w:val="18"/>
        </w:rPr>
        <w:t>.</w:t>
      </w:r>
    </w:p>
    <w:p w14:paraId="33FDAB50" w14:textId="77777777" w:rsidR="000A5F42" w:rsidRPr="0012554A" w:rsidRDefault="000A5F42" w:rsidP="000A5F42">
      <w:pPr>
        <w:pStyle w:val="NoSpacing"/>
        <w:pBdr>
          <w:bottom w:val="single" w:sz="6" w:space="1" w:color="auto"/>
        </w:pBdr>
        <w:rPr>
          <w:rStyle w:val="Strong"/>
          <w:rFonts w:cstheme="minorHAnsi"/>
          <w:color w:val="000000" w:themeColor="text1"/>
          <w:sz w:val="12"/>
          <w:szCs w:val="18"/>
        </w:rPr>
      </w:pPr>
    </w:p>
    <w:p w14:paraId="25A1D922" w14:textId="77777777" w:rsidR="000A5F42" w:rsidRPr="0012554A" w:rsidRDefault="000A5F42" w:rsidP="000A5F42">
      <w:pPr>
        <w:pStyle w:val="NoSpacing"/>
        <w:rPr>
          <w:rFonts w:cstheme="minorHAnsi"/>
          <w:color w:val="000000" w:themeColor="text1"/>
          <w:sz w:val="20"/>
          <w:szCs w:val="18"/>
        </w:rPr>
      </w:pPr>
    </w:p>
    <w:p w14:paraId="4D13A240" w14:textId="77777777" w:rsidR="000A5F42" w:rsidRPr="0012554A" w:rsidRDefault="000A5F42" w:rsidP="000A5F42">
      <w:pPr>
        <w:pStyle w:val="NoSpacing"/>
        <w:rPr>
          <w:rFonts w:cstheme="minorHAnsi"/>
          <w:color w:val="000000" w:themeColor="text1"/>
          <w:sz w:val="20"/>
          <w:szCs w:val="18"/>
        </w:rPr>
      </w:pPr>
      <w:r w:rsidRPr="0012554A">
        <w:rPr>
          <w:rFonts w:cstheme="minorHAnsi"/>
          <w:color w:val="000000" w:themeColor="text1"/>
          <w:sz w:val="20"/>
          <w:szCs w:val="18"/>
        </w:rPr>
        <w:t xml:space="preserve">This journal is indexed by Index </w:t>
      </w:r>
      <w:proofErr w:type="spellStart"/>
      <w:r w:rsidRPr="0012554A">
        <w:rPr>
          <w:rFonts w:cstheme="minorHAnsi"/>
          <w:color w:val="000000" w:themeColor="text1"/>
          <w:sz w:val="20"/>
          <w:szCs w:val="18"/>
        </w:rPr>
        <w:t>Medicus</w:t>
      </w:r>
      <w:proofErr w:type="spellEnd"/>
      <w:r w:rsidRPr="0012554A">
        <w:rPr>
          <w:rFonts w:cstheme="minorHAnsi"/>
          <w:color w:val="000000" w:themeColor="text1"/>
          <w:sz w:val="20"/>
          <w:szCs w:val="18"/>
        </w:rPr>
        <w:t xml:space="preserve"> and Medline.</w:t>
      </w:r>
    </w:p>
    <w:p w14:paraId="0544543C" w14:textId="77777777" w:rsidR="000A5F42" w:rsidRPr="0012554A" w:rsidRDefault="000A5F42" w:rsidP="000A5F42">
      <w:pPr>
        <w:pStyle w:val="NoSpacing"/>
        <w:rPr>
          <w:rFonts w:cstheme="minorHAnsi"/>
          <w:color w:val="000000" w:themeColor="text1"/>
          <w:sz w:val="20"/>
          <w:szCs w:val="18"/>
        </w:rPr>
      </w:pPr>
    </w:p>
    <w:p w14:paraId="29603340" w14:textId="77777777" w:rsidR="000A5F42" w:rsidRPr="0012554A" w:rsidRDefault="000A5F42" w:rsidP="000A5F42">
      <w:pPr>
        <w:pStyle w:val="NoSpacing"/>
        <w:rPr>
          <w:rFonts w:cstheme="minorHAnsi"/>
          <w:color w:val="000000" w:themeColor="text1"/>
          <w:sz w:val="20"/>
          <w:szCs w:val="18"/>
        </w:rPr>
      </w:pPr>
      <w:r w:rsidRPr="0012554A">
        <w:rPr>
          <w:rFonts w:cstheme="minorHAnsi"/>
          <w:color w:val="000000" w:themeColor="text1"/>
          <w:sz w:val="20"/>
          <w:szCs w:val="18"/>
        </w:rPr>
        <w:t>Creative Commons Licence - Attribution-</w:t>
      </w:r>
      <w:proofErr w:type="spellStart"/>
      <w:r w:rsidRPr="0012554A">
        <w:rPr>
          <w:rFonts w:cstheme="minorHAnsi"/>
          <w:color w:val="000000" w:themeColor="text1"/>
          <w:sz w:val="20"/>
          <w:szCs w:val="18"/>
        </w:rPr>
        <w:t>NonCommercial</w:t>
      </w:r>
      <w:proofErr w:type="spellEnd"/>
      <w:r w:rsidRPr="0012554A">
        <w:rPr>
          <w:rFonts w:cstheme="minorHAnsi"/>
          <w:color w:val="000000" w:themeColor="text1"/>
          <w:sz w:val="20"/>
          <w:szCs w:val="18"/>
        </w:rPr>
        <w:t>-</w:t>
      </w:r>
      <w:proofErr w:type="spellStart"/>
      <w:r w:rsidRPr="0012554A">
        <w:rPr>
          <w:rFonts w:cstheme="minorHAnsi"/>
          <w:color w:val="000000" w:themeColor="text1"/>
          <w:sz w:val="20"/>
          <w:szCs w:val="18"/>
        </w:rPr>
        <w:t>NoDerivatives</w:t>
      </w:r>
      <w:proofErr w:type="spellEnd"/>
      <w:r w:rsidRPr="0012554A">
        <w:rPr>
          <w:rFonts w:cstheme="minorHAnsi"/>
          <w:color w:val="000000" w:themeColor="text1"/>
          <w:sz w:val="20"/>
          <w:szCs w:val="18"/>
        </w:rPr>
        <w:t xml:space="preserve"> CC BY-NC-ND</w:t>
      </w:r>
    </w:p>
    <w:p w14:paraId="6A9AF397" w14:textId="77777777" w:rsidR="000A5F42" w:rsidRPr="0012554A" w:rsidRDefault="000A5F42" w:rsidP="000A5F42">
      <w:pPr>
        <w:pStyle w:val="NoSpacing"/>
        <w:rPr>
          <w:rFonts w:cstheme="minorHAnsi"/>
          <w:color w:val="000000" w:themeColor="text1"/>
          <w:sz w:val="20"/>
          <w:szCs w:val="18"/>
        </w:rPr>
      </w:pPr>
      <w:r w:rsidRPr="0012554A">
        <w:rPr>
          <w:rFonts w:cstheme="minorHAnsi"/>
          <w:color w:val="000000" w:themeColor="text1"/>
          <w:sz w:val="20"/>
          <w:szCs w:val="18"/>
        </w:rPr>
        <w:t xml:space="preserve">© </w:t>
      </w:r>
      <w:r w:rsidR="001200CB" w:rsidRPr="0012554A">
        <w:rPr>
          <w:rFonts w:cstheme="minorHAnsi"/>
          <w:color w:val="000000" w:themeColor="text1"/>
          <w:sz w:val="20"/>
          <w:szCs w:val="18"/>
        </w:rPr>
        <w:t>2020</w:t>
      </w:r>
      <w:r w:rsidRPr="0012554A">
        <w:rPr>
          <w:rFonts w:cstheme="minorHAnsi"/>
          <w:color w:val="000000" w:themeColor="text1"/>
          <w:sz w:val="20"/>
          <w:szCs w:val="18"/>
        </w:rPr>
        <w:t xml:space="preserve"> Commonwealth of Australia as represented by the Department of Health</w:t>
      </w:r>
    </w:p>
    <w:p w14:paraId="557FE3C9" w14:textId="41C33825" w:rsidR="000A5F42" w:rsidRPr="0012554A" w:rsidRDefault="000A5F42" w:rsidP="000A5F42">
      <w:pPr>
        <w:pStyle w:val="NoSpacing"/>
        <w:rPr>
          <w:rFonts w:cstheme="minorHAnsi"/>
          <w:color w:val="000000" w:themeColor="text1"/>
          <w:sz w:val="20"/>
          <w:szCs w:val="18"/>
        </w:rPr>
      </w:pPr>
      <w:r w:rsidRPr="0012554A">
        <w:rPr>
          <w:rFonts w:cstheme="minorHAnsi"/>
          <w:color w:val="000000" w:themeColor="text1"/>
          <w:sz w:val="20"/>
          <w:szCs w:val="18"/>
        </w:rPr>
        <w:t>This publication is licensed under a Creative Commons Attribution-</w:t>
      </w:r>
      <w:proofErr w:type="spellStart"/>
      <w:r w:rsidRPr="0012554A">
        <w:rPr>
          <w:rFonts w:cstheme="minorHAnsi"/>
          <w:color w:val="000000" w:themeColor="text1"/>
          <w:sz w:val="20"/>
          <w:szCs w:val="18"/>
        </w:rPr>
        <w:t>NonCommercial</w:t>
      </w:r>
      <w:proofErr w:type="spellEnd"/>
      <w:r w:rsidRPr="0012554A">
        <w:rPr>
          <w:rFonts w:cstheme="minorHAnsi"/>
          <w:color w:val="000000" w:themeColor="text1"/>
          <w:sz w:val="20"/>
          <w:szCs w:val="18"/>
        </w:rPr>
        <w:t>-</w:t>
      </w:r>
      <w:proofErr w:type="spellStart"/>
      <w:r w:rsidRPr="0012554A">
        <w:rPr>
          <w:rFonts w:cstheme="minorHAnsi"/>
          <w:color w:val="000000" w:themeColor="text1"/>
          <w:sz w:val="20"/>
          <w:szCs w:val="18"/>
        </w:rPr>
        <w:t>NoDerivatives</w:t>
      </w:r>
      <w:proofErr w:type="spellEnd"/>
      <w:r w:rsidRPr="0012554A">
        <w:rPr>
          <w:rFonts w:cstheme="minorHAnsi"/>
          <w:color w:val="000000" w:themeColor="text1"/>
          <w:sz w:val="20"/>
          <w:szCs w:val="18"/>
        </w:rPr>
        <w:t xml:space="preserve"> 4.0 International Licence from </w:t>
      </w:r>
      <w:hyperlink r:id="rId31" w:tooltip="Creative Commons licence" w:history="1">
        <w:r w:rsidRPr="0012554A">
          <w:rPr>
            <w:rStyle w:val="Hyperlink"/>
            <w:rFonts w:cstheme="minorHAnsi"/>
            <w:color w:val="000000" w:themeColor="text1"/>
            <w:sz w:val="20"/>
            <w:szCs w:val="18"/>
          </w:rPr>
          <w:t>https://creativecommons.org/licenses/by-nc-nd/4.0/legalcode</w:t>
        </w:r>
      </w:hyperlink>
      <w:r w:rsidRPr="0012554A">
        <w:rPr>
          <w:rStyle w:val="URI"/>
          <w:rFonts w:cstheme="minorHAnsi"/>
          <w:color w:val="000000" w:themeColor="text1"/>
          <w:sz w:val="20"/>
          <w:szCs w:val="18"/>
        </w:rPr>
        <w:t xml:space="preserve"> </w:t>
      </w:r>
      <w:r w:rsidRPr="0012554A">
        <w:rPr>
          <w:rFonts w:cstheme="minorHAnsi"/>
          <w:color w:val="000000" w:themeColor="text1"/>
          <w:sz w:val="20"/>
          <w:szCs w:val="18"/>
        </w:rPr>
        <w:t>(Licence). You must read and understand the Licence before using any material from this publication.</w:t>
      </w:r>
    </w:p>
    <w:p w14:paraId="2652807F" w14:textId="77777777" w:rsidR="000A5F42" w:rsidRPr="0012554A" w:rsidRDefault="000A5F42" w:rsidP="000A5F42">
      <w:pPr>
        <w:pStyle w:val="NoSpacing"/>
        <w:rPr>
          <w:rFonts w:cstheme="minorHAnsi"/>
          <w:color w:val="000000" w:themeColor="text1"/>
          <w:sz w:val="20"/>
          <w:szCs w:val="18"/>
        </w:rPr>
      </w:pPr>
    </w:p>
    <w:p w14:paraId="46183FE2" w14:textId="77777777" w:rsidR="000A5F42" w:rsidRPr="0012554A" w:rsidRDefault="000A5F42" w:rsidP="000A5F42">
      <w:pPr>
        <w:pStyle w:val="NoSpacing"/>
        <w:rPr>
          <w:rFonts w:cstheme="minorHAnsi"/>
          <w:color w:val="000000" w:themeColor="text1"/>
          <w:sz w:val="20"/>
          <w:szCs w:val="18"/>
        </w:rPr>
      </w:pPr>
      <w:r w:rsidRPr="0012554A">
        <w:rPr>
          <w:rStyle w:val="Strong"/>
          <w:rFonts w:cstheme="minorHAnsi"/>
          <w:color w:val="000000" w:themeColor="text1"/>
          <w:sz w:val="20"/>
          <w:szCs w:val="18"/>
        </w:rPr>
        <w:t>Restrictions</w:t>
      </w:r>
      <w:r w:rsidRPr="0012554A">
        <w:rPr>
          <w:rStyle w:val="Strong"/>
          <w:rFonts w:cstheme="minorHAnsi"/>
          <w:color w:val="000000" w:themeColor="text1"/>
          <w:sz w:val="20"/>
          <w:szCs w:val="18"/>
        </w:rPr>
        <w:br/>
      </w:r>
      <w:r w:rsidRPr="0012554A">
        <w:rPr>
          <w:rFonts w:cstheme="minorHAnsi"/>
          <w:color w:val="000000" w:themeColor="text1"/>
          <w:sz w:val="20"/>
          <w:szCs w:val="18"/>
        </w:rPr>
        <w:t>The Licence does not cover, and there is no permission given for, use of any of the following material found in this publication (if</w:t>
      </w:r>
      <w:r w:rsidR="001378A3" w:rsidRPr="0012554A">
        <w:rPr>
          <w:rFonts w:cstheme="minorHAnsi"/>
          <w:color w:val="000000" w:themeColor="text1"/>
          <w:sz w:val="20"/>
          <w:szCs w:val="18"/>
        </w:rPr>
        <w:t> </w:t>
      </w:r>
      <w:r w:rsidRPr="0012554A">
        <w:rPr>
          <w:rFonts w:cstheme="minorHAnsi"/>
          <w:color w:val="000000" w:themeColor="text1"/>
          <w:sz w:val="20"/>
          <w:szCs w:val="18"/>
        </w:rPr>
        <w:t xml:space="preserve">any): </w:t>
      </w:r>
    </w:p>
    <w:p w14:paraId="2B57A056" w14:textId="3CB67F6F" w:rsidR="000A5F42" w:rsidRPr="0012554A" w:rsidRDefault="000A5F42" w:rsidP="000A5F42">
      <w:pPr>
        <w:pStyle w:val="NoSpacing"/>
        <w:numPr>
          <w:ilvl w:val="0"/>
          <w:numId w:val="6"/>
        </w:numPr>
        <w:rPr>
          <w:rFonts w:cstheme="minorHAnsi"/>
          <w:color w:val="000000" w:themeColor="text1"/>
          <w:sz w:val="20"/>
          <w:szCs w:val="18"/>
        </w:rPr>
      </w:pPr>
      <w:r w:rsidRPr="0012554A">
        <w:rPr>
          <w:rFonts w:cstheme="minorHAnsi"/>
          <w:color w:val="000000" w:themeColor="text1"/>
          <w:sz w:val="20"/>
          <w:szCs w:val="18"/>
        </w:rPr>
        <w:t xml:space="preserve">the Commonwealth Coat of Arms (by way of information, the terms under which the Coat of Arms may be used can be found at </w:t>
      </w:r>
      <w:hyperlink r:id="rId32" w:tooltip="Australian Honours system website" w:history="1">
        <w:r w:rsidRPr="0012554A">
          <w:rPr>
            <w:rStyle w:val="Hyperlink"/>
            <w:rFonts w:cstheme="minorHAnsi"/>
            <w:color w:val="000000" w:themeColor="text1"/>
            <w:sz w:val="20"/>
            <w:szCs w:val="18"/>
          </w:rPr>
          <w:t>www.itsanhonour.gov.au</w:t>
        </w:r>
      </w:hyperlink>
      <w:r w:rsidRPr="0012554A">
        <w:rPr>
          <w:rStyle w:val="URI"/>
          <w:rFonts w:cstheme="minorHAnsi"/>
          <w:color w:val="000000" w:themeColor="text1"/>
          <w:sz w:val="20"/>
          <w:szCs w:val="18"/>
          <w:u w:val="none"/>
        </w:rPr>
        <w:t>)</w:t>
      </w:r>
      <w:r w:rsidRPr="0012554A">
        <w:rPr>
          <w:rFonts w:cstheme="minorHAnsi"/>
          <w:color w:val="000000" w:themeColor="text1"/>
          <w:sz w:val="20"/>
          <w:szCs w:val="18"/>
        </w:rPr>
        <w:t xml:space="preserve">;  </w:t>
      </w:r>
    </w:p>
    <w:p w14:paraId="5BAED7E9" w14:textId="77777777" w:rsidR="000A5F42" w:rsidRPr="0012554A" w:rsidRDefault="000A5F42" w:rsidP="000A5F42">
      <w:pPr>
        <w:pStyle w:val="NoSpacing"/>
        <w:numPr>
          <w:ilvl w:val="0"/>
          <w:numId w:val="6"/>
        </w:numPr>
        <w:rPr>
          <w:rFonts w:cstheme="minorHAnsi"/>
          <w:color w:val="000000" w:themeColor="text1"/>
          <w:sz w:val="20"/>
          <w:szCs w:val="18"/>
        </w:rPr>
      </w:pPr>
      <w:r w:rsidRPr="0012554A">
        <w:rPr>
          <w:rFonts w:cstheme="minorHAnsi"/>
          <w:color w:val="000000" w:themeColor="text1"/>
          <w:sz w:val="20"/>
          <w:szCs w:val="18"/>
        </w:rPr>
        <w:t>any logos (including the Department of Health’s logo) and trademarks;</w:t>
      </w:r>
    </w:p>
    <w:p w14:paraId="5D9DE939" w14:textId="77777777" w:rsidR="000A5F42" w:rsidRPr="0012554A" w:rsidRDefault="000A5F42" w:rsidP="000A5F42">
      <w:pPr>
        <w:pStyle w:val="NoSpacing"/>
        <w:numPr>
          <w:ilvl w:val="0"/>
          <w:numId w:val="6"/>
        </w:numPr>
        <w:rPr>
          <w:rFonts w:cstheme="minorHAnsi"/>
          <w:color w:val="000000" w:themeColor="text1"/>
          <w:sz w:val="20"/>
          <w:szCs w:val="18"/>
        </w:rPr>
      </w:pPr>
      <w:r w:rsidRPr="0012554A">
        <w:rPr>
          <w:rFonts w:cstheme="minorHAnsi"/>
          <w:color w:val="000000" w:themeColor="text1"/>
          <w:sz w:val="20"/>
          <w:szCs w:val="18"/>
        </w:rPr>
        <w:t xml:space="preserve">any photographs and images; </w:t>
      </w:r>
    </w:p>
    <w:p w14:paraId="0E0918E9" w14:textId="77777777" w:rsidR="000A5F42" w:rsidRPr="0012554A" w:rsidRDefault="000A5F42" w:rsidP="000A5F42">
      <w:pPr>
        <w:pStyle w:val="NoSpacing"/>
        <w:numPr>
          <w:ilvl w:val="0"/>
          <w:numId w:val="6"/>
        </w:numPr>
        <w:rPr>
          <w:rFonts w:cstheme="minorHAnsi"/>
          <w:color w:val="000000" w:themeColor="text1"/>
          <w:sz w:val="20"/>
          <w:szCs w:val="18"/>
        </w:rPr>
      </w:pPr>
      <w:r w:rsidRPr="0012554A">
        <w:rPr>
          <w:rFonts w:cstheme="minorHAnsi"/>
          <w:color w:val="000000" w:themeColor="text1"/>
          <w:sz w:val="20"/>
          <w:szCs w:val="18"/>
        </w:rPr>
        <w:t>any signatures; and</w:t>
      </w:r>
    </w:p>
    <w:p w14:paraId="0E0D5706" w14:textId="77777777" w:rsidR="000A5F42" w:rsidRPr="0012554A" w:rsidRDefault="000A5F42" w:rsidP="000A5F42">
      <w:pPr>
        <w:pStyle w:val="NoSpacing"/>
        <w:numPr>
          <w:ilvl w:val="0"/>
          <w:numId w:val="6"/>
        </w:numPr>
        <w:rPr>
          <w:rFonts w:cstheme="minorHAnsi"/>
          <w:color w:val="000000" w:themeColor="text1"/>
          <w:sz w:val="20"/>
          <w:szCs w:val="18"/>
        </w:rPr>
      </w:pPr>
      <w:r w:rsidRPr="0012554A">
        <w:rPr>
          <w:rFonts w:cstheme="minorHAnsi"/>
          <w:color w:val="000000" w:themeColor="text1"/>
          <w:sz w:val="20"/>
          <w:szCs w:val="18"/>
        </w:rPr>
        <w:t xml:space="preserve">any material belonging to third parties. </w:t>
      </w:r>
    </w:p>
    <w:p w14:paraId="30D03362" w14:textId="77777777" w:rsidR="000A5F42" w:rsidRPr="0012554A" w:rsidRDefault="000A5F42" w:rsidP="000A5F42">
      <w:pPr>
        <w:pStyle w:val="NoSpacing"/>
        <w:rPr>
          <w:rStyle w:val="Strong"/>
          <w:rFonts w:cstheme="minorHAnsi"/>
          <w:color w:val="000000" w:themeColor="text1"/>
          <w:sz w:val="20"/>
          <w:szCs w:val="18"/>
        </w:rPr>
      </w:pPr>
    </w:p>
    <w:p w14:paraId="3E5004E7" w14:textId="77777777" w:rsidR="000A5F42" w:rsidRPr="0012554A" w:rsidRDefault="000A5F42" w:rsidP="000A5F42">
      <w:pPr>
        <w:pStyle w:val="NoSpacing"/>
        <w:rPr>
          <w:rStyle w:val="Strong"/>
          <w:rFonts w:cstheme="minorHAnsi"/>
          <w:color w:val="000000" w:themeColor="text1"/>
          <w:sz w:val="20"/>
          <w:szCs w:val="18"/>
        </w:rPr>
      </w:pPr>
      <w:r w:rsidRPr="0012554A">
        <w:rPr>
          <w:rStyle w:val="Strong"/>
          <w:rFonts w:cstheme="minorHAnsi"/>
          <w:color w:val="000000" w:themeColor="text1"/>
          <w:sz w:val="20"/>
          <w:szCs w:val="18"/>
        </w:rPr>
        <w:t>Disclaimer</w:t>
      </w:r>
      <w:r w:rsidRPr="0012554A">
        <w:rPr>
          <w:rStyle w:val="Strong"/>
          <w:rFonts w:cstheme="minorHAnsi"/>
          <w:color w:val="000000" w:themeColor="text1"/>
          <w:sz w:val="20"/>
          <w:szCs w:val="18"/>
        </w:rPr>
        <w:br/>
      </w:r>
      <w:r w:rsidRPr="0012554A">
        <w:rPr>
          <w:rFonts w:cstheme="minorHAnsi"/>
          <w:color w:val="000000" w:themeColor="text1"/>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ED8E4A4" w14:textId="77777777" w:rsidR="000A5F42" w:rsidRPr="0012554A" w:rsidRDefault="000A5F42" w:rsidP="000A5F42">
      <w:pPr>
        <w:pStyle w:val="NoSpacing"/>
        <w:rPr>
          <w:rStyle w:val="Strong"/>
          <w:rFonts w:cstheme="minorHAnsi"/>
          <w:color w:val="000000" w:themeColor="text1"/>
          <w:sz w:val="20"/>
          <w:szCs w:val="18"/>
        </w:rPr>
      </w:pPr>
    </w:p>
    <w:p w14:paraId="01C82F70" w14:textId="54BE0AAF" w:rsidR="000A5F42" w:rsidRPr="0012554A" w:rsidRDefault="000A5F42" w:rsidP="000A5F42">
      <w:pPr>
        <w:pStyle w:val="NoSpacing"/>
        <w:rPr>
          <w:rStyle w:val="URI"/>
          <w:rFonts w:cstheme="minorHAnsi"/>
          <w:color w:val="000000" w:themeColor="text1"/>
          <w:sz w:val="20"/>
          <w:szCs w:val="18"/>
        </w:rPr>
      </w:pPr>
      <w:r w:rsidRPr="0012554A">
        <w:rPr>
          <w:rStyle w:val="Strong"/>
          <w:rFonts w:cstheme="minorHAnsi"/>
          <w:color w:val="000000" w:themeColor="text1"/>
          <w:sz w:val="20"/>
          <w:szCs w:val="18"/>
        </w:rPr>
        <w:t>Enquiries</w:t>
      </w:r>
      <w:r w:rsidRPr="0012554A">
        <w:rPr>
          <w:rStyle w:val="Strong"/>
          <w:rFonts w:cstheme="minorHAnsi"/>
          <w:color w:val="000000" w:themeColor="text1"/>
          <w:sz w:val="20"/>
          <w:szCs w:val="18"/>
        </w:rPr>
        <w:br/>
      </w:r>
      <w:proofErr w:type="spellStart"/>
      <w:r w:rsidRPr="0012554A">
        <w:rPr>
          <w:rFonts w:cstheme="minorHAnsi"/>
          <w:color w:val="000000" w:themeColor="text1"/>
          <w:sz w:val="20"/>
          <w:szCs w:val="18"/>
        </w:rPr>
        <w:t>Enquiries</w:t>
      </w:r>
      <w:proofErr w:type="spellEnd"/>
      <w:r w:rsidRPr="0012554A">
        <w:rPr>
          <w:rFonts w:cstheme="minorHAnsi"/>
          <w:color w:val="000000" w:themeColor="text1"/>
          <w:sz w:val="20"/>
          <w:szCs w:val="18"/>
        </w:rPr>
        <w:t xml:space="preserve"> regarding any other use of this publication should be addressed to the Communication Branch, Department of Health, GPO Box 9848, Canberra ACT 2601, or via e-mail to: </w:t>
      </w:r>
      <w:hyperlink r:id="rId33" w:history="1">
        <w:r w:rsidRPr="0012554A">
          <w:rPr>
            <w:rStyle w:val="Hyperlink"/>
            <w:rFonts w:cstheme="minorHAnsi"/>
            <w:color w:val="000000" w:themeColor="text1"/>
            <w:sz w:val="20"/>
            <w:szCs w:val="18"/>
          </w:rPr>
          <w:t>copyright@health.gov.au</w:t>
        </w:r>
      </w:hyperlink>
      <w:r w:rsidRPr="0012554A">
        <w:rPr>
          <w:rStyle w:val="URI"/>
          <w:rFonts w:cstheme="minorHAnsi"/>
          <w:color w:val="000000" w:themeColor="text1"/>
          <w:sz w:val="20"/>
          <w:szCs w:val="18"/>
        </w:rPr>
        <w:t xml:space="preserve"> </w:t>
      </w:r>
    </w:p>
    <w:p w14:paraId="77D09694" w14:textId="77777777" w:rsidR="000A5F42" w:rsidRPr="0012554A" w:rsidRDefault="000A5F42" w:rsidP="000A5F42">
      <w:pPr>
        <w:pStyle w:val="NoSpacing"/>
        <w:rPr>
          <w:rStyle w:val="URI"/>
          <w:rFonts w:cstheme="minorHAnsi"/>
          <w:color w:val="000000" w:themeColor="text1"/>
          <w:sz w:val="20"/>
          <w:szCs w:val="18"/>
        </w:rPr>
      </w:pPr>
    </w:p>
    <w:p w14:paraId="182DA322" w14:textId="73FD5AFD" w:rsidR="000A5F42" w:rsidRPr="0012554A" w:rsidRDefault="000A5F42" w:rsidP="000A5F42">
      <w:pPr>
        <w:pStyle w:val="NoSpacing"/>
        <w:rPr>
          <w:rStyle w:val="Strong"/>
          <w:rFonts w:cstheme="minorHAnsi"/>
          <w:b w:val="0"/>
          <w:bCs w:val="0"/>
          <w:color w:val="000000" w:themeColor="text1"/>
          <w:sz w:val="20"/>
          <w:szCs w:val="18"/>
          <w:u w:val="thick"/>
        </w:rPr>
      </w:pPr>
      <w:r w:rsidRPr="0012554A">
        <w:rPr>
          <w:rStyle w:val="Strong"/>
          <w:rFonts w:cstheme="minorHAnsi"/>
          <w:color w:val="000000" w:themeColor="text1"/>
          <w:sz w:val="20"/>
          <w:szCs w:val="18"/>
        </w:rPr>
        <w:t>Communicable Diseases Network Australia</w:t>
      </w:r>
      <w:r w:rsidRPr="0012554A">
        <w:rPr>
          <w:rStyle w:val="Strong"/>
          <w:rFonts w:cstheme="minorHAnsi"/>
          <w:color w:val="000000" w:themeColor="text1"/>
          <w:sz w:val="20"/>
          <w:szCs w:val="18"/>
        </w:rPr>
        <w:br/>
      </w:r>
      <w:r w:rsidRPr="0012554A">
        <w:rPr>
          <w:rFonts w:cstheme="minorHAnsi"/>
          <w:color w:val="000000" w:themeColor="text1"/>
          <w:sz w:val="20"/>
          <w:szCs w:val="18"/>
        </w:rPr>
        <w:t>Communicable Diseases Intelligence contributes to the work of the Communicable Diseases Network Australia.</w:t>
      </w:r>
      <w:r w:rsidRPr="0012554A">
        <w:rPr>
          <w:rFonts w:cstheme="minorHAnsi"/>
          <w:color w:val="000000" w:themeColor="text1"/>
          <w:sz w:val="20"/>
          <w:szCs w:val="18"/>
        </w:rPr>
        <w:br/>
      </w:r>
      <w:hyperlink r:id="rId34" w:tooltip="Communicable Diseases Network Australia website" w:history="1">
        <w:r w:rsidRPr="0012554A">
          <w:rPr>
            <w:rStyle w:val="Hyperlink"/>
            <w:rFonts w:cstheme="minorHAnsi"/>
            <w:color w:val="000000" w:themeColor="text1"/>
            <w:sz w:val="20"/>
            <w:szCs w:val="18"/>
          </w:rPr>
          <w:t>http://www.health.gov.au/cdna</w:t>
        </w:r>
      </w:hyperlink>
    </w:p>
    <w:p w14:paraId="29D80108" w14:textId="77777777" w:rsidR="001B37B8" w:rsidRPr="0012554A" w:rsidRDefault="001B37B8" w:rsidP="001B37B8">
      <w:pPr>
        <w:rPr>
          <w:rFonts w:cstheme="minorHAnsi"/>
          <w:color w:val="000000" w:themeColor="text1"/>
          <w:sz w:val="20"/>
          <w:szCs w:val="20"/>
        </w:rPr>
      </w:pPr>
    </w:p>
    <w:sectPr w:rsidR="001B37B8" w:rsidRPr="0012554A" w:rsidSect="002B75A9">
      <w:headerReference w:type="default" r:id="rId3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1D9E6" w14:textId="77777777" w:rsidR="009F5857" w:rsidRDefault="009F5857" w:rsidP="00E54DBA">
      <w:r>
        <w:separator/>
      </w:r>
    </w:p>
    <w:p w14:paraId="688136CD" w14:textId="77777777" w:rsidR="009F5857" w:rsidRDefault="009F5857"/>
    <w:p w14:paraId="4020460B" w14:textId="77777777" w:rsidR="009F5857" w:rsidRDefault="009F5857" w:rsidP="008714B0"/>
  </w:endnote>
  <w:endnote w:type="continuationSeparator" w:id="0">
    <w:p w14:paraId="7A397FFA" w14:textId="77777777" w:rsidR="009F5857" w:rsidRDefault="009F5857" w:rsidP="00E54DBA">
      <w:r>
        <w:continuationSeparator/>
      </w:r>
    </w:p>
    <w:p w14:paraId="0AEF87F8" w14:textId="77777777" w:rsidR="009F5857" w:rsidRDefault="009F5857"/>
    <w:p w14:paraId="223FE92C" w14:textId="77777777" w:rsidR="009F5857" w:rsidRDefault="009F5857" w:rsidP="008714B0"/>
  </w:endnote>
  <w:endnote w:type="continuationNotice" w:id="1">
    <w:p w14:paraId="39D740A2" w14:textId="77777777" w:rsidR="009F5857" w:rsidRDefault="009F58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5FBC" w14:textId="05424571" w:rsidR="009F5857" w:rsidRPr="0042435E" w:rsidRDefault="009F5857"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01BEA">
      <w:rPr>
        <w:noProof/>
        <w:sz w:val="18"/>
      </w:rPr>
      <w:t>22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01BEA">
      <w:rPr>
        <w:noProof/>
        <w:sz w:val="18"/>
      </w:rPr>
      <w:t>30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8E465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E7C78">
      <w:rPr>
        <w:sz w:val="18"/>
      </w:rPr>
      <w:t>https://doi.org/10.33321/cdi.2020.44.70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5E7C78">
      <w:rPr>
        <w:sz w:val="18"/>
      </w:rPr>
      <w:t>26/8/2020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066A1" w14:textId="3B202DC4" w:rsidR="009F5857" w:rsidRPr="00BB5378" w:rsidRDefault="009F5857"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01BEA">
      <w:rPr>
        <w:noProof/>
        <w:sz w:val="18"/>
      </w:rPr>
      <w:t>16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01BEA">
      <w:rPr>
        <w:noProof/>
        <w:sz w:val="18"/>
      </w:rPr>
      <w:t>30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8E465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E7C78">
      <w:rPr>
        <w:sz w:val="18"/>
      </w:rPr>
      <w:t>https://doi.org/10.33321/cdi.2020.44.70</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5E7C78">
      <w:rPr>
        <w:sz w:val="18"/>
      </w:rPr>
      <w:t>26/8/2020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ADB22" w14:textId="77777777" w:rsidR="009F5857" w:rsidRDefault="009F5857" w:rsidP="00E54DBA">
      <w:r>
        <w:separator/>
      </w:r>
    </w:p>
  </w:footnote>
  <w:footnote w:type="continuationSeparator" w:id="0">
    <w:p w14:paraId="0AD865D4" w14:textId="77777777" w:rsidR="009F5857" w:rsidRDefault="009F5857" w:rsidP="00E54DBA">
      <w:r>
        <w:continuationSeparator/>
      </w:r>
    </w:p>
  </w:footnote>
  <w:footnote w:type="continuationNotice" w:id="1">
    <w:p w14:paraId="38279A92" w14:textId="77777777" w:rsidR="009F5857" w:rsidRPr="00224EFF" w:rsidRDefault="009F5857" w:rsidP="00224EFF">
      <w:pPr>
        <w:pStyle w:val="Footer"/>
      </w:pPr>
    </w:p>
  </w:footnote>
  <w:footnote w:id="2">
    <w:p w14:paraId="0816976E" w14:textId="6FD52202" w:rsidR="009F5857" w:rsidRDefault="009F5857" w:rsidP="008E589D">
      <w:pPr>
        <w:pStyle w:val="CDIfootnotes"/>
      </w:pPr>
      <w:r>
        <w:rPr>
          <w:rStyle w:val="FootnoteReference"/>
        </w:rPr>
        <w:footnoteRef/>
      </w:r>
      <w:r>
        <w:tab/>
      </w:r>
      <w:r w:rsidRPr="00F528CB">
        <w:t>This report addresses indicators listed in the CDNA National Surveillance Plan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A6D9" w14:textId="77777777" w:rsidR="009F5857" w:rsidRPr="00A153B6" w:rsidRDefault="00C94277" w:rsidP="00A153B6">
    <w:pPr>
      <w:pStyle w:val="Header"/>
      <w:pBdr>
        <w:bottom w:val="single" w:sz="6" w:space="1" w:color="auto"/>
      </w:pBdr>
    </w:pPr>
    <w:sdt>
      <w:sdtPr>
        <w:alias w:val="Category"/>
        <w:tag w:val=""/>
        <w:id w:val="-252508581"/>
        <w:dataBinding w:prefixMappings="xmlns:ns0='http://purl.org/dc/elements/1.1/' xmlns:ns1='http://schemas.openxmlformats.org/package/2006/metadata/core-properties' " w:xpath="/ns1:coreProperties[1]/ns1:category[1]" w:storeItemID="{6C3C8BC8-F283-45AE-878A-BAB7291924A1}"/>
        <w:text/>
      </w:sdtPr>
      <w:sdtEndPr/>
      <w:sdtContent>
        <w:r w:rsidR="009F5857">
          <w:t>Fortnightly epidemiological report</w:t>
        </w:r>
      </w:sdtContent>
    </w:sdt>
    <w:r w:rsidR="009F5857">
      <w:ptab w:relativeTo="margin" w:alignment="right" w:leader="none"/>
    </w:r>
    <w:r w:rsidR="009F5857"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0CC5" w14:textId="77777777" w:rsidR="009F5857" w:rsidRPr="000A5F42" w:rsidRDefault="009F5857" w:rsidP="000A5F42">
    <w:pPr>
      <w:pStyle w:val="Header"/>
      <w:jc w:val="center"/>
      <w:rPr>
        <w:b/>
      </w:rPr>
    </w:pPr>
    <w:r w:rsidRPr="00E810C5">
      <w:rPr>
        <w:rFonts w:cs="Myriad Pro"/>
        <w:noProof/>
        <w:color w:val="211D1E"/>
        <w:sz w:val="16"/>
      </w:rPr>
      <w:drawing>
        <wp:inline distT="0" distB="0" distL="0" distR="0" wp14:anchorId="72C8FACD" wp14:editId="234A785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5F9F"/>
    <w:multiLevelType w:val="multilevel"/>
    <w:tmpl w:val="2744A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DB7779"/>
    <w:multiLevelType w:val="hybridMultilevel"/>
    <w:tmpl w:val="70CEF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6B7A15"/>
    <w:multiLevelType w:val="hybridMultilevel"/>
    <w:tmpl w:val="A976B3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39130D"/>
    <w:multiLevelType w:val="hybridMultilevel"/>
    <w:tmpl w:val="CC569DB6"/>
    <w:lvl w:ilvl="0" w:tplc="F730B0A8">
      <w:start w:val="10"/>
      <w:numFmt w:val="bullet"/>
      <w:lvlText w:val=""/>
      <w:lvlJc w:val="left"/>
      <w:pPr>
        <w:ind w:left="198" w:hanging="360"/>
      </w:pPr>
      <w:rPr>
        <w:rFonts w:ascii="Symbol" w:eastAsiaTheme="minorHAnsi" w:hAnsi="Symbol" w:cs="Arial" w:hint="default"/>
        <w:color w:val="auto"/>
      </w:rPr>
    </w:lvl>
    <w:lvl w:ilvl="1" w:tplc="0C090003" w:tentative="1">
      <w:start w:val="1"/>
      <w:numFmt w:val="bullet"/>
      <w:lvlText w:val="o"/>
      <w:lvlJc w:val="left"/>
      <w:pPr>
        <w:ind w:left="918" w:hanging="360"/>
      </w:pPr>
      <w:rPr>
        <w:rFonts w:ascii="Courier New" w:hAnsi="Courier New" w:cs="Courier New" w:hint="default"/>
      </w:rPr>
    </w:lvl>
    <w:lvl w:ilvl="2" w:tplc="0C090005" w:tentative="1">
      <w:start w:val="1"/>
      <w:numFmt w:val="bullet"/>
      <w:lvlText w:val=""/>
      <w:lvlJc w:val="left"/>
      <w:pPr>
        <w:ind w:left="1638" w:hanging="360"/>
      </w:pPr>
      <w:rPr>
        <w:rFonts w:ascii="Wingdings" w:hAnsi="Wingdings" w:hint="default"/>
      </w:rPr>
    </w:lvl>
    <w:lvl w:ilvl="3" w:tplc="0C090001" w:tentative="1">
      <w:start w:val="1"/>
      <w:numFmt w:val="bullet"/>
      <w:lvlText w:val=""/>
      <w:lvlJc w:val="left"/>
      <w:pPr>
        <w:ind w:left="2358" w:hanging="360"/>
      </w:pPr>
      <w:rPr>
        <w:rFonts w:ascii="Symbol" w:hAnsi="Symbol" w:hint="default"/>
      </w:rPr>
    </w:lvl>
    <w:lvl w:ilvl="4" w:tplc="0C090003" w:tentative="1">
      <w:start w:val="1"/>
      <w:numFmt w:val="bullet"/>
      <w:lvlText w:val="o"/>
      <w:lvlJc w:val="left"/>
      <w:pPr>
        <w:ind w:left="3078" w:hanging="360"/>
      </w:pPr>
      <w:rPr>
        <w:rFonts w:ascii="Courier New" w:hAnsi="Courier New" w:cs="Courier New" w:hint="default"/>
      </w:rPr>
    </w:lvl>
    <w:lvl w:ilvl="5" w:tplc="0C090005" w:tentative="1">
      <w:start w:val="1"/>
      <w:numFmt w:val="bullet"/>
      <w:lvlText w:val=""/>
      <w:lvlJc w:val="left"/>
      <w:pPr>
        <w:ind w:left="3798" w:hanging="360"/>
      </w:pPr>
      <w:rPr>
        <w:rFonts w:ascii="Wingdings" w:hAnsi="Wingdings" w:hint="default"/>
      </w:rPr>
    </w:lvl>
    <w:lvl w:ilvl="6" w:tplc="0C090001" w:tentative="1">
      <w:start w:val="1"/>
      <w:numFmt w:val="bullet"/>
      <w:lvlText w:val=""/>
      <w:lvlJc w:val="left"/>
      <w:pPr>
        <w:ind w:left="4518" w:hanging="360"/>
      </w:pPr>
      <w:rPr>
        <w:rFonts w:ascii="Symbol" w:hAnsi="Symbol" w:hint="default"/>
      </w:rPr>
    </w:lvl>
    <w:lvl w:ilvl="7" w:tplc="0C090003" w:tentative="1">
      <w:start w:val="1"/>
      <w:numFmt w:val="bullet"/>
      <w:lvlText w:val="o"/>
      <w:lvlJc w:val="left"/>
      <w:pPr>
        <w:ind w:left="5238" w:hanging="360"/>
      </w:pPr>
      <w:rPr>
        <w:rFonts w:ascii="Courier New" w:hAnsi="Courier New" w:cs="Courier New" w:hint="default"/>
      </w:rPr>
    </w:lvl>
    <w:lvl w:ilvl="8" w:tplc="0C090005" w:tentative="1">
      <w:start w:val="1"/>
      <w:numFmt w:val="bullet"/>
      <w:lvlText w:val=""/>
      <w:lvlJc w:val="left"/>
      <w:pPr>
        <w:ind w:left="5958" w:hanging="360"/>
      </w:pPr>
      <w:rPr>
        <w:rFonts w:ascii="Wingdings" w:hAnsi="Wingdings" w:hint="default"/>
      </w:rPr>
    </w:lvl>
  </w:abstractNum>
  <w:abstractNum w:abstractNumId="4" w15:restartNumberingAfterBreak="0">
    <w:nsid w:val="13C3576F"/>
    <w:multiLevelType w:val="hybridMultilevel"/>
    <w:tmpl w:val="1E10BFBE"/>
    <w:lvl w:ilvl="0" w:tplc="2CC6036C">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99E6E0B"/>
    <w:multiLevelType w:val="hybridMultilevel"/>
    <w:tmpl w:val="C31ED2BC"/>
    <w:lvl w:ilvl="0" w:tplc="2CC6036C">
      <w:start w:val="1"/>
      <w:numFmt w:val="lowerLetter"/>
      <w:lvlText w:val="%1"/>
      <w:lvlJc w:val="left"/>
      <w:pPr>
        <w:ind w:left="720" w:hanging="360"/>
      </w:pPr>
      <w:rPr>
        <w:rFonts w:hint="default"/>
      </w:rPr>
    </w:lvl>
    <w:lvl w:ilvl="1" w:tplc="B5E45CCE">
      <w:start w:val="1"/>
      <w:numFmt w:val="decimal"/>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A5448F"/>
    <w:multiLevelType w:val="hybridMultilevel"/>
    <w:tmpl w:val="D39C7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371931"/>
    <w:multiLevelType w:val="hybridMultilevel"/>
    <w:tmpl w:val="AB707274"/>
    <w:lvl w:ilvl="0" w:tplc="74B8193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A06"/>
    <w:multiLevelType w:val="hybridMultilevel"/>
    <w:tmpl w:val="3EAA6E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E5B3F57"/>
    <w:multiLevelType w:val="hybridMultilevel"/>
    <w:tmpl w:val="CDBC23B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7264DD"/>
    <w:multiLevelType w:val="hybridMultilevel"/>
    <w:tmpl w:val="71F89742"/>
    <w:lvl w:ilvl="0" w:tplc="2794DA32">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61B0B71"/>
    <w:multiLevelType w:val="multilevel"/>
    <w:tmpl w:val="3A9A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A1256C"/>
    <w:multiLevelType w:val="hybridMultilevel"/>
    <w:tmpl w:val="B0486604"/>
    <w:lvl w:ilvl="0" w:tplc="2CC603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8E76D3"/>
    <w:multiLevelType w:val="hybridMultilevel"/>
    <w:tmpl w:val="7F9023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0A5FFB"/>
    <w:multiLevelType w:val="hybridMultilevel"/>
    <w:tmpl w:val="CF2EAD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83E7061"/>
    <w:multiLevelType w:val="hybridMultilevel"/>
    <w:tmpl w:val="871E1B9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0A4FA5"/>
    <w:multiLevelType w:val="hybridMultilevel"/>
    <w:tmpl w:val="A7B2E56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53245F"/>
    <w:multiLevelType w:val="hybridMultilevel"/>
    <w:tmpl w:val="11040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BA7D26"/>
    <w:multiLevelType w:val="hybridMultilevel"/>
    <w:tmpl w:val="E29E8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CFE2A87"/>
    <w:multiLevelType w:val="multilevel"/>
    <w:tmpl w:val="667E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C83AD0"/>
    <w:multiLevelType w:val="hybridMultilevel"/>
    <w:tmpl w:val="E4A8B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5B73974"/>
    <w:multiLevelType w:val="hybridMultilevel"/>
    <w:tmpl w:val="B5724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2E7EDE"/>
    <w:multiLevelType w:val="hybridMultilevel"/>
    <w:tmpl w:val="A4CEDF70"/>
    <w:lvl w:ilvl="0" w:tplc="5D9CA29C">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03244D0"/>
    <w:multiLevelType w:val="hybridMultilevel"/>
    <w:tmpl w:val="606445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0FF05B1"/>
    <w:multiLevelType w:val="hybridMultilevel"/>
    <w:tmpl w:val="12F8F9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2746E92"/>
    <w:multiLevelType w:val="hybridMultilevel"/>
    <w:tmpl w:val="61B6FE34"/>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7A6A63"/>
    <w:multiLevelType w:val="hybridMultilevel"/>
    <w:tmpl w:val="495E2F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09A394E"/>
    <w:multiLevelType w:val="hybridMultilevel"/>
    <w:tmpl w:val="20D25FF6"/>
    <w:lvl w:ilvl="0" w:tplc="0C090019">
      <w:start w:val="1"/>
      <w:numFmt w:val="lowerLetter"/>
      <w:lvlText w:val="%1."/>
      <w:lvlJc w:val="left"/>
      <w:pPr>
        <w:ind w:left="720" w:hanging="360"/>
      </w:pPr>
      <w:rPr>
        <w:rFonts w:hint="default"/>
      </w:rPr>
    </w:lvl>
    <w:lvl w:ilvl="1" w:tplc="B5E45CCE">
      <w:start w:val="1"/>
      <w:numFmt w:val="decimal"/>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9787687"/>
    <w:multiLevelType w:val="hybridMultilevel"/>
    <w:tmpl w:val="FBF20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2068FA"/>
    <w:multiLevelType w:val="hybridMultilevel"/>
    <w:tmpl w:val="035668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AC51C1E"/>
    <w:multiLevelType w:val="hybridMultilevel"/>
    <w:tmpl w:val="DC6A720A"/>
    <w:lvl w:ilvl="0" w:tplc="5D9CA29C">
      <w:numFmt w:val="bullet"/>
      <w:lvlText w:val="•"/>
      <w:lvlJc w:val="left"/>
      <w:pPr>
        <w:ind w:left="720" w:hanging="72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C8C4EC5"/>
    <w:multiLevelType w:val="hybridMultilevel"/>
    <w:tmpl w:val="51EE9B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09700659">
    <w:abstractNumId w:val="13"/>
  </w:num>
  <w:num w:numId="2" w16cid:durableId="446583330">
    <w:abstractNumId w:val="24"/>
  </w:num>
  <w:num w:numId="3" w16cid:durableId="883522552">
    <w:abstractNumId w:val="25"/>
  </w:num>
  <w:num w:numId="4" w16cid:durableId="10224870">
    <w:abstractNumId w:val="10"/>
  </w:num>
  <w:num w:numId="5" w16cid:durableId="363942441">
    <w:abstractNumId w:val="33"/>
  </w:num>
  <w:num w:numId="6" w16cid:durableId="1868786871">
    <w:abstractNumId w:val="34"/>
  </w:num>
  <w:num w:numId="7" w16cid:durableId="1944455018">
    <w:abstractNumId w:val="21"/>
  </w:num>
  <w:num w:numId="8" w16cid:durableId="1067193717">
    <w:abstractNumId w:val="12"/>
  </w:num>
  <w:num w:numId="9" w16cid:durableId="1743287668">
    <w:abstractNumId w:val="0"/>
  </w:num>
  <w:num w:numId="10" w16cid:durableId="857085823">
    <w:abstractNumId w:val="30"/>
  </w:num>
  <w:num w:numId="11" w16cid:durableId="1611819984">
    <w:abstractNumId w:val="32"/>
  </w:num>
  <w:num w:numId="12" w16cid:durableId="1999847875">
    <w:abstractNumId w:val="35"/>
  </w:num>
  <w:num w:numId="13" w16cid:durableId="882862090">
    <w:abstractNumId w:val="3"/>
  </w:num>
  <w:num w:numId="14" w16cid:durableId="1335299851">
    <w:abstractNumId w:val="17"/>
  </w:num>
  <w:num w:numId="15" w16cid:durableId="1507015088">
    <w:abstractNumId w:val="22"/>
  </w:num>
  <w:num w:numId="16" w16cid:durableId="1421559145">
    <w:abstractNumId w:val="37"/>
  </w:num>
  <w:num w:numId="17" w16cid:durableId="1958102809">
    <w:abstractNumId w:val="20"/>
  </w:num>
  <w:num w:numId="18" w16cid:durableId="1913081898">
    <w:abstractNumId w:val="8"/>
  </w:num>
  <w:num w:numId="19" w16cid:durableId="1354333740">
    <w:abstractNumId w:val="16"/>
  </w:num>
  <w:num w:numId="20" w16cid:durableId="483083557">
    <w:abstractNumId w:val="9"/>
  </w:num>
  <w:num w:numId="21" w16cid:durableId="2060013193">
    <w:abstractNumId w:val="27"/>
  </w:num>
  <w:num w:numId="22" w16cid:durableId="2112117754">
    <w:abstractNumId w:val="18"/>
  </w:num>
  <w:num w:numId="23" w16cid:durableId="119997232">
    <w:abstractNumId w:val="11"/>
  </w:num>
  <w:num w:numId="24" w16cid:durableId="497231455">
    <w:abstractNumId w:val="4"/>
  </w:num>
  <w:num w:numId="25" w16cid:durableId="2122407556">
    <w:abstractNumId w:val="14"/>
  </w:num>
  <w:num w:numId="26" w16cid:durableId="425154359">
    <w:abstractNumId w:val="28"/>
  </w:num>
  <w:num w:numId="27" w16cid:durableId="116609536">
    <w:abstractNumId w:val="6"/>
  </w:num>
  <w:num w:numId="28" w16cid:durableId="1411123315">
    <w:abstractNumId w:val="36"/>
  </w:num>
  <w:num w:numId="29" w16cid:durableId="1910772417">
    <w:abstractNumId w:val="15"/>
  </w:num>
  <w:num w:numId="30" w16cid:durableId="908270508">
    <w:abstractNumId w:val="7"/>
  </w:num>
  <w:num w:numId="31" w16cid:durableId="399908370">
    <w:abstractNumId w:val="26"/>
  </w:num>
  <w:num w:numId="32" w16cid:durableId="1980844481">
    <w:abstractNumId w:val="29"/>
  </w:num>
  <w:num w:numId="33" w16cid:durableId="547645451">
    <w:abstractNumId w:val="31"/>
  </w:num>
  <w:num w:numId="34" w16cid:durableId="588124734">
    <w:abstractNumId w:val="19"/>
  </w:num>
  <w:num w:numId="35" w16cid:durableId="1986427136">
    <w:abstractNumId w:val="23"/>
  </w:num>
  <w:num w:numId="36" w16cid:durableId="424886181">
    <w:abstractNumId w:val="2"/>
  </w:num>
  <w:num w:numId="37" w16cid:durableId="1813063432">
    <w:abstractNumId w:val="1"/>
  </w:num>
  <w:num w:numId="38" w16cid:durableId="653753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linkStyles/>
  <w:defaultTabStop w:val="720"/>
  <w:noPunctuationKerning/>
  <w:characterSpacingControl w:val="doNotCompress"/>
  <w:hdrShapeDefaults>
    <o:shapedefaults v:ext="edit" spidmax="26625"/>
  </w:hdrShapeDefaults>
  <w:footnotePr>
    <w:numFmt w:val="lowerRoman"/>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FE6"/>
    <w:rsid w:val="00000B5B"/>
    <w:rsid w:val="0000150F"/>
    <w:rsid w:val="00001611"/>
    <w:rsid w:val="00006639"/>
    <w:rsid w:val="000104A8"/>
    <w:rsid w:val="00011068"/>
    <w:rsid w:val="0001246E"/>
    <w:rsid w:val="000124B1"/>
    <w:rsid w:val="00012533"/>
    <w:rsid w:val="00014234"/>
    <w:rsid w:val="000155FF"/>
    <w:rsid w:val="00016FE6"/>
    <w:rsid w:val="000210C6"/>
    <w:rsid w:val="0002127A"/>
    <w:rsid w:val="00031064"/>
    <w:rsid w:val="00031692"/>
    <w:rsid w:val="00032531"/>
    <w:rsid w:val="000332F4"/>
    <w:rsid w:val="000356AC"/>
    <w:rsid w:val="00035EA6"/>
    <w:rsid w:val="00040841"/>
    <w:rsid w:val="0004088E"/>
    <w:rsid w:val="00045E74"/>
    <w:rsid w:val="0004694A"/>
    <w:rsid w:val="000471BF"/>
    <w:rsid w:val="00047B68"/>
    <w:rsid w:val="00050733"/>
    <w:rsid w:val="00051259"/>
    <w:rsid w:val="000521EB"/>
    <w:rsid w:val="00052415"/>
    <w:rsid w:val="00052600"/>
    <w:rsid w:val="0005643C"/>
    <w:rsid w:val="0006264A"/>
    <w:rsid w:val="000627A0"/>
    <w:rsid w:val="00062D59"/>
    <w:rsid w:val="000630B7"/>
    <w:rsid w:val="00070152"/>
    <w:rsid w:val="00073D77"/>
    <w:rsid w:val="000750AC"/>
    <w:rsid w:val="00081655"/>
    <w:rsid w:val="000853F2"/>
    <w:rsid w:val="000864E0"/>
    <w:rsid w:val="000901C1"/>
    <w:rsid w:val="00093673"/>
    <w:rsid w:val="000969B3"/>
    <w:rsid w:val="00097080"/>
    <w:rsid w:val="000A5F42"/>
    <w:rsid w:val="000A7C56"/>
    <w:rsid w:val="000B1063"/>
    <w:rsid w:val="000B10D0"/>
    <w:rsid w:val="000B35AA"/>
    <w:rsid w:val="000B5CE2"/>
    <w:rsid w:val="000C400A"/>
    <w:rsid w:val="000C408F"/>
    <w:rsid w:val="000D1C29"/>
    <w:rsid w:val="000D249B"/>
    <w:rsid w:val="000D418A"/>
    <w:rsid w:val="000D4B4D"/>
    <w:rsid w:val="000E3523"/>
    <w:rsid w:val="000E7C28"/>
    <w:rsid w:val="000F5F70"/>
    <w:rsid w:val="000F610E"/>
    <w:rsid w:val="000F725D"/>
    <w:rsid w:val="00100C6A"/>
    <w:rsid w:val="001010CD"/>
    <w:rsid w:val="00102D7C"/>
    <w:rsid w:val="0010431E"/>
    <w:rsid w:val="00104F16"/>
    <w:rsid w:val="00113D58"/>
    <w:rsid w:val="00117B06"/>
    <w:rsid w:val="001200CB"/>
    <w:rsid w:val="001208C5"/>
    <w:rsid w:val="00123C56"/>
    <w:rsid w:val="0012554A"/>
    <w:rsid w:val="001315DD"/>
    <w:rsid w:val="00131BA4"/>
    <w:rsid w:val="001324AF"/>
    <w:rsid w:val="00137308"/>
    <w:rsid w:val="001378A3"/>
    <w:rsid w:val="0014640A"/>
    <w:rsid w:val="00150199"/>
    <w:rsid w:val="001528A1"/>
    <w:rsid w:val="00155582"/>
    <w:rsid w:val="0016143D"/>
    <w:rsid w:val="00161590"/>
    <w:rsid w:val="00164400"/>
    <w:rsid w:val="00164927"/>
    <w:rsid w:val="00165EEC"/>
    <w:rsid w:val="001666EA"/>
    <w:rsid w:val="00171149"/>
    <w:rsid w:val="00171CC0"/>
    <w:rsid w:val="00175494"/>
    <w:rsid w:val="00175629"/>
    <w:rsid w:val="001765FA"/>
    <w:rsid w:val="001819FF"/>
    <w:rsid w:val="00181C9D"/>
    <w:rsid w:val="001830EC"/>
    <w:rsid w:val="00183534"/>
    <w:rsid w:val="00183F54"/>
    <w:rsid w:val="0019005C"/>
    <w:rsid w:val="00194E6D"/>
    <w:rsid w:val="00195A89"/>
    <w:rsid w:val="001963D6"/>
    <w:rsid w:val="001966E4"/>
    <w:rsid w:val="001A21CB"/>
    <w:rsid w:val="001A21EA"/>
    <w:rsid w:val="001A4A96"/>
    <w:rsid w:val="001A5D05"/>
    <w:rsid w:val="001A6A2B"/>
    <w:rsid w:val="001A7354"/>
    <w:rsid w:val="001A796C"/>
    <w:rsid w:val="001B2614"/>
    <w:rsid w:val="001B37B8"/>
    <w:rsid w:val="001B552F"/>
    <w:rsid w:val="001C00B0"/>
    <w:rsid w:val="001C0893"/>
    <w:rsid w:val="001C1303"/>
    <w:rsid w:val="001C3C46"/>
    <w:rsid w:val="001C70B2"/>
    <w:rsid w:val="001C7611"/>
    <w:rsid w:val="001D37C7"/>
    <w:rsid w:val="001D5069"/>
    <w:rsid w:val="001D58F6"/>
    <w:rsid w:val="001D6888"/>
    <w:rsid w:val="001D733A"/>
    <w:rsid w:val="00203669"/>
    <w:rsid w:val="002053E3"/>
    <w:rsid w:val="002109BC"/>
    <w:rsid w:val="0022167F"/>
    <w:rsid w:val="00223965"/>
    <w:rsid w:val="0022459C"/>
    <w:rsid w:val="00224B7F"/>
    <w:rsid w:val="00224EFF"/>
    <w:rsid w:val="002276DC"/>
    <w:rsid w:val="00227E00"/>
    <w:rsid w:val="002307CB"/>
    <w:rsid w:val="00231046"/>
    <w:rsid w:val="00234DB1"/>
    <w:rsid w:val="00234F21"/>
    <w:rsid w:val="00235035"/>
    <w:rsid w:val="00236158"/>
    <w:rsid w:val="00236857"/>
    <w:rsid w:val="00236C23"/>
    <w:rsid w:val="00242659"/>
    <w:rsid w:val="002428F7"/>
    <w:rsid w:val="0024315F"/>
    <w:rsid w:val="00244EAF"/>
    <w:rsid w:val="00245CC8"/>
    <w:rsid w:val="00252C9A"/>
    <w:rsid w:val="00253027"/>
    <w:rsid w:val="00256309"/>
    <w:rsid w:val="00257484"/>
    <w:rsid w:val="00260636"/>
    <w:rsid w:val="00262AD6"/>
    <w:rsid w:val="002651DD"/>
    <w:rsid w:val="00266572"/>
    <w:rsid w:val="00270859"/>
    <w:rsid w:val="002714F7"/>
    <w:rsid w:val="00273D4D"/>
    <w:rsid w:val="00275C78"/>
    <w:rsid w:val="00275F05"/>
    <w:rsid w:val="00280594"/>
    <w:rsid w:val="00281EE3"/>
    <w:rsid w:val="00282DBC"/>
    <w:rsid w:val="00283084"/>
    <w:rsid w:val="0028335E"/>
    <w:rsid w:val="002841FA"/>
    <w:rsid w:val="00284E4A"/>
    <w:rsid w:val="00290615"/>
    <w:rsid w:val="00291169"/>
    <w:rsid w:val="00292573"/>
    <w:rsid w:val="00293E89"/>
    <w:rsid w:val="002A08C7"/>
    <w:rsid w:val="002A3799"/>
    <w:rsid w:val="002A3BCC"/>
    <w:rsid w:val="002A4516"/>
    <w:rsid w:val="002A569F"/>
    <w:rsid w:val="002A660F"/>
    <w:rsid w:val="002A7066"/>
    <w:rsid w:val="002B001E"/>
    <w:rsid w:val="002B009C"/>
    <w:rsid w:val="002B09B7"/>
    <w:rsid w:val="002B5D7A"/>
    <w:rsid w:val="002B75A9"/>
    <w:rsid w:val="002C0729"/>
    <w:rsid w:val="002C21B0"/>
    <w:rsid w:val="002C3AC9"/>
    <w:rsid w:val="002D325D"/>
    <w:rsid w:val="002D4F2E"/>
    <w:rsid w:val="002D4FAF"/>
    <w:rsid w:val="002D71FE"/>
    <w:rsid w:val="002E2FB3"/>
    <w:rsid w:val="002E5A34"/>
    <w:rsid w:val="002E5CA4"/>
    <w:rsid w:val="002E61D4"/>
    <w:rsid w:val="002E71A3"/>
    <w:rsid w:val="002E72C2"/>
    <w:rsid w:val="002E73F0"/>
    <w:rsid w:val="002F1043"/>
    <w:rsid w:val="002F327B"/>
    <w:rsid w:val="002F5439"/>
    <w:rsid w:val="00301626"/>
    <w:rsid w:val="00302F25"/>
    <w:rsid w:val="00304EBB"/>
    <w:rsid w:val="003059EC"/>
    <w:rsid w:val="00305ABB"/>
    <w:rsid w:val="00316CCD"/>
    <w:rsid w:val="00320A96"/>
    <w:rsid w:val="003223EE"/>
    <w:rsid w:val="00323513"/>
    <w:rsid w:val="00324F7E"/>
    <w:rsid w:val="00325532"/>
    <w:rsid w:val="00331350"/>
    <w:rsid w:val="003323BC"/>
    <w:rsid w:val="00333676"/>
    <w:rsid w:val="00342B12"/>
    <w:rsid w:val="003438D4"/>
    <w:rsid w:val="00344377"/>
    <w:rsid w:val="00346D42"/>
    <w:rsid w:val="00346E11"/>
    <w:rsid w:val="003601C0"/>
    <w:rsid w:val="00362C63"/>
    <w:rsid w:val="003635F5"/>
    <w:rsid w:val="00363841"/>
    <w:rsid w:val="00366053"/>
    <w:rsid w:val="00366337"/>
    <w:rsid w:val="00370576"/>
    <w:rsid w:val="00371501"/>
    <w:rsid w:val="00372A88"/>
    <w:rsid w:val="003774BD"/>
    <w:rsid w:val="00381565"/>
    <w:rsid w:val="00381A0F"/>
    <w:rsid w:val="00386E14"/>
    <w:rsid w:val="003959D3"/>
    <w:rsid w:val="00396F4D"/>
    <w:rsid w:val="00397922"/>
    <w:rsid w:val="003A1B3A"/>
    <w:rsid w:val="003A40F5"/>
    <w:rsid w:val="003A46AA"/>
    <w:rsid w:val="003B5B8C"/>
    <w:rsid w:val="003C07C3"/>
    <w:rsid w:val="003C0ECE"/>
    <w:rsid w:val="003C5F00"/>
    <w:rsid w:val="003C6BF2"/>
    <w:rsid w:val="003D3C79"/>
    <w:rsid w:val="003D3F6E"/>
    <w:rsid w:val="003D79B1"/>
    <w:rsid w:val="003E3AAA"/>
    <w:rsid w:val="003E3CB2"/>
    <w:rsid w:val="003E4097"/>
    <w:rsid w:val="003E74EE"/>
    <w:rsid w:val="003F0552"/>
    <w:rsid w:val="003F2231"/>
    <w:rsid w:val="003F3BC2"/>
    <w:rsid w:val="003F70A7"/>
    <w:rsid w:val="00401ED1"/>
    <w:rsid w:val="0040224C"/>
    <w:rsid w:val="00403457"/>
    <w:rsid w:val="00405BE3"/>
    <w:rsid w:val="00406A32"/>
    <w:rsid w:val="00410536"/>
    <w:rsid w:val="00410620"/>
    <w:rsid w:val="00413EE1"/>
    <w:rsid w:val="004159D9"/>
    <w:rsid w:val="004164BB"/>
    <w:rsid w:val="00421ECE"/>
    <w:rsid w:val="00422536"/>
    <w:rsid w:val="00422FEB"/>
    <w:rsid w:val="0042435E"/>
    <w:rsid w:val="0042480C"/>
    <w:rsid w:val="004315F5"/>
    <w:rsid w:val="00431D19"/>
    <w:rsid w:val="00433456"/>
    <w:rsid w:val="00433C8C"/>
    <w:rsid w:val="00433DFA"/>
    <w:rsid w:val="00435D67"/>
    <w:rsid w:val="004404DD"/>
    <w:rsid w:val="00440C10"/>
    <w:rsid w:val="00441FE6"/>
    <w:rsid w:val="00442DCC"/>
    <w:rsid w:val="00443EA4"/>
    <w:rsid w:val="00445B7C"/>
    <w:rsid w:val="00450E15"/>
    <w:rsid w:val="00460C3A"/>
    <w:rsid w:val="00462F2E"/>
    <w:rsid w:val="00464A58"/>
    <w:rsid w:val="004659B7"/>
    <w:rsid w:val="00471A4D"/>
    <w:rsid w:val="00473478"/>
    <w:rsid w:val="00473D2D"/>
    <w:rsid w:val="00490DE0"/>
    <w:rsid w:val="0049248C"/>
    <w:rsid w:val="00493B18"/>
    <w:rsid w:val="0049603A"/>
    <w:rsid w:val="00496CCB"/>
    <w:rsid w:val="004A0553"/>
    <w:rsid w:val="004A1E18"/>
    <w:rsid w:val="004A2125"/>
    <w:rsid w:val="004A38F6"/>
    <w:rsid w:val="004A719B"/>
    <w:rsid w:val="004B0458"/>
    <w:rsid w:val="004B33D9"/>
    <w:rsid w:val="004B4C77"/>
    <w:rsid w:val="004B4EB6"/>
    <w:rsid w:val="004C083C"/>
    <w:rsid w:val="004C5B85"/>
    <w:rsid w:val="004C65FD"/>
    <w:rsid w:val="004C67C6"/>
    <w:rsid w:val="004C753B"/>
    <w:rsid w:val="004D29DE"/>
    <w:rsid w:val="004D4AAE"/>
    <w:rsid w:val="004D6688"/>
    <w:rsid w:val="004E17BC"/>
    <w:rsid w:val="004E21FF"/>
    <w:rsid w:val="004E23CE"/>
    <w:rsid w:val="004E3334"/>
    <w:rsid w:val="004E5ABF"/>
    <w:rsid w:val="004F18A6"/>
    <w:rsid w:val="004F20E4"/>
    <w:rsid w:val="004F5B72"/>
    <w:rsid w:val="004F632D"/>
    <w:rsid w:val="00501D80"/>
    <w:rsid w:val="00510148"/>
    <w:rsid w:val="00510EAC"/>
    <w:rsid w:val="00513F78"/>
    <w:rsid w:val="0052510C"/>
    <w:rsid w:val="00526F95"/>
    <w:rsid w:val="00531F58"/>
    <w:rsid w:val="0053324A"/>
    <w:rsid w:val="0053665D"/>
    <w:rsid w:val="005368E8"/>
    <w:rsid w:val="005403C1"/>
    <w:rsid w:val="00542817"/>
    <w:rsid w:val="00542A57"/>
    <w:rsid w:val="00543A1C"/>
    <w:rsid w:val="00544CE8"/>
    <w:rsid w:val="005468C8"/>
    <w:rsid w:val="0054751E"/>
    <w:rsid w:val="00547610"/>
    <w:rsid w:val="00547726"/>
    <w:rsid w:val="00551330"/>
    <w:rsid w:val="00555E77"/>
    <w:rsid w:val="00556E31"/>
    <w:rsid w:val="00560708"/>
    <w:rsid w:val="00561D8A"/>
    <w:rsid w:val="00563760"/>
    <w:rsid w:val="00565974"/>
    <w:rsid w:val="00566FC0"/>
    <w:rsid w:val="00570BC7"/>
    <w:rsid w:val="00571CF5"/>
    <w:rsid w:val="005732C0"/>
    <w:rsid w:val="0057336D"/>
    <w:rsid w:val="0057489A"/>
    <w:rsid w:val="00574ACF"/>
    <w:rsid w:val="0057504A"/>
    <w:rsid w:val="00581056"/>
    <w:rsid w:val="00581588"/>
    <w:rsid w:val="00581A77"/>
    <w:rsid w:val="00583F77"/>
    <w:rsid w:val="0058540B"/>
    <w:rsid w:val="0058543A"/>
    <w:rsid w:val="00587C87"/>
    <w:rsid w:val="00590B80"/>
    <w:rsid w:val="005A055C"/>
    <w:rsid w:val="005A3394"/>
    <w:rsid w:val="005B3134"/>
    <w:rsid w:val="005B4E61"/>
    <w:rsid w:val="005B5760"/>
    <w:rsid w:val="005B595A"/>
    <w:rsid w:val="005B5AAF"/>
    <w:rsid w:val="005B66C2"/>
    <w:rsid w:val="005C15F8"/>
    <w:rsid w:val="005C18C1"/>
    <w:rsid w:val="005C2000"/>
    <w:rsid w:val="005C2569"/>
    <w:rsid w:val="005C2A10"/>
    <w:rsid w:val="005C7569"/>
    <w:rsid w:val="005D2465"/>
    <w:rsid w:val="005D3ECC"/>
    <w:rsid w:val="005D6B37"/>
    <w:rsid w:val="005D6D5C"/>
    <w:rsid w:val="005E0CF2"/>
    <w:rsid w:val="005E1DB4"/>
    <w:rsid w:val="005E33DD"/>
    <w:rsid w:val="005E4229"/>
    <w:rsid w:val="005E540E"/>
    <w:rsid w:val="005E55FB"/>
    <w:rsid w:val="005E700F"/>
    <w:rsid w:val="005E7C78"/>
    <w:rsid w:val="005F16BB"/>
    <w:rsid w:val="005F2D81"/>
    <w:rsid w:val="005F61A6"/>
    <w:rsid w:val="005F737D"/>
    <w:rsid w:val="00600EB4"/>
    <w:rsid w:val="00607115"/>
    <w:rsid w:val="00614CD5"/>
    <w:rsid w:val="006161EA"/>
    <w:rsid w:val="0061634B"/>
    <w:rsid w:val="00617C5E"/>
    <w:rsid w:val="00620768"/>
    <w:rsid w:val="0062594B"/>
    <w:rsid w:val="0062677C"/>
    <w:rsid w:val="00631406"/>
    <w:rsid w:val="006324FF"/>
    <w:rsid w:val="0063293F"/>
    <w:rsid w:val="006351D6"/>
    <w:rsid w:val="00636E0D"/>
    <w:rsid w:val="0063760F"/>
    <w:rsid w:val="006378E3"/>
    <w:rsid w:val="0064102F"/>
    <w:rsid w:val="0064142F"/>
    <w:rsid w:val="00641C54"/>
    <w:rsid w:val="00641E81"/>
    <w:rsid w:val="00643CB4"/>
    <w:rsid w:val="0064569D"/>
    <w:rsid w:val="00654160"/>
    <w:rsid w:val="00656427"/>
    <w:rsid w:val="00660255"/>
    <w:rsid w:val="00662874"/>
    <w:rsid w:val="00667568"/>
    <w:rsid w:val="006730AA"/>
    <w:rsid w:val="006778F1"/>
    <w:rsid w:val="00680158"/>
    <w:rsid w:val="00691EE3"/>
    <w:rsid w:val="0069238B"/>
    <w:rsid w:val="00692DAC"/>
    <w:rsid w:val="006971F3"/>
    <w:rsid w:val="00697713"/>
    <w:rsid w:val="006A4276"/>
    <w:rsid w:val="006A53D5"/>
    <w:rsid w:val="006A6EA2"/>
    <w:rsid w:val="006B0191"/>
    <w:rsid w:val="006B104C"/>
    <w:rsid w:val="006B2609"/>
    <w:rsid w:val="006B386C"/>
    <w:rsid w:val="006B50EB"/>
    <w:rsid w:val="006B5EB3"/>
    <w:rsid w:val="006C15F5"/>
    <w:rsid w:val="006C1F7F"/>
    <w:rsid w:val="006C74A3"/>
    <w:rsid w:val="006D1381"/>
    <w:rsid w:val="006D2FDD"/>
    <w:rsid w:val="006D3134"/>
    <w:rsid w:val="006D317B"/>
    <w:rsid w:val="006D31BC"/>
    <w:rsid w:val="006D4032"/>
    <w:rsid w:val="006D5D33"/>
    <w:rsid w:val="006D69D2"/>
    <w:rsid w:val="006E6229"/>
    <w:rsid w:val="006E7943"/>
    <w:rsid w:val="006F0C7C"/>
    <w:rsid w:val="006F24EA"/>
    <w:rsid w:val="006F31B9"/>
    <w:rsid w:val="006F7C3A"/>
    <w:rsid w:val="00701BEA"/>
    <w:rsid w:val="0070317C"/>
    <w:rsid w:val="00704CA9"/>
    <w:rsid w:val="0071048D"/>
    <w:rsid w:val="00710F86"/>
    <w:rsid w:val="007111A8"/>
    <w:rsid w:val="00711842"/>
    <w:rsid w:val="00715504"/>
    <w:rsid w:val="007156AD"/>
    <w:rsid w:val="00715F84"/>
    <w:rsid w:val="007166BA"/>
    <w:rsid w:val="00720D01"/>
    <w:rsid w:val="007220B5"/>
    <w:rsid w:val="00731BC3"/>
    <w:rsid w:val="00732656"/>
    <w:rsid w:val="00741192"/>
    <w:rsid w:val="00743A33"/>
    <w:rsid w:val="00745FE0"/>
    <w:rsid w:val="00746080"/>
    <w:rsid w:val="007465B5"/>
    <w:rsid w:val="0075144A"/>
    <w:rsid w:val="00753557"/>
    <w:rsid w:val="00754F7D"/>
    <w:rsid w:val="00756F26"/>
    <w:rsid w:val="0076269A"/>
    <w:rsid w:val="00764577"/>
    <w:rsid w:val="007664A6"/>
    <w:rsid w:val="00767E0F"/>
    <w:rsid w:val="0077096A"/>
    <w:rsid w:val="0078439A"/>
    <w:rsid w:val="00785873"/>
    <w:rsid w:val="00786329"/>
    <w:rsid w:val="00792C7D"/>
    <w:rsid w:val="00794A4D"/>
    <w:rsid w:val="00794F19"/>
    <w:rsid w:val="00796C59"/>
    <w:rsid w:val="007A03BB"/>
    <w:rsid w:val="007A1DDE"/>
    <w:rsid w:val="007A2606"/>
    <w:rsid w:val="007A27CD"/>
    <w:rsid w:val="007A37D6"/>
    <w:rsid w:val="007A4AE3"/>
    <w:rsid w:val="007A5234"/>
    <w:rsid w:val="007A52AE"/>
    <w:rsid w:val="007B1A90"/>
    <w:rsid w:val="007B370E"/>
    <w:rsid w:val="007B4EEE"/>
    <w:rsid w:val="007B6B9C"/>
    <w:rsid w:val="007B7854"/>
    <w:rsid w:val="007C25E0"/>
    <w:rsid w:val="007C56A1"/>
    <w:rsid w:val="007C6454"/>
    <w:rsid w:val="007D0B1A"/>
    <w:rsid w:val="007D2B0D"/>
    <w:rsid w:val="007E01E0"/>
    <w:rsid w:val="007E374D"/>
    <w:rsid w:val="007E71FA"/>
    <w:rsid w:val="007F0B93"/>
    <w:rsid w:val="007F2ECA"/>
    <w:rsid w:val="007F4969"/>
    <w:rsid w:val="007F5299"/>
    <w:rsid w:val="007F552C"/>
    <w:rsid w:val="0080172D"/>
    <w:rsid w:val="00807C4E"/>
    <w:rsid w:val="008102C0"/>
    <w:rsid w:val="00811708"/>
    <w:rsid w:val="008141F8"/>
    <w:rsid w:val="00814CD3"/>
    <w:rsid w:val="00815A0E"/>
    <w:rsid w:val="00816B90"/>
    <w:rsid w:val="00817799"/>
    <w:rsid w:val="00820598"/>
    <w:rsid w:val="00821B45"/>
    <w:rsid w:val="00822F5F"/>
    <w:rsid w:val="00824FD3"/>
    <w:rsid w:val="00826589"/>
    <w:rsid w:val="008274F4"/>
    <w:rsid w:val="00827F95"/>
    <w:rsid w:val="00834BCC"/>
    <w:rsid w:val="00844C7A"/>
    <w:rsid w:val="008501B3"/>
    <w:rsid w:val="00850D54"/>
    <w:rsid w:val="008511A1"/>
    <w:rsid w:val="0085142C"/>
    <w:rsid w:val="008532E7"/>
    <w:rsid w:val="00854F7D"/>
    <w:rsid w:val="00855CCC"/>
    <w:rsid w:val="0086556B"/>
    <w:rsid w:val="00865BA7"/>
    <w:rsid w:val="008714B0"/>
    <w:rsid w:val="0087622B"/>
    <w:rsid w:val="00876331"/>
    <w:rsid w:val="00880726"/>
    <w:rsid w:val="00880F5D"/>
    <w:rsid w:val="00885F18"/>
    <w:rsid w:val="0088647F"/>
    <w:rsid w:val="008961B4"/>
    <w:rsid w:val="008A3544"/>
    <w:rsid w:val="008A56E7"/>
    <w:rsid w:val="008A7311"/>
    <w:rsid w:val="008B0890"/>
    <w:rsid w:val="008B179F"/>
    <w:rsid w:val="008B48B8"/>
    <w:rsid w:val="008B5348"/>
    <w:rsid w:val="008B58F8"/>
    <w:rsid w:val="008B76BC"/>
    <w:rsid w:val="008C0712"/>
    <w:rsid w:val="008C0744"/>
    <w:rsid w:val="008C4520"/>
    <w:rsid w:val="008C5F09"/>
    <w:rsid w:val="008C795C"/>
    <w:rsid w:val="008D0D9C"/>
    <w:rsid w:val="008D110C"/>
    <w:rsid w:val="008D470F"/>
    <w:rsid w:val="008D7682"/>
    <w:rsid w:val="008E1895"/>
    <w:rsid w:val="008E1F8F"/>
    <w:rsid w:val="008E4768"/>
    <w:rsid w:val="008E589D"/>
    <w:rsid w:val="008E6A88"/>
    <w:rsid w:val="008E761E"/>
    <w:rsid w:val="008F452D"/>
    <w:rsid w:val="008F5279"/>
    <w:rsid w:val="008F77B3"/>
    <w:rsid w:val="00900115"/>
    <w:rsid w:val="009008F5"/>
    <w:rsid w:val="00902EB3"/>
    <w:rsid w:val="0090322B"/>
    <w:rsid w:val="0090453A"/>
    <w:rsid w:val="00904CC1"/>
    <w:rsid w:val="00905095"/>
    <w:rsid w:val="00906113"/>
    <w:rsid w:val="009066AF"/>
    <w:rsid w:val="00912050"/>
    <w:rsid w:val="00912E48"/>
    <w:rsid w:val="00913882"/>
    <w:rsid w:val="00923646"/>
    <w:rsid w:val="00923B7E"/>
    <w:rsid w:val="00923CA1"/>
    <w:rsid w:val="0092678F"/>
    <w:rsid w:val="0092746F"/>
    <w:rsid w:val="009277AC"/>
    <w:rsid w:val="00930D1D"/>
    <w:rsid w:val="009335BB"/>
    <w:rsid w:val="00934939"/>
    <w:rsid w:val="00935DC9"/>
    <w:rsid w:val="0094295E"/>
    <w:rsid w:val="009446C0"/>
    <w:rsid w:val="009449F1"/>
    <w:rsid w:val="009469E1"/>
    <w:rsid w:val="00946A5C"/>
    <w:rsid w:val="00946B3E"/>
    <w:rsid w:val="0094786C"/>
    <w:rsid w:val="009528DB"/>
    <w:rsid w:val="00953E95"/>
    <w:rsid w:val="009564FA"/>
    <w:rsid w:val="0096082E"/>
    <w:rsid w:val="00961347"/>
    <w:rsid w:val="0096267E"/>
    <w:rsid w:val="00962F30"/>
    <w:rsid w:val="009645AE"/>
    <w:rsid w:val="00966D1E"/>
    <w:rsid w:val="00967410"/>
    <w:rsid w:val="00967D73"/>
    <w:rsid w:val="00970559"/>
    <w:rsid w:val="00973B27"/>
    <w:rsid w:val="0098119A"/>
    <w:rsid w:val="009842ED"/>
    <w:rsid w:val="00984AAF"/>
    <w:rsid w:val="00986217"/>
    <w:rsid w:val="00991B09"/>
    <w:rsid w:val="009923F8"/>
    <w:rsid w:val="00993716"/>
    <w:rsid w:val="00993CB2"/>
    <w:rsid w:val="00994147"/>
    <w:rsid w:val="009944EE"/>
    <w:rsid w:val="009A5166"/>
    <w:rsid w:val="009A70CE"/>
    <w:rsid w:val="009A76F8"/>
    <w:rsid w:val="009B2B83"/>
    <w:rsid w:val="009B3C07"/>
    <w:rsid w:val="009B5A83"/>
    <w:rsid w:val="009B60D2"/>
    <w:rsid w:val="009C49F8"/>
    <w:rsid w:val="009D08E9"/>
    <w:rsid w:val="009D0A49"/>
    <w:rsid w:val="009D17A5"/>
    <w:rsid w:val="009D3410"/>
    <w:rsid w:val="009D6D8F"/>
    <w:rsid w:val="009D768B"/>
    <w:rsid w:val="009D77CC"/>
    <w:rsid w:val="009E00DB"/>
    <w:rsid w:val="009E1615"/>
    <w:rsid w:val="009E2423"/>
    <w:rsid w:val="009E32DC"/>
    <w:rsid w:val="009E55D7"/>
    <w:rsid w:val="009E60E1"/>
    <w:rsid w:val="009F4150"/>
    <w:rsid w:val="009F5665"/>
    <w:rsid w:val="009F5857"/>
    <w:rsid w:val="009F5DAD"/>
    <w:rsid w:val="00A004D4"/>
    <w:rsid w:val="00A01BCA"/>
    <w:rsid w:val="00A04422"/>
    <w:rsid w:val="00A04C12"/>
    <w:rsid w:val="00A10458"/>
    <w:rsid w:val="00A153B6"/>
    <w:rsid w:val="00A164D5"/>
    <w:rsid w:val="00A21F0B"/>
    <w:rsid w:val="00A229A2"/>
    <w:rsid w:val="00A273C3"/>
    <w:rsid w:val="00A309A3"/>
    <w:rsid w:val="00A30C37"/>
    <w:rsid w:val="00A31ABB"/>
    <w:rsid w:val="00A325B7"/>
    <w:rsid w:val="00A3282B"/>
    <w:rsid w:val="00A3494B"/>
    <w:rsid w:val="00A36C65"/>
    <w:rsid w:val="00A40D61"/>
    <w:rsid w:val="00A41BBE"/>
    <w:rsid w:val="00A4499D"/>
    <w:rsid w:val="00A45426"/>
    <w:rsid w:val="00A45BDD"/>
    <w:rsid w:val="00A46A0A"/>
    <w:rsid w:val="00A46C4A"/>
    <w:rsid w:val="00A527FE"/>
    <w:rsid w:val="00A553F8"/>
    <w:rsid w:val="00A6708F"/>
    <w:rsid w:val="00A67323"/>
    <w:rsid w:val="00A71BF6"/>
    <w:rsid w:val="00A7236E"/>
    <w:rsid w:val="00A80DDC"/>
    <w:rsid w:val="00A823A1"/>
    <w:rsid w:val="00A8375A"/>
    <w:rsid w:val="00A83B01"/>
    <w:rsid w:val="00A86F9A"/>
    <w:rsid w:val="00A91511"/>
    <w:rsid w:val="00A95845"/>
    <w:rsid w:val="00A96937"/>
    <w:rsid w:val="00AA2379"/>
    <w:rsid w:val="00AA2DE1"/>
    <w:rsid w:val="00AA35E6"/>
    <w:rsid w:val="00AA50B6"/>
    <w:rsid w:val="00AB3472"/>
    <w:rsid w:val="00AB436E"/>
    <w:rsid w:val="00AB4D82"/>
    <w:rsid w:val="00AB50B6"/>
    <w:rsid w:val="00AB6CEF"/>
    <w:rsid w:val="00AC27DE"/>
    <w:rsid w:val="00AC5A0F"/>
    <w:rsid w:val="00AC7976"/>
    <w:rsid w:val="00AD0762"/>
    <w:rsid w:val="00AD2843"/>
    <w:rsid w:val="00AD43A4"/>
    <w:rsid w:val="00AE2335"/>
    <w:rsid w:val="00AE32A9"/>
    <w:rsid w:val="00AE32D9"/>
    <w:rsid w:val="00AE4452"/>
    <w:rsid w:val="00AE7C38"/>
    <w:rsid w:val="00AF2DEB"/>
    <w:rsid w:val="00AF31D9"/>
    <w:rsid w:val="00B01A21"/>
    <w:rsid w:val="00B01F99"/>
    <w:rsid w:val="00B02B37"/>
    <w:rsid w:val="00B05276"/>
    <w:rsid w:val="00B132DB"/>
    <w:rsid w:val="00B21036"/>
    <w:rsid w:val="00B31427"/>
    <w:rsid w:val="00B32FE3"/>
    <w:rsid w:val="00B33861"/>
    <w:rsid w:val="00B36703"/>
    <w:rsid w:val="00B368F7"/>
    <w:rsid w:val="00B36E07"/>
    <w:rsid w:val="00B4096C"/>
    <w:rsid w:val="00B40DE2"/>
    <w:rsid w:val="00B431ED"/>
    <w:rsid w:val="00B44A10"/>
    <w:rsid w:val="00B47AB2"/>
    <w:rsid w:val="00B50210"/>
    <w:rsid w:val="00B51001"/>
    <w:rsid w:val="00B5165E"/>
    <w:rsid w:val="00B5323C"/>
    <w:rsid w:val="00B53955"/>
    <w:rsid w:val="00B5727D"/>
    <w:rsid w:val="00B606A6"/>
    <w:rsid w:val="00B6408A"/>
    <w:rsid w:val="00B66515"/>
    <w:rsid w:val="00B714B8"/>
    <w:rsid w:val="00B73901"/>
    <w:rsid w:val="00B76337"/>
    <w:rsid w:val="00B80DF4"/>
    <w:rsid w:val="00B82C2C"/>
    <w:rsid w:val="00B838AA"/>
    <w:rsid w:val="00B848A8"/>
    <w:rsid w:val="00B8720B"/>
    <w:rsid w:val="00B876EF"/>
    <w:rsid w:val="00B90B43"/>
    <w:rsid w:val="00B912F6"/>
    <w:rsid w:val="00B942C5"/>
    <w:rsid w:val="00B9636C"/>
    <w:rsid w:val="00BA110F"/>
    <w:rsid w:val="00BA3B11"/>
    <w:rsid w:val="00BA3D7D"/>
    <w:rsid w:val="00BA4697"/>
    <w:rsid w:val="00BA6FE0"/>
    <w:rsid w:val="00BB32A7"/>
    <w:rsid w:val="00BB499B"/>
    <w:rsid w:val="00BB5378"/>
    <w:rsid w:val="00BC0BD3"/>
    <w:rsid w:val="00BC39AC"/>
    <w:rsid w:val="00BC46F0"/>
    <w:rsid w:val="00BC60FE"/>
    <w:rsid w:val="00BC799D"/>
    <w:rsid w:val="00BD0107"/>
    <w:rsid w:val="00BD10EE"/>
    <w:rsid w:val="00BD28D1"/>
    <w:rsid w:val="00BD55CC"/>
    <w:rsid w:val="00BE0C33"/>
    <w:rsid w:val="00BE262C"/>
    <w:rsid w:val="00BE6275"/>
    <w:rsid w:val="00BE6C3D"/>
    <w:rsid w:val="00BE70AF"/>
    <w:rsid w:val="00BF0417"/>
    <w:rsid w:val="00BF41BE"/>
    <w:rsid w:val="00BF6051"/>
    <w:rsid w:val="00C0068A"/>
    <w:rsid w:val="00C00BF4"/>
    <w:rsid w:val="00C0527D"/>
    <w:rsid w:val="00C059E6"/>
    <w:rsid w:val="00C07606"/>
    <w:rsid w:val="00C11C56"/>
    <w:rsid w:val="00C12038"/>
    <w:rsid w:val="00C12542"/>
    <w:rsid w:val="00C170AB"/>
    <w:rsid w:val="00C17CD9"/>
    <w:rsid w:val="00C24725"/>
    <w:rsid w:val="00C27616"/>
    <w:rsid w:val="00C30BA9"/>
    <w:rsid w:val="00C3541E"/>
    <w:rsid w:val="00C36A8F"/>
    <w:rsid w:val="00C42834"/>
    <w:rsid w:val="00C42FFA"/>
    <w:rsid w:val="00C507D8"/>
    <w:rsid w:val="00C54DAC"/>
    <w:rsid w:val="00C603BE"/>
    <w:rsid w:val="00C62EAC"/>
    <w:rsid w:val="00C63F9F"/>
    <w:rsid w:val="00C6405A"/>
    <w:rsid w:val="00C65D2C"/>
    <w:rsid w:val="00C66282"/>
    <w:rsid w:val="00C66D41"/>
    <w:rsid w:val="00C71AEC"/>
    <w:rsid w:val="00C74260"/>
    <w:rsid w:val="00C74834"/>
    <w:rsid w:val="00C7723C"/>
    <w:rsid w:val="00C77DAD"/>
    <w:rsid w:val="00C77ED4"/>
    <w:rsid w:val="00C81B93"/>
    <w:rsid w:val="00C83583"/>
    <w:rsid w:val="00C838F5"/>
    <w:rsid w:val="00C84DBA"/>
    <w:rsid w:val="00C87351"/>
    <w:rsid w:val="00C87633"/>
    <w:rsid w:val="00C90C4F"/>
    <w:rsid w:val="00C90CDC"/>
    <w:rsid w:val="00C94277"/>
    <w:rsid w:val="00C953FF"/>
    <w:rsid w:val="00CA0242"/>
    <w:rsid w:val="00CA0499"/>
    <w:rsid w:val="00CA16B0"/>
    <w:rsid w:val="00CA1AF4"/>
    <w:rsid w:val="00CA6068"/>
    <w:rsid w:val="00CB15E1"/>
    <w:rsid w:val="00CB386B"/>
    <w:rsid w:val="00CB3D46"/>
    <w:rsid w:val="00CC22EE"/>
    <w:rsid w:val="00CC40B9"/>
    <w:rsid w:val="00CC5B8C"/>
    <w:rsid w:val="00CD1A87"/>
    <w:rsid w:val="00CD2D37"/>
    <w:rsid w:val="00CD2E83"/>
    <w:rsid w:val="00CD358E"/>
    <w:rsid w:val="00CD35F3"/>
    <w:rsid w:val="00CD5C93"/>
    <w:rsid w:val="00CE1960"/>
    <w:rsid w:val="00CE2033"/>
    <w:rsid w:val="00CE342B"/>
    <w:rsid w:val="00CE4343"/>
    <w:rsid w:val="00CF320C"/>
    <w:rsid w:val="00CF3A4B"/>
    <w:rsid w:val="00CF4001"/>
    <w:rsid w:val="00CF7BAF"/>
    <w:rsid w:val="00D04C68"/>
    <w:rsid w:val="00D05837"/>
    <w:rsid w:val="00D05FD0"/>
    <w:rsid w:val="00D103A6"/>
    <w:rsid w:val="00D10E4E"/>
    <w:rsid w:val="00D12D8A"/>
    <w:rsid w:val="00D13002"/>
    <w:rsid w:val="00D13E0C"/>
    <w:rsid w:val="00D162EA"/>
    <w:rsid w:val="00D25896"/>
    <w:rsid w:val="00D26A1D"/>
    <w:rsid w:val="00D31D3A"/>
    <w:rsid w:val="00D373A1"/>
    <w:rsid w:val="00D37C0F"/>
    <w:rsid w:val="00D4105C"/>
    <w:rsid w:val="00D42F5A"/>
    <w:rsid w:val="00D45661"/>
    <w:rsid w:val="00D45943"/>
    <w:rsid w:val="00D47D22"/>
    <w:rsid w:val="00D50048"/>
    <w:rsid w:val="00D51865"/>
    <w:rsid w:val="00D51D0C"/>
    <w:rsid w:val="00D547A1"/>
    <w:rsid w:val="00D54AE3"/>
    <w:rsid w:val="00D56C4A"/>
    <w:rsid w:val="00D60A51"/>
    <w:rsid w:val="00D60E47"/>
    <w:rsid w:val="00D677D1"/>
    <w:rsid w:val="00D7062A"/>
    <w:rsid w:val="00D71D70"/>
    <w:rsid w:val="00D74113"/>
    <w:rsid w:val="00D74140"/>
    <w:rsid w:val="00D76D05"/>
    <w:rsid w:val="00D77C62"/>
    <w:rsid w:val="00D832BA"/>
    <w:rsid w:val="00D83D71"/>
    <w:rsid w:val="00D84D6C"/>
    <w:rsid w:val="00D8559A"/>
    <w:rsid w:val="00D86569"/>
    <w:rsid w:val="00D972F4"/>
    <w:rsid w:val="00DA2740"/>
    <w:rsid w:val="00DA2B59"/>
    <w:rsid w:val="00DA369F"/>
    <w:rsid w:val="00DA53A9"/>
    <w:rsid w:val="00DA684D"/>
    <w:rsid w:val="00DA6E56"/>
    <w:rsid w:val="00DB00B3"/>
    <w:rsid w:val="00DC1B5A"/>
    <w:rsid w:val="00DC57F1"/>
    <w:rsid w:val="00DC6705"/>
    <w:rsid w:val="00DD2DE8"/>
    <w:rsid w:val="00DD500D"/>
    <w:rsid w:val="00DE06D1"/>
    <w:rsid w:val="00DE0913"/>
    <w:rsid w:val="00DE2ACC"/>
    <w:rsid w:val="00DE38B4"/>
    <w:rsid w:val="00DE5D02"/>
    <w:rsid w:val="00DF24BD"/>
    <w:rsid w:val="00DF34CA"/>
    <w:rsid w:val="00E005A9"/>
    <w:rsid w:val="00E02C95"/>
    <w:rsid w:val="00E04A61"/>
    <w:rsid w:val="00E05416"/>
    <w:rsid w:val="00E05596"/>
    <w:rsid w:val="00E07D18"/>
    <w:rsid w:val="00E1166E"/>
    <w:rsid w:val="00E2147F"/>
    <w:rsid w:val="00E24DC0"/>
    <w:rsid w:val="00E2519C"/>
    <w:rsid w:val="00E25F2A"/>
    <w:rsid w:val="00E337C7"/>
    <w:rsid w:val="00E347F3"/>
    <w:rsid w:val="00E35611"/>
    <w:rsid w:val="00E41455"/>
    <w:rsid w:val="00E41D37"/>
    <w:rsid w:val="00E42AD2"/>
    <w:rsid w:val="00E47010"/>
    <w:rsid w:val="00E47AF3"/>
    <w:rsid w:val="00E47FD0"/>
    <w:rsid w:val="00E50856"/>
    <w:rsid w:val="00E50E2B"/>
    <w:rsid w:val="00E538CC"/>
    <w:rsid w:val="00E544E2"/>
    <w:rsid w:val="00E54DBA"/>
    <w:rsid w:val="00E63D7C"/>
    <w:rsid w:val="00E640D5"/>
    <w:rsid w:val="00E66665"/>
    <w:rsid w:val="00E66E2E"/>
    <w:rsid w:val="00E67691"/>
    <w:rsid w:val="00E70775"/>
    <w:rsid w:val="00E75CDB"/>
    <w:rsid w:val="00E847E3"/>
    <w:rsid w:val="00E852F6"/>
    <w:rsid w:val="00E86AA7"/>
    <w:rsid w:val="00E90EF3"/>
    <w:rsid w:val="00E90F70"/>
    <w:rsid w:val="00E92237"/>
    <w:rsid w:val="00E92D2A"/>
    <w:rsid w:val="00E9395D"/>
    <w:rsid w:val="00E951EF"/>
    <w:rsid w:val="00E97D5D"/>
    <w:rsid w:val="00EA1280"/>
    <w:rsid w:val="00EA192E"/>
    <w:rsid w:val="00EA3D54"/>
    <w:rsid w:val="00EA56D9"/>
    <w:rsid w:val="00EA5CE3"/>
    <w:rsid w:val="00EB4AC8"/>
    <w:rsid w:val="00EB51C1"/>
    <w:rsid w:val="00EB5359"/>
    <w:rsid w:val="00EB5AE1"/>
    <w:rsid w:val="00EB5E0B"/>
    <w:rsid w:val="00EB6985"/>
    <w:rsid w:val="00EB755B"/>
    <w:rsid w:val="00EB7836"/>
    <w:rsid w:val="00EC068E"/>
    <w:rsid w:val="00EC2171"/>
    <w:rsid w:val="00EC3F67"/>
    <w:rsid w:val="00EC4669"/>
    <w:rsid w:val="00EC65D2"/>
    <w:rsid w:val="00ED1DC6"/>
    <w:rsid w:val="00ED2B4C"/>
    <w:rsid w:val="00ED30EA"/>
    <w:rsid w:val="00ED442D"/>
    <w:rsid w:val="00ED70C2"/>
    <w:rsid w:val="00EE0904"/>
    <w:rsid w:val="00EE18FF"/>
    <w:rsid w:val="00EE489F"/>
    <w:rsid w:val="00F0308B"/>
    <w:rsid w:val="00F035DB"/>
    <w:rsid w:val="00F04E12"/>
    <w:rsid w:val="00F04EAC"/>
    <w:rsid w:val="00F0647F"/>
    <w:rsid w:val="00F102ED"/>
    <w:rsid w:val="00F10CE3"/>
    <w:rsid w:val="00F132D6"/>
    <w:rsid w:val="00F1358C"/>
    <w:rsid w:val="00F14F3B"/>
    <w:rsid w:val="00F16362"/>
    <w:rsid w:val="00F207C7"/>
    <w:rsid w:val="00F271C7"/>
    <w:rsid w:val="00F3520B"/>
    <w:rsid w:val="00F36B6D"/>
    <w:rsid w:val="00F43443"/>
    <w:rsid w:val="00F43FA3"/>
    <w:rsid w:val="00F45267"/>
    <w:rsid w:val="00F45C81"/>
    <w:rsid w:val="00F4704C"/>
    <w:rsid w:val="00F528CB"/>
    <w:rsid w:val="00F55648"/>
    <w:rsid w:val="00F6335F"/>
    <w:rsid w:val="00F6579B"/>
    <w:rsid w:val="00F662E4"/>
    <w:rsid w:val="00F70046"/>
    <w:rsid w:val="00F748C2"/>
    <w:rsid w:val="00F75AD7"/>
    <w:rsid w:val="00F76C5C"/>
    <w:rsid w:val="00F81EF3"/>
    <w:rsid w:val="00F82EB8"/>
    <w:rsid w:val="00F84496"/>
    <w:rsid w:val="00F8508D"/>
    <w:rsid w:val="00F85DCB"/>
    <w:rsid w:val="00F86F9C"/>
    <w:rsid w:val="00F90D07"/>
    <w:rsid w:val="00F90D76"/>
    <w:rsid w:val="00F933DA"/>
    <w:rsid w:val="00F94F84"/>
    <w:rsid w:val="00FA0F0F"/>
    <w:rsid w:val="00FB1BB9"/>
    <w:rsid w:val="00FB4B63"/>
    <w:rsid w:val="00FB535F"/>
    <w:rsid w:val="00FB54B5"/>
    <w:rsid w:val="00FC002E"/>
    <w:rsid w:val="00FC4C23"/>
    <w:rsid w:val="00FC642E"/>
    <w:rsid w:val="00FC7E51"/>
    <w:rsid w:val="00FD04CB"/>
    <w:rsid w:val="00FD35C0"/>
    <w:rsid w:val="00FD75E9"/>
    <w:rsid w:val="00FE12BB"/>
    <w:rsid w:val="00FE2AE4"/>
    <w:rsid w:val="00FE689F"/>
    <w:rsid w:val="00FE6A14"/>
    <w:rsid w:val="00FE7809"/>
    <w:rsid w:val="00FF21B4"/>
    <w:rsid w:val="00FF3E7F"/>
    <w:rsid w:val="00FF408B"/>
    <w:rsid w:val="00FF4727"/>
    <w:rsid w:val="00FF713C"/>
    <w:rsid w:val="01DEE9E8"/>
    <w:rsid w:val="04EE626F"/>
    <w:rsid w:val="070CCC08"/>
    <w:rsid w:val="0C09B6DF"/>
    <w:rsid w:val="154C9944"/>
    <w:rsid w:val="1810ECAF"/>
    <w:rsid w:val="1DBC4947"/>
    <w:rsid w:val="1E11CFD2"/>
    <w:rsid w:val="2121F487"/>
    <w:rsid w:val="331B5D49"/>
    <w:rsid w:val="33BCB6EC"/>
    <w:rsid w:val="34345D6B"/>
    <w:rsid w:val="37CF54BA"/>
    <w:rsid w:val="3EA43B14"/>
    <w:rsid w:val="3F8B6CB2"/>
    <w:rsid w:val="4393AB5D"/>
    <w:rsid w:val="4CBD0A52"/>
    <w:rsid w:val="5247C25C"/>
    <w:rsid w:val="58B64B93"/>
    <w:rsid w:val="5A075EB2"/>
    <w:rsid w:val="5C6C8A5D"/>
    <w:rsid w:val="64DA0D62"/>
    <w:rsid w:val="6B1F497E"/>
    <w:rsid w:val="6F237F3F"/>
    <w:rsid w:val="7BC1A88B"/>
    <w:rsid w:val="7C9C4E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25472F9"/>
  <w15:docId w15:val="{65ADD14F-CA70-4E01-B8D1-B7369CFE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77"/>
    <w:rPr>
      <w:rFonts w:ascii="Times New Roman" w:eastAsiaTheme="minorHAnsi" w:hAnsi="Times New Roman" w:cs="Times New Roman"/>
      <w:kern w:val="2"/>
      <w:sz w:val="24"/>
      <w:szCs w:val="24"/>
      <w:lang w:eastAsia="en-US"/>
      <w14:ligatures w14:val="standardContextual"/>
    </w:rPr>
  </w:style>
  <w:style w:type="paragraph" w:styleId="Heading1">
    <w:name w:val="heading 1"/>
    <w:basedOn w:val="Normal"/>
    <w:next w:val="Normal"/>
    <w:link w:val="Heading1Char"/>
    <w:uiPriority w:val="9"/>
    <w:qFormat/>
    <w:rsid w:val="0063293F"/>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63293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3293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3293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3293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63293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3293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3293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3293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C9427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94277"/>
  </w:style>
  <w:style w:type="character" w:customStyle="1" w:styleId="Heading1Char">
    <w:name w:val="Heading 1 Char"/>
    <w:basedOn w:val="DefaultParagraphFont"/>
    <w:link w:val="Heading1"/>
    <w:uiPriority w:val="9"/>
    <w:rsid w:val="0063293F"/>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rsid w:val="0063293F"/>
    <w:pPr>
      <w:spacing w:before="100" w:beforeAutospacing="1" w:after="100" w:afterAutospacing="1"/>
    </w:pPr>
  </w:style>
  <w:style w:type="character" w:styleId="Strong">
    <w:name w:val="Strong"/>
    <w:uiPriority w:val="99"/>
    <w:qFormat/>
    <w:rsid w:val="0063293F"/>
    <w:rPr>
      <w:b/>
      <w:bCs/>
    </w:rPr>
  </w:style>
  <w:style w:type="character" w:customStyle="1" w:styleId="Heading2Char">
    <w:name w:val="Heading 2 Char"/>
    <w:basedOn w:val="DefaultParagraphFont"/>
    <w:link w:val="Heading2"/>
    <w:uiPriority w:val="9"/>
    <w:rsid w:val="0063293F"/>
    <w:rPr>
      <w:rFonts w:asciiTheme="majorHAnsi" w:eastAsiaTheme="majorEastAsia" w:hAnsiTheme="majorHAnsi" w:cstheme="majorBidi"/>
      <w:b/>
      <w:bCs/>
      <w:sz w:val="26"/>
      <w:szCs w:val="26"/>
    </w:rPr>
  </w:style>
  <w:style w:type="character" w:styleId="Emphasis">
    <w:name w:val="Emphasis"/>
    <w:uiPriority w:val="20"/>
    <w:qFormat/>
    <w:rsid w:val="0063293F"/>
    <w:rPr>
      <w:b/>
      <w:bCs/>
      <w:i/>
      <w:iCs/>
      <w:spacing w:val="10"/>
      <w:bdr w:val="none" w:sz="0" w:space="0" w:color="auto"/>
      <w:shd w:val="clear" w:color="auto" w:fill="auto"/>
    </w:rPr>
  </w:style>
  <w:style w:type="paragraph" w:customStyle="1" w:styleId="table-text">
    <w:name w:val="table-text"/>
    <w:basedOn w:val="Normal"/>
    <w:rsid w:val="0063293F"/>
    <w:rPr>
      <w:rFonts w:ascii="Myriad Pro" w:hAnsi="Myriad Pro"/>
      <w:color w:val="231F20"/>
      <w:sz w:val="14"/>
      <w:szCs w:val="14"/>
    </w:rPr>
  </w:style>
  <w:style w:type="paragraph" w:customStyle="1" w:styleId="table-h1">
    <w:name w:val="table-h1"/>
    <w:basedOn w:val="Normal"/>
    <w:rsid w:val="0063293F"/>
    <w:rPr>
      <w:rFonts w:ascii="Myriad Pro" w:hAnsi="Myriad Pro"/>
      <w:b/>
      <w:bCs/>
      <w:color w:val="FFFFFF"/>
      <w:sz w:val="14"/>
      <w:szCs w:val="14"/>
    </w:rPr>
  </w:style>
  <w:style w:type="character" w:customStyle="1" w:styleId="Strong1">
    <w:name w:val="Strong1"/>
    <w:basedOn w:val="DefaultParagraphFont"/>
    <w:rsid w:val="0063293F"/>
    <w:rPr>
      <w:b/>
      <w:bCs/>
      <w:i w:val="0"/>
      <w:iCs w:val="0"/>
    </w:rPr>
  </w:style>
  <w:style w:type="character" w:customStyle="1" w:styleId="superscript">
    <w:name w:val="superscript"/>
    <w:basedOn w:val="DefaultParagraphFont"/>
    <w:rsid w:val="0063293F"/>
    <w:rPr>
      <w:vertAlign w:val="superscript"/>
    </w:rPr>
  </w:style>
  <w:style w:type="paragraph" w:customStyle="1" w:styleId="footnote">
    <w:name w:val="footnote"/>
    <w:basedOn w:val="Normal"/>
    <w:rsid w:val="0063293F"/>
    <w:rPr>
      <w:rFonts w:ascii="Myriad Pro" w:hAnsi="Myriad Pro"/>
      <w:color w:val="231F20"/>
      <w:sz w:val="12"/>
      <w:szCs w:val="12"/>
    </w:rPr>
  </w:style>
  <w:style w:type="paragraph" w:customStyle="1" w:styleId="figure-table-title">
    <w:name w:val="figure-table-title"/>
    <w:basedOn w:val="Normal"/>
    <w:rsid w:val="0063293F"/>
    <w:pPr>
      <w:spacing w:after="180"/>
    </w:pPr>
    <w:rPr>
      <w:rFonts w:ascii="Minion Pro SmBd" w:hAnsi="Minion Pro SmBd"/>
      <w:b/>
      <w:bCs/>
      <w:color w:val="231F20"/>
      <w:sz w:val="18"/>
      <w:szCs w:val="18"/>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63293F"/>
    <w:pPr>
      <w:ind w:left="720"/>
      <w:contextualSpacing/>
    </w:pPr>
  </w:style>
  <w:style w:type="paragraph" w:styleId="Header">
    <w:name w:val="header"/>
    <w:basedOn w:val="Normal"/>
    <w:link w:val="HeaderChar"/>
    <w:uiPriority w:val="99"/>
    <w:unhideWhenUsed/>
    <w:rsid w:val="0063293F"/>
    <w:pPr>
      <w:tabs>
        <w:tab w:val="center" w:pos="4513"/>
        <w:tab w:val="right" w:pos="9026"/>
      </w:tabs>
    </w:pPr>
  </w:style>
  <w:style w:type="character" w:customStyle="1" w:styleId="HeaderChar">
    <w:name w:val="Header Char"/>
    <w:basedOn w:val="DefaultParagraphFont"/>
    <w:link w:val="Header"/>
    <w:uiPriority w:val="99"/>
    <w:rsid w:val="0063293F"/>
  </w:style>
  <w:style w:type="paragraph" w:styleId="Footer">
    <w:name w:val="footer"/>
    <w:basedOn w:val="Normal"/>
    <w:link w:val="FooterChar"/>
    <w:uiPriority w:val="99"/>
    <w:unhideWhenUsed/>
    <w:rsid w:val="0063293F"/>
    <w:pPr>
      <w:tabs>
        <w:tab w:val="center" w:pos="4513"/>
        <w:tab w:val="right" w:pos="9026"/>
      </w:tabs>
    </w:pPr>
  </w:style>
  <w:style w:type="character" w:customStyle="1" w:styleId="FooterChar">
    <w:name w:val="Footer Char"/>
    <w:basedOn w:val="DefaultParagraphFont"/>
    <w:link w:val="Footer"/>
    <w:uiPriority w:val="99"/>
    <w:rsid w:val="0063293F"/>
  </w:style>
  <w:style w:type="paragraph" w:styleId="Title">
    <w:name w:val="Title"/>
    <w:basedOn w:val="Normal"/>
    <w:next w:val="Normal"/>
    <w:link w:val="TitleChar"/>
    <w:uiPriority w:val="10"/>
    <w:qFormat/>
    <w:rsid w:val="0063293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63293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63293F"/>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3293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63293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63293F"/>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63293F"/>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63293F"/>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63293F"/>
    <w:pPr>
      <w:spacing w:after="0" w:line="240" w:lineRule="auto"/>
    </w:pPr>
  </w:style>
  <w:style w:type="paragraph" w:styleId="Quote">
    <w:name w:val="Quote"/>
    <w:basedOn w:val="Normal"/>
    <w:next w:val="Normal"/>
    <w:link w:val="QuoteChar"/>
    <w:uiPriority w:val="29"/>
    <w:qFormat/>
    <w:rsid w:val="0063293F"/>
    <w:pPr>
      <w:spacing w:before="200" w:after="0"/>
      <w:ind w:left="360" w:right="360"/>
    </w:pPr>
    <w:rPr>
      <w:i/>
      <w:iCs/>
    </w:rPr>
  </w:style>
  <w:style w:type="character" w:customStyle="1" w:styleId="QuoteChar">
    <w:name w:val="Quote Char"/>
    <w:basedOn w:val="DefaultParagraphFont"/>
    <w:link w:val="Quote"/>
    <w:uiPriority w:val="29"/>
    <w:rsid w:val="0063293F"/>
    <w:rPr>
      <w:i/>
      <w:iCs/>
    </w:rPr>
  </w:style>
  <w:style w:type="paragraph" w:styleId="IntenseQuote">
    <w:name w:val="Intense Quote"/>
    <w:basedOn w:val="Normal"/>
    <w:next w:val="Normal"/>
    <w:link w:val="IntenseQuoteChar"/>
    <w:uiPriority w:val="30"/>
    <w:qFormat/>
    <w:rsid w:val="0063293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3293F"/>
    <w:rPr>
      <w:b/>
      <w:bCs/>
      <w:i/>
      <w:iCs/>
    </w:rPr>
  </w:style>
  <w:style w:type="character" w:styleId="SubtleEmphasis">
    <w:name w:val="Subtle Emphasis"/>
    <w:uiPriority w:val="19"/>
    <w:qFormat/>
    <w:rsid w:val="0063293F"/>
    <w:rPr>
      <w:i/>
      <w:iCs/>
    </w:rPr>
  </w:style>
  <w:style w:type="character" w:styleId="IntenseEmphasis">
    <w:name w:val="Intense Emphasis"/>
    <w:uiPriority w:val="21"/>
    <w:qFormat/>
    <w:rsid w:val="0063293F"/>
    <w:rPr>
      <w:b/>
      <w:bCs/>
    </w:rPr>
  </w:style>
  <w:style w:type="character" w:styleId="SubtleReference">
    <w:name w:val="Subtle Reference"/>
    <w:uiPriority w:val="31"/>
    <w:qFormat/>
    <w:rsid w:val="0063293F"/>
    <w:rPr>
      <w:smallCaps/>
    </w:rPr>
  </w:style>
  <w:style w:type="character" w:styleId="IntenseReference">
    <w:name w:val="Intense Reference"/>
    <w:uiPriority w:val="32"/>
    <w:qFormat/>
    <w:rsid w:val="0063293F"/>
    <w:rPr>
      <w:smallCaps/>
      <w:spacing w:val="5"/>
      <w:u w:val="single"/>
    </w:rPr>
  </w:style>
  <w:style w:type="character" w:styleId="BookTitle">
    <w:name w:val="Book Title"/>
    <w:uiPriority w:val="33"/>
    <w:qFormat/>
    <w:rsid w:val="0063293F"/>
    <w:rPr>
      <w:i/>
      <w:iCs/>
      <w:smallCaps/>
      <w:spacing w:val="5"/>
    </w:rPr>
  </w:style>
  <w:style w:type="character" w:customStyle="1" w:styleId="Heading7Char">
    <w:name w:val="Heading 7 Char"/>
    <w:basedOn w:val="DefaultParagraphFont"/>
    <w:link w:val="Heading7"/>
    <w:uiPriority w:val="9"/>
    <w:semiHidden/>
    <w:rsid w:val="0063293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3293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3293F"/>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63293F"/>
    <w:pPr>
      <w:outlineLvl w:val="9"/>
    </w:pPr>
    <w:rPr>
      <w:lang w:bidi="en-US"/>
    </w:rPr>
  </w:style>
  <w:style w:type="paragraph" w:styleId="BalloonText">
    <w:name w:val="Balloon Text"/>
    <w:basedOn w:val="Normal"/>
    <w:link w:val="BalloonTextChar"/>
    <w:uiPriority w:val="99"/>
    <w:semiHidden/>
    <w:unhideWhenUsed/>
    <w:rsid w:val="00632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93F"/>
    <w:rPr>
      <w:rFonts w:ascii="Tahoma" w:hAnsi="Tahoma" w:cs="Tahoma"/>
      <w:sz w:val="16"/>
      <w:szCs w:val="16"/>
    </w:rPr>
  </w:style>
  <w:style w:type="character" w:styleId="PlaceholderText">
    <w:name w:val="Placeholder Text"/>
    <w:basedOn w:val="DefaultParagraphFont"/>
    <w:uiPriority w:val="99"/>
    <w:semiHidden/>
    <w:rsid w:val="0063293F"/>
    <w:rPr>
      <w:color w:val="808080"/>
    </w:rPr>
  </w:style>
  <w:style w:type="character" w:customStyle="1" w:styleId="NoSpacingChar">
    <w:name w:val="No Spacing Char"/>
    <w:basedOn w:val="DefaultParagraphFont"/>
    <w:link w:val="NoSpacing"/>
    <w:uiPriority w:val="1"/>
    <w:rsid w:val="0063293F"/>
  </w:style>
  <w:style w:type="paragraph" w:customStyle="1" w:styleId="Pa1">
    <w:name w:val="Pa1"/>
    <w:basedOn w:val="Normal"/>
    <w:next w:val="Normal"/>
    <w:uiPriority w:val="99"/>
    <w:rsid w:val="0063293F"/>
    <w:pPr>
      <w:autoSpaceDE w:val="0"/>
      <w:autoSpaceDN w:val="0"/>
      <w:adjustRightInd w:val="0"/>
      <w:spacing w:after="0" w:line="241" w:lineRule="atLeast"/>
    </w:pPr>
    <w:rPr>
      <w:rFonts w:ascii="Myriad Pro" w:hAnsi="Myriad Pro"/>
    </w:rPr>
  </w:style>
  <w:style w:type="character" w:customStyle="1" w:styleId="A10">
    <w:name w:val="A10"/>
    <w:uiPriority w:val="99"/>
    <w:rsid w:val="0063293F"/>
    <w:rPr>
      <w:rFonts w:cs="Myriad Pro"/>
      <w:color w:val="211D1E"/>
      <w:sz w:val="22"/>
      <w:szCs w:val="22"/>
    </w:rPr>
  </w:style>
  <w:style w:type="character" w:customStyle="1" w:styleId="A11">
    <w:name w:val="A11"/>
    <w:uiPriority w:val="99"/>
    <w:rsid w:val="0063293F"/>
    <w:rPr>
      <w:rFonts w:cs="Myriad Pro"/>
      <w:color w:val="211D1E"/>
      <w:sz w:val="22"/>
      <w:szCs w:val="22"/>
      <w:u w:val="single"/>
    </w:rPr>
  </w:style>
  <w:style w:type="character" w:customStyle="1" w:styleId="A12">
    <w:name w:val="A12"/>
    <w:uiPriority w:val="99"/>
    <w:rsid w:val="0063293F"/>
    <w:rPr>
      <w:rFonts w:cs="Myriad Pro"/>
      <w:color w:val="211D1E"/>
      <w:u w:val="single"/>
    </w:rPr>
  </w:style>
  <w:style w:type="character" w:styleId="Hyperlink">
    <w:name w:val="Hyperlink"/>
    <w:basedOn w:val="DefaultParagraphFont"/>
    <w:uiPriority w:val="99"/>
    <w:unhideWhenUsed/>
    <w:rsid w:val="0063293F"/>
    <w:rPr>
      <w:color w:val="0000FF" w:themeColor="hyperlink"/>
      <w:u w:val="single"/>
    </w:rPr>
  </w:style>
  <w:style w:type="table" w:customStyle="1" w:styleId="CDI-StandardTable">
    <w:name w:val="CDI - Standard Table"/>
    <w:basedOn w:val="TableNormal"/>
    <w:uiPriority w:val="99"/>
    <w:rsid w:val="0063293F"/>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63293F"/>
    <w:pPr>
      <w:spacing w:line="240" w:lineRule="auto"/>
      <w:ind w:left="720" w:hanging="720"/>
    </w:pPr>
    <w:rPr>
      <w:sz w:val="18"/>
    </w:rPr>
  </w:style>
  <w:style w:type="table" w:styleId="LightList">
    <w:name w:val="Light List"/>
    <w:basedOn w:val="TableNormal"/>
    <w:uiPriority w:val="61"/>
    <w:rsid w:val="0063293F"/>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632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63293F"/>
    <w:rPr>
      <w:b/>
    </w:rPr>
  </w:style>
  <w:style w:type="character" w:customStyle="1" w:styleId="NormalWebChar">
    <w:name w:val="Normal (Web) Char"/>
    <w:basedOn w:val="DefaultParagraphFont"/>
    <w:link w:val="NormalWeb"/>
    <w:uiPriority w:val="99"/>
    <w:rsid w:val="0063293F"/>
  </w:style>
  <w:style w:type="character" w:customStyle="1" w:styleId="CDIfootnotesChar">
    <w:name w:val="CDI_footnotes Char"/>
    <w:basedOn w:val="NormalWebChar"/>
    <w:link w:val="CDIfootnotes"/>
    <w:rsid w:val="0063293F"/>
    <w:rPr>
      <w:sz w:val="18"/>
    </w:rPr>
  </w:style>
  <w:style w:type="character" w:customStyle="1" w:styleId="CDIFiguresChar">
    <w:name w:val="CDI_Figures Char"/>
    <w:basedOn w:val="NormalWebChar"/>
    <w:link w:val="CDIFigures"/>
    <w:rsid w:val="0063293F"/>
    <w:rPr>
      <w:b/>
    </w:rPr>
  </w:style>
  <w:style w:type="character" w:customStyle="1" w:styleId="URI">
    <w:name w:val="URI"/>
    <w:uiPriority w:val="99"/>
    <w:rsid w:val="0063293F"/>
    <w:rPr>
      <w:color w:val="000000"/>
      <w:u w:val="thick"/>
    </w:rPr>
  </w:style>
  <w:style w:type="character" w:customStyle="1" w:styleId="nobreak">
    <w:name w:val="no break"/>
    <w:uiPriority w:val="99"/>
    <w:rsid w:val="0063293F"/>
    <w:rPr>
      <w:u w:val="none"/>
    </w:rPr>
  </w:style>
  <w:style w:type="paragraph" w:styleId="FootnoteText">
    <w:name w:val="footnote text"/>
    <w:basedOn w:val="Normal"/>
    <w:link w:val="FootnoteTextChar"/>
    <w:uiPriority w:val="99"/>
    <w:semiHidden/>
    <w:unhideWhenUsed/>
    <w:rsid w:val="006329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293F"/>
    <w:rPr>
      <w:sz w:val="20"/>
      <w:szCs w:val="20"/>
    </w:rPr>
  </w:style>
  <w:style w:type="character" w:styleId="FootnoteReference">
    <w:name w:val="footnote reference"/>
    <w:basedOn w:val="DefaultParagraphFont"/>
    <w:uiPriority w:val="99"/>
    <w:semiHidden/>
    <w:unhideWhenUsed/>
    <w:rsid w:val="0063293F"/>
    <w:rPr>
      <w:vertAlign w:val="superscript"/>
    </w:rPr>
  </w:style>
  <w:style w:type="paragraph" w:customStyle="1" w:styleId="msonormal0">
    <w:name w:val="msonormal"/>
    <w:basedOn w:val="Normal"/>
    <w:rsid w:val="00DC1B5A"/>
    <w:pPr>
      <w:spacing w:before="100" w:beforeAutospacing="1" w:after="100" w:afterAutospacing="1" w:line="240" w:lineRule="auto"/>
    </w:p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locked/>
    <w:rsid w:val="0085142C"/>
  </w:style>
  <w:style w:type="character" w:styleId="CommentReference">
    <w:name w:val="annotation reference"/>
    <w:basedOn w:val="DefaultParagraphFont"/>
    <w:uiPriority w:val="99"/>
    <w:semiHidden/>
    <w:unhideWhenUsed/>
    <w:rsid w:val="0085142C"/>
    <w:rPr>
      <w:sz w:val="16"/>
      <w:szCs w:val="16"/>
    </w:rPr>
  </w:style>
  <w:style w:type="paragraph" w:styleId="CommentText">
    <w:name w:val="annotation text"/>
    <w:basedOn w:val="Normal"/>
    <w:link w:val="CommentTextChar"/>
    <w:uiPriority w:val="99"/>
    <w:unhideWhenUsed/>
    <w:rsid w:val="0085142C"/>
    <w:pPr>
      <w:spacing w:line="240" w:lineRule="auto"/>
    </w:pPr>
    <w:rPr>
      <w:sz w:val="20"/>
      <w:szCs w:val="20"/>
    </w:rPr>
  </w:style>
  <w:style w:type="character" w:customStyle="1" w:styleId="CommentTextChar">
    <w:name w:val="Comment Text Char"/>
    <w:basedOn w:val="DefaultParagraphFont"/>
    <w:link w:val="CommentText"/>
    <w:uiPriority w:val="99"/>
    <w:rsid w:val="0085142C"/>
    <w:rPr>
      <w:sz w:val="20"/>
      <w:szCs w:val="20"/>
    </w:rPr>
  </w:style>
  <w:style w:type="paragraph" w:styleId="CommentSubject">
    <w:name w:val="annotation subject"/>
    <w:basedOn w:val="CommentText"/>
    <w:next w:val="CommentText"/>
    <w:link w:val="CommentSubjectChar"/>
    <w:uiPriority w:val="99"/>
    <w:semiHidden/>
    <w:unhideWhenUsed/>
    <w:rsid w:val="0085142C"/>
    <w:rPr>
      <w:b/>
      <w:bCs/>
    </w:rPr>
  </w:style>
  <w:style w:type="character" w:customStyle="1" w:styleId="CommentSubjectChar">
    <w:name w:val="Comment Subject Char"/>
    <w:basedOn w:val="CommentTextChar"/>
    <w:link w:val="CommentSubject"/>
    <w:uiPriority w:val="99"/>
    <w:semiHidden/>
    <w:rsid w:val="0085142C"/>
    <w:rPr>
      <w:b/>
      <w:bCs/>
      <w:sz w:val="20"/>
      <w:szCs w:val="20"/>
    </w:rPr>
  </w:style>
  <w:style w:type="paragraph" w:styleId="Caption">
    <w:name w:val="caption"/>
    <w:basedOn w:val="Normal"/>
    <w:next w:val="Normal"/>
    <w:uiPriority w:val="35"/>
    <w:unhideWhenUsed/>
    <w:qFormat/>
    <w:rsid w:val="009D08E9"/>
    <w:pPr>
      <w:spacing w:line="240" w:lineRule="auto"/>
    </w:pPr>
    <w:rPr>
      <w:i/>
      <w:iCs/>
      <w:color w:val="1F497D" w:themeColor="text2"/>
      <w:sz w:val="18"/>
      <w:szCs w:val="18"/>
    </w:rPr>
  </w:style>
  <w:style w:type="character" w:customStyle="1" w:styleId="mixed-citation">
    <w:name w:val="mixed-citation"/>
    <w:basedOn w:val="DefaultParagraphFont"/>
    <w:rsid w:val="00854F7D"/>
  </w:style>
  <w:style w:type="character" w:customStyle="1" w:styleId="title-text">
    <w:name w:val="title-text"/>
    <w:basedOn w:val="DefaultParagraphFont"/>
    <w:rsid w:val="00854F7D"/>
  </w:style>
  <w:style w:type="character" w:styleId="FollowedHyperlink">
    <w:name w:val="FollowedHyperlink"/>
    <w:basedOn w:val="DefaultParagraphFont"/>
    <w:uiPriority w:val="99"/>
    <w:semiHidden/>
    <w:unhideWhenUsed/>
    <w:rsid w:val="00BC60FE"/>
    <w:rPr>
      <w:color w:val="800080" w:themeColor="followedHyperlink"/>
      <w:u w:val="single"/>
    </w:rPr>
  </w:style>
  <w:style w:type="paragraph" w:styleId="HTMLPreformatted">
    <w:name w:val="HTML Preformatted"/>
    <w:basedOn w:val="Normal"/>
    <w:link w:val="HTMLPreformattedChar"/>
    <w:uiPriority w:val="99"/>
    <w:semiHidden/>
    <w:unhideWhenUsed/>
    <w:rsid w:val="00946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46A5C"/>
    <w:rPr>
      <w:rFonts w:ascii="Courier New" w:eastAsia="Times New Roman" w:hAnsi="Courier New" w:cs="Courier New"/>
      <w:sz w:val="20"/>
      <w:szCs w:val="20"/>
    </w:rPr>
  </w:style>
  <w:style w:type="character" w:customStyle="1" w:styleId="gfypqt5nyb">
    <w:name w:val="gfypqt5nyb"/>
    <w:basedOn w:val="DefaultParagraphFont"/>
    <w:rsid w:val="00946A5C"/>
  </w:style>
  <w:style w:type="paragraph" w:customStyle="1" w:styleId="Default">
    <w:name w:val="Default"/>
    <w:basedOn w:val="Normal"/>
    <w:rsid w:val="00B01A21"/>
    <w:pPr>
      <w:autoSpaceDE w:val="0"/>
      <w:autoSpaceDN w:val="0"/>
      <w:spacing w:after="0" w:line="240" w:lineRule="auto"/>
    </w:pPr>
    <w:rPr>
      <w:rFonts w:cs="Calibri"/>
      <w:color w:val="000000"/>
    </w:rPr>
  </w:style>
  <w:style w:type="paragraph" w:styleId="Revision">
    <w:name w:val="Revision"/>
    <w:hidden/>
    <w:uiPriority w:val="99"/>
    <w:semiHidden/>
    <w:rsid w:val="001614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8738">
      <w:marLeft w:val="0"/>
      <w:marRight w:val="150"/>
      <w:marTop w:val="0"/>
      <w:marBottom w:val="0"/>
      <w:divBdr>
        <w:top w:val="none" w:sz="0" w:space="0" w:color="auto"/>
        <w:left w:val="none" w:sz="0" w:space="0" w:color="auto"/>
        <w:bottom w:val="none" w:sz="0" w:space="0" w:color="auto"/>
        <w:right w:val="none" w:sz="0" w:space="0" w:color="auto"/>
      </w:divBdr>
      <w:divsChild>
        <w:div w:id="1335108080">
          <w:marLeft w:val="0"/>
          <w:marRight w:val="150"/>
          <w:marTop w:val="0"/>
          <w:marBottom w:val="0"/>
          <w:divBdr>
            <w:top w:val="none" w:sz="0" w:space="0" w:color="auto"/>
            <w:left w:val="none" w:sz="0" w:space="0" w:color="auto"/>
            <w:bottom w:val="none" w:sz="0" w:space="0" w:color="auto"/>
            <w:right w:val="none" w:sz="0" w:space="0" w:color="auto"/>
          </w:divBdr>
        </w:div>
      </w:divsChild>
    </w:div>
    <w:div w:id="37244823">
      <w:marLeft w:val="0"/>
      <w:marRight w:val="0"/>
      <w:marTop w:val="0"/>
      <w:marBottom w:val="0"/>
      <w:divBdr>
        <w:top w:val="none" w:sz="0" w:space="0" w:color="auto"/>
        <w:left w:val="none" w:sz="0" w:space="0" w:color="auto"/>
        <w:bottom w:val="none" w:sz="0" w:space="0" w:color="auto"/>
        <w:right w:val="none" w:sz="0" w:space="0" w:color="auto"/>
      </w:divBdr>
    </w:div>
    <w:div w:id="47146806">
      <w:bodyDiv w:val="1"/>
      <w:marLeft w:val="0"/>
      <w:marRight w:val="0"/>
      <w:marTop w:val="0"/>
      <w:marBottom w:val="0"/>
      <w:divBdr>
        <w:top w:val="none" w:sz="0" w:space="0" w:color="auto"/>
        <w:left w:val="none" w:sz="0" w:space="0" w:color="auto"/>
        <w:bottom w:val="none" w:sz="0" w:space="0" w:color="auto"/>
        <w:right w:val="none" w:sz="0" w:space="0" w:color="auto"/>
      </w:divBdr>
    </w:div>
    <w:div w:id="64105954">
      <w:marLeft w:val="0"/>
      <w:marRight w:val="0"/>
      <w:marTop w:val="0"/>
      <w:marBottom w:val="0"/>
      <w:divBdr>
        <w:top w:val="none" w:sz="0" w:space="0" w:color="auto"/>
        <w:left w:val="none" w:sz="0" w:space="0" w:color="auto"/>
        <w:bottom w:val="none" w:sz="0" w:space="0" w:color="auto"/>
        <w:right w:val="none" w:sz="0" w:space="0" w:color="auto"/>
      </w:divBdr>
    </w:div>
    <w:div w:id="75826191">
      <w:marLeft w:val="0"/>
      <w:marRight w:val="0"/>
      <w:marTop w:val="0"/>
      <w:marBottom w:val="0"/>
      <w:divBdr>
        <w:top w:val="none" w:sz="0" w:space="0" w:color="auto"/>
        <w:left w:val="none" w:sz="0" w:space="0" w:color="auto"/>
        <w:bottom w:val="none" w:sz="0" w:space="0" w:color="auto"/>
        <w:right w:val="none" w:sz="0" w:space="0" w:color="auto"/>
      </w:divBdr>
    </w:div>
    <w:div w:id="79982543">
      <w:marLeft w:val="0"/>
      <w:marRight w:val="0"/>
      <w:marTop w:val="0"/>
      <w:marBottom w:val="0"/>
      <w:divBdr>
        <w:top w:val="none" w:sz="0" w:space="0" w:color="auto"/>
        <w:left w:val="none" w:sz="0" w:space="0" w:color="auto"/>
        <w:bottom w:val="none" w:sz="0" w:space="0" w:color="auto"/>
        <w:right w:val="none" w:sz="0" w:space="0" w:color="auto"/>
      </w:divBdr>
    </w:div>
    <w:div w:id="123810424">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160510992">
      <w:marLeft w:val="0"/>
      <w:marRight w:val="0"/>
      <w:marTop w:val="0"/>
      <w:marBottom w:val="0"/>
      <w:divBdr>
        <w:top w:val="none" w:sz="0" w:space="0" w:color="auto"/>
        <w:left w:val="none" w:sz="0" w:space="0" w:color="auto"/>
        <w:bottom w:val="none" w:sz="0" w:space="0" w:color="auto"/>
        <w:right w:val="none" w:sz="0" w:space="0" w:color="auto"/>
      </w:divBdr>
    </w:div>
    <w:div w:id="161900671">
      <w:marLeft w:val="0"/>
      <w:marRight w:val="0"/>
      <w:marTop w:val="0"/>
      <w:marBottom w:val="0"/>
      <w:divBdr>
        <w:top w:val="none" w:sz="0" w:space="0" w:color="auto"/>
        <w:left w:val="none" w:sz="0" w:space="0" w:color="auto"/>
        <w:bottom w:val="none" w:sz="0" w:space="0" w:color="auto"/>
        <w:right w:val="none" w:sz="0" w:space="0" w:color="auto"/>
      </w:divBdr>
    </w:div>
    <w:div w:id="179977609">
      <w:marLeft w:val="0"/>
      <w:marRight w:val="0"/>
      <w:marTop w:val="0"/>
      <w:marBottom w:val="0"/>
      <w:divBdr>
        <w:top w:val="none" w:sz="0" w:space="0" w:color="auto"/>
        <w:left w:val="none" w:sz="0" w:space="0" w:color="auto"/>
        <w:bottom w:val="none" w:sz="0" w:space="0" w:color="auto"/>
        <w:right w:val="none" w:sz="0" w:space="0" w:color="auto"/>
      </w:divBdr>
    </w:div>
    <w:div w:id="180707261">
      <w:marLeft w:val="0"/>
      <w:marRight w:val="0"/>
      <w:marTop w:val="0"/>
      <w:marBottom w:val="0"/>
      <w:divBdr>
        <w:top w:val="none" w:sz="0" w:space="0" w:color="auto"/>
        <w:left w:val="none" w:sz="0" w:space="0" w:color="auto"/>
        <w:bottom w:val="none" w:sz="0" w:space="0" w:color="auto"/>
        <w:right w:val="none" w:sz="0" w:space="0" w:color="auto"/>
      </w:divBdr>
    </w:div>
    <w:div w:id="182013363">
      <w:marLeft w:val="0"/>
      <w:marRight w:val="0"/>
      <w:marTop w:val="0"/>
      <w:marBottom w:val="0"/>
      <w:divBdr>
        <w:top w:val="none" w:sz="0" w:space="0" w:color="auto"/>
        <w:left w:val="none" w:sz="0" w:space="0" w:color="auto"/>
        <w:bottom w:val="none" w:sz="0" w:space="0" w:color="auto"/>
        <w:right w:val="none" w:sz="0" w:space="0" w:color="auto"/>
      </w:divBdr>
    </w:div>
    <w:div w:id="197086890">
      <w:marLeft w:val="0"/>
      <w:marRight w:val="0"/>
      <w:marTop w:val="0"/>
      <w:marBottom w:val="0"/>
      <w:divBdr>
        <w:top w:val="none" w:sz="0" w:space="0" w:color="auto"/>
        <w:left w:val="none" w:sz="0" w:space="0" w:color="auto"/>
        <w:bottom w:val="none" w:sz="0" w:space="0" w:color="auto"/>
        <w:right w:val="none" w:sz="0" w:space="0" w:color="auto"/>
      </w:divBdr>
    </w:div>
    <w:div w:id="197356862">
      <w:marLeft w:val="0"/>
      <w:marRight w:val="0"/>
      <w:marTop w:val="0"/>
      <w:marBottom w:val="0"/>
      <w:divBdr>
        <w:top w:val="none" w:sz="0" w:space="0" w:color="auto"/>
        <w:left w:val="none" w:sz="0" w:space="0" w:color="auto"/>
        <w:bottom w:val="none" w:sz="0" w:space="0" w:color="auto"/>
        <w:right w:val="none" w:sz="0" w:space="0" w:color="auto"/>
      </w:divBdr>
    </w:div>
    <w:div w:id="197357040">
      <w:marLeft w:val="0"/>
      <w:marRight w:val="0"/>
      <w:marTop w:val="0"/>
      <w:marBottom w:val="0"/>
      <w:divBdr>
        <w:top w:val="none" w:sz="0" w:space="0" w:color="auto"/>
        <w:left w:val="none" w:sz="0" w:space="0" w:color="auto"/>
        <w:bottom w:val="none" w:sz="0" w:space="0" w:color="auto"/>
        <w:right w:val="none" w:sz="0" w:space="0" w:color="auto"/>
      </w:divBdr>
    </w:div>
    <w:div w:id="208879847">
      <w:marLeft w:val="0"/>
      <w:marRight w:val="0"/>
      <w:marTop w:val="0"/>
      <w:marBottom w:val="0"/>
      <w:divBdr>
        <w:top w:val="none" w:sz="0" w:space="0" w:color="auto"/>
        <w:left w:val="none" w:sz="0" w:space="0" w:color="auto"/>
        <w:bottom w:val="none" w:sz="0" w:space="0" w:color="auto"/>
        <w:right w:val="none" w:sz="0" w:space="0" w:color="auto"/>
      </w:divBdr>
    </w:div>
    <w:div w:id="210463694">
      <w:marLeft w:val="0"/>
      <w:marRight w:val="0"/>
      <w:marTop w:val="0"/>
      <w:marBottom w:val="0"/>
      <w:divBdr>
        <w:top w:val="none" w:sz="0" w:space="0" w:color="auto"/>
        <w:left w:val="none" w:sz="0" w:space="0" w:color="auto"/>
        <w:bottom w:val="none" w:sz="0" w:space="0" w:color="auto"/>
        <w:right w:val="none" w:sz="0" w:space="0" w:color="auto"/>
      </w:divBdr>
    </w:div>
    <w:div w:id="245461136">
      <w:marLeft w:val="0"/>
      <w:marRight w:val="0"/>
      <w:marTop w:val="0"/>
      <w:marBottom w:val="0"/>
      <w:divBdr>
        <w:top w:val="none" w:sz="0" w:space="0" w:color="auto"/>
        <w:left w:val="none" w:sz="0" w:space="0" w:color="auto"/>
        <w:bottom w:val="none" w:sz="0" w:space="0" w:color="auto"/>
        <w:right w:val="none" w:sz="0" w:space="0" w:color="auto"/>
      </w:divBdr>
    </w:div>
    <w:div w:id="250701908">
      <w:bodyDiv w:val="1"/>
      <w:marLeft w:val="0"/>
      <w:marRight w:val="0"/>
      <w:marTop w:val="0"/>
      <w:marBottom w:val="0"/>
      <w:divBdr>
        <w:top w:val="none" w:sz="0" w:space="0" w:color="auto"/>
        <w:left w:val="none" w:sz="0" w:space="0" w:color="auto"/>
        <w:bottom w:val="none" w:sz="0" w:space="0" w:color="auto"/>
        <w:right w:val="none" w:sz="0" w:space="0" w:color="auto"/>
      </w:divBdr>
      <w:divsChild>
        <w:div w:id="823083917">
          <w:marLeft w:val="0"/>
          <w:marRight w:val="0"/>
          <w:marTop w:val="0"/>
          <w:marBottom w:val="0"/>
          <w:divBdr>
            <w:top w:val="none" w:sz="0" w:space="0" w:color="auto"/>
            <w:left w:val="none" w:sz="0" w:space="0" w:color="auto"/>
            <w:bottom w:val="none" w:sz="0" w:space="0" w:color="auto"/>
            <w:right w:val="none" w:sz="0" w:space="0" w:color="auto"/>
          </w:divBdr>
          <w:divsChild>
            <w:div w:id="194463146">
              <w:marLeft w:val="0"/>
              <w:marRight w:val="0"/>
              <w:marTop w:val="0"/>
              <w:marBottom w:val="0"/>
              <w:divBdr>
                <w:top w:val="none" w:sz="0" w:space="0" w:color="auto"/>
                <w:left w:val="none" w:sz="0" w:space="0" w:color="auto"/>
                <w:bottom w:val="none" w:sz="0" w:space="0" w:color="auto"/>
                <w:right w:val="none" w:sz="0" w:space="0" w:color="auto"/>
              </w:divBdr>
              <w:divsChild>
                <w:div w:id="473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3782">
          <w:marLeft w:val="0"/>
          <w:marRight w:val="150"/>
          <w:marTop w:val="0"/>
          <w:marBottom w:val="0"/>
          <w:divBdr>
            <w:top w:val="none" w:sz="0" w:space="0" w:color="auto"/>
            <w:left w:val="none" w:sz="0" w:space="0" w:color="auto"/>
            <w:bottom w:val="none" w:sz="0" w:space="0" w:color="auto"/>
            <w:right w:val="none" w:sz="0" w:space="0" w:color="auto"/>
          </w:divBdr>
          <w:divsChild>
            <w:div w:id="418284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54437497">
      <w:marLeft w:val="0"/>
      <w:marRight w:val="0"/>
      <w:marTop w:val="0"/>
      <w:marBottom w:val="0"/>
      <w:divBdr>
        <w:top w:val="none" w:sz="0" w:space="0" w:color="auto"/>
        <w:left w:val="none" w:sz="0" w:space="0" w:color="auto"/>
        <w:bottom w:val="none" w:sz="0" w:space="0" w:color="auto"/>
        <w:right w:val="none" w:sz="0" w:space="0" w:color="auto"/>
      </w:divBdr>
    </w:div>
    <w:div w:id="254827398">
      <w:marLeft w:val="0"/>
      <w:marRight w:val="0"/>
      <w:marTop w:val="0"/>
      <w:marBottom w:val="0"/>
      <w:divBdr>
        <w:top w:val="none" w:sz="0" w:space="0" w:color="auto"/>
        <w:left w:val="none" w:sz="0" w:space="0" w:color="auto"/>
        <w:bottom w:val="none" w:sz="0" w:space="0" w:color="auto"/>
        <w:right w:val="none" w:sz="0" w:space="0" w:color="auto"/>
      </w:divBdr>
    </w:div>
    <w:div w:id="255866295">
      <w:marLeft w:val="0"/>
      <w:marRight w:val="0"/>
      <w:marTop w:val="0"/>
      <w:marBottom w:val="0"/>
      <w:divBdr>
        <w:top w:val="none" w:sz="0" w:space="0" w:color="auto"/>
        <w:left w:val="none" w:sz="0" w:space="0" w:color="auto"/>
        <w:bottom w:val="none" w:sz="0" w:space="0" w:color="auto"/>
        <w:right w:val="none" w:sz="0" w:space="0" w:color="auto"/>
      </w:divBdr>
    </w:div>
    <w:div w:id="315572746">
      <w:marLeft w:val="0"/>
      <w:marRight w:val="0"/>
      <w:marTop w:val="0"/>
      <w:marBottom w:val="0"/>
      <w:divBdr>
        <w:top w:val="none" w:sz="0" w:space="0" w:color="auto"/>
        <w:left w:val="none" w:sz="0" w:space="0" w:color="auto"/>
        <w:bottom w:val="none" w:sz="0" w:space="0" w:color="auto"/>
        <w:right w:val="none" w:sz="0" w:space="0" w:color="auto"/>
      </w:divBdr>
    </w:div>
    <w:div w:id="329065293">
      <w:marLeft w:val="0"/>
      <w:marRight w:val="0"/>
      <w:marTop w:val="0"/>
      <w:marBottom w:val="0"/>
      <w:divBdr>
        <w:top w:val="none" w:sz="0" w:space="0" w:color="auto"/>
        <w:left w:val="none" w:sz="0" w:space="0" w:color="auto"/>
        <w:bottom w:val="none" w:sz="0" w:space="0" w:color="auto"/>
        <w:right w:val="none" w:sz="0" w:space="0" w:color="auto"/>
      </w:divBdr>
    </w:div>
    <w:div w:id="333840465">
      <w:marLeft w:val="0"/>
      <w:marRight w:val="0"/>
      <w:marTop w:val="0"/>
      <w:marBottom w:val="0"/>
      <w:divBdr>
        <w:top w:val="none" w:sz="0" w:space="0" w:color="auto"/>
        <w:left w:val="none" w:sz="0" w:space="0" w:color="auto"/>
        <w:bottom w:val="none" w:sz="0" w:space="0" w:color="auto"/>
        <w:right w:val="none" w:sz="0" w:space="0" w:color="auto"/>
      </w:divBdr>
    </w:div>
    <w:div w:id="350030342">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00521604">
      <w:marLeft w:val="0"/>
      <w:marRight w:val="0"/>
      <w:marTop w:val="0"/>
      <w:marBottom w:val="0"/>
      <w:divBdr>
        <w:top w:val="none" w:sz="0" w:space="0" w:color="auto"/>
        <w:left w:val="none" w:sz="0" w:space="0" w:color="auto"/>
        <w:bottom w:val="none" w:sz="0" w:space="0" w:color="auto"/>
        <w:right w:val="none" w:sz="0" w:space="0" w:color="auto"/>
      </w:divBdr>
    </w:div>
    <w:div w:id="401414207">
      <w:marLeft w:val="0"/>
      <w:marRight w:val="0"/>
      <w:marTop w:val="0"/>
      <w:marBottom w:val="0"/>
      <w:divBdr>
        <w:top w:val="none" w:sz="0" w:space="0" w:color="auto"/>
        <w:left w:val="none" w:sz="0" w:space="0" w:color="auto"/>
        <w:bottom w:val="none" w:sz="0" w:space="0" w:color="auto"/>
        <w:right w:val="none" w:sz="0" w:space="0" w:color="auto"/>
      </w:divBdr>
    </w:div>
    <w:div w:id="403718662">
      <w:marLeft w:val="0"/>
      <w:marRight w:val="150"/>
      <w:marTop w:val="0"/>
      <w:marBottom w:val="0"/>
      <w:divBdr>
        <w:top w:val="none" w:sz="0" w:space="0" w:color="auto"/>
        <w:left w:val="none" w:sz="0" w:space="0" w:color="auto"/>
        <w:bottom w:val="none" w:sz="0" w:space="0" w:color="auto"/>
        <w:right w:val="none" w:sz="0" w:space="0" w:color="auto"/>
      </w:divBdr>
      <w:divsChild>
        <w:div w:id="1504663035">
          <w:marLeft w:val="0"/>
          <w:marRight w:val="150"/>
          <w:marTop w:val="0"/>
          <w:marBottom w:val="0"/>
          <w:divBdr>
            <w:top w:val="none" w:sz="0" w:space="0" w:color="auto"/>
            <w:left w:val="none" w:sz="0" w:space="0" w:color="auto"/>
            <w:bottom w:val="none" w:sz="0" w:space="0" w:color="auto"/>
            <w:right w:val="none" w:sz="0" w:space="0" w:color="auto"/>
          </w:divBdr>
        </w:div>
      </w:divsChild>
    </w:div>
    <w:div w:id="412162147">
      <w:marLeft w:val="0"/>
      <w:marRight w:val="0"/>
      <w:marTop w:val="0"/>
      <w:marBottom w:val="0"/>
      <w:divBdr>
        <w:top w:val="none" w:sz="0" w:space="0" w:color="auto"/>
        <w:left w:val="none" w:sz="0" w:space="0" w:color="auto"/>
        <w:bottom w:val="none" w:sz="0" w:space="0" w:color="auto"/>
        <w:right w:val="none" w:sz="0" w:space="0" w:color="auto"/>
      </w:divBdr>
    </w:div>
    <w:div w:id="432165396">
      <w:marLeft w:val="0"/>
      <w:marRight w:val="0"/>
      <w:marTop w:val="0"/>
      <w:marBottom w:val="0"/>
      <w:divBdr>
        <w:top w:val="none" w:sz="0" w:space="0" w:color="auto"/>
        <w:left w:val="none" w:sz="0" w:space="0" w:color="auto"/>
        <w:bottom w:val="none" w:sz="0" w:space="0" w:color="auto"/>
        <w:right w:val="none" w:sz="0" w:space="0" w:color="auto"/>
      </w:divBdr>
    </w:div>
    <w:div w:id="447893058">
      <w:marLeft w:val="0"/>
      <w:marRight w:val="0"/>
      <w:marTop w:val="0"/>
      <w:marBottom w:val="0"/>
      <w:divBdr>
        <w:top w:val="none" w:sz="0" w:space="0" w:color="auto"/>
        <w:left w:val="none" w:sz="0" w:space="0" w:color="auto"/>
        <w:bottom w:val="none" w:sz="0" w:space="0" w:color="auto"/>
        <w:right w:val="none" w:sz="0" w:space="0" w:color="auto"/>
      </w:divBdr>
    </w:div>
    <w:div w:id="451021608">
      <w:marLeft w:val="0"/>
      <w:marRight w:val="0"/>
      <w:marTop w:val="0"/>
      <w:marBottom w:val="0"/>
      <w:divBdr>
        <w:top w:val="none" w:sz="0" w:space="0" w:color="auto"/>
        <w:left w:val="none" w:sz="0" w:space="0" w:color="auto"/>
        <w:bottom w:val="none" w:sz="0" w:space="0" w:color="auto"/>
        <w:right w:val="none" w:sz="0" w:space="0" w:color="auto"/>
      </w:divBdr>
    </w:div>
    <w:div w:id="462312738">
      <w:marLeft w:val="0"/>
      <w:marRight w:val="0"/>
      <w:marTop w:val="0"/>
      <w:marBottom w:val="0"/>
      <w:divBdr>
        <w:top w:val="none" w:sz="0" w:space="0" w:color="auto"/>
        <w:left w:val="none" w:sz="0" w:space="0" w:color="auto"/>
        <w:bottom w:val="none" w:sz="0" w:space="0" w:color="auto"/>
        <w:right w:val="none" w:sz="0" w:space="0" w:color="auto"/>
      </w:divBdr>
    </w:div>
    <w:div w:id="471752958">
      <w:marLeft w:val="0"/>
      <w:marRight w:val="0"/>
      <w:marTop w:val="0"/>
      <w:marBottom w:val="0"/>
      <w:divBdr>
        <w:top w:val="none" w:sz="0" w:space="0" w:color="auto"/>
        <w:left w:val="none" w:sz="0" w:space="0" w:color="auto"/>
        <w:bottom w:val="none" w:sz="0" w:space="0" w:color="auto"/>
        <w:right w:val="none" w:sz="0" w:space="0" w:color="auto"/>
      </w:divBdr>
    </w:div>
    <w:div w:id="472407159">
      <w:marLeft w:val="0"/>
      <w:marRight w:val="0"/>
      <w:marTop w:val="0"/>
      <w:marBottom w:val="0"/>
      <w:divBdr>
        <w:top w:val="none" w:sz="0" w:space="0" w:color="auto"/>
        <w:left w:val="none" w:sz="0" w:space="0" w:color="auto"/>
        <w:bottom w:val="none" w:sz="0" w:space="0" w:color="auto"/>
        <w:right w:val="none" w:sz="0" w:space="0" w:color="auto"/>
      </w:divBdr>
    </w:div>
    <w:div w:id="477915916">
      <w:bodyDiv w:val="1"/>
      <w:marLeft w:val="0"/>
      <w:marRight w:val="0"/>
      <w:marTop w:val="0"/>
      <w:marBottom w:val="0"/>
      <w:divBdr>
        <w:top w:val="none" w:sz="0" w:space="0" w:color="auto"/>
        <w:left w:val="none" w:sz="0" w:space="0" w:color="auto"/>
        <w:bottom w:val="none" w:sz="0" w:space="0" w:color="auto"/>
        <w:right w:val="none" w:sz="0" w:space="0" w:color="auto"/>
      </w:divBdr>
    </w:div>
    <w:div w:id="481699370">
      <w:marLeft w:val="0"/>
      <w:marRight w:val="0"/>
      <w:marTop w:val="0"/>
      <w:marBottom w:val="0"/>
      <w:divBdr>
        <w:top w:val="none" w:sz="0" w:space="0" w:color="auto"/>
        <w:left w:val="none" w:sz="0" w:space="0" w:color="auto"/>
        <w:bottom w:val="none" w:sz="0" w:space="0" w:color="auto"/>
        <w:right w:val="none" w:sz="0" w:space="0" w:color="auto"/>
      </w:divBdr>
    </w:div>
    <w:div w:id="484902399">
      <w:marLeft w:val="0"/>
      <w:marRight w:val="0"/>
      <w:marTop w:val="0"/>
      <w:marBottom w:val="0"/>
      <w:divBdr>
        <w:top w:val="none" w:sz="0" w:space="0" w:color="auto"/>
        <w:left w:val="none" w:sz="0" w:space="0" w:color="auto"/>
        <w:bottom w:val="none" w:sz="0" w:space="0" w:color="auto"/>
        <w:right w:val="none" w:sz="0" w:space="0" w:color="auto"/>
      </w:divBdr>
    </w:div>
    <w:div w:id="490607584">
      <w:marLeft w:val="0"/>
      <w:marRight w:val="0"/>
      <w:marTop w:val="0"/>
      <w:marBottom w:val="0"/>
      <w:divBdr>
        <w:top w:val="none" w:sz="0" w:space="0" w:color="auto"/>
        <w:left w:val="none" w:sz="0" w:space="0" w:color="auto"/>
        <w:bottom w:val="none" w:sz="0" w:space="0" w:color="auto"/>
        <w:right w:val="none" w:sz="0" w:space="0" w:color="auto"/>
      </w:divBdr>
    </w:div>
    <w:div w:id="498541512">
      <w:marLeft w:val="0"/>
      <w:marRight w:val="0"/>
      <w:marTop w:val="0"/>
      <w:marBottom w:val="0"/>
      <w:divBdr>
        <w:top w:val="none" w:sz="0" w:space="0" w:color="auto"/>
        <w:left w:val="none" w:sz="0" w:space="0" w:color="auto"/>
        <w:bottom w:val="none" w:sz="0" w:space="0" w:color="auto"/>
        <w:right w:val="none" w:sz="0" w:space="0" w:color="auto"/>
      </w:divBdr>
    </w:div>
    <w:div w:id="522406040">
      <w:marLeft w:val="0"/>
      <w:marRight w:val="0"/>
      <w:marTop w:val="0"/>
      <w:marBottom w:val="0"/>
      <w:divBdr>
        <w:top w:val="none" w:sz="0" w:space="0" w:color="auto"/>
        <w:left w:val="none" w:sz="0" w:space="0" w:color="auto"/>
        <w:bottom w:val="none" w:sz="0" w:space="0" w:color="auto"/>
        <w:right w:val="none" w:sz="0" w:space="0" w:color="auto"/>
      </w:divBdr>
    </w:div>
    <w:div w:id="533538254">
      <w:marLeft w:val="0"/>
      <w:marRight w:val="0"/>
      <w:marTop w:val="0"/>
      <w:marBottom w:val="0"/>
      <w:divBdr>
        <w:top w:val="none" w:sz="0" w:space="0" w:color="auto"/>
        <w:left w:val="none" w:sz="0" w:space="0" w:color="auto"/>
        <w:bottom w:val="none" w:sz="0" w:space="0" w:color="auto"/>
        <w:right w:val="none" w:sz="0" w:space="0" w:color="auto"/>
      </w:divBdr>
    </w:div>
    <w:div w:id="536699699">
      <w:marLeft w:val="0"/>
      <w:marRight w:val="0"/>
      <w:marTop w:val="0"/>
      <w:marBottom w:val="0"/>
      <w:divBdr>
        <w:top w:val="none" w:sz="0" w:space="0" w:color="auto"/>
        <w:left w:val="none" w:sz="0" w:space="0" w:color="auto"/>
        <w:bottom w:val="none" w:sz="0" w:space="0" w:color="auto"/>
        <w:right w:val="none" w:sz="0" w:space="0" w:color="auto"/>
      </w:divBdr>
    </w:div>
    <w:div w:id="546717698">
      <w:marLeft w:val="0"/>
      <w:marRight w:val="150"/>
      <w:marTop w:val="0"/>
      <w:marBottom w:val="0"/>
      <w:divBdr>
        <w:top w:val="none" w:sz="0" w:space="0" w:color="auto"/>
        <w:left w:val="none" w:sz="0" w:space="0" w:color="auto"/>
        <w:bottom w:val="none" w:sz="0" w:space="0" w:color="auto"/>
        <w:right w:val="none" w:sz="0" w:space="0" w:color="auto"/>
      </w:divBdr>
    </w:div>
    <w:div w:id="547716995">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01885625">
      <w:marLeft w:val="0"/>
      <w:marRight w:val="0"/>
      <w:marTop w:val="0"/>
      <w:marBottom w:val="0"/>
      <w:divBdr>
        <w:top w:val="none" w:sz="0" w:space="0" w:color="auto"/>
        <w:left w:val="none" w:sz="0" w:space="0" w:color="auto"/>
        <w:bottom w:val="none" w:sz="0" w:space="0" w:color="auto"/>
        <w:right w:val="none" w:sz="0" w:space="0" w:color="auto"/>
      </w:divBdr>
    </w:div>
    <w:div w:id="619999513">
      <w:marLeft w:val="0"/>
      <w:marRight w:val="0"/>
      <w:marTop w:val="0"/>
      <w:marBottom w:val="0"/>
      <w:divBdr>
        <w:top w:val="none" w:sz="0" w:space="0" w:color="auto"/>
        <w:left w:val="none" w:sz="0" w:space="0" w:color="auto"/>
        <w:bottom w:val="none" w:sz="0" w:space="0" w:color="auto"/>
        <w:right w:val="none" w:sz="0" w:space="0" w:color="auto"/>
      </w:divBdr>
    </w:div>
    <w:div w:id="629552483">
      <w:marLeft w:val="0"/>
      <w:marRight w:val="0"/>
      <w:marTop w:val="0"/>
      <w:marBottom w:val="0"/>
      <w:divBdr>
        <w:top w:val="none" w:sz="0" w:space="0" w:color="auto"/>
        <w:left w:val="none" w:sz="0" w:space="0" w:color="auto"/>
        <w:bottom w:val="none" w:sz="0" w:space="0" w:color="auto"/>
        <w:right w:val="none" w:sz="0" w:space="0" w:color="auto"/>
      </w:divBdr>
    </w:div>
    <w:div w:id="631209474">
      <w:marLeft w:val="0"/>
      <w:marRight w:val="0"/>
      <w:marTop w:val="0"/>
      <w:marBottom w:val="0"/>
      <w:divBdr>
        <w:top w:val="none" w:sz="0" w:space="0" w:color="auto"/>
        <w:left w:val="none" w:sz="0" w:space="0" w:color="auto"/>
        <w:bottom w:val="none" w:sz="0" w:space="0" w:color="auto"/>
        <w:right w:val="none" w:sz="0" w:space="0" w:color="auto"/>
      </w:divBdr>
    </w:div>
    <w:div w:id="638995012">
      <w:marLeft w:val="0"/>
      <w:marRight w:val="0"/>
      <w:marTop w:val="0"/>
      <w:marBottom w:val="0"/>
      <w:divBdr>
        <w:top w:val="none" w:sz="0" w:space="0" w:color="auto"/>
        <w:left w:val="none" w:sz="0" w:space="0" w:color="auto"/>
        <w:bottom w:val="none" w:sz="0" w:space="0" w:color="auto"/>
        <w:right w:val="none" w:sz="0" w:space="0" w:color="auto"/>
      </w:divBdr>
    </w:div>
    <w:div w:id="640578730">
      <w:marLeft w:val="0"/>
      <w:marRight w:val="0"/>
      <w:marTop w:val="0"/>
      <w:marBottom w:val="0"/>
      <w:divBdr>
        <w:top w:val="none" w:sz="0" w:space="0" w:color="auto"/>
        <w:left w:val="none" w:sz="0" w:space="0" w:color="auto"/>
        <w:bottom w:val="none" w:sz="0" w:space="0" w:color="auto"/>
        <w:right w:val="none" w:sz="0" w:space="0" w:color="auto"/>
      </w:divBdr>
    </w:div>
    <w:div w:id="652567700">
      <w:marLeft w:val="0"/>
      <w:marRight w:val="0"/>
      <w:marTop w:val="0"/>
      <w:marBottom w:val="0"/>
      <w:divBdr>
        <w:top w:val="none" w:sz="0" w:space="0" w:color="auto"/>
        <w:left w:val="none" w:sz="0" w:space="0" w:color="auto"/>
        <w:bottom w:val="none" w:sz="0" w:space="0" w:color="auto"/>
        <w:right w:val="none" w:sz="0" w:space="0" w:color="auto"/>
      </w:divBdr>
    </w:div>
    <w:div w:id="654377382">
      <w:marLeft w:val="0"/>
      <w:marRight w:val="0"/>
      <w:marTop w:val="0"/>
      <w:marBottom w:val="0"/>
      <w:divBdr>
        <w:top w:val="none" w:sz="0" w:space="0" w:color="auto"/>
        <w:left w:val="none" w:sz="0" w:space="0" w:color="auto"/>
        <w:bottom w:val="none" w:sz="0" w:space="0" w:color="auto"/>
        <w:right w:val="none" w:sz="0" w:space="0" w:color="auto"/>
      </w:divBdr>
    </w:div>
    <w:div w:id="656111372">
      <w:marLeft w:val="0"/>
      <w:marRight w:val="0"/>
      <w:marTop w:val="0"/>
      <w:marBottom w:val="0"/>
      <w:divBdr>
        <w:top w:val="none" w:sz="0" w:space="0" w:color="auto"/>
        <w:left w:val="none" w:sz="0" w:space="0" w:color="auto"/>
        <w:bottom w:val="none" w:sz="0" w:space="0" w:color="auto"/>
        <w:right w:val="none" w:sz="0" w:space="0" w:color="auto"/>
      </w:divBdr>
    </w:div>
    <w:div w:id="666597658">
      <w:marLeft w:val="0"/>
      <w:marRight w:val="0"/>
      <w:marTop w:val="0"/>
      <w:marBottom w:val="0"/>
      <w:divBdr>
        <w:top w:val="none" w:sz="0" w:space="0" w:color="auto"/>
        <w:left w:val="none" w:sz="0" w:space="0" w:color="auto"/>
        <w:bottom w:val="none" w:sz="0" w:space="0" w:color="auto"/>
        <w:right w:val="none" w:sz="0" w:space="0" w:color="auto"/>
      </w:divBdr>
    </w:div>
    <w:div w:id="679816390">
      <w:marLeft w:val="0"/>
      <w:marRight w:val="0"/>
      <w:marTop w:val="0"/>
      <w:marBottom w:val="0"/>
      <w:divBdr>
        <w:top w:val="none" w:sz="0" w:space="0" w:color="auto"/>
        <w:left w:val="none" w:sz="0" w:space="0" w:color="auto"/>
        <w:bottom w:val="none" w:sz="0" w:space="0" w:color="auto"/>
        <w:right w:val="none" w:sz="0" w:space="0" w:color="auto"/>
      </w:divBdr>
    </w:div>
    <w:div w:id="692389445">
      <w:marLeft w:val="0"/>
      <w:marRight w:val="150"/>
      <w:marTop w:val="0"/>
      <w:marBottom w:val="0"/>
      <w:divBdr>
        <w:top w:val="none" w:sz="0" w:space="0" w:color="auto"/>
        <w:left w:val="none" w:sz="0" w:space="0" w:color="auto"/>
        <w:bottom w:val="none" w:sz="0" w:space="0" w:color="auto"/>
        <w:right w:val="none" w:sz="0" w:space="0" w:color="auto"/>
      </w:divBdr>
    </w:div>
    <w:div w:id="694699591">
      <w:marLeft w:val="0"/>
      <w:marRight w:val="0"/>
      <w:marTop w:val="0"/>
      <w:marBottom w:val="0"/>
      <w:divBdr>
        <w:top w:val="none" w:sz="0" w:space="0" w:color="auto"/>
        <w:left w:val="none" w:sz="0" w:space="0" w:color="auto"/>
        <w:bottom w:val="none" w:sz="0" w:space="0" w:color="auto"/>
        <w:right w:val="none" w:sz="0" w:space="0" w:color="auto"/>
      </w:divBdr>
    </w:div>
    <w:div w:id="727649387">
      <w:bodyDiv w:val="1"/>
      <w:marLeft w:val="0"/>
      <w:marRight w:val="0"/>
      <w:marTop w:val="0"/>
      <w:marBottom w:val="0"/>
      <w:divBdr>
        <w:top w:val="none" w:sz="0" w:space="0" w:color="auto"/>
        <w:left w:val="none" w:sz="0" w:space="0" w:color="auto"/>
        <w:bottom w:val="none" w:sz="0" w:space="0" w:color="auto"/>
        <w:right w:val="none" w:sz="0" w:space="0" w:color="auto"/>
      </w:divBdr>
    </w:div>
    <w:div w:id="735317645">
      <w:marLeft w:val="0"/>
      <w:marRight w:val="0"/>
      <w:marTop w:val="0"/>
      <w:marBottom w:val="0"/>
      <w:divBdr>
        <w:top w:val="none" w:sz="0" w:space="0" w:color="auto"/>
        <w:left w:val="none" w:sz="0" w:space="0" w:color="auto"/>
        <w:bottom w:val="none" w:sz="0" w:space="0" w:color="auto"/>
        <w:right w:val="none" w:sz="0" w:space="0" w:color="auto"/>
      </w:divBdr>
    </w:div>
    <w:div w:id="739793508">
      <w:marLeft w:val="0"/>
      <w:marRight w:val="0"/>
      <w:marTop w:val="0"/>
      <w:marBottom w:val="0"/>
      <w:divBdr>
        <w:top w:val="none" w:sz="0" w:space="0" w:color="auto"/>
        <w:left w:val="none" w:sz="0" w:space="0" w:color="auto"/>
        <w:bottom w:val="none" w:sz="0" w:space="0" w:color="auto"/>
        <w:right w:val="none" w:sz="0" w:space="0" w:color="auto"/>
      </w:divBdr>
    </w:div>
    <w:div w:id="750659091">
      <w:marLeft w:val="0"/>
      <w:marRight w:val="0"/>
      <w:marTop w:val="0"/>
      <w:marBottom w:val="0"/>
      <w:divBdr>
        <w:top w:val="none" w:sz="0" w:space="0" w:color="auto"/>
        <w:left w:val="none" w:sz="0" w:space="0" w:color="auto"/>
        <w:bottom w:val="none" w:sz="0" w:space="0" w:color="auto"/>
        <w:right w:val="none" w:sz="0" w:space="0" w:color="auto"/>
      </w:divBdr>
    </w:div>
    <w:div w:id="777681129">
      <w:marLeft w:val="0"/>
      <w:marRight w:val="0"/>
      <w:marTop w:val="0"/>
      <w:marBottom w:val="0"/>
      <w:divBdr>
        <w:top w:val="none" w:sz="0" w:space="0" w:color="auto"/>
        <w:left w:val="none" w:sz="0" w:space="0" w:color="auto"/>
        <w:bottom w:val="none" w:sz="0" w:space="0" w:color="auto"/>
        <w:right w:val="none" w:sz="0" w:space="0" w:color="auto"/>
      </w:divBdr>
    </w:div>
    <w:div w:id="824933141">
      <w:marLeft w:val="0"/>
      <w:marRight w:val="0"/>
      <w:marTop w:val="0"/>
      <w:marBottom w:val="0"/>
      <w:divBdr>
        <w:top w:val="none" w:sz="0" w:space="0" w:color="auto"/>
        <w:left w:val="none" w:sz="0" w:space="0" w:color="auto"/>
        <w:bottom w:val="none" w:sz="0" w:space="0" w:color="auto"/>
        <w:right w:val="none" w:sz="0" w:space="0" w:color="auto"/>
      </w:divBdr>
    </w:div>
    <w:div w:id="826282867">
      <w:marLeft w:val="0"/>
      <w:marRight w:val="0"/>
      <w:marTop w:val="0"/>
      <w:marBottom w:val="0"/>
      <w:divBdr>
        <w:top w:val="none" w:sz="0" w:space="0" w:color="auto"/>
        <w:left w:val="none" w:sz="0" w:space="0" w:color="auto"/>
        <w:bottom w:val="none" w:sz="0" w:space="0" w:color="auto"/>
        <w:right w:val="none" w:sz="0" w:space="0" w:color="auto"/>
      </w:divBdr>
    </w:div>
    <w:div w:id="836266568">
      <w:marLeft w:val="0"/>
      <w:marRight w:val="0"/>
      <w:marTop w:val="0"/>
      <w:marBottom w:val="0"/>
      <w:divBdr>
        <w:top w:val="none" w:sz="0" w:space="0" w:color="auto"/>
        <w:left w:val="none" w:sz="0" w:space="0" w:color="auto"/>
        <w:bottom w:val="none" w:sz="0" w:space="0" w:color="auto"/>
        <w:right w:val="none" w:sz="0" w:space="0" w:color="auto"/>
      </w:divBdr>
    </w:div>
    <w:div w:id="843085472">
      <w:marLeft w:val="0"/>
      <w:marRight w:val="0"/>
      <w:marTop w:val="0"/>
      <w:marBottom w:val="0"/>
      <w:divBdr>
        <w:top w:val="none" w:sz="0" w:space="0" w:color="auto"/>
        <w:left w:val="none" w:sz="0" w:space="0" w:color="auto"/>
        <w:bottom w:val="none" w:sz="0" w:space="0" w:color="auto"/>
        <w:right w:val="none" w:sz="0" w:space="0" w:color="auto"/>
      </w:divBdr>
    </w:div>
    <w:div w:id="854540330">
      <w:marLeft w:val="0"/>
      <w:marRight w:val="0"/>
      <w:marTop w:val="0"/>
      <w:marBottom w:val="0"/>
      <w:divBdr>
        <w:top w:val="none" w:sz="0" w:space="0" w:color="auto"/>
        <w:left w:val="none" w:sz="0" w:space="0" w:color="auto"/>
        <w:bottom w:val="none" w:sz="0" w:space="0" w:color="auto"/>
        <w:right w:val="none" w:sz="0" w:space="0" w:color="auto"/>
      </w:divBdr>
    </w:div>
    <w:div w:id="865751759">
      <w:bodyDiv w:val="1"/>
      <w:marLeft w:val="0"/>
      <w:marRight w:val="0"/>
      <w:marTop w:val="0"/>
      <w:marBottom w:val="0"/>
      <w:divBdr>
        <w:top w:val="none" w:sz="0" w:space="0" w:color="auto"/>
        <w:left w:val="none" w:sz="0" w:space="0" w:color="auto"/>
        <w:bottom w:val="none" w:sz="0" w:space="0" w:color="auto"/>
        <w:right w:val="none" w:sz="0" w:space="0" w:color="auto"/>
      </w:divBdr>
    </w:div>
    <w:div w:id="870728315">
      <w:marLeft w:val="0"/>
      <w:marRight w:val="0"/>
      <w:marTop w:val="0"/>
      <w:marBottom w:val="0"/>
      <w:divBdr>
        <w:top w:val="none" w:sz="0" w:space="0" w:color="auto"/>
        <w:left w:val="none" w:sz="0" w:space="0" w:color="auto"/>
        <w:bottom w:val="none" w:sz="0" w:space="0" w:color="auto"/>
        <w:right w:val="none" w:sz="0" w:space="0" w:color="auto"/>
      </w:divBdr>
    </w:div>
    <w:div w:id="879323725">
      <w:marLeft w:val="0"/>
      <w:marRight w:val="0"/>
      <w:marTop w:val="0"/>
      <w:marBottom w:val="0"/>
      <w:divBdr>
        <w:top w:val="none" w:sz="0" w:space="0" w:color="auto"/>
        <w:left w:val="none" w:sz="0" w:space="0" w:color="auto"/>
        <w:bottom w:val="none" w:sz="0" w:space="0" w:color="auto"/>
        <w:right w:val="none" w:sz="0" w:space="0" w:color="auto"/>
      </w:divBdr>
    </w:div>
    <w:div w:id="883908875">
      <w:marLeft w:val="0"/>
      <w:marRight w:val="0"/>
      <w:marTop w:val="0"/>
      <w:marBottom w:val="0"/>
      <w:divBdr>
        <w:top w:val="none" w:sz="0" w:space="0" w:color="auto"/>
        <w:left w:val="none" w:sz="0" w:space="0" w:color="auto"/>
        <w:bottom w:val="none" w:sz="0" w:space="0" w:color="auto"/>
        <w:right w:val="none" w:sz="0" w:space="0" w:color="auto"/>
      </w:divBdr>
    </w:div>
    <w:div w:id="892615892">
      <w:marLeft w:val="0"/>
      <w:marRight w:val="0"/>
      <w:marTop w:val="0"/>
      <w:marBottom w:val="0"/>
      <w:divBdr>
        <w:top w:val="none" w:sz="0" w:space="0" w:color="auto"/>
        <w:left w:val="none" w:sz="0" w:space="0" w:color="auto"/>
        <w:bottom w:val="none" w:sz="0" w:space="0" w:color="auto"/>
        <w:right w:val="none" w:sz="0" w:space="0" w:color="auto"/>
      </w:divBdr>
    </w:div>
    <w:div w:id="913706538">
      <w:marLeft w:val="0"/>
      <w:marRight w:val="0"/>
      <w:marTop w:val="0"/>
      <w:marBottom w:val="0"/>
      <w:divBdr>
        <w:top w:val="none" w:sz="0" w:space="0" w:color="auto"/>
        <w:left w:val="none" w:sz="0" w:space="0" w:color="auto"/>
        <w:bottom w:val="none" w:sz="0" w:space="0" w:color="auto"/>
        <w:right w:val="none" w:sz="0" w:space="0" w:color="auto"/>
      </w:divBdr>
    </w:div>
    <w:div w:id="918321099">
      <w:marLeft w:val="0"/>
      <w:marRight w:val="0"/>
      <w:marTop w:val="0"/>
      <w:marBottom w:val="0"/>
      <w:divBdr>
        <w:top w:val="none" w:sz="0" w:space="0" w:color="auto"/>
        <w:left w:val="none" w:sz="0" w:space="0" w:color="auto"/>
        <w:bottom w:val="none" w:sz="0" w:space="0" w:color="auto"/>
        <w:right w:val="none" w:sz="0" w:space="0" w:color="auto"/>
      </w:divBdr>
    </w:div>
    <w:div w:id="925386208">
      <w:marLeft w:val="0"/>
      <w:marRight w:val="0"/>
      <w:marTop w:val="0"/>
      <w:marBottom w:val="0"/>
      <w:divBdr>
        <w:top w:val="none" w:sz="0" w:space="0" w:color="auto"/>
        <w:left w:val="none" w:sz="0" w:space="0" w:color="auto"/>
        <w:bottom w:val="none" w:sz="0" w:space="0" w:color="auto"/>
        <w:right w:val="none" w:sz="0" w:space="0" w:color="auto"/>
      </w:divBdr>
    </w:div>
    <w:div w:id="932469664">
      <w:marLeft w:val="0"/>
      <w:marRight w:val="0"/>
      <w:marTop w:val="0"/>
      <w:marBottom w:val="0"/>
      <w:divBdr>
        <w:top w:val="none" w:sz="0" w:space="0" w:color="auto"/>
        <w:left w:val="none" w:sz="0" w:space="0" w:color="auto"/>
        <w:bottom w:val="none" w:sz="0" w:space="0" w:color="auto"/>
        <w:right w:val="none" w:sz="0" w:space="0" w:color="auto"/>
      </w:divBdr>
    </w:div>
    <w:div w:id="998070531">
      <w:marLeft w:val="0"/>
      <w:marRight w:val="0"/>
      <w:marTop w:val="0"/>
      <w:marBottom w:val="0"/>
      <w:divBdr>
        <w:top w:val="none" w:sz="0" w:space="0" w:color="auto"/>
        <w:left w:val="none" w:sz="0" w:space="0" w:color="auto"/>
        <w:bottom w:val="none" w:sz="0" w:space="0" w:color="auto"/>
        <w:right w:val="none" w:sz="0" w:space="0" w:color="auto"/>
      </w:divBdr>
    </w:div>
    <w:div w:id="1003509313">
      <w:marLeft w:val="0"/>
      <w:marRight w:val="0"/>
      <w:marTop w:val="0"/>
      <w:marBottom w:val="0"/>
      <w:divBdr>
        <w:top w:val="none" w:sz="0" w:space="0" w:color="auto"/>
        <w:left w:val="none" w:sz="0" w:space="0" w:color="auto"/>
        <w:bottom w:val="none" w:sz="0" w:space="0" w:color="auto"/>
        <w:right w:val="none" w:sz="0" w:space="0" w:color="auto"/>
      </w:divBdr>
    </w:div>
    <w:div w:id="1005597192">
      <w:marLeft w:val="0"/>
      <w:marRight w:val="0"/>
      <w:marTop w:val="0"/>
      <w:marBottom w:val="0"/>
      <w:divBdr>
        <w:top w:val="none" w:sz="0" w:space="0" w:color="auto"/>
        <w:left w:val="none" w:sz="0" w:space="0" w:color="auto"/>
        <w:bottom w:val="none" w:sz="0" w:space="0" w:color="auto"/>
        <w:right w:val="none" w:sz="0" w:space="0" w:color="auto"/>
      </w:divBdr>
    </w:div>
    <w:div w:id="1016925729">
      <w:bodyDiv w:val="1"/>
      <w:marLeft w:val="0"/>
      <w:marRight w:val="0"/>
      <w:marTop w:val="0"/>
      <w:marBottom w:val="0"/>
      <w:divBdr>
        <w:top w:val="none" w:sz="0" w:space="0" w:color="auto"/>
        <w:left w:val="none" w:sz="0" w:space="0" w:color="auto"/>
        <w:bottom w:val="none" w:sz="0" w:space="0" w:color="auto"/>
        <w:right w:val="none" w:sz="0" w:space="0" w:color="auto"/>
      </w:divBdr>
    </w:div>
    <w:div w:id="1021593730">
      <w:marLeft w:val="0"/>
      <w:marRight w:val="0"/>
      <w:marTop w:val="0"/>
      <w:marBottom w:val="0"/>
      <w:divBdr>
        <w:top w:val="none" w:sz="0" w:space="0" w:color="auto"/>
        <w:left w:val="none" w:sz="0" w:space="0" w:color="auto"/>
        <w:bottom w:val="none" w:sz="0" w:space="0" w:color="auto"/>
        <w:right w:val="none" w:sz="0" w:space="0" w:color="auto"/>
      </w:divBdr>
    </w:div>
    <w:div w:id="1025398548">
      <w:marLeft w:val="0"/>
      <w:marRight w:val="0"/>
      <w:marTop w:val="0"/>
      <w:marBottom w:val="0"/>
      <w:divBdr>
        <w:top w:val="none" w:sz="0" w:space="0" w:color="auto"/>
        <w:left w:val="none" w:sz="0" w:space="0" w:color="auto"/>
        <w:bottom w:val="none" w:sz="0" w:space="0" w:color="auto"/>
        <w:right w:val="none" w:sz="0" w:space="0" w:color="auto"/>
      </w:divBdr>
    </w:div>
    <w:div w:id="1036347101">
      <w:marLeft w:val="0"/>
      <w:marRight w:val="0"/>
      <w:marTop w:val="0"/>
      <w:marBottom w:val="0"/>
      <w:divBdr>
        <w:top w:val="none" w:sz="0" w:space="0" w:color="auto"/>
        <w:left w:val="none" w:sz="0" w:space="0" w:color="auto"/>
        <w:bottom w:val="none" w:sz="0" w:space="0" w:color="auto"/>
        <w:right w:val="none" w:sz="0" w:space="0" w:color="auto"/>
      </w:divBdr>
    </w:div>
    <w:div w:id="1040394269">
      <w:marLeft w:val="0"/>
      <w:marRight w:val="0"/>
      <w:marTop w:val="0"/>
      <w:marBottom w:val="0"/>
      <w:divBdr>
        <w:top w:val="none" w:sz="0" w:space="0" w:color="auto"/>
        <w:left w:val="none" w:sz="0" w:space="0" w:color="auto"/>
        <w:bottom w:val="none" w:sz="0" w:space="0" w:color="auto"/>
        <w:right w:val="none" w:sz="0" w:space="0" w:color="auto"/>
      </w:divBdr>
    </w:div>
    <w:div w:id="1073240952">
      <w:marLeft w:val="0"/>
      <w:marRight w:val="0"/>
      <w:marTop w:val="0"/>
      <w:marBottom w:val="0"/>
      <w:divBdr>
        <w:top w:val="none" w:sz="0" w:space="0" w:color="auto"/>
        <w:left w:val="none" w:sz="0" w:space="0" w:color="auto"/>
        <w:bottom w:val="none" w:sz="0" w:space="0" w:color="auto"/>
        <w:right w:val="none" w:sz="0" w:space="0" w:color="auto"/>
      </w:divBdr>
    </w:div>
    <w:div w:id="1078288002">
      <w:marLeft w:val="0"/>
      <w:marRight w:val="0"/>
      <w:marTop w:val="0"/>
      <w:marBottom w:val="0"/>
      <w:divBdr>
        <w:top w:val="none" w:sz="0" w:space="0" w:color="auto"/>
        <w:left w:val="none" w:sz="0" w:space="0" w:color="auto"/>
        <w:bottom w:val="none" w:sz="0" w:space="0" w:color="auto"/>
        <w:right w:val="none" w:sz="0" w:space="0" w:color="auto"/>
      </w:divBdr>
    </w:div>
    <w:div w:id="1089541646">
      <w:marLeft w:val="0"/>
      <w:marRight w:val="150"/>
      <w:marTop w:val="0"/>
      <w:marBottom w:val="0"/>
      <w:divBdr>
        <w:top w:val="none" w:sz="0" w:space="0" w:color="auto"/>
        <w:left w:val="none" w:sz="0" w:space="0" w:color="auto"/>
        <w:bottom w:val="none" w:sz="0" w:space="0" w:color="auto"/>
        <w:right w:val="none" w:sz="0" w:space="0" w:color="auto"/>
      </w:divBdr>
      <w:divsChild>
        <w:div w:id="989016976">
          <w:marLeft w:val="0"/>
          <w:marRight w:val="150"/>
          <w:marTop w:val="0"/>
          <w:marBottom w:val="0"/>
          <w:divBdr>
            <w:top w:val="none" w:sz="0" w:space="0" w:color="auto"/>
            <w:left w:val="none" w:sz="0" w:space="0" w:color="auto"/>
            <w:bottom w:val="none" w:sz="0" w:space="0" w:color="auto"/>
            <w:right w:val="none" w:sz="0" w:space="0" w:color="auto"/>
          </w:divBdr>
        </w:div>
      </w:divsChild>
    </w:div>
    <w:div w:id="1102457537">
      <w:marLeft w:val="0"/>
      <w:marRight w:val="0"/>
      <w:marTop w:val="0"/>
      <w:marBottom w:val="0"/>
      <w:divBdr>
        <w:top w:val="none" w:sz="0" w:space="0" w:color="auto"/>
        <w:left w:val="none" w:sz="0" w:space="0" w:color="auto"/>
        <w:bottom w:val="none" w:sz="0" w:space="0" w:color="auto"/>
        <w:right w:val="none" w:sz="0" w:space="0" w:color="auto"/>
      </w:divBdr>
    </w:div>
    <w:div w:id="1102994817">
      <w:bodyDiv w:val="1"/>
      <w:marLeft w:val="0"/>
      <w:marRight w:val="0"/>
      <w:marTop w:val="0"/>
      <w:marBottom w:val="0"/>
      <w:divBdr>
        <w:top w:val="none" w:sz="0" w:space="0" w:color="auto"/>
        <w:left w:val="none" w:sz="0" w:space="0" w:color="auto"/>
        <w:bottom w:val="none" w:sz="0" w:space="0" w:color="auto"/>
        <w:right w:val="none" w:sz="0" w:space="0" w:color="auto"/>
      </w:divBdr>
    </w:div>
    <w:div w:id="1116874115">
      <w:marLeft w:val="0"/>
      <w:marRight w:val="0"/>
      <w:marTop w:val="0"/>
      <w:marBottom w:val="0"/>
      <w:divBdr>
        <w:top w:val="none" w:sz="0" w:space="0" w:color="auto"/>
        <w:left w:val="none" w:sz="0" w:space="0" w:color="auto"/>
        <w:bottom w:val="none" w:sz="0" w:space="0" w:color="auto"/>
        <w:right w:val="none" w:sz="0" w:space="0" w:color="auto"/>
      </w:divBdr>
    </w:div>
    <w:div w:id="1119227698">
      <w:marLeft w:val="0"/>
      <w:marRight w:val="0"/>
      <w:marTop w:val="0"/>
      <w:marBottom w:val="0"/>
      <w:divBdr>
        <w:top w:val="none" w:sz="0" w:space="0" w:color="auto"/>
        <w:left w:val="none" w:sz="0" w:space="0" w:color="auto"/>
        <w:bottom w:val="none" w:sz="0" w:space="0" w:color="auto"/>
        <w:right w:val="none" w:sz="0" w:space="0" w:color="auto"/>
      </w:divBdr>
    </w:div>
    <w:div w:id="1121338661">
      <w:marLeft w:val="0"/>
      <w:marRight w:val="0"/>
      <w:marTop w:val="0"/>
      <w:marBottom w:val="0"/>
      <w:divBdr>
        <w:top w:val="none" w:sz="0" w:space="0" w:color="auto"/>
        <w:left w:val="none" w:sz="0" w:space="0" w:color="auto"/>
        <w:bottom w:val="none" w:sz="0" w:space="0" w:color="auto"/>
        <w:right w:val="none" w:sz="0" w:space="0" w:color="auto"/>
      </w:divBdr>
    </w:div>
    <w:div w:id="1121458729">
      <w:marLeft w:val="0"/>
      <w:marRight w:val="0"/>
      <w:marTop w:val="0"/>
      <w:marBottom w:val="0"/>
      <w:divBdr>
        <w:top w:val="none" w:sz="0" w:space="0" w:color="auto"/>
        <w:left w:val="none" w:sz="0" w:space="0" w:color="auto"/>
        <w:bottom w:val="none" w:sz="0" w:space="0" w:color="auto"/>
        <w:right w:val="none" w:sz="0" w:space="0" w:color="auto"/>
      </w:divBdr>
    </w:div>
    <w:div w:id="1156803872">
      <w:marLeft w:val="0"/>
      <w:marRight w:val="0"/>
      <w:marTop w:val="0"/>
      <w:marBottom w:val="0"/>
      <w:divBdr>
        <w:top w:val="none" w:sz="0" w:space="0" w:color="auto"/>
        <w:left w:val="none" w:sz="0" w:space="0" w:color="auto"/>
        <w:bottom w:val="none" w:sz="0" w:space="0" w:color="auto"/>
        <w:right w:val="none" w:sz="0" w:space="0" w:color="auto"/>
      </w:divBdr>
    </w:div>
    <w:div w:id="1227104286">
      <w:marLeft w:val="0"/>
      <w:marRight w:val="0"/>
      <w:marTop w:val="0"/>
      <w:marBottom w:val="0"/>
      <w:divBdr>
        <w:top w:val="none" w:sz="0" w:space="0" w:color="auto"/>
        <w:left w:val="none" w:sz="0" w:space="0" w:color="auto"/>
        <w:bottom w:val="none" w:sz="0" w:space="0" w:color="auto"/>
        <w:right w:val="none" w:sz="0" w:space="0" w:color="auto"/>
      </w:divBdr>
    </w:div>
    <w:div w:id="1230731720">
      <w:marLeft w:val="0"/>
      <w:marRight w:val="0"/>
      <w:marTop w:val="0"/>
      <w:marBottom w:val="0"/>
      <w:divBdr>
        <w:top w:val="none" w:sz="0" w:space="0" w:color="auto"/>
        <w:left w:val="none" w:sz="0" w:space="0" w:color="auto"/>
        <w:bottom w:val="none" w:sz="0" w:space="0" w:color="auto"/>
        <w:right w:val="none" w:sz="0" w:space="0" w:color="auto"/>
      </w:divBdr>
      <w:divsChild>
        <w:div w:id="1155487685">
          <w:marLeft w:val="0"/>
          <w:marRight w:val="0"/>
          <w:marTop w:val="0"/>
          <w:marBottom w:val="0"/>
          <w:divBdr>
            <w:top w:val="none" w:sz="0" w:space="0" w:color="auto"/>
            <w:left w:val="none" w:sz="0" w:space="0" w:color="auto"/>
            <w:bottom w:val="none" w:sz="0" w:space="0" w:color="auto"/>
            <w:right w:val="none" w:sz="0" w:space="0" w:color="auto"/>
          </w:divBdr>
          <w:divsChild>
            <w:div w:id="2103720632">
              <w:marLeft w:val="0"/>
              <w:marRight w:val="150"/>
              <w:marTop w:val="0"/>
              <w:marBottom w:val="0"/>
              <w:divBdr>
                <w:top w:val="none" w:sz="0" w:space="0" w:color="auto"/>
                <w:left w:val="none" w:sz="0" w:space="0" w:color="auto"/>
                <w:bottom w:val="none" w:sz="0" w:space="0" w:color="auto"/>
                <w:right w:val="none" w:sz="0" w:space="0" w:color="auto"/>
              </w:divBdr>
              <w:divsChild>
                <w:div w:id="18385701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48152321">
      <w:marLeft w:val="0"/>
      <w:marRight w:val="0"/>
      <w:marTop w:val="0"/>
      <w:marBottom w:val="0"/>
      <w:divBdr>
        <w:top w:val="none" w:sz="0" w:space="0" w:color="auto"/>
        <w:left w:val="none" w:sz="0" w:space="0" w:color="auto"/>
        <w:bottom w:val="none" w:sz="0" w:space="0" w:color="auto"/>
        <w:right w:val="none" w:sz="0" w:space="0" w:color="auto"/>
      </w:divBdr>
    </w:div>
    <w:div w:id="1253005399">
      <w:marLeft w:val="0"/>
      <w:marRight w:val="0"/>
      <w:marTop w:val="0"/>
      <w:marBottom w:val="0"/>
      <w:divBdr>
        <w:top w:val="none" w:sz="0" w:space="0" w:color="auto"/>
        <w:left w:val="none" w:sz="0" w:space="0" w:color="auto"/>
        <w:bottom w:val="none" w:sz="0" w:space="0" w:color="auto"/>
        <w:right w:val="none" w:sz="0" w:space="0" w:color="auto"/>
      </w:divBdr>
    </w:div>
    <w:div w:id="1262294267">
      <w:marLeft w:val="0"/>
      <w:marRight w:val="0"/>
      <w:marTop w:val="0"/>
      <w:marBottom w:val="0"/>
      <w:divBdr>
        <w:top w:val="none" w:sz="0" w:space="0" w:color="auto"/>
        <w:left w:val="none" w:sz="0" w:space="0" w:color="auto"/>
        <w:bottom w:val="none" w:sz="0" w:space="0" w:color="auto"/>
        <w:right w:val="none" w:sz="0" w:space="0" w:color="auto"/>
      </w:divBdr>
    </w:div>
    <w:div w:id="1278637664">
      <w:marLeft w:val="0"/>
      <w:marRight w:val="0"/>
      <w:marTop w:val="0"/>
      <w:marBottom w:val="0"/>
      <w:divBdr>
        <w:top w:val="none" w:sz="0" w:space="0" w:color="auto"/>
        <w:left w:val="none" w:sz="0" w:space="0" w:color="auto"/>
        <w:bottom w:val="none" w:sz="0" w:space="0" w:color="auto"/>
        <w:right w:val="none" w:sz="0" w:space="0" w:color="auto"/>
      </w:divBdr>
    </w:div>
    <w:div w:id="1287275790">
      <w:marLeft w:val="0"/>
      <w:marRight w:val="0"/>
      <w:marTop w:val="0"/>
      <w:marBottom w:val="0"/>
      <w:divBdr>
        <w:top w:val="none" w:sz="0" w:space="0" w:color="auto"/>
        <w:left w:val="none" w:sz="0" w:space="0" w:color="auto"/>
        <w:bottom w:val="none" w:sz="0" w:space="0" w:color="auto"/>
        <w:right w:val="none" w:sz="0" w:space="0" w:color="auto"/>
      </w:divBdr>
    </w:div>
    <w:div w:id="1288242335">
      <w:marLeft w:val="0"/>
      <w:marRight w:val="0"/>
      <w:marTop w:val="0"/>
      <w:marBottom w:val="0"/>
      <w:divBdr>
        <w:top w:val="none" w:sz="0" w:space="0" w:color="auto"/>
        <w:left w:val="none" w:sz="0" w:space="0" w:color="auto"/>
        <w:bottom w:val="none" w:sz="0" w:space="0" w:color="auto"/>
        <w:right w:val="none" w:sz="0" w:space="0" w:color="auto"/>
      </w:divBdr>
    </w:div>
    <w:div w:id="1289892319">
      <w:marLeft w:val="0"/>
      <w:marRight w:val="0"/>
      <w:marTop w:val="0"/>
      <w:marBottom w:val="0"/>
      <w:divBdr>
        <w:top w:val="none" w:sz="0" w:space="0" w:color="auto"/>
        <w:left w:val="none" w:sz="0" w:space="0" w:color="auto"/>
        <w:bottom w:val="none" w:sz="0" w:space="0" w:color="auto"/>
        <w:right w:val="none" w:sz="0" w:space="0" w:color="auto"/>
      </w:divBdr>
    </w:div>
    <w:div w:id="1292057165">
      <w:bodyDiv w:val="1"/>
      <w:marLeft w:val="0"/>
      <w:marRight w:val="0"/>
      <w:marTop w:val="0"/>
      <w:marBottom w:val="0"/>
      <w:divBdr>
        <w:top w:val="none" w:sz="0" w:space="0" w:color="auto"/>
        <w:left w:val="none" w:sz="0" w:space="0" w:color="auto"/>
        <w:bottom w:val="none" w:sz="0" w:space="0" w:color="auto"/>
        <w:right w:val="none" w:sz="0" w:space="0" w:color="auto"/>
      </w:divBdr>
    </w:div>
    <w:div w:id="1293705854">
      <w:marLeft w:val="0"/>
      <w:marRight w:val="0"/>
      <w:marTop w:val="0"/>
      <w:marBottom w:val="0"/>
      <w:divBdr>
        <w:top w:val="none" w:sz="0" w:space="0" w:color="auto"/>
        <w:left w:val="none" w:sz="0" w:space="0" w:color="auto"/>
        <w:bottom w:val="none" w:sz="0" w:space="0" w:color="auto"/>
        <w:right w:val="none" w:sz="0" w:space="0" w:color="auto"/>
      </w:divBdr>
    </w:div>
    <w:div w:id="1305816607">
      <w:marLeft w:val="0"/>
      <w:marRight w:val="0"/>
      <w:marTop w:val="0"/>
      <w:marBottom w:val="0"/>
      <w:divBdr>
        <w:top w:val="none" w:sz="0" w:space="0" w:color="auto"/>
        <w:left w:val="none" w:sz="0" w:space="0" w:color="auto"/>
        <w:bottom w:val="none" w:sz="0" w:space="0" w:color="auto"/>
        <w:right w:val="none" w:sz="0" w:space="0" w:color="auto"/>
      </w:divBdr>
    </w:div>
    <w:div w:id="1321815445">
      <w:marLeft w:val="0"/>
      <w:marRight w:val="0"/>
      <w:marTop w:val="0"/>
      <w:marBottom w:val="0"/>
      <w:divBdr>
        <w:top w:val="none" w:sz="0" w:space="0" w:color="auto"/>
        <w:left w:val="none" w:sz="0" w:space="0" w:color="auto"/>
        <w:bottom w:val="none" w:sz="0" w:space="0" w:color="auto"/>
        <w:right w:val="none" w:sz="0" w:space="0" w:color="auto"/>
      </w:divBdr>
    </w:div>
    <w:div w:id="1322853600">
      <w:bodyDiv w:val="1"/>
      <w:marLeft w:val="0"/>
      <w:marRight w:val="0"/>
      <w:marTop w:val="0"/>
      <w:marBottom w:val="0"/>
      <w:divBdr>
        <w:top w:val="none" w:sz="0" w:space="0" w:color="auto"/>
        <w:left w:val="none" w:sz="0" w:space="0" w:color="auto"/>
        <w:bottom w:val="none" w:sz="0" w:space="0" w:color="auto"/>
        <w:right w:val="none" w:sz="0" w:space="0" w:color="auto"/>
      </w:divBdr>
    </w:div>
    <w:div w:id="1343583289">
      <w:marLeft w:val="0"/>
      <w:marRight w:val="0"/>
      <w:marTop w:val="0"/>
      <w:marBottom w:val="0"/>
      <w:divBdr>
        <w:top w:val="none" w:sz="0" w:space="0" w:color="auto"/>
        <w:left w:val="none" w:sz="0" w:space="0" w:color="auto"/>
        <w:bottom w:val="none" w:sz="0" w:space="0" w:color="auto"/>
        <w:right w:val="none" w:sz="0" w:space="0" w:color="auto"/>
      </w:divBdr>
    </w:div>
    <w:div w:id="1352728810">
      <w:marLeft w:val="0"/>
      <w:marRight w:val="0"/>
      <w:marTop w:val="0"/>
      <w:marBottom w:val="0"/>
      <w:divBdr>
        <w:top w:val="none" w:sz="0" w:space="0" w:color="auto"/>
        <w:left w:val="none" w:sz="0" w:space="0" w:color="auto"/>
        <w:bottom w:val="none" w:sz="0" w:space="0" w:color="auto"/>
        <w:right w:val="none" w:sz="0" w:space="0" w:color="auto"/>
      </w:divBdr>
    </w:div>
    <w:div w:id="1358197444">
      <w:marLeft w:val="0"/>
      <w:marRight w:val="0"/>
      <w:marTop w:val="0"/>
      <w:marBottom w:val="0"/>
      <w:divBdr>
        <w:top w:val="none" w:sz="0" w:space="0" w:color="auto"/>
        <w:left w:val="none" w:sz="0" w:space="0" w:color="auto"/>
        <w:bottom w:val="none" w:sz="0" w:space="0" w:color="auto"/>
        <w:right w:val="none" w:sz="0" w:space="0" w:color="auto"/>
      </w:divBdr>
    </w:div>
    <w:div w:id="1374424776">
      <w:marLeft w:val="0"/>
      <w:marRight w:val="0"/>
      <w:marTop w:val="0"/>
      <w:marBottom w:val="0"/>
      <w:divBdr>
        <w:top w:val="none" w:sz="0" w:space="0" w:color="auto"/>
        <w:left w:val="none" w:sz="0" w:space="0" w:color="auto"/>
        <w:bottom w:val="none" w:sz="0" w:space="0" w:color="auto"/>
        <w:right w:val="none" w:sz="0" w:space="0" w:color="auto"/>
      </w:divBdr>
    </w:div>
    <w:div w:id="1388533151">
      <w:marLeft w:val="0"/>
      <w:marRight w:val="0"/>
      <w:marTop w:val="0"/>
      <w:marBottom w:val="0"/>
      <w:divBdr>
        <w:top w:val="none" w:sz="0" w:space="0" w:color="auto"/>
        <w:left w:val="none" w:sz="0" w:space="0" w:color="auto"/>
        <w:bottom w:val="none" w:sz="0" w:space="0" w:color="auto"/>
        <w:right w:val="none" w:sz="0" w:space="0" w:color="auto"/>
      </w:divBdr>
    </w:div>
    <w:div w:id="1408382170">
      <w:marLeft w:val="0"/>
      <w:marRight w:val="0"/>
      <w:marTop w:val="0"/>
      <w:marBottom w:val="0"/>
      <w:divBdr>
        <w:top w:val="none" w:sz="0" w:space="0" w:color="auto"/>
        <w:left w:val="none" w:sz="0" w:space="0" w:color="auto"/>
        <w:bottom w:val="none" w:sz="0" w:space="0" w:color="auto"/>
        <w:right w:val="none" w:sz="0" w:space="0" w:color="auto"/>
      </w:divBdr>
    </w:div>
    <w:div w:id="1459762599">
      <w:marLeft w:val="0"/>
      <w:marRight w:val="150"/>
      <w:marTop w:val="0"/>
      <w:marBottom w:val="0"/>
      <w:divBdr>
        <w:top w:val="none" w:sz="0" w:space="0" w:color="auto"/>
        <w:left w:val="none" w:sz="0" w:space="0" w:color="auto"/>
        <w:bottom w:val="none" w:sz="0" w:space="0" w:color="auto"/>
        <w:right w:val="none" w:sz="0" w:space="0" w:color="auto"/>
      </w:divBdr>
      <w:divsChild>
        <w:div w:id="401373408">
          <w:marLeft w:val="0"/>
          <w:marRight w:val="150"/>
          <w:marTop w:val="0"/>
          <w:marBottom w:val="0"/>
          <w:divBdr>
            <w:top w:val="none" w:sz="0" w:space="0" w:color="auto"/>
            <w:left w:val="none" w:sz="0" w:space="0" w:color="auto"/>
            <w:bottom w:val="none" w:sz="0" w:space="0" w:color="auto"/>
            <w:right w:val="none" w:sz="0" w:space="0" w:color="auto"/>
          </w:divBdr>
        </w:div>
      </w:divsChild>
    </w:div>
    <w:div w:id="1462729746">
      <w:marLeft w:val="0"/>
      <w:marRight w:val="0"/>
      <w:marTop w:val="0"/>
      <w:marBottom w:val="0"/>
      <w:divBdr>
        <w:top w:val="none" w:sz="0" w:space="0" w:color="auto"/>
        <w:left w:val="none" w:sz="0" w:space="0" w:color="auto"/>
        <w:bottom w:val="none" w:sz="0" w:space="0" w:color="auto"/>
        <w:right w:val="none" w:sz="0" w:space="0" w:color="auto"/>
      </w:divBdr>
    </w:div>
    <w:div w:id="1463960484">
      <w:marLeft w:val="0"/>
      <w:marRight w:val="0"/>
      <w:marTop w:val="0"/>
      <w:marBottom w:val="0"/>
      <w:divBdr>
        <w:top w:val="none" w:sz="0" w:space="0" w:color="auto"/>
        <w:left w:val="none" w:sz="0" w:space="0" w:color="auto"/>
        <w:bottom w:val="none" w:sz="0" w:space="0" w:color="auto"/>
        <w:right w:val="none" w:sz="0" w:space="0" w:color="auto"/>
      </w:divBdr>
    </w:div>
    <w:div w:id="1492060394">
      <w:marLeft w:val="0"/>
      <w:marRight w:val="0"/>
      <w:marTop w:val="0"/>
      <w:marBottom w:val="0"/>
      <w:divBdr>
        <w:top w:val="none" w:sz="0" w:space="0" w:color="auto"/>
        <w:left w:val="none" w:sz="0" w:space="0" w:color="auto"/>
        <w:bottom w:val="none" w:sz="0" w:space="0" w:color="auto"/>
        <w:right w:val="none" w:sz="0" w:space="0" w:color="auto"/>
      </w:divBdr>
    </w:div>
    <w:div w:id="1501046464">
      <w:marLeft w:val="0"/>
      <w:marRight w:val="0"/>
      <w:marTop w:val="0"/>
      <w:marBottom w:val="0"/>
      <w:divBdr>
        <w:top w:val="none" w:sz="0" w:space="0" w:color="auto"/>
        <w:left w:val="none" w:sz="0" w:space="0" w:color="auto"/>
        <w:bottom w:val="none" w:sz="0" w:space="0" w:color="auto"/>
        <w:right w:val="none" w:sz="0" w:space="0" w:color="auto"/>
      </w:divBdr>
    </w:div>
    <w:div w:id="1518420010">
      <w:marLeft w:val="0"/>
      <w:marRight w:val="0"/>
      <w:marTop w:val="0"/>
      <w:marBottom w:val="0"/>
      <w:divBdr>
        <w:top w:val="none" w:sz="0" w:space="0" w:color="auto"/>
        <w:left w:val="none" w:sz="0" w:space="0" w:color="auto"/>
        <w:bottom w:val="none" w:sz="0" w:space="0" w:color="auto"/>
        <w:right w:val="none" w:sz="0" w:space="0" w:color="auto"/>
      </w:divBdr>
    </w:div>
    <w:div w:id="1532717355">
      <w:marLeft w:val="0"/>
      <w:marRight w:val="0"/>
      <w:marTop w:val="0"/>
      <w:marBottom w:val="0"/>
      <w:divBdr>
        <w:top w:val="none" w:sz="0" w:space="0" w:color="auto"/>
        <w:left w:val="none" w:sz="0" w:space="0" w:color="auto"/>
        <w:bottom w:val="none" w:sz="0" w:space="0" w:color="auto"/>
        <w:right w:val="none" w:sz="0" w:space="0" w:color="auto"/>
      </w:divBdr>
    </w:div>
    <w:div w:id="1540705193">
      <w:marLeft w:val="0"/>
      <w:marRight w:val="0"/>
      <w:marTop w:val="0"/>
      <w:marBottom w:val="0"/>
      <w:divBdr>
        <w:top w:val="none" w:sz="0" w:space="0" w:color="auto"/>
        <w:left w:val="none" w:sz="0" w:space="0" w:color="auto"/>
        <w:bottom w:val="none" w:sz="0" w:space="0" w:color="auto"/>
        <w:right w:val="none" w:sz="0" w:space="0" w:color="auto"/>
      </w:divBdr>
    </w:div>
    <w:div w:id="1558321868">
      <w:marLeft w:val="0"/>
      <w:marRight w:val="0"/>
      <w:marTop w:val="0"/>
      <w:marBottom w:val="0"/>
      <w:divBdr>
        <w:top w:val="none" w:sz="0" w:space="0" w:color="auto"/>
        <w:left w:val="none" w:sz="0" w:space="0" w:color="auto"/>
        <w:bottom w:val="none" w:sz="0" w:space="0" w:color="auto"/>
        <w:right w:val="none" w:sz="0" w:space="0" w:color="auto"/>
      </w:divBdr>
    </w:div>
    <w:div w:id="1564683561">
      <w:marLeft w:val="0"/>
      <w:marRight w:val="0"/>
      <w:marTop w:val="0"/>
      <w:marBottom w:val="0"/>
      <w:divBdr>
        <w:top w:val="none" w:sz="0" w:space="0" w:color="auto"/>
        <w:left w:val="none" w:sz="0" w:space="0" w:color="auto"/>
        <w:bottom w:val="none" w:sz="0" w:space="0" w:color="auto"/>
        <w:right w:val="none" w:sz="0" w:space="0" w:color="auto"/>
      </w:divBdr>
    </w:div>
    <w:div w:id="1571187449">
      <w:marLeft w:val="0"/>
      <w:marRight w:val="0"/>
      <w:marTop w:val="0"/>
      <w:marBottom w:val="0"/>
      <w:divBdr>
        <w:top w:val="none" w:sz="0" w:space="0" w:color="auto"/>
        <w:left w:val="none" w:sz="0" w:space="0" w:color="auto"/>
        <w:bottom w:val="none" w:sz="0" w:space="0" w:color="auto"/>
        <w:right w:val="none" w:sz="0" w:space="0" w:color="auto"/>
      </w:divBdr>
    </w:div>
    <w:div w:id="1571312348">
      <w:marLeft w:val="0"/>
      <w:marRight w:val="0"/>
      <w:marTop w:val="0"/>
      <w:marBottom w:val="0"/>
      <w:divBdr>
        <w:top w:val="none" w:sz="0" w:space="0" w:color="auto"/>
        <w:left w:val="none" w:sz="0" w:space="0" w:color="auto"/>
        <w:bottom w:val="none" w:sz="0" w:space="0" w:color="auto"/>
        <w:right w:val="none" w:sz="0" w:space="0" w:color="auto"/>
      </w:divBdr>
    </w:div>
    <w:div w:id="1650402735">
      <w:bodyDiv w:val="1"/>
      <w:marLeft w:val="0"/>
      <w:marRight w:val="0"/>
      <w:marTop w:val="0"/>
      <w:marBottom w:val="0"/>
      <w:divBdr>
        <w:top w:val="none" w:sz="0" w:space="0" w:color="auto"/>
        <w:left w:val="none" w:sz="0" w:space="0" w:color="auto"/>
        <w:bottom w:val="none" w:sz="0" w:space="0" w:color="auto"/>
        <w:right w:val="none" w:sz="0" w:space="0" w:color="auto"/>
      </w:divBdr>
    </w:div>
    <w:div w:id="1670790435">
      <w:marLeft w:val="0"/>
      <w:marRight w:val="0"/>
      <w:marTop w:val="0"/>
      <w:marBottom w:val="0"/>
      <w:divBdr>
        <w:top w:val="none" w:sz="0" w:space="0" w:color="auto"/>
        <w:left w:val="none" w:sz="0" w:space="0" w:color="auto"/>
        <w:bottom w:val="none" w:sz="0" w:space="0" w:color="auto"/>
        <w:right w:val="none" w:sz="0" w:space="0" w:color="auto"/>
      </w:divBdr>
    </w:div>
    <w:div w:id="1672833569">
      <w:marLeft w:val="0"/>
      <w:marRight w:val="0"/>
      <w:marTop w:val="0"/>
      <w:marBottom w:val="0"/>
      <w:divBdr>
        <w:top w:val="none" w:sz="0" w:space="0" w:color="auto"/>
        <w:left w:val="none" w:sz="0" w:space="0" w:color="auto"/>
        <w:bottom w:val="none" w:sz="0" w:space="0" w:color="auto"/>
        <w:right w:val="none" w:sz="0" w:space="0" w:color="auto"/>
      </w:divBdr>
    </w:div>
    <w:div w:id="1703748479">
      <w:marLeft w:val="0"/>
      <w:marRight w:val="0"/>
      <w:marTop w:val="0"/>
      <w:marBottom w:val="0"/>
      <w:divBdr>
        <w:top w:val="none" w:sz="0" w:space="0" w:color="auto"/>
        <w:left w:val="none" w:sz="0" w:space="0" w:color="auto"/>
        <w:bottom w:val="none" w:sz="0" w:space="0" w:color="auto"/>
        <w:right w:val="none" w:sz="0" w:space="0" w:color="auto"/>
      </w:divBdr>
    </w:div>
    <w:div w:id="1715420899">
      <w:marLeft w:val="0"/>
      <w:marRight w:val="0"/>
      <w:marTop w:val="0"/>
      <w:marBottom w:val="0"/>
      <w:divBdr>
        <w:top w:val="none" w:sz="0" w:space="0" w:color="auto"/>
        <w:left w:val="none" w:sz="0" w:space="0" w:color="auto"/>
        <w:bottom w:val="none" w:sz="0" w:space="0" w:color="auto"/>
        <w:right w:val="none" w:sz="0" w:space="0" w:color="auto"/>
      </w:divBdr>
    </w:div>
    <w:div w:id="1718970075">
      <w:marLeft w:val="0"/>
      <w:marRight w:val="0"/>
      <w:marTop w:val="0"/>
      <w:marBottom w:val="0"/>
      <w:divBdr>
        <w:top w:val="none" w:sz="0" w:space="0" w:color="auto"/>
        <w:left w:val="none" w:sz="0" w:space="0" w:color="auto"/>
        <w:bottom w:val="none" w:sz="0" w:space="0" w:color="auto"/>
        <w:right w:val="none" w:sz="0" w:space="0" w:color="auto"/>
      </w:divBdr>
    </w:div>
    <w:div w:id="1720860563">
      <w:marLeft w:val="0"/>
      <w:marRight w:val="0"/>
      <w:marTop w:val="0"/>
      <w:marBottom w:val="0"/>
      <w:divBdr>
        <w:top w:val="none" w:sz="0" w:space="0" w:color="auto"/>
        <w:left w:val="none" w:sz="0" w:space="0" w:color="auto"/>
        <w:bottom w:val="none" w:sz="0" w:space="0" w:color="auto"/>
        <w:right w:val="none" w:sz="0" w:space="0" w:color="auto"/>
      </w:divBdr>
    </w:div>
    <w:div w:id="1722440101">
      <w:marLeft w:val="0"/>
      <w:marRight w:val="0"/>
      <w:marTop w:val="0"/>
      <w:marBottom w:val="0"/>
      <w:divBdr>
        <w:top w:val="none" w:sz="0" w:space="0" w:color="auto"/>
        <w:left w:val="none" w:sz="0" w:space="0" w:color="auto"/>
        <w:bottom w:val="none" w:sz="0" w:space="0" w:color="auto"/>
        <w:right w:val="none" w:sz="0" w:space="0" w:color="auto"/>
      </w:divBdr>
    </w:div>
    <w:div w:id="1725174090">
      <w:marLeft w:val="0"/>
      <w:marRight w:val="150"/>
      <w:marTop w:val="0"/>
      <w:marBottom w:val="0"/>
      <w:divBdr>
        <w:top w:val="none" w:sz="0" w:space="0" w:color="auto"/>
        <w:left w:val="none" w:sz="0" w:space="0" w:color="auto"/>
        <w:bottom w:val="none" w:sz="0" w:space="0" w:color="auto"/>
        <w:right w:val="none" w:sz="0" w:space="0" w:color="auto"/>
      </w:divBdr>
      <w:divsChild>
        <w:div w:id="1986544490">
          <w:marLeft w:val="0"/>
          <w:marRight w:val="150"/>
          <w:marTop w:val="0"/>
          <w:marBottom w:val="0"/>
          <w:divBdr>
            <w:top w:val="none" w:sz="0" w:space="0" w:color="auto"/>
            <w:left w:val="none" w:sz="0" w:space="0" w:color="auto"/>
            <w:bottom w:val="none" w:sz="0" w:space="0" w:color="auto"/>
            <w:right w:val="none" w:sz="0" w:space="0" w:color="auto"/>
          </w:divBdr>
        </w:div>
      </w:divsChild>
    </w:div>
    <w:div w:id="1733581837">
      <w:marLeft w:val="0"/>
      <w:marRight w:val="0"/>
      <w:marTop w:val="0"/>
      <w:marBottom w:val="0"/>
      <w:divBdr>
        <w:top w:val="none" w:sz="0" w:space="0" w:color="auto"/>
        <w:left w:val="none" w:sz="0" w:space="0" w:color="auto"/>
        <w:bottom w:val="none" w:sz="0" w:space="0" w:color="auto"/>
        <w:right w:val="none" w:sz="0" w:space="0" w:color="auto"/>
      </w:divBdr>
    </w:div>
    <w:div w:id="1740442877">
      <w:bodyDiv w:val="1"/>
      <w:marLeft w:val="0"/>
      <w:marRight w:val="0"/>
      <w:marTop w:val="0"/>
      <w:marBottom w:val="0"/>
      <w:divBdr>
        <w:top w:val="none" w:sz="0" w:space="0" w:color="auto"/>
        <w:left w:val="none" w:sz="0" w:space="0" w:color="auto"/>
        <w:bottom w:val="none" w:sz="0" w:space="0" w:color="auto"/>
        <w:right w:val="none" w:sz="0" w:space="0" w:color="auto"/>
      </w:divBdr>
    </w:div>
    <w:div w:id="1780294211">
      <w:marLeft w:val="0"/>
      <w:marRight w:val="0"/>
      <w:marTop w:val="0"/>
      <w:marBottom w:val="0"/>
      <w:divBdr>
        <w:top w:val="none" w:sz="0" w:space="0" w:color="auto"/>
        <w:left w:val="none" w:sz="0" w:space="0" w:color="auto"/>
        <w:bottom w:val="none" w:sz="0" w:space="0" w:color="auto"/>
        <w:right w:val="none" w:sz="0" w:space="0" w:color="auto"/>
      </w:divBdr>
    </w:div>
    <w:div w:id="1800145254">
      <w:marLeft w:val="0"/>
      <w:marRight w:val="0"/>
      <w:marTop w:val="0"/>
      <w:marBottom w:val="0"/>
      <w:divBdr>
        <w:top w:val="none" w:sz="0" w:space="0" w:color="auto"/>
        <w:left w:val="none" w:sz="0" w:space="0" w:color="auto"/>
        <w:bottom w:val="none" w:sz="0" w:space="0" w:color="auto"/>
        <w:right w:val="none" w:sz="0" w:space="0" w:color="auto"/>
      </w:divBdr>
    </w:div>
    <w:div w:id="1804156436">
      <w:marLeft w:val="0"/>
      <w:marRight w:val="0"/>
      <w:marTop w:val="0"/>
      <w:marBottom w:val="0"/>
      <w:divBdr>
        <w:top w:val="none" w:sz="0" w:space="0" w:color="auto"/>
        <w:left w:val="none" w:sz="0" w:space="0" w:color="auto"/>
        <w:bottom w:val="none" w:sz="0" w:space="0" w:color="auto"/>
        <w:right w:val="none" w:sz="0" w:space="0" w:color="auto"/>
      </w:divBdr>
    </w:div>
    <w:div w:id="1856383006">
      <w:marLeft w:val="0"/>
      <w:marRight w:val="0"/>
      <w:marTop w:val="0"/>
      <w:marBottom w:val="0"/>
      <w:divBdr>
        <w:top w:val="none" w:sz="0" w:space="0" w:color="auto"/>
        <w:left w:val="none" w:sz="0" w:space="0" w:color="auto"/>
        <w:bottom w:val="none" w:sz="0" w:space="0" w:color="auto"/>
        <w:right w:val="none" w:sz="0" w:space="0" w:color="auto"/>
      </w:divBdr>
    </w:div>
    <w:div w:id="1858427337">
      <w:marLeft w:val="0"/>
      <w:marRight w:val="0"/>
      <w:marTop w:val="0"/>
      <w:marBottom w:val="0"/>
      <w:divBdr>
        <w:top w:val="none" w:sz="0" w:space="0" w:color="auto"/>
        <w:left w:val="none" w:sz="0" w:space="0" w:color="auto"/>
        <w:bottom w:val="none" w:sz="0" w:space="0" w:color="auto"/>
        <w:right w:val="none" w:sz="0" w:space="0" w:color="auto"/>
      </w:divBdr>
    </w:div>
    <w:div w:id="1859001837">
      <w:marLeft w:val="0"/>
      <w:marRight w:val="0"/>
      <w:marTop w:val="0"/>
      <w:marBottom w:val="0"/>
      <w:divBdr>
        <w:top w:val="none" w:sz="0" w:space="0" w:color="auto"/>
        <w:left w:val="none" w:sz="0" w:space="0" w:color="auto"/>
        <w:bottom w:val="none" w:sz="0" w:space="0" w:color="auto"/>
        <w:right w:val="none" w:sz="0" w:space="0" w:color="auto"/>
      </w:divBdr>
    </w:div>
    <w:div w:id="1883400023">
      <w:marLeft w:val="0"/>
      <w:marRight w:val="0"/>
      <w:marTop w:val="0"/>
      <w:marBottom w:val="0"/>
      <w:divBdr>
        <w:top w:val="none" w:sz="0" w:space="0" w:color="auto"/>
        <w:left w:val="none" w:sz="0" w:space="0" w:color="auto"/>
        <w:bottom w:val="none" w:sz="0" w:space="0" w:color="auto"/>
        <w:right w:val="none" w:sz="0" w:space="0" w:color="auto"/>
      </w:divBdr>
    </w:div>
    <w:div w:id="1884437892">
      <w:marLeft w:val="0"/>
      <w:marRight w:val="0"/>
      <w:marTop w:val="0"/>
      <w:marBottom w:val="0"/>
      <w:divBdr>
        <w:top w:val="none" w:sz="0" w:space="0" w:color="auto"/>
        <w:left w:val="none" w:sz="0" w:space="0" w:color="auto"/>
        <w:bottom w:val="none" w:sz="0" w:space="0" w:color="auto"/>
        <w:right w:val="none" w:sz="0" w:space="0" w:color="auto"/>
      </w:divBdr>
    </w:div>
    <w:div w:id="1894584009">
      <w:marLeft w:val="0"/>
      <w:marRight w:val="0"/>
      <w:marTop w:val="0"/>
      <w:marBottom w:val="0"/>
      <w:divBdr>
        <w:top w:val="none" w:sz="0" w:space="0" w:color="auto"/>
        <w:left w:val="none" w:sz="0" w:space="0" w:color="auto"/>
        <w:bottom w:val="none" w:sz="0" w:space="0" w:color="auto"/>
        <w:right w:val="none" w:sz="0" w:space="0" w:color="auto"/>
      </w:divBdr>
    </w:div>
    <w:div w:id="1897082226">
      <w:marLeft w:val="0"/>
      <w:marRight w:val="0"/>
      <w:marTop w:val="0"/>
      <w:marBottom w:val="0"/>
      <w:divBdr>
        <w:top w:val="none" w:sz="0" w:space="0" w:color="auto"/>
        <w:left w:val="none" w:sz="0" w:space="0" w:color="auto"/>
        <w:bottom w:val="none" w:sz="0" w:space="0" w:color="auto"/>
        <w:right w:val="none" w:sz="0" w:space="0" w:color="auto"/>
      </w:divBdr>
    </w:div>
    <w:div w:id="1910118518">
      <w:marLeft w:val="0"/>
      <w:marRight w:val="0"/>
      <w:marTop w:val="0"/>
      <w:marBottom w:val="0"/>
      <w:divBdr>
        <w:top w:val="none" w:sz="0" w:space="0" w:color="auto"/>
        <w:left w:val="none" w:sz="0" w:space="0" w:color="auto"/>
        <w:bottom w:val="none" w:sz="0" w:space="0" w:color="auto"/>
        <w:right w:val="none" w:sz="0" w:space="0" w:color="auto"/>
      </w:divBdr>
    </w:div>
    <w:div w:id="1935169543">
      <w:marLeft w:val="0"/>
      <w:marRight w:val="0"/>
      <w:marTop w:val="0"/>
      <w:marBottom w:val="0"/>
      <w:divBdr>
        <w:top w:val="none" w:sz="0" w:space="0" w:color="auto"/>
        <w:left w:val="none" w:sz="0" w:space="0" w:color="auto"/>
        <w:bottom w:val="none" w:sz="0" w:space="0" w:color="auto"/>
        <w:right w:val="none" w:sz="0" w:space="0" w:color="auto"/>
      </w:divBdr>
    </w:div>
    <w:div w:id="1943755857">
      <w:bodyDiv w:val="1"/>
      <w:marLeft w:val="0"/>
      <w:marRight w:val="0"/>
      <w:marTop w:val="0"/>
      <w:marBottom w:val="0"/>
      <w:divBdr>
        <w:top w:val="none" w:sz="0" w:space="0" w:color="auto"/>
        <w:left w:val="none" w:sz="0" w:space="0" w:color="auto"/>
        <w:bottom w:val="none" w:sz="0" w:space="0" w:color="auto"/>
        <w:right w:val="none" w:sz="0" w:space="0" w:color="auto"/>
      </w:divBdr>
      <w:divsChild>
        <w:div w:id="34162959">
          <w:marLeft w:val="0"/>
          <w:marRight w:val="0"/>
          <w:marTop w:val="0"/>
          <w:marBottom w:val="0"/>
          <w:divBdr>
            <w:top w:val="none" w:sz="0" w:space="0" w:color="auto"/>
            <w:left w:val="none" w:sz="0" w:space="0" w:color="auto"/>
            <w:bottom w:val="none" w:sz="0" w:space="0" w:color="auto"/>
            <w:right w:val="none" w:sz="0" w:space="0" w:color="auto"/>
          </w:divBdr>
        </w:div>
        <w:div w:id="1435705367">
          <w:marLeft w:val="0"/>
          <w:marRight w:val="0"/>
          <w:marTop w:val="0"/>
          <w:marBottom w:val="0"/>
          <w:divBdr>
            <w:top w:val="none" w:sz="0" w:space="0" w:color="auto"/>
            <w:left w:val="none" w:sz="0" w:space="0" w:color="auto"/>
            <w:bottom w:val="none" w:sz="0" w:space="0" w:color="auto"/>
            <w:right w:val="none" w:sz="0" w:space="0" w:color="auto"/>
          </w:divBdr>
        </w:div>
        <w:div w:id="387536266">
          <w:marLeft w:val="0"/>
          <w:marRight w:val="0"/>
          <w:marTop w:val="0"/>
          <w:marBottom w:val="0"/>
          <w:divBdr>
            <w:top w:val="none" w:sz="0" w:space="0" w:color="auto"/>
            <w:left w:val="none" w:sz="0" w:space="0" w:color="auto"/>
            <w:bottom w:val="none" w:sz="0" w:space="0" w:color="auto"/>
            <w:right w:val="none" w:sz="0" w:space="0" w:color="auto"/>
          </w:divBdr>
        </w:div>
        <w:div w:id="990257179">
          <w:marLeft w:val="0"/>
          <w:marRight w:val="0"/>
          <w:marTop w:val="0"/>
          <w:marBottom w:val="0"/>
          <w:divBdr>
            <w:top w:val="none" w:sz="0" w:space="0" w:color="auto"/>
            <w:left w:val="none" w:sz="0" w:space="0" w:color="auto"/>
            <w:bottom w:val="none" w:sz="0" w:space="0" w:color="auto"/>
            <w:right w:val="none" w:sz="0" w:space="0" w:color="auto"/>
          </w:divBdr>
        </w:div>
        <w:div w:id="910887876">
          <w:marLeft w:val="0"/>
          <w:marRight w:val="0"/>
          <w:marTop w:val="0"/>
          <w:marBottom w:val="0"/>
          <w:divBdr>
            <w:top w:val="none" w:sz="0" w:space="0" w:color="auto"/>
            <w:left w:val="none" w:sz="0" w:space="0" w:color="auto"/>
            <w:bottom w:val="none" w:sz="0" w:space="0" w:color="auto"/>
            <w:right w:val="none" w:sz="0" w:space="0" w:color="auto"/>
          </w:divBdr>
        </w:div>
        <w:div w:id="1531071748">
          <w:marLeft w:val="0"/>
          <w:marRight w:val="0"/>
          <w:marTop w:val="0"/>
          <w:marBottom w:val="0"/>
          <w:divBdr>
            <w:top w:val="none" w:sz="0" w:space="0" w:color="auto"/>
            <w:left w:val="none" w:sz="0" w:space="0" w:color="auto"/>
            <w:bottom w:val="none" w:sz="0" w:space="0" w:color="auto"/>
            <w:right w:val="none" w:sz="0" w:space="0" w:color="auto"/>
          </w:divBdr>
        </w:div>
        <w:div w:id="809715662">
          <w:marLeft w:val="0"/>
          <w:marRight w:val="0"/>
          <w:marTop w:val="0"/>
          <w:marBottom w:val="0"/>
          <w:divBdr>
            <w:top w:val="none" w:sz="0" w:space="0" w:color="auto"/>
            <w:left w:val="none" w:sz="0" w:space="0" w:color="auto"/>
            <w:bottom w:val="none" w:sz="0" w:space="0" w:color="auto"/>
            <w:right w:val="none" w:sz="0" w:space="0" w:color="auto"/>
          </w:divBdr>
        </w:div>
        <w:div w:id="1102265691">
          <w:marLeft w:val="0"/>
          <w:marRight w:val="0"/>
          <w:marTop w:val="0"/>
          <w:marBottom w:val="0"/>
          <w:divBdr>
            <w:top w:val="none" w:sz="0" w:space="0" w:color="auto"/>
            <w:left w:val="none" w:sz="0" w:space="0" w:color="auto"/>
            <w:bottom w:val="none" w:sz="0" w:space="0" w:color="auto"/>
            <w:right w:val="none" w:sz="0" w:space="0" w:color="auto"/>
          </w:divBdr>
        </w:div>
        <w:div w:id="1496915782">
          <w:marLeft w:val="0"/>
          <w:marRight w:val="0"/>
          <w:marTop w:val="0"/>
          <w:marBottom w:val="0"/>
          <w:divBdr>
            <w:top w:val="none" w:sz="0" w:space="0" w:color="auto"/>
            <w:left w:val="none" w:sz="0" w:space="0" w:color="auto"/>
            <w:bottom w:val="none" w:sz="0" w:space="0" w:color="auto"/>
            <w:right w:val="none" w:sz="0" w:space="0" w:color="auto"/>
          </w:divBdr>
        </w:div>
        <w:div w:id="1218391578">
          <w:marLeft w:val="0"/>
          <w:marRight w:val="0"/>
          <w:marTop w:val="0"/>
          <w:marBottom w:val="0"/>
          <w:divBdr>
            <w:top w:val="none" w:sz="0" w:space="0" w:color="auto"/>
            <w:left w:val="none" w:sz="0" w:space="0" w:color="auto"/>
            <w:bottom w:val="none" w:sz="0" w:space="0" w:color="auto"/>
            <w:right w:val="none" w:sz="0" w:space="0" w:color="auto"/>
          </w:divBdr>
        </w:div>
        <w:div w:id="943534121">
          <w:marLeft w:val="0"/>
          <w:marRight w:val="0"/>
          <w:marTop w:val="0"/>
          <w:marBottom w:val="0"/>
          <w:divBdr>
            <w:top w:val="none" w:sz="0" w:space="0" w:color="auto"/>
            <w:left w:val="none" w:sz="0" w:space="0" w:color="auto"/>
            <w:bottom w:val="none" w:sz="0" w:space="0" w:color="auto"/>
            <w:right w:val="none" w:sz="0" w:space="0" w:color="auto"/>
          </w:divBdr>
        </w:div>
        <w:div w:id="689457228">
          <w:marLeft w:val="0"/>
          <w:marRight w:val="0"/>
          <w:marTop w:val="0"/>
          <w:marBottom w:val="0"/>
          <w:divBdr>
            <w:top w:val="none" w:sz="0" w:space="0" w:color="auto"/>
            <w:left w:val="none" w:sz="0" w:space="0" w:color="auto"/>
            <w:bottom w:val="none" w:sz="0" w:space="0" w:color="auto"/>
            <w:right w:val="none" w:sz="0" w:space="0" w:color="auto"/>
          </w:divBdr>
        </w:div>
        <w:div w:id="484709159">
          <w:marLeft w:val="0"/>
          <w:marRight w:val="0"/>
          <w:marTop w:val="0"/>
          <w:marBottom w:val="0"/>
          <w:divBdr>
            <w:top w:val="none" w:sz="0" w:space="0" w:color="auto"/>
            <w:left w:val="none" w:sz="0" w:space="0" w:color="auto"/>
            <w:bottom w:val="none" w:sz="0" w:space="0" w:color="auto"/>
            <w:right w:val="none" w:sz="0" w:space="0" w:color="auto"/>
          </w:divBdr>
        </w:div>
        <w:div w:id="1162936420">
          <w:marLeft w:val="0"/>
          <w:marRight w:val="0"/>
          <w:marTop w:val="0"/>
          <w:marBottom w:val="0"/>
          <w:divBdr>
            <w:top w:val="none" w:sz="0" w:space="0" w:color="auto"/>
            <w:left w:val="none" w:sz="0" w:space="0" w:color="auto"/>
            <w:bottom w:val="none" w:sz="0" w:space="0" w:color="auto"/>
            <w:right w:val="none" w:sz="0" w:space="0" w:color="auto"/>
          </w:divBdr>
        </w:div>
        <w:div w:id="127170236">
          <w:marLeft w:val="0"/>
          <w:marRight w:val="0"/>
          <w:marTop w:val="0"/>
          <w:marBottom w:val="0"/>
          <w:divBdr>
            <w:top w:val="none" w:sz="0" w:space="0" w:color="auto"/>
            <w:left w:val="none" w:sz="0" w:space="0" w:color="auto"/>
            <w:bottom w:val="none" w:sz="0" w:space="0" w:color="auto"/>
            <w:right w:val="none" w:sz="0" w:space="0" w:color="auto"/>
          </w:divBdr>
        </w:div>
        <w:div w:id="1152909810">
          <w:marLeft w:val="0"/>
          <w:marRight w:val="0"/>
          <w:marTop w:val="0"/>
          <w:marBottom w:val="0"/>
          <w:divBdr>
            <w:top w:val="none" w:sz="0" w:space="0" w:color="auto"/>
            <w:left w:val="none" w:sz="0" w:space="0" w:color="auto"/>
            <w:bottom w:val="none" w:sz="0" w:space="0" w:color="auto"/>
            <w:right w:val="none" w:sz="0" w:space="0" w:color="auto"/>
          </w:divBdr>
        </w:div>
        <w:div w:id="503202925">
          <w:marLeft w:val="0"/>
          <w:marRight w:val="0"/>
          <w:marTop w:val="0"/>
          <w:marBottom w:val="0"/>
          <w:divBdr>
            <w:top w:val="none" w:sz="0" w:space="0" w:color="auto"/>
            <w:left w:val="none" w:sz="0" w:space="0" w:color="auto"/>
            <w:bottom w:val="none" w:sz="0" w:space="0" w:color="auto"/>
            <w:right w:val="none" w:sz="0" w:space="0" w:color="auto"/>
          </w:divBdr>
        </w:div>
        <w:div w:id="824317689">
          <w:marLeft w:val="0"/>
          <w:marRight w:val="0"/>
          <w:marTop w:val="0"/>
          <w:marBottom w:val="0"/>
          <w:divBdr>
            <w:top w:val="none" w:sz="0" w:space="0" w:color="auto"/>
            <w:left w:val="none" w:sz="0" w:space="0" w:color="auto"/>
            <w:bottom w:val="none" w:sz="0" w:space="0" w:color="auto"/>
            <w:right w:val="none" w:sz="0" w:space="0" w:color="auto"/>
          </w:divBdr>
        </w:div>
        <w:div w:id="1491023135">
          <w:marLeft w:val="0"/>
          <w:marRight w:val="0"/>
          <w:marTop w:val="0"/>
          <w:marBottom w:val="0"/>
          <w:divBdr>
            <w:top w:val="none" w:sz="0" w:space="0" w:color="auto"/>
            <w:left w:val="none" w:sz="0" w:space="0" w:color="auto"/>
            <w:bottom w:val="none" w:sz="0" w:space="0" w:color="auto"/>
            <w:right w:val="none" w:sz="0" w:space="0" w:color="auto"/>
          </w:divBdr>
        </w:div>
        <w:div w:id="118450276">
          <w:marLeft w:val="0"/>
          <w:marRight w:val="0"/>
          <w:marTop w:val="0"/>
          <w:marBottom w:val="0"/>
          <w:divBdr>
            <w:top w:val="none" w:sz="0" w:space="0" w:color="auto"/>
            <w:left w:val="none" w:sz="0" w:space="0" w:color="auto"/>
            <w:bottom w:val="none" w:sz="0" w:space="0" w:color="auto"/>
            <w:right w:val="none" w:sz="0" w:space="0" w:color="auto"/>
          </w:divBdr>
        </w:div>
        <w:div w:id="1789157471">
          <w:marLeft w:val="0"/>
          <w:marRight w:val="0"/>
          <w:marTop w:val="0"/>
          <w:marBottom w:val="0"/>
          <w:divBdr>
            <w:top w:val="none" w:sz="0" w:space="0" w:color="auto"/>
            <w:left w:val="none" w:sz="0" w:space="0" w:color="auto"/>
            <w:bottom w:val="none" w:sz="0" w:space="0" w:color="auto"/>
            <w:right w:val="none" w:sz="0" w:space="0" w:color="auto"/>
          </w:divBdr>
        </w:div>
        <w:div w:id="880940916">
          <w:marLeft w:val="0"/>
          <w:marRight w:val="0"/>
          <w:marTop w:val="0"/>
          <w:marBottom w:val="0"/>
          <w:divBdr>
            <w:top w:val="none" w:sz="0" w:space="0" w:color="auto"/>
            <w:left w:val="none" w:sz="0" w:space="0" w:color="auto"/>
            <w:bottom w:val="none" w:sz="0" w:space="0" w:color="auto"/>
            <w:right w:val="none" w:sz="0" w:space="0" w:color="auto"/>
          </w:divBdr>
        </w:div>
        <w:div w:id="1015308255">
          <w:marLeft w:val="0"/>
          <w:marRight w:val="0"/>
          <w:marTop w:val="0"/>
          <w:marBottom w:val="0"/>
          <w:divBdr>
            <w:top w:val="none" w:sz="0" w:space="0" w:color="auto"/>
            <w:left w:val="none" w:sz="0" w:space="0" w:color="auto"/>
            <w:bottom w:val="none" w:sz="0" w:space="0" w:color="auto"/>
            <w:right w:val="none" w:sz="0" w:space="0" w:color="auto"/>
          </w:divBdr>
        </w:div>
        <w:div w:id="210657374">
          <w:marLeft w:val="0"/>
          <w:marRight w:val="0"/>
          <w:marTop w:val="0"/>
          <w:marBottom w:val="0"/>
          <w:divBdr>
            <w:top w:val="none" w:sz="0" w:space="0" w:color="auto"/>
            <w:left w:val="none" w:sz="0" w:space="0" w:color="auto"/>
            <w:bottom w:val="none" w:sz="0" w:space="0" w:color="auto"/>
            <w:right w:val="none" w:sz="0" w:space="0" w:color="auto"/>
          </w:divBdr>
        </w:div>
        <w:div w:id="163397706">
          <w:marLeft w:val="0"/>
          <w:marRight w:val="0"/>
          <w:marTop w:val="0"/>
          <w:marBottom w:val="0"/>
          <w:divBdr>
            <w:top w:val="none" w:sz="0" w:space="0" w:color="auto"/>
            <w:left w:val="none" w:sz="0" w:space="0" w:color="auto"/>
            <w:bottom w:val="none" w:sz="0" w:space="0" w:color="auto"/>
            <w:right w:val="none" w:sz="0" w:space="0" w:color="auto"/>
          </w:divBdr>
        </w:div>
        <w:div w:id="2009870743">
          <w:marLeft w:val="0"/>
          <w:marRight w:val="0"/>
          <w:marTop w:val="0"/>
          <w:marBottom w:val="0"/>
          <w:divBdr>
            <w:top w:val="none" w:sz="0" w:space="0" w:color="auto"/>
            <w:left w:val="none" w:sz="0" w:space="0" w:color="auto"/>
            <w:bottom w:val="none" w:sz="0" w:space="0" w:color="auto"/>
            <w:right w:val="none" w:sz="0" w:space="0" w:color="auto"/>
          </w:divBdr>
        </w:div>
        <w:div w:id="46611114">
          <w:marLeft w:val="0"/>
          <w:marRight w:val="0"/>
          <w:marTop w:val="0"/>
          <w:marBottom w:val="0"/>
          <w:divBdr>
            <w:top w:val="none" w:sz="0" w:space="0" w:color="auto"/>
            <w:left w:val="none" w:sz="0" w:space="0" w:color="auto"/>
            <w:bottom w:val="none" w:sz="0" w:space="0" w:color="auto"/>
            <w:right w:val="none" w:sz="0" w:space="0" w:color="auto"/>
          </w:divBdr>
        </w:div>
        <w:div w:id="541866940">
          <w:marLeft w:val="0"/>
          <w:marRight w:val="0"/>
          <w:marTop w:val="0"/>
          <w:marBottom w:val="0"/>
          <w:divBdr>
            <w:top w:val="none" w:sz="0" w:space="0" w:color="auto"/>
            <w:left w:val="none" w:sz="0" w:space="0" w:color="auto"/>
            <w:bottom w:val="none" w:sz="0" w:space="0" w:color="auto"/>
            <w:right w:val="none" w:sz="0" w:space="0" w:color="auto"/>
          </w:divBdr>
        </w:div>
        <w:div w:id="1155536182">
          <w:marLeft w:val="0"/>
          <w:marRight w:val="0"/>
          <w:marTop w:val="0"/>
          <w:marBottom w:val="0"/>
          <w:divBdr>
            <w:top w:val="none" w:sz="0" w:space="0" w:color="auto"/>
            <w:left w:val="none" w:sz="0" w:space="0" w:color="auto"/>
            <w:bottom w:val="none" w:sz="0" w:space="0" w:color="auto"/>
            <w:right w:val="none" w:sz="0" w:space="0" w:color="auto"/>
          </w:divBdr>
        </w:div>
        <w:div w:id="1330598445">
          <w:marLeft w:val="0"/>
          <w:marRight w:val="0"/>
          <w:marTop w:val="0"/>
          <w:marBottom w:val="0"/>
          <w:divBdr>
            <w:top w:val="none" w:sz="0" w:space="0" w:color="auto"/>
            <w:left w:val="none" w:sz="0" w:space="0" w:color="auto"/>
            <w:bottom w:val="none" w:sz="0" w:space="0" w:color="auto"/>
            <w:right w:val="none" w:sz="0" w:space="0" w:color="auto"/>
          </w:divBdr>
        </w:div>
        <w:div w:id="693506840">
          <w:marLeft w:val="0"/>
          <w:marRight w:val="0"/>
          <w:marTop w:val="0"/>
          <w:marBottom w:val="0"/>
          <w:divBdr>
            <w:top w:val="none" w:sz="0" w:space="0" w:color="auto"/>
            <w:left w:val="none" w:sz="0" w:space="0" w:color="auto"/>
            <w:bottom w:val="none" w:sz="0" w:space="0" w:color="auto"/>
            <w:right w:val="none" w:sz="0" w:space="0" w:color="auto"/>
          </w:divBdr>
        </w:div>
        <w:div w:id="496964560">
          <w:marLeft w:val="0"/>
          <w:marRight w:val="0"/>
          <w:marTop w:val="0"/>
          <w:marBottom w:val="0"/>
          <w:divBdr>
            <w:top w:val="none" w:sz="0" w:space="0" w:color="auto"/>
            <w:left w:val="none" w:sz="0" w:space="0" w:color="auto"/>
            <w:bottom w:val="none" w:sz="0" w:space="0" w:color="auto"/>
            <w:right w:val="none" w:sz="0" w:space="0" w:color="auto"/>
          </w:divBdr>
        </w:div>
        <w:div w:id="283586095">
          <w:marLeft w:val="0"/>
          <w:marRight w:val="0"/>
          <w:marTop w:val="0"/>
          <w:marBottom w:val="0"/>
          <w:divBdr>
            <w:top w:val="none" w:sz="0" w:space="0" w:color="auto"/>
            <w:left w:val="none" w:sz="0" w:space="0" w:color="auto"/>
            <w:bottom w:val="none" w:sz="0" w:space="0" w:color="auto"/>
            <w:right w:val="none" w:sz="0" w:space="0" w:color="auto"/>
          </w:divBdr>
        </w:div>
        <w:div w:id="1306860723">
          <w:marLeft w:val="0"/>
          <w:marRight w:val="0"/>
          <w:marTop w:val="0"/>
          <w:marBottom w:val="0"/>
          <w:divBdr>
            <w:top w:val="none" w:sz="0" w:space="0" w:color="auto"/>
            <w:left w:val="none" w:sz="0" w:space="0" w:color="auto"/>
            <w:bottom w:val="none" w:sz="0" w:space="0" w:color="auto"/>
            <w:right w:val="none" w:sz="0" w:space="0" w:color="auto"/>
          </w:divBdr>
        </w:div>
        <w:div w:id="2130467172">
          <w:marLeft w:val="0"/>
          <w:marRight w:val="0"/>
          <w:marTop w:val="0"/>
          <w:marBottom w:val="0"/>
          <w:divBdr>
            <w:top w:val="none" w:sz="0" w:space="0" w:color="auto"/>
            <w:left w:val="none" w:sz="0" w:space="0" w:color="auto"/>
            <w:bottom w:val="none" w:sz="0" w:space="0" w:color="auto"/>
            <w:right w:val="none" w:sz="0" w:space="0" w:color="auto"/>
          </w:divBdr>
        </w:div>
        <w:div w:id="1732116786">
          <w:marLeft w:val="0"/>
          <w:marRight w:val="0"/>
          <w:marTop w:val="0"/>
          <w:marBottom w:val="0"/>
          <w:divBdr>
            <w:top w:val="none" w:sz="0" w:space="0" w:color="auto"/>
            <w:left w:val="none" w:sz="0" w:space="0" w:color="auto"/>
            <w:bottom w:val="none" w:sz="0" w:space="0" w:color="auto"/>
            <w:right w:val="none" w:sz="0" w:space="0" w:color="auto"/>
          </w:divBdr>
        </w:div>
        <w:div w:id="1892619275">
          <w:marLeft w:val="0"/>
          <w:marRight w:val="0"/>
          <w:marTop w:val="0"/>
          <w:marBottom w:val="0"/>
          <w:divBdr>
            <w:top w:val="none" w:sz="0" w:space="0" w:color="auto"/>
            <w:left w:val="none" w:sz="0" w:space="0" w:color="auto"/>
            <w:bottom w:val="none" w:sz="0" w:space="0" w:color="auto"/>
            <w:right w:val="none" w:sz="0" w:space="0" w:color="auto"/>
          </w:divBdr>
        </w:div>
        <w:div w:id="2129350273">
          <w:marLeft w:val="0"/>
          <w:marRight w:val="0"/>
          <w:marTop w:val="0"/>
          <w:marBottom w:val="0"/>
          <w:divBdr>
            <w:top w:val="none" w:sz="0" w:space="0" w:color="auto"/>
            <w:left w:val="none" w:sz="0" w:space="0" w:color="auto"/>
            <w:bottom w:val="none" w:sz="0" w:space="0" w:color="auto"/>
            <w:right w:val="none" w:sz="0" w:space="0" w:color="auto"/>
          </w:divBdr>
        </w:div>
        <w:div w:id="1344285536">
          <w:marLeft w:val="0"/>
          <w:marRight w:val="0"/>
          <w:marTop w:val="0"/>
          <w:marBottom w:val="0"/>
          <w:divBdr>
            <w:top w:val="none" w:sz="0" w:space="0" w:color="auto"/>
            <w:left w:val="none" w:sz="0" w:space="0" w:color="auto"/>
            <w:bottom w:val="none" w:sz="0" w:space="0" w:color="auto"/>
            <w:right w:val="none" w:sz="0" w:space="0" w:color="auto"/>
          </w:divBdr>
        </w:div>
        <w:div w:id="478957419">
          <w:marLeft w:val="0"/>
          <w:marRight w:val="0"/>
          <w:marTop w:val="0"/>
          <w:marBottom w:val="0"/>
          <w:divBdr>
            <w:top w:val="none" w:sz="0" w:space="0" w:color="auto"/>
            <w:left w:val="none" w:sz="0" w:space="0" w:color="auto"/>
            <w:bottom w:val="none" w:sz="0" w:space="0" w:color="auto"/>
            <w:right w:val="none" w:sz="0" w:space="0" w:color="auto"/>
          </w:divBdr>
        </w:div>
        <w:div w:id="1250164895">
          <w:marLeft w:val="0"/>
          <w:marRight w:val="0"/>
          <w:marTop w:val="0"/>
          <w:marBottom w:val="0"/>
          <w:divBdr>
            <w:top w:val="none" w:sz="0" w:space="0" w:color="auto"/>
            <w:left w:val="none" w:sz="0" w:space="0" w:color="auto"/>
            <w:bottom w:val="none" w:sz="0" w:space="0" w:color="auto"/>
            <w:right w:val="none" w:sz="0" w:space="0" w:color="auto"/>
          </w:divBdr>
        </w:div>
        <w:div w:id="1660696346">
          <w:marLeft w:val="0"/>
          <w:marRight w:val="0"/>
          <w:marTop w:val="0"/>
          <w:marBottom w:val="0"/>
          <w:divBdr>
            <w:top w:val="none" w:sz="0" w:space="0" w:color="auto"/>
            <w:left w:val="none" w:sz="0" w:space="0" w:color="auto"/>
            <w:bottom w:val="none" w:sz="0" w:space="0" w:color="auto"/>
            <w:right w:val="none" w:sz="0" w:space="0" w:color="auto"/>
          </w:divBdr>
        </w:div>
        <w:div w:id="1984699041">
          <w:marLeft w:val="0"/>
          <w:marRight w:val="0"/>
          <w:marTop w:val="0"/>
          <w:marBottom w:val="0"/>
          <w:divBdr>
            <w:top w:val="none" w:sz="0" w:space="0" w:color="auto"/>
            <w:left w:val="none" w:sz="0" w:space="0" w:color="auto"/>
            <w:bottom w:val="none" w:sz="0" w:space="0" w:color="auto"/>
            <w:right w:val="none" w:sz="0" w:space="0" w:color="auto"/>
          </w:divBdr>
        </w:div>
        <w:div w:id="441998134">
          <w:marLeft w:val="0"/>
          <w:marRight w:val="0"/>
          <w:marTop w:val="0"/>
          <w:marBottom w:val="0"/>
          <w:divBdr>
            <w:top w:val="none" w:sz="0" w:space="0" w:color="auto"/>
            <w:left w:val="none" w:sz="0" w:space="0" w:color="auto"/>
            <w:bottom w:val="none" w:sz="0" w:space="0" w:color="auto"/>
            <w:right w:val="none" w:sz="0" w:space="0" w:color="auto"/>
          </w:divBdr>
        </w:div>
        <w:div w:id="970095874">
          <w:marLeft w:val="0"/>
          <w:marRight w:val="0"/>
          <w:marTop w:val="0"/>
          <w:marBottom w:val="0"/>
          <w:divBdr>
            <w:top w:val="none" w:sz="0" w:space="0" w:color="auto"/>
            <w:left w:val="none" w:sz="0" w:space="0" w:color="auto"/>
            <w:bottom w:val="none" w:sz="0" w:space="0" w:color="auto"/>
            <w:right w:val="none" w:sz="0" w:space="0" w:color="auto"/>
          </w:divBdr>
        </w:div>
        <w:div w:id="1688409545">
          <w:marLeft w:val="0"/>
          <w:marRight w:val="0"/>
          <w:marTop w:val="0"/>
          <w:marBottom w:val="0"/>
          <w:divBdr>
            <w:top w:val="none" w:sz="0" w:space="0" w:color="auto"/>
            <w:left w:val="none" w:sz="0" w:space="0" w:color="auto"/>
            <w:bottom w:val="none" w:sz="0" w:space="0" w:color="auto"/>
            <w:right w:val="none" w:sz="0" w:space="0" w:color="auto"/>
          </w:divBdr>
        </w:div>
        <w:div w:id="1248033929">
          <w:marLeft w:val="0"/>
          <w:marRight w:val="0"/>
          <w:marTop w:val="0"/>
          <w:marBottom w:val="0"/>
          <w:divBdr>
            <w:top w:val="none" w:sz="0" w:space="0" w:color="auto"/>
            <w:left w:val="none" w:sz="0" w:space="0" w:color="auto"/>
            <w:bottom w:val="none" w:sz="0" w:space="0" w:color="auto"/>
            <w:right w:val="none" w:sz="0" w:space="0" w:color="auto"/>
          </w:divBdr>
        </w:div>
        <w:div w:id="847209458">
          <w:marLeft w:val="0"/>
          <w:marRight w:val="0"/>
          <w:marTop w:val="0"/>
          <w:marBottom w:val="0"/>
          <w:divBdr>
            <w:top w:val="none" w:sz="0" w:space="0" w:color="auto"/>
            <w:left w:val="none" w:sz="0" w:space="0" w:color="auto"/>
            <w:bottom w:val="none" w:sz="0" w:space="0" w:color="auto"/>
            <w:right w:val="none" w:sz="0" w:space="0" w:color="auto"/>
          </w:divBdr>
        </w:div>
        <w:div w:id="1315061643">
          <w:marLeft w:val="0"/>
          <w:marRight w:val="0"/>
          <w:marTop w:val="0"/>
          <w:marBottom w:val="0"/>
          <w:divBdr>
            <w:top w:val="none" w:sz="0" w:space="0" w:color="auto"/>
            <w:left w:val="none" w:sz="0" w:space="0" w:color="auto"/>
            <w:bottom w:val="none" w:sz="0" w:space="0" w:color="auto"/>
            <w:right w:val="none" w:sz="0" w:space="0" w:color="auto"/>
          </w:divBdr>
        </w:div>
        <w:div w:id="1066336500">
          <w:marLeft w:val="0"/>
          <w:marRight w:val="0"/>
          <w:marTop w:val="0"/>
          <w:marBottom w:val="0"/>
          <w:divBdr>
            <w:top w:val="none" w:sz="0" w:space="0" w:color="auto"/>
            <w:left w:val="none" w:sz="0" w:space="0" w:color="auto"/>
            <w:bottom w:val="none" w:sz="0" w:space="0" w:color="auto"/>
            <w:right w:val="none" w:sz="0" w:space="0" w:color="auto"/>
          </w:divBdr>
        </w:div>
        <w:div w:id="480972658">
          <w:marLeft w:val="0"/>
          <w:marRight w:val="0"/>
          <w:marTop w:val="0"/>
          <w:marBottom w:val="0"/>
          <w:divBdr>
            <w:top w:val="none" w:sz="0" w:space="0" w:color="auto"/>
            <w:left w:val="none" w:sz="0" w:space="0" w:color="auto"/>
            <w:bottom w:val="none" w:sz="0" w:space="0" w:color="auto"/>
            <w:right w:val="none" w:sz="0" w:space="0" w:color="auto"/>
          </w:divBdr>
        </w:div>
        <w:div w:id="340090760">
          <w:marLeft w:val="0"/>
          <w:marRight w:val="0"/>
          <w:marTop w:val="0"/>
          <w:marBottom w:val="0"/>
          <w:divBdr>
            <w:top w:val="none" w:sz="0" w:space="0" w:color="auto"/>
            <w:left w:val="none" w:sz="0" w:space="0" w:color="auto"/>
            <w:bottom w:val="none" w:sz="0" w:space="0" w:color="auto"/>
            <w:right w:val="none" w:sz="0" w:space="0" w:color="auto"/>
          </w:divBdr>
        </w:div>
        <w:div w:id="350566462">
          <w:marLeft w:val="0"/>
          <w:marRight w:val="0"/>
          <w:marTop w:val="0"/>
          <w:marBottom w:val="0"/>
          <w:divBdr>
            <w:top w:val="none" w:sz="0" w:space="0" w:color="auto"/>
            <w:left w:val="none" w:sz="0" w:space="0" w:color="auto"/>
            <w:bottom w:val="none" w:sz="0" w:space="0" w:color="auto"/>
            <w:right w:val="none" w:sz="0" w:space="0" w:color="auto"/>
          </w:divBdr>
        </w:div>
        <w:div w:id="986669853">
          <w:marLeft w:val="0"/>
          <w:marRight w:val="0"/>
          <w:marTop w:val="0"/>
          <w:marBottom w:val="0"/>
          <w:divBdr>
            <w:top w:val="none" w:sz="0" w:space="0" w:color="auto"/>
            <w:left w:val="none" w:sz="0" w:space="0" w:color="auto"/>
            <w:bottom w:val="none" w:sz="0" w:space="0" w:color="auto"/>
            <w:right w:val="none" w:sz="0" w:space="0" w:color="auto"/>
          </w:divBdr>
        </w:div>
        <w:div w:id="1736125061">
          <w:marLeft w:val="0"/>
          <w:marRight w:val="0"/>
          <w:marTop w:val="0"/>
          <w:marBottom w:val="0"/>
          <w:divBdr>
            <w:top w:val="none" w:sz="0" w:space="0" w:color="auto"/>
            <w:left w:val="none" w:sz="0" w:space="0" w:color="auto"/>
            <w:bottom w:val="none" w:sz="0" w:space="0" w:color="auto"/>
            <w:right w:val="none" w:sz="0" w:space="0" w:color="auto"/>
          </w:divBdr>
        </w:div>
        <w:div w:id="1012995089">
          <w:marLeft w:val="0"/>
          <w:marRight w:val="0"/>
          <w:marTop w:val="0"/>
          <w:marBottom w:val="0"/>
          <w:divBdr>
            <w:top w:val="none" w:sz="0" w:space="0" w:color="auto"/>
            <w:left w:val="none" w:sz="0" w:space="0" w:color="auto"/>
            <w:bottom w:val="none" w:sz="0" w:space="0" w:color="auto"/>
            <w:right w:val="none" w:sz="0" w:space="0" w:color="auto"/>
          </w:divBdr>
        </w:div>
        <w:div w:id="1571889713">
          <w:marLeft w:val="0"/>
          <w:marRight w:val="0"/>
          <w:marTop w:val="0"/>
          <w:marBottom w:val="0"/>
          <w:divBdr>
            <w:top w:val="none" w:sz="0" w:space="0" w:color="auto"/>
            <w:left w:val="none" w:sz="0" w:space="0" w:color="auto"/>
            <w:bottom w:val="none" w:sz="0" w:space="0" w:color="auto"/>
            <w:right w:val="none" w:sz="0" w:space="0" w:color="auto"/>
          </w:divBdr>
        </w:div>
        <w:div w:id="918904910">
          <w:marLeft w:val="0"/>
          <w:marRight w:val="0"/>
          <w:marTop w:val="0"/>
          <w:marBottom w:val="0"/>
          <w:divBdr>
            <w:top w:val="none" w:sz="0" w:space="0" w:color="auto"/>
            <w:left w:val="none" w:sz="0" w:space="0" w:color="auto"/>
            <w:bottom w:val="none" w:sz="0" w:space="0" w:color="auto"/>
            <w:right w:val="none" w:sz="0" w:space="0" w:color="auto"/>
          </w:divBdr>
        </w:div>
        <w:div w:id="1145388663">
          <w:marLeft w:val="0"/>
          <w:marRight w:val="0"/>
          <w:marTop w:val="0"/>
          <w:marBottom w:val="0"/>
          <w:divBdr>
            <w:top w:val="none" w:sz="0" w:space="0" w:color="auto"/>
            <w:left w:val="none" w:sz="0" w:space="0" w:color="auto"/>
            <w:bottom w:val="none" w:sz="0" w:space="0" w:color="auto"/>
            <w:right w:val="none" w:sz="0" w:space="0" w:color="auto"/>
          </w:divBdr>
        </w:div>
        <w:div w:id="2098473912">
          <w:marLeft w:val="0"/>
          <w:marRight w:val="0"/>
          <w:marTop w:val="0"/>
          <w:marBottom w:val="0"/>
          <w:divBdr>
            <w:top w:val="none" w:sz="0" w:space="0" w:color="auto"/>
            <w:left w:val="none" w:sz="0" w:space="0" w:color="auto"/>
            <w:bottom w:val="none" w:sz="0" w:space="0" w:color="auto"/>
            <w:right w:val="none" w:sz="0" w:space="0" w:color="auto"/>
          </w:divBdr>
        </w:div>
        <w:div w:id="1009021787">
          <w:marLeft w:val="0"/>
          <w:marRight w:val="0"/>
          <w:marTop w:val="0"/>
          <w:marBottom w:val="0"/>
          <w:divBdr>
            <w:top w:val="none" w:sz="0" w:space="0" w:color="auto"/>
            <w:left w:val="none" w:sz="0" w:space="0" w:color="auto"/>
            <w:bottom w:val="none" w:sz="0" w:space="0" w:color="auto"/>
            <w:right w:val="none" w:sz="0" w:space="0" w:color="auto"/>
          </w:divBdr>
        </w:div>
        <w:div w:id="177014394">
          <w:marLeft w:val="0"/>
          <w:marRight w:val="0"/>
          <w:marTop w:val="0"/>
          <w:marBottom w:val="0"/>
          <w:divBdr>
            <w:top w:val="none" w:sz="0" w:space="0" w:color="auto"/>
            <w:left w:val="none" w:sz="0" w:space="0" w:color="auto"/>
            <w:bottom w:val="none" w:sz="0" w:space="0" w:color="auto"/>
            <w:right w:val="none" w:sz="0" w:space="0" w:color="auto"/>
          </w:divBdr>
        </w:div>
        <w:div w:id="125977184">
          <w:marLeft w:val="0"/>
          <w:marRight w:val="0"/>
          <w:marTop w:val="0"/>
          <w:marBottom w:val="0"/>
          <w:divBdr>
            <w:top w:val="none" w:sz="0" w:space="0" w:color="auto"/>
            <w:left w:val="none" w:sz="0" w:space="0" w:color="auto"/>
            <w:bottom w:val="none" w:sz="0" w:space="0" w:color="auto"/>
            <w:right w:val="none" w:sz="0" w:space="0" w:color="auto"/>
          </w:divBdr>
        </w:div>
        <w:div w:id="1778330539">
          <w:marLeft w:val="0"/>
          <w:marRight w:val="0"/>
          <w:marTop w:val="0"/>
          <w:marBottom w:val="0"/>
          <w:divBdr>
            <w:top w:val="none" w:sz="0" w:space="0" w:color="auto"/>
            <w:left w:val="none" w:sz="0" w:space="0" w:color="auto"/>
            <w:bottom w:val="none" w:sz="0" w:space="0" w:color="auto"/>
            <w:right w:val="none" w:sz="0" w:space="0" w:color="auto"/>
          </w:divBdr>
        </w:div>
        <w:div w:id="1675886605">
          <w:marLeft w:val="0"/>
          <w:marRight w:val="0"/>
          <w:marTop w:val="0"/>
          <w:marBottom w:val="0"/>
          <w:divBdr>
            <w:top w:val="none" w:sz="0" w:space="0" w:color="auto"/>
            <w:left w:val="none" w:sz="0" w:space="0" w:color="auto"/>
            <w:bottom w:val="none" w:sz="0" w:space="0" w:color="auto"/>
            <w:right w:val="none" w:sz="0" w:space="0" w:color="auto"/>
          </w:divBdr>
        </w:div>
        <w:div w:id="1856848591">
          <w:marLeft w:val="0"/>
          <w:marRight w:val="0"/>
          <w:marTop w:val="0"/>
          <w:marBottom w:val="0"/>
          <w:divBdr>
            <w:top w:val="none" w:sz="0" w:space="0" w:color="auto"/>
            <w:left w:val="none" w:sz="0" w:space="0" w:color="auto"/>
            <w:bottom w:val="none" w:sz="0" w:space="0" w:color="auto"/>
            <w:right w:val="none" w:sz="0" w:space="0" w:color="auto"/>
          </w:divBdr>
        </w:div>
        <w:div w:id="302852871">
          <w:marLeft w:val="0"/>
          <w:marRight w:val="0"/>
          <w:marTop w:val="0"/>
          <w:marBottom w:val="0"/>
          <w:divBdr>
            <w:top w:val="none" w:sz="0" w:space="0" w:color="auto"/>
            <w:left w:val="none" w:sz="0" w:space="0" w:color="auto"/>
            <w:bottom w:val="none" w:sz="0" w:space="0" w:color="auto"/>
            <w:right w:val="none" w:sz="0" w:space="0" w:color="auto"/>
          </w:divBdr>
        </w:div>
        <w:div w:id="1255628790">
          <w:marLeft w:val="0"/>
          <w:marRight w:val="0"/>
          <w:marTop w:val="0"/>
          <w:marBottom w:val="0"/>
          <w:divBdr>
            <w:top w:val="none" w:sz="0" w:space="0" w:color="auto"/>
            <w:left w:val="none" w:sz="0" w:space="0" w:color="auto"/>
            <w:bottom w:val="none" w:sz="0" w:space="0" w:color="auto"/>
            <w:right w:val="none" w:sz="0" w:space="0" w:color="auto"/>
          </w:divBdr>
        </w:div>
        <w:div w:id="1929074777">
          <w:marLeft w:val="0"/>
          <w:marRight w:val="0"/>
          <w:marTop w:val="0"/>
          <w:marBottom w:val="0"/>
          <w:divBdr>
            <w:top w:val="none" w:sz="0" w:space="0" w:color="auto"/>
            <w:left w:val="none" w:sz="0" w:space="0" w:color="auto"/>
            <w:bottom w:val="none" w:sz="0" w:space="0" w:color="auto"/>
            <w:right w:val="none" w:sz="0" w:space="0" w:color="auto"/>
          </w:divBdr>
        </w:div>
        <w:div w:id="1979144129">
          <w:marLeft w:val="0"/>
          <w:marRight w:val="0"/>
          <w:marTop w:val="0"/>
          <w:marBottom w:val="0"/>
          <w:divBdr>
            <w:top w:val="none" w:sz="0" w:space="0" w:color="auto"/>
            <w:left w:val="none" w:sz="0" w:space="0" w:color="auto"/>
            <w:bottom w:val="none" w:sz="0" w:space="0" w:color="auto"/>
            <w:right w:val="none" w:sz="0" w:space="0" w:color="auto"/>
          </w:divBdr>
        </w:div>
        <w:div w:id="678505413">
          <w:marLeft w:val="0"/>
          <w:marRight w:val="0"/>
          <w:marTop w:val="0"/>
          <w:marBottom w:val="0"/>
          <w:divBdr>
            <w:top w:val="none" w:sz="0" w:space="0" w:color="auto"/>
            <w:left w:val="none" w:sz="0" w:space="0" w:color="auto"/>
            <w:bottom w:val="none" w:sz="0" w:space="0" w:color="auto"/>
            <w:right w:val="none" w:sz="0" w:space="0" w:color="auto"/>
          </w:divBdr>
        </w:div>
        <w:div w:id="928005418">
          <w:marLeft w:val="0"/>
          <w:marRight w:val="0"/>
          <w:marTop w:val="0"/>
          <w:marBottom w:val="0"/>
          <w:divBdr>
            <w:top w:val="none" w:sz="0" w:space="0" w:color="auto"/>
            <w:left w:val="none" w:sz="0" w:space="0" w:color="auto"/>
            <w:bottom w:val="none" w:sz="0" w:space="0" w:color="auto"/>
            <w:right w:val="none" w:sz="0" w:space="0" w:color="auto"/>
          </w:divBdr>
        </w:div>
        <w:div w:id="216284907">
          <w:marLeft w:val="0"/>
          <w:marRight w:val="0"/>
          <w:marTop w:val="0"/>
          <w:marBottom w:val="0"/>
          <w:divBdr>
            <w:top w:val="none" w:sz="0" w:space="0" w:color="auto"/>
            <w:left w:val="none" w:sz="0" w:space="0" w:color="auto"/>
            <w:bottom w:val="none" w:sz="0" w:space="0" w:color="auto"/>
            <w:right w:val="none" w:sz="0" w:space="0" w:color="auto"/>
          </w:divBdr>
        </w:div>
        <w:div w:id="1610506760">
          <w:marLeft w:val="0"/>
          <w:marRight w:val="0"/>
          <w:marTop w:val="0"/>
          <w:marBottom w:val="0"/>
          <w:divBdr>
            <w:top w:val="none" w:sz="0" w:space="0" w:color="auto"/>
            <w:left w:val="none" w:sz="0" w:space="0" w:color="auto"/>
            <w:bottom w:val="none" w:sz="0" w:space="0" w:color="auto"/>
            <w:right w:val="none" w:sz="0" w:space="0" w:color="auto"/>
          </w:divBdr>
        </w:div>
        <w:div w:id="2102872111">
          <w:marLeft w:val="0"/>
          <w:marRight w:val="0"/>
          <w:marTop w:val="0"/>
          <w:marBottom w:val="0"/>
          <w:divBdr>
            <w:top w:val="none" w:sz="0" w:space="0" w:color="auto"/>
            <w:left w:val="none" w:sz="0" w:space="0" w:color="auto"/>
            <w:bottom w:val="none" w:sz="0" w:space="0" w:color="auto"/>
            <w:right w:val="none" w:sz="0" w:space="0" w:color="auto"/>
          </w:divBdr>
        </w:div>
        <w:div w:id="1234313704">
          <w:marLeft w:val="0"/>
          <w:marRight w:val="0"/>
          <w:marTop w:val="0"/>
          <w:marBottom w:val="0"/>
          <w:divBdr>
            <w:top w:val="none" w:sz="0" w:space="0" w:color="auto"/>
            <w:left w:val="none" w:sz="0" w:space="0" w:color="auto"/>
            <w:bottom w:val="none" w:sz="0" w:space="0" w:color="auto"/>
            <w:right w:val="none" w:sz="0" w:space="0" w:color="auto"/>
          </w:divBdr>
        </w:div>
        <w:div w:id="1643581798">
          <w:marLeft w:val="0"/>
          <w:marRight w:val="0"/>
          <w:marTop w:val="0"/>
          <w:marBottom w:val="0"/>
          <w:divBdr>
            <w:top w:val="none" w:sz="0" w:space="0" w:color="auto"/>
            <w:left w:val="none" w:sz="0" w:space="0" w:color="auto"/>
            <w:bottom w:val="none" w:sz="0" w:space="0" w:color="auto"/>
            <w:right w:val="none" w:sz="0" w:space="0" w:color="auto"/>
          </w:divBdr>
        </w:div>
        <w:div w:id="7292430">
          <w:marLeft w:val="0"/>
          <w:marRight w:val="0"/>
          <w:marTop w:val="0"/>
          <w:marBottom w:val="0"/>
          <w:divBdr>
            <w:top w:val="none" w:sz="0" w:space="0" w:color="auto"/>
            <w:left w:val="none" w:sz="0" w:space="0" w:color="auto"/>
            <w:bottom w:val="none" w:sz="0" w:space="0" w:color="auto"/>
            <w:right w:val="none" w:sz="0" w:space="0" w:color="auto"/>
          </w:divBdr>
        </w:div>
        <w:div w:id="424958130">
          <w:marLeft w:val="0"/>
          <w:marRight w:val="0"/>
          <w:marTop w:val="0"/>
          <w:marBottom w:val="0"/>
          <w:divBdr>
            <w:top w:val="none" w:sz="0" w:space="0" w:color="auto"/>
            <w:left w:val="none" w:sz="0" w:space="0" w:color="auto"/>
            <w:bottom w:val="none" w:sz="0" w:space="0" w:color="auto"/>
            <w:right w:val="none" w:sz="0" w:space="0" w:color="auto"/>
          </w:divBdr>
        </w:div>
        <w:div w:id="883253245">
          <w:marLeft w:val="0"/>
          <w:marRight w:val="0"/>
          <w:marTop w:val="0"/>
          <w:marBottom w:val="0"/>
          <w:divBdr>
            <w:top w:val="none" w:sz="0" w:space="0" w:color="auto"/>
            <w:left w:val="none" w:sz="0" w:space="0" w:color="auto"/>
            <w:bottom w:val="none" w:sz="0" w:space="0" w:color="auto"/>
            <w:right w:val="none" w:sz="0" w:space="0" w:color="auto"/>
          </w:divBdr>
        </w:div>
        <w:div w:id="264924248">
          <w:marLeft w:val="0"/>
          <w:marRight w:val="0"/>
          <w:marTop w:val="0"/>
          <w:marBottom w:val="0"/>
          <w:divBdr>
            <w:top w:val="none" w:sz="0" w:space="0" w:color="auto"/>
            <w:left w:val="none" w:sz="0" w:space="0" w:color="auto"/>
            <w:bottom w:val="none" w:sz="0" w:space="0" w:color="auto"/>
            <w:right w:val="none" w:sz="0" w:space="0" w:color="auto"/>
          </w:divBdr>
        </w:div>
      </w:divsChild>
    </w:div>
    <w:div w:id="1954743916">
      <w:marLeft w:val="0"/>
      <w:marRight w:val="0"/>
      <w:marTop w:val="0"/>
      <w:marBottom w:val="0"/>
      <w:divBdr>
        <w:top w:val="none" w:sz="0" w:space="0" w:color="auto"/>
        <w:left w:val="none" w:sz="0" w:space="0" w:color="auto"/>
        <w:bottom w:val="none" w:sz="0" w:space="0" w:color="auto"/>
        <w:right w:val="none" w:sz="0" w:space="0" w:color="auto"/>
      </w:divBdr>
    </w:div>
    <w:div w:id="1964529777">
      <w:marLeft w:val="0"/>
      <w:marRight w:val="0"/>
      <w:marTop w:val="0"/>
      <w:marBottom w:val="0"/>
      <w:divBdr>
        <w:top w:val="none" w:sz="0" w:space="0" w:color="auto"/>
        <w:left w:val="none" w:sz="0" w:space="0" w:color="auto"/>
        <w:bottom w:val="none" w:sz="0" w:space="0" w:color="auto"/>
        <w:right w:val="none" w:sz="0" w:space="0" w:color="auto"/>
      </w:divBdr>
    </w:div>
    <w:div w:id="1965578161">
      <w:marLeft w:val="0"/>
      <w:marRight w:val="0"/>
      <w:marTop w:val="0"/>
      <w:marBottom w:val="0"/>
      <w:divBdr>
        <w:top w:val="none" w:sz="0" w:space="0" w:color="auto"/>
        <w:left w:val="none" w:sz="0" w:space="0" w:color="auto"/>
        <w:bottom w:val="none" w:sz="0" w:space="0" w:color="auto"/>
        <w:right w:val="none" w:sz="0" w:space="0" w:color="auto"/>
      </w:divBdr>
    </w:div>
    <w:div w:id="1977180179">
      <w:marLeft w:val="0"/>
      <w:marRight w:val="0"/>
      <w:marTop w:val="0"/>
      <w:marBottom w:val="0"/>
      <w:divBdr>
        <w:top w:val="none" w:sz="0" w:space="0" w:color="auto"/>
        <w:left w:val="none" w:sz="0" w:space="0" w:color="auto"/>
        <w:bottom w:val="none" w:sz="0" w:space="0" w:color="auto"/>
        <w:right w:val="none" w:sz="0" w:space="0" w:color="auto"/>
      </w:divBdr>
    </w:div>
    <w:div w:id="1979452530">
      <w:marLeft w:val="0"/>
      <w:marRight w:val="0"/>
      <w:marTop w:val="0"/>
      <w:marBottom w:val="0"/>
      <w:divBdr>
        <w:top w:val="none" w:sz="0" w:space="0" w:color="auto"/>
        <w:left w:val="none" w:sz="0" w:space="0" w:color="auto"/>
        <w:bottom w:val="none" w:sz="0" w:space="0" w:color="auto"/>
        <w:right w:val="none" w:sz="0" w:space="0" w:color="auto"/>
      </w:divBdr>
    </w:div>
    <w:div w:id="2019577505">
      <w:marLeft w:val="0"/>
      <w:marRight w:val="0"/>
      <w:marTop w:val="0"/>
      <w:marBottom w:val="0"/>
      <w:divBdr>
        <w:top w:val="none" w:sz="0" w:space="0" w:color="auto"/>
        <w:left w:val="none" w:sz="0" w:space="0" w:color="auto"/>
        <w:bottom w:val="none" w:sz="0" w:space="0" w:color="auto"/>
        <w:right w:val="none" w:sz="0" w:space="0" w:color="auto"/>
      </w:divBdr>
    </w:div>
    <w:div w:id="2024279609">
      <w:marLeft w:val="0"/>
      <w:marRight w:val="0"/>
      <w:marTop w:val="0"/>
      <w:marBottom w:val="0"/>
      <w:divBdr>
        <w:top w:val="none" w:sz="0" w:space="0" w:color="auto"/>
        <w:left w:val="none" w:sz="0" w:space="0" w:color="auto"/>
        <w:bottom w:val="none" w:sz="0" w:space="0" w:color="auto"/>
        <w:right w:val="none" w:sz="0" w:space="0" w:color="auto"/>
      </w:divBdr>
    </w:div>
    <w:div w:id="2027898243">
      <w:marLeft w:val="0"/>
      <w:marRight w:val="0"/>
      <w:marTop w:val="0"/>
      <w:marBottom w:val="0"/>
      <w:divBdr>
        <w:top w:val="none" w:sz="0" w:space="0" w:color="auto"/>
        <w:left w:val="none" w:sz="0" w:space="0" w:color="auto"/>
        <w:bottom w:val="none" w:sz="0" w:space="0" w:color="auto"/>
        <w:right w:val="none" w:sz="0" w:space="0" w:color="auto"/>
      </w:divBdr>
    </w:div>
    <w:div w:id="2041200633">
      <w:marLeft w:val="0"/>
      <w:marRight w:val="0"/>
      <w:marTop w:val="0"/>
      <w:marBottom w:val="0"/>
      <w:divBdr>
        <w:top w:val="none" w:sz="0" w:space="0" w:color="auto"/>
        <w:left w:val="none" w:sz="0" w:space="0" w:color="auto"/>
        <w:bottom w:val="none" w:sz="0" w:space="0" w:color="auto"/>
        <w:right w:val="none" w:sz="0" w:space="0" w:color="auto"/>
      </w:divBdr>
    </w:div>
    <w:div w:id="2044671219">
      <w:marLeft w:val="0"/>
      <w:marRight w:val="0"/>
      <w:marTop w:val="0"/>
      <w:marBottom w:val="0"/>
      <w:divBdr>
        <w:top w:val="none" w:sz="0" w:space="0" w:color="auto"/>
        <w:left w:val="none" w:sz="0" w:space="0" w:color="auto"/>
        <w:bottom w:val="none" w:sz="0" w:space="0" w:color="auto"/>
        <w:right w:val="none" w:sz="0" w:space="0" w:color="auto"/>
      </w:divBdr>
    </w:div>
    <w:div w:id="2058048365">
      <w:bodyDiv w:val="1"/>
      <w:marLeft w:val="0"/>
      <w:marRight w:val="0"/>
      <w:marTop w:val="0"/>
      <w:marBottom w:val="0"/>
      <w:divBdr>
        <w:top w:val="none" w:sz="0" w:space="0" w:color="auto"/>
        <w:left w:val="none" w:sz="0" w:space="0" w:color="auto"/>
        <w:bottom w:val="none" w:sz="0" w:space="0" w:color="auto"/>
        <w:right w:val="none" w:sz="0" w:space="0" w:color="auto"/>
      </w:divBdr>
    </w:div>
    <w:div w:id="2063432790">
      <w:bodyDiv w:val="1"/>
      <w:marLeft w:val="0"/>
      <w:marRight w:val="0"/>
      <w:marTop w:val="0"/>
      <w:marBottom w:val="0"/>
      <w:divBdr>
        <w:top w:val="none" w:sz="0" w:space="0" w:color="auto"/>
        <w:left w:val="none" w:sz="0" w:space="0" w:color="auto"/>
        <w:bottom w:val="none" w:sz="0" w:space="0" w:color="auto"/>
        <w:right w:val="none" w:sz="0" w:space="0" w:color="auto"/>
      </w:divBdr>
    </w:div>
    <w:div w:id="2078933570">
      <w:marLeft w:val="0"/>
      <w:marRight w:val="0"/>
      <w:marTop w:val="0"/>
      <w:marBottom w:val="0"/>
      <w:divBdr>
        <w:top w:val="none" w:sz="0" w:space="0" w:color="auto"/>
        <w:left w:val="none" w:sz="0" w:space="0" w:color="auto"/>
        <w:bottom w:val="none" w:sz="0" w:space="0" w:color="auto"/>
        <w:right w:val="none" w:sz="0" w:space="0" w:color="auto"/>
      </w:divBdr>
    </w:div>
    <w:div w:id="2088576649">
      <w:marLeft w:val="0"/>
      <w:marRight w:val="0"/>
      <w:marTop w:val="0"/>
      <w:marBottom w:val="0"/>
      <w:divBdr>
        <w:top w:val="none" w:sz="0" w:space="0" w:color="auto"/>
        <w:left w:val="none" w:sz="0" w:space="0" w:color="auto"/>
        <w:bottom w:val="none" w:sz="0" w:space="0" w:color="auto"/>
        <w:right w:val="none" w:sz="0" w:space="0" w:color="auto"/>
      </w:divBdr>
    </w:div>
    <w:div w:id="2107073437">
      <w:marLeft w:val="0"/>
      <w:marRight w:val="0"/>
      <w:marTop w:val="0"/>
      <w:marBottom w:val="0"/>
      <w:divBdr>
        <w:top w:val="none" w:sz="0" w:space="0" w:color="auto"/>
        <w:left w:val="none" w:sz="0" w:space="0" w:color="auto"/>
        <w:bottom w:val="none" w:sz="0" w:space="0" w:color="auto"/>
        <w:right w:val="none" w:sz="0" w:space="0" w:color="auto"/>
      </w:divBdr>
    </w:div>
    <w:div w:id="2108304986">
      <w:marLeft w:val="0"/>
      <w:marRight w:val="0"/>
      <w:marTop w:val="0"/>
      <w:marBottom w:val="0"/>
      <w:divBdr>
        <w:top w:val="none" w:sz="0" w:space="0" w:color="auto"/>
        <w:left w:val="none" w:sz="0" w:space="0" w:color="auto"/>
        <w:bottom w:val="none" w:sz="0" w:space="0" w:color="auto"/>
        <w:right w:val="none" w:sz="0" w:space="0" w:color="auto"/>
      </w:divBdr>
    </w:div>
    <w:div w:id="2116558220">
      <w:marLeft w:val="0"/>
      <w:marRight w:val="0"/>
      <w:marTop w:val="0"/>
      <w:marBottom w:val="0"/>
      <w:divBdr>
        <w:top w:val="none" w:sz="0" w:space="0" w:color="auto"/>
        <w:left w:val="none" w:sz="0" w:space="0" w:color="auto"/>
        <w:bottom w:val="none" w:sz="0" w:space="0" w:color="auto"/>
        <w:right w:val="none" w:sz="0" w:space="0" w:color="auto"/>
      </w:divBdr>
    </w:div>
    <w:div w:id="2122651505">
      <w:bodyDiv w:val="1"/>
      <w:marLeft w:val="0"/>
      <w:marRight w:val="0"/>
      <w:marTop w:val="0"/>
      <w:marBottom w:val="0"/>
      <w:divBdr>
        <w:top w:val="none" w:sz="0" w:space="0" w:color="auto"/>
        <w:left w:val="none" w:sz="0" w:space="0" w:color="auto"/>
        <w:bottom w:val="none" w:sz="0" w:space="0" w:color="auto"/>
        <w:right w:val="none" w:sz="0" w:space="0" w:color="auto"/>
      </w:divBdr>
      <w:divsChild>
        <w:div w:id="922026978">
          <w:marLeft w:val="0"/>
          <w:marRight w:val="0"/>
          <w:marTop w:val="0"/>
          <w:marBottom w:val="0"/>
          <w:divBdr>
            <w:top w:val="none" w:sz="0" w:space="0" w:color="auto"/>
            <w:left w:val="none" w:sz="0" w:space="0" w:color="auto"/>
            <w:bottom w:val="none" w:sz="0" w:space="0" w:color="auto"/>
            <w:right w:val="none" w:sz="0" w:space="0" w:color="auto"/>
          </w:divBdr>
          <w:divsChild>
            <w:div w:id="998462715">
              <w:marLeft w:val="0"/>
              <w:marRight w:val="0"/>
              <w:marTop w:val="0"/>
              <w:marBottom w:val="0"/>
              <w:divBdr>
                <w:top w:val="none" w:sz="0" w:space="0" w:color="auto"/>
                <w:left w:val="none" w:sz="0" w:space="0" w:color="auto"/>
                <w:bottom w:val="none" w:sz="0" w:space="0" w:color="auto"/>
                <w:right w:val="none" w:sz="0" w:space="0" w:color="auto"/>
              </w:divBdr>
              <w:divsChild>
                <w:div w:id="1848059711">
                  <w:marLeft w:val="0"/>
                  <w:marRight w:val="0"/>
                  <w:marTop w:val="0"/>
                  <w:marBottom w:val="0"/>
                  <w:divBdr>
                    <w:top w:val="none" w:sz="0" w:space="0" w:color="auto"/>
                    <w:left w:val="none" w:sz="0" w:space="0" w:color="auto"/>
                    <w:bottom w:val="none" w:sz="0" w:space="0" w:color="auto"/>
                    <w:right w:val="none" w:sz="0" w:space="0" w:color="auto"/>
                  </w:divBdr>
                  <w:divsChild>
                    <w:div w:id="308560840">
                      <w:marLeft w:val="0"/>
                      <w:marRight w:val="0"/>
                      <w:marTop w:val="0"/>
                      <w:marBottom w:val="0"/>
                      <w:divBdr>
                        <w:top w:val="none" w:sz="0" w:space="0" w:color="auto"/>
                        <w:left w:val="none" w:sz="0" w:space="0" w:color="auto"/>
                        <w:bottom w:val="none" w:sz="0" w:space="0" w:color="auto"/>
                        <w:right w:val="none" w:sz="0" w:space="0" w:color="auto"/>
                      </w:divBdr>
                      <w:divsChild>
                        <w:div w:id="93289124">
                          <w:marLeft w:val="0"/>
                          <w:marRight w:val="0"/>
                          <w:marTop w:val="0"/>
                          <w:marBottom w:val="0"/>
                          <w:divBdr>
                            <w:top w:val="none" w:sz="0" w:space="0" w:color="auto"/>
                            <w:left w:val="none" w:sz="0" w:space="0" w:color="auto"/>
                            <w:bottom w:val="none" w:sz="0" w:space="0" w:color="auto"/>
                            <w:right w:val="none" w:sz="0" w:space="0" w:color="auto"/>
                          </w:divBdr>
                          <w:divsChild>
                            <w:div w:id="1770419578">
                              <w:marLeft w:val="0"/>
                              <w:marRight w:val="0"/>
                              <w:marTop w:val="0"/>
                              <w:marBottom w:val="0"/>
                              <w:divBdr>
                                <w:top w:val="none" w:sz="0" w:space="0" w:color="auto"/>
                                <w:left w:val="none" w:sz="0" w:space="0" w:color="auto"/>
                                <w:bottom w:val="none" w:sz="0" w:space="0" w:color="auto"/>
                                <w:right w:val="none" w:sz="0" w:space="0" w:color="auto"/>
                              </w:divBdr>
                              <w:divsChild>
                                <w:div w:id="616376372">
                                  <w:marLeft w:val="0"/>
                                  <w:marRight w:val="0"/>
                                  <w:marTop w:val="0"/>
                                  <w:marBottom w:val="0"/>
                                  <w:divBdr>
                                    <w:top w:val="none" w:sz="0" w:space="0" w:color="auto"/>
                                    <w:left w:val="none" w:sz="0" w:space="0" w:color="auto"/>
                                    <w:bottom w:val="none" w:sz="0" w:space="0" w:color="auto"/>
                                    <w:right w:val="none" w:sz="0" w:space="0" w:color="auto"/>
                                  </w:divBdr>
                                  <w:divsChild>
                                    <w:div w:id="1245535533">
                                      <w:marLeft w:val="0"/>
                                      <w:marRight w:val="0"/>
                                      <w:marTop w:val="0"/>
                                      <w:marBottom w:val="0"/>
                                      <w:divBdr>
                                        <w:top w:val="none" w:sz="0" w:space="0" w:color="auto"/>
                                        <w:left w:val="none" w:sz="0" w:space="0" w:color="auto"/>
                                        <w:bottom w:val="none" w:sz="0" w:space="0" w:color="auto"/>
                                        <w:right w:val="none" w:sz="0" w:space="0" w:color="auto"/>
                                      </w:divBdr>
                                      <w:divsChild>
                                        <w:div w:id="1650670067">
                                          <w:marLeft w:val="0"/>
                                          <w:marRight w:val="0"/>
                                          <w:marTop w:val="0"/>
                                          <w:marBottom w:val="0"/>
                                          <w:divBdr>
                                            <w:top w:val="none" w:sz="0" w:space="0" w:color="auto"/>
                                            <w:left w:val="none" w:sz="0" w:space="0" w:color="auto"/>
                                            <w:bottom w:val="none" w:sz="0" w:space="0" w:color="auto"/>
                                            <w:right w:val="none" w:sz="0" w:space="0" w:color="auto"/>
                                          </w:divBdr>
                                          <w:divsChild>
                                            <w:div w:id="176379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9472844">
      <w:marLeft w:val="0"/>
      <w:marRight w:val="0"/>
      <w:marTop w:val="0"/>
      <w:marBottom w:val="0"/>
      <w:divBdr>
        <w:top w:val="none" w:sz="0" w:space="0" w:color="auto"/>
        <w:left w:val="none" w:sz="0" w:space="0" w:color="auto"/>
        <w:bottom w:val="none" w:sz="0" w:space="0" w:color="auto"/>
        <w:right w:val="none" w:sz="0" w:space="0" w:color="auto"/>
      </w:divBdr>
    </w:div>
    <w:div w:id="2134595329">
      <w:bodyDiv w:val="1"/>
      <w:marLeft w:val="0"/>
      <w:marRight w:val="0"/>
      <w:marTop w:val="0"/>
      <w:marBottom w:val="0"/>
      <w:divBdr>
        <w:top w:val="none" w:sz="0" w:space="0" w:color="auto"/>
        <w:left w:val="none" w:sz="0" w:space="0" w:color="auto"/>
        <w:bottom w:val="none" w:sz="0" w:space="0" w:color="auto"/>
        <w:right w:val="none" w:sz="0" w:space="0" w:color="auto"/>
      </w:divBdr>
    </w:div>
    <w:div w:id="2137407071">
      <w:marLeft w:val="0"/>
      <w:marRight w:val="0"/>
      <w:marTop w:val="0"/>
      <w:marBottom w:val="0"/>
      <w:divBdr>
        <w:top w:val="none" w:sz="0" w:space="0" w:color="auto"/>
        <w:left w:val="none" w:sz="0" w:space="0" w:color="auto"/>
        <w:bottom w:val="none" w:sz="0" w:space="0" w:color="auto"/>
        <w:right w:val="none" w:sz="0" w:space="0" w:color="auto"/>
      </w:divBdr>
    </w:div>
    <w:div w:id="214180314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www.health.gov.au/cdn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epi.coronavirus@health.gov.au" TargetMode="External"/><Relationship Id="rId33"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hyperlink" Target="http://www.itsanhonour.gov.au/"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yperlink" Target="mailto:cdi.editor@health.gov.au"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yperlink" Target="https://creativecommons.org/licenses/by-nc-nd/4.0/legalco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hyperlink" Target="http://www.health.gov.au/cdi" TargetMode="External"/><Relationship Id="rId30" Type="http://schemas.openxmlformats.org/officeDocument/2006/relationships/hyperlink" Target="mailto:cdi.editor@health.gov.au"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EEEE40FD1050C43A469B268097324FE" ma:contentTypeVersion="0" ma:contentTypeDescription="Create a new document." ma:contentTypeScope="" ma:versionID="be357aba92c57a0172bdcedb70318eb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5672F8-D743-4360-8D63-20B656B3EB02}">
  <ds:schemaRefs>
    <ds:schemaRef ds:uri="http://schemas.openxmlformats.org/officeDocument/2006/bibliography"/>
  </ds:schemaRefs>
</ds:datastoreItem>
</file>

<file path=customXml/itemProps3.xml><?xml version="1.0" encoding="utf-8"?>
<ds:datastoreItem xmlns:ds="http://schemas.openxmlformats.org/officeDocument/2006/customXml" ds:itemID="{7B555E68-D150-402E-AFA7-684B4D4AB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3C073B-A4D7-46FE-98B9-776254331EC5}">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5.xml><?xml version="1.0" encoding="utf-8"?>
<ds:datastoreItem xmlns:ds="http://schemas.openxmlformats.org/officeDocument/2006/customXml" ds:itemID="{E9D58006-279B-4579-8E33-972FA5D91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9075</Words>
  <Characters>54555</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23</vt:lpstr>
    </vt:vector>
  </TitlesOfParts>
  <Company>Australian Government, Department of Health</Company>
  <LinksUpToDate>false</LinksUpToDate>
  <CharactersWithSpaces>63503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23</dc:title>
  <dc:subject>This is the twenty-second epidemiological report for coronavirus disease 2019 (COVID-19), reported in Australia as at 23:59 Australian Eastern Standard Time [AEST] 2 August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2020-08-24T04:25:00Z</cp:lastPrinted>
  <dcterms:created xsi:type="dcterms:W3CDTF">2024-08-29T03:22:00Z</dcterms:created>
  <dcterms:modified xsi:type="dcterms:W3CDTF">2024-08-29T03:22:00Z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26/8/2020</vt:lpwstr>
  </property>
  <property fmtid="{D5CDD505-2E9C-101B-9397-08002B2CF9AE}" pid="5" name="DOI">
    <vt:lpwstr>https://doi.org/10.33321/cdi.2020.44.70</vt:lpwstr>
  </property>
</Properties>
</file>