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629E0" w14:textId="77777777" w:rsidR="00413D97" w:rsidRDefault="00413D97" w:rsidP="00653344">
      <w:pPr>
        <w:pStyle w:val="Title"/>
        <w:rPr>
          <w:rFonts w:eastAsia="Times New Roman"/>
          <w:sz w:val="48"/>
          <w:szCs w:val="48"/>
        </w:rPr>
      </w:pPr>
      <w:r>
        <w:rPr>
          <w:rFonts w:eastAsia="Times New Roman"/>
        </w:rPr>
        <w:t>COVID-19 A</w:t>
      </w:r>
      <w:r w:rsidR="00D62FEA">
        <w:rPr>
          <w:rFonts w:eastAsia="Times New Roman"/>
        </w:rPr>
        <w:t>ustralia: Epidemiology Report 22</w:t>
      </w:r>
      <w:r w:rsidR="00D62FEA">
        <w:rPr>
          <w:rStyle w:val="FootnoteReference"/>
          <w:rFonts w:eastAsia="Times New Roman"/>
        </w:rPr>
        <w:footnoteReference w:id="2"/>
      </w:r>
      <w:r>
        <w:rPr>
          <w:rFonts w:eastAsia="Times New Roman"/>
        </w:rPr>
        <w:t xml:space="preserve"> </w:t>
      </w:r>
    </w:p>
    <w:p w14:paraId="00815CA8" w14:textId="77777777" w:rsidR="00413D97" w:rsidRDefault="00413D97" w:rsidP="00653344">
      <w:pPr>
        <w:pStyle w:val="Subtitle"/>
        <w:rPr>
          <w:rFonts w:eastAsia="Times New Roman"/>
        </w:rPr>
      </w:pPr>
      <w:r>
        <w:rPr>
          <w:rFonts w:eastAsia="Times New Roman"/>
        </w:rPr>
        <w:t xml:space="preserve">Fortnightly reporting period ending 2 August 2020 </w:t>
      </w:r>
    </w:p>
    <w:p w14:paraId="7DCC4A2E" w14:textId="77777777" w:rsidR="00413D97" w:rsidRDefault="00413D97" w:rsidP="00653344">
      <w:r>
        <w:t xml:space="preserve">COVID-19 National Incident Room Surveillance Team </w:t>
      </w:r>
    </w:p>
    <w:p w14:paraId="2146CCE9" w14:textId="77777777" w:rsidR="00413D97" w:rsidRPr="007C5BC0" w:rsidRDefault="00413D97" w:rsidP="007C5BC0">
      <w:pPr>
        <w:rPr>
          <w:b/>
        </w:rPr>
      </w:pPr>
      <w:r w:rsidRPr="007C5BC0">
        <w:rPr>
          <w:rStyle w:val="Emphasis"/>
          <w:b w:val="0"/>
        </w:rPr>
        <w:t>Unless indicated, the source of all data, including notified cases of COVID-19 and associated deaths, is the National Notifiable Diseases Surveillance System (NNDSS) to 2 August 2020. Due to the dynamic nature of NNDSS data, data in this report are subject to retrospective revision and may vary from data reported in published NNDSS reports and reports of notification data by states and territories. Case numbers for the most recent dates of illness onset may be subject to revision, due to reporting delays.</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Confirmed cases in Australia"/>
      </w:tblPr>
      <w:tblGrid>
        <w:gridCol w:w="2610"/>
        <w:gridCol w:w="2610"/>
        <w:gridCol w:w="2610"/>
        <w:gridCol w:w="2610"/>
      </w:tblGrid>
      <w:tr w:rsidR="003F5F9C" w:rsidRPr="00D11648" w14:paraId="6659427F" w14:textId="77777777" w:rsidTr="00172FE6">
        <w:trPr>
          <w:cnfStyle w:val="100000000000" w:firstRow="1" w:lastRow="0" w:firstColumn="0" w:lastColumn="0" w:oddVBand="0" w:evenVBand="0" w:oddHBand="0" w:evenHBand="0" w:firstRowFirstColumn="0" w:firstRowLastColumn="0" w:lastRowFirstColumn="0" w:lastRowLastColumn="0"/>
          <w:tblHeader/>
        </w:trPr>
        <w:tc>
          <w:tcPr>
            <w:tcW w:w="2610" w:type="dxa"/>
            <w:tcBorders>
              <w:right w:val="single" w:sz="2" w:space="0" w:color="FFFFFF" w:themeColor="background1"/>
            </w:tcBorders>
            <w:hideMark/>
          </w:tcPr>
          <w:p w14:paraId="342FD1F3" w14:textId="77777777" w:rsidR="00413D97" w:rsidRPr="00D11648" w:rsidRDefault="00413D97">
            <w:pPr>
              <w:pStyle w:val="NormalWeb"/>
              <w:rPr>
                <w:color w:val="FFFFFF" w:themeColor="background1"/>
                <w:sz w:val="18"/>
                <w:szCs w:val="18"/>
              </w:rPr>
            </w:pPr>
            <w:r w:rsidRPr="00D11648">
              <w:rPr>
                <w:color w:val="FFFFFF" w:themeColor="background1"/>
                <w:sz w:val="18"/>
                <w:szCs w:val="18"/>
              </w:rPr>
              <w:t>Confirmed cases in Australia</w:t>
            </w:r>
          </w:p>
        </w:tc>
        <w:tc>
          <w:tcPr>
            <w:tcW w:w="2610" w:type="dxa"/>
            <w:tcBorders>
              <w:left w:val="single" w:sz="2" w:space="0" w:color="FFFFFF" w:themeColor="background1"/>
              <w:right w:val="single" w:sz="2" w:space="0" w:color="FFFFFF" w:themeColor="background1"/>
            </w:tcBorders>
            <w:hideMark/>
          </w:tcPr>
          <w:p w14:paraId="29961FCF" w14:textId="77777777" w:rsidR="00413D97" w:rsidRPr="00D11648" w:rsidRDefault="00413D97" w:rsidP="0054104D">
            <w:pPr>
              <w:pStyle w:val="NormalWeb"/>
              <w:jc w:val="center"/>
              <w:rPr>
                <w:color w:val="FFFFFF" w:themeColor="background1"/>
                <w:sz w:val="18"/>
                <w:szCs w:val="18"/>
              </w:rPr>
            </w:pPr>
            <w:r w:rsidRPr="00D11648">
              <w:rPr>
                <w:color w:val="FFFFFF" w:themeColor="background1"/>
                <w:sz w:val="18"/>
                <w:szCs w:val="18"/>
              </w:rPr>
              <w:t>Last reporting period</w:t>
            </w:r>
            <w:r w:rsidR="00E8723B">
              <w:rPr>
                <w:color w:val="FFFFFF" w:themeColor="background1"/>
                <w:sz w:val="18"/>
                <w:szCs w:val="18"/>
              </w:rPr>
              <w:br/>
            </w:r>
            <w:r w:rsidRPr="00D11648">
              <w:rPr>
                <w:color w:val="FFFFFF" w:themeColor="background1"/>
                <w:sz w:val="18"/>
                <w:szCs w:val="18"/>
              </w:rPr>
              <w:t>6 to 19 July</w:t>
            </w:r>
          </w:p>
        </w:tc>
        <w:tc>
          <w:tcPr>
            <w:tcW w:w="2610" w:type="dxa"/>
            <w:tcBorders>
              <w:left w:val="single" w:sz="2" w:space="0" w:color="FFFFFF" w:themeColor="background1"/>
              <w:right w:val="single" w:sz="2" w:space="0" w:color="FFFFFF" w:themeColor="background1"/>
            </w:tcBorders>
            <w:hideMark/>
          </w:tcPr>
          <w:p w14:paraId="7F4F1B71" w14:textId="77777777" w:rsidR="00413D97" w:rsidRPr="00D11648" w:rsidRDefault="00413D97" w:rsidP="0054104D">
            <w:pPr>
              <w:pStyle w:val="NormalWeb"/>
              <w:jc w:val="center"/>
              <w:rPr>
                <w:color w:val="FFFFFF" w:themeColor="background1"/>
                <w:sz w:val="18"/>
                <w:szCs w:val="18"/>
              </w:rPr>
            </w:pPr>
            <w:r w:rsidRPr="00D11648">
              <w:rPr>
                <w:color w:val="FFFFFF" w:themeColor="background1"/>
                <w:sz w:val="18"/>
                <w:szCs w:val="18"/>
              </w:rPr>
              <w:t>This reporting period</w:t>
            </w:r>
            <w:r w:rsidR="00E8723B">
              <w:rPr>
                <w:color w:val="FFFFFF" w:themeColor="background1"/>
                <w:sz w:val="18"/>
                <w:szCs w:val="18"/>
              </w:rPr>
              <w:br/>
            </w:r>
            <w:r w:rsidRPr="00D11648">
              <w:rPr>
                <w:color w:val="FFFFFF" w:themeColor="background1"/>
                <w:sz w:val="18"/>
                <w:szCs w:val="18"/>
              </w:rPr>
              <w:t>20 July to 2 August</w:t>
            </w:r>
          </w:p>
        </w:tc>
        <w:tc>
          <w:tcPr>
            <w:tcW w:w="2610" w:type="dxa"/>
            <w:tcBorders>
              <w:left w:val="single" w:sz="2" w:space="0" w:color="FFFFFF" w:themeColor="background1"/>
            </w:tcBorders>
            <w:hideMark/>
          </w:tcPr>
          <w:p w14:paraId="18DCB6B0" w14:textId="77777777" w:rsidR="00413D97" w:rsidRPr="00D11648" w:rsidRDefault="00413D97" w:rsidP="0054104D">
            <w:pPr>
              <w:pStyle w:val="NormalWeb"/>
              <w:jc w:val="center"/>
              <w:rPr>
                <w:color w:val="FFFFFF" w:themeColor="background1"/>
                <w:sz w:val="18"/>
                <w:szCs w:val="18"/>
              </w:rPr>
            </w:pPr>
            <w:r w:rsidRPr="00D11648">
              <w:rPr>
                <w:color w:val="FFFFFF" w:themeColor="background1"/>
                <w:sz w:val="18"/>
                <w:szCs w:val="18"/>
              </w:rPr>
              <w:t>Cumulative</w:t>
            </w:r>
            <w:r w:rsidR="00E8723B">
              <w:rPr>
                <w:color w:val="FFFFFF" w:themeColor="background1"/>
                <w:sz w:val="18"/>
                <w:szCs w:val="18"/>
              </w:rPr>
              <w:br/>
            </w:r>
            <w:r w:rsidRPr="00D11648">
              <w:rPr>
                <w:color w:val="FFFFFF" w:themeColor="background1"/>
                <w:sz w:val="18"/>
                <w:szCs w:val="18"/>
              </w:rPr>
              <w:t>As at 2 August 2020</w:t>
            </w:r>
          </w:p>
        </w:tc>
      </w:tr>
      <w:tr w:rsidR="00413D97" w:rsidRPr="00D11648" w14:paraId="195822CF" w14:textId="77777777" w:rsidTr="0054104D">
        <w:tc>
          <w:tcPr>
            <w:tcW w:w="2610" w:type="dxa"/>
            <w:hideMark/>
          </w:tcPr>
          <w:p w14:paraId="0958E3B2" w14:textId="77777777" w:rsidR="00413D97" w:rsidRPr="00D11648" w:rsidRDefault="00413D97">
            <w:pPr>
              <w:pStyle w:val="NormalWeb"/>
              <w:rPr>
                <w:sz w:val="18"/>
                <w:szCs w:val="18"/>
              </w:rPr>
            </w:pPr>
            <w:r w:rsidRPr="00D11648">
              <w:rPr>
                <w:sz w:val="18"/>
                <w:szCs w:val="18"/>
              </w:rPr>
              <w:t>Notifications</w:t>
            </w:r>
          </w:p>
        </w:tc>
        <w:tc>
          <w:tcPr>
            <w:tcW w:w="2610" w:type="dxa"/>
            <w:hideMark/>
          </w:tcPr>
          <w:p w14:paraId="3223EA2C" w14:textId="77777777" w:rsidR="00413D97" w:rsidRPr="00D11648" w:rsidRDefault="00413D97" w:rsidP="0054104D">
            <w:pPr>
              <w:pStyle w:val="NormalWeb"/>
              <w:jc w:val="center"/>
              <w:rPr>
                <w:sz w:val="18"/>
                <w:szCs w:val="18"/>
              </w:rPr>
            </w:pPr>
            <w:r w:rsidRPr="00D11648">
              <w:rPr>
                <w:sz w:val="18"/>
                <w:szCs w:val="18"/>
              </w:rPr>
              <w:t>3,462</w:t>
            </w:r>
          </w:p>
        </w:tc>
        <w:tc>
          <w:tcPr>
            <w:tcW w:w="2610" w:type="dxa"/>
            <w:hideMark/>
          </w:tcPr>
          <w:p w14:paraId="26DB70E7" w14:textId="77777777" w:rsidR="00413D97" w:rsidRPr="00D11648" w:rsidRDefault="00413D97" w:rsidP="0054104D">
            <w:pPr>
              <w:pStyle w:val="NormalWeb"/>
              <w:jc w:val="center"/>
              <w:rPr>
                <w:sz w:val="18"/>
                <w:szCs w:val="18"/>
              </w:rPr>
            </w:pPr>
            <w:r w:rsidRPr="00D11648">
              <w:rPr>
                <w:sz w:val="18"/>
                <w:szCs w:val="18"/>
              </w:rPr>
              <w:t>6,121</w:t>
            </w:r>
          </w:p>
        </w:tc>
        <w:tc>
          <w:tcPr>
            <w:tcW w:w="2610" w:type="dxa"/>
            <w:hideMark/>
          </w:tcPr>
          <w:p w14:paraId="4B871C5E" w14:textId="77777777" w:rsidR="00413D97" w:rsidRPr="00D11648" w:rsidRDefault="00413D97" w:rsidP="0054104D">
            <w:pPr>
              <w:pStyle w:val="NormalWeb"/>
              <w:jc w:val="center"/>
              <w:rPr>
                <w:sz w:val="18"/>
                <w:szCs w:val="18"/>
              </w:rPr>
            </w:pPr>
            <w:r w:rsidRPr="00D11648">
              <w:rPr>
                <w:sz w:val="18"/>
                <w:szCs w:val="18"/>
              </w:rPr>
              <w:t>18,367</w:t>
            </w:r>
          </w:p>
        </w:tc>
      </w:tr>
      <w:tr w:rsidR="00413D97" w:rsidRPr="00D11648" w14:paraId="07CB72B8" w14:textId="77777777" w:rsidTr="0054104D">
        <w:trPr>
          <w:cnfStyle w:val="000000010000" w:firstRow="0" w:lastRow="0" w:firstColumn="0" w:lastColumn="0" w:oddVBand="0" w:evenVBand="0" w:oddHBand="0" w:evenHBand="1" w:firstRowFirstColumn="0" w:firstRowLastColumn="0" w:lastRowFirstColumn="0" w:lastRowLastColumn="0"/>
        </w:trPr>
        <w:tc>
          <w:tcPr>
            <w:tcW w:w="2610" w:type="dxa"/>
            <w:hideMark/>
          </w:tcPr>
          <w:p w14:paraId="653C1ED0" w14:textId="77777777" w:rsidR="00413D97" w:rsidRPr="00D11648" w:rsidRDefault="00413D97">
            <w:pPr>
              <w:pStyle w:val="NormalWeb"/>
              <w:rPr>
                <w:sz w:val="18"/>
                <w:szCs w:val="18"/>
              </w:rPr>
            </w:pPr>
            <w:r w:rsidRPr="00D11648">
              <w:rPr>
                <w:sz w:val="18"/>
                <w:szCs w:val="18"/>
              </w:rPr>
              <w:t>Deaths</w:t>
            </w:r>
          </w:p>
        </w:tc>
        <w:tc>
          <w:tcPr>
            <w:tcW w:w="2610" w:type="dxa"/>
            <w:hideMark/>
          </w:tcPr>
          <w:p w14:paraId="4E76F391" w14:textId="77777777" w:rsidR="00413D97" w:rsidRPr="00D11648" w:rsidRDefault="00413D97" w:rsidP="0054104D">
            <w:pPr>
              <w:pStyle w:val="NormalWeb"/>
              <w:jc w:val="center"/>
              <w:rPr>
                <w:sz w:val="18"/>
                <w:szCs w:val="18"/>
              </w:rPr>
            </w:pPr>
            <w:r w:rsidRPr="00D11648">
              <w:rPr>
                <w:sz w:val="18"/>
                <w:szCs w:val="18"/>
              </w:rPr>
              <w:t>52</w:t>
            </w:r>
          </w:p>
        </w:tc>
        <w:tc>
          <w:tcPr>
            <w:tcW w:w="2610" w:type="dxa"/>
            <w:hideMark/>
          </w:tcPr>
          <w:p w14:paraId="446AF1FE" w14:textId="77777777" w:rsidR="00413D97" w:rsidRPr="00D11648" w:rsidRDefault="00413D97" w:rsidP="0054104D">
            <w:pPr>
              <w:pStyle w:val="NormalWeb"/>
              <w:jc w:val="center"/>
              <w:rPr>
                <w:sz w:val="18"/>
                <w:szCs w:val="18"/>
              </w:rPr>
            </w:pPr>
            <w:r w:rsidRPr="00D11648">
              <w:rPr>
                <w:sz w:val="18"/>
                <w:szCs w:val="18"/>
              </w:rPr>
              <w:t>71</w:t>
            </w:r>
          </w:p>
        </w:tc>
        <w:tc>
          <w:tcPr>
            <w:tcW w:w="2610" w:type="dxa"/>
            <w:hideMark/>
          </w:tcPr>
          <w:p w14:paraId="55D281D4" w14:textId="77777777" w:rsidR="00413D97" w:rsidRPr="00D11648" w:rsidRDefault="00413D97" w:rsidP="0054104D">
            <w:pPr>
              <w:pStyle w:val="NormalWeb"/>
              <w:jc w:val="center"/>
              <w:rPr>
                <w:sz w:val="18"/>
                <w:szCs w:val="18"/>
              </w:rPr>
            </w:pPr>
            <w:r w:rsidRPr="00D11648">
              <w:rPr>
                <w:sz w:val="18"/>
                <w:szCs w:val="18"/>
              </w:rPr>
              <w:t>240</w:t>
            </w:r>
          </w:p>
        </w:tc>
      </w:tr>
    </w:tbl>
    <w:p w14:paraId="22FCA203" w14:textId="77777777" w:rsidR="00413D97" w:rsidRPr="00330573" w:rsidRDefault="00413D97" w:rsidP="00330573">
      <w:pPr>
        <w:pStyle w:val="Heading1"/>
      </w:pPr>
      <w:r w:rsidRPr="00330573">
        <w:t xml:space="preserve">Summary </w:t>
      </w:r>
    </w:p>
    <w:p w14:paraId="50E00429" w14:textId="77777777" w:rsidR="00413D97" w:rsidRDefault="00413D97" w:rsidP="00330573">
      <w:r>
        <w:t xml:space="preserve">Over the past fortnightly reporting period (20 July to 2 August): </w:t>
      </w:r>
    </w:p>
    <w:p w14:paraId="3D0C8624" w14:textId="77777777" w:rsidR="00413D97" w:rsidRPr="003E78E2" w:rsidRDefault="00413D97" w:rsidP="003E78E2">
      <w:pPr>
        <w:pStyle w:val="ListParagraph"/>
        <w:numPr>
          <w:ilvl w:val="0"/>
          <w:numId w:val="17"/>
        </w:numPr>
        <w:rPr>
          <w:rFonts w:eastAsia="Times New Roman"/>
        </w:rPr>
      </w:pPr>
      <w:r w:rsidRPr="003E78E2">
        <w:rPr>
          <w:rFonts w:eastAsia="Times New Roman"/>
        </w:rPr>
        <w:t xml:space="preserve">The number of new cases reported nationally increased from 3,462 in the previous fortnight to 6,121. </w:t>
      </w:r>
    </w:p>
    <w:p w14:paraId="2482E67A" w14:textId="77777777" w:rsidR="00413D97" w:rsidRPr="003E78E2" w:rsidRDefault="00413D97" w:rsidP="003E78E2">
      <w:pPr>
        <w:pStyle w:val="ListParagraph"/>
        <w:numPr>
          <w:ilvl w:val="0"/>
          <w:numId w:val="17"/>
        </w:numPr>
        <w:rPr>
          <w:rFonts w:eastAsia="Times New Roman"/>
        </w:rPr>
      </w:pPr>
      <w:r w:rsidRPr="003E78E2">
        <w:rPr>
          <w:rFonts w:eastAsia="Times New Roman"/>
        </w:rPr>
        <w:t xml:space="preserve">The large increase in numbers is due to multiple epidemiologically-linked outbreaks across a range of settings and locations in Victoria (97%; 5,914 cases) with very few (207) cases reported by other jurisdictions in this reporting period. </w:t>
      </w:r>
    </w:p>
    <w:p w14:paraId="4CD0902A" w14:textId="77777777" w:rsidR="00413D97" w:rsidRPr="003E78E2" w:rsidRDefault="00413D97" w:rsidP="003E78E2">
      <w:pPr>
        <w:pStyle w:val="ListParagraph"/>
        <w:numPr>
          <w:ilvl w:val="0"/>
          <w:numId w:val="17"/>
        </w:numPr>
        <w:rPr>
          <w:rFonts w:eastAsia="Times New Roman"/>
        </w:rPr>
      </w:pPr>
      <w:r w:rsidRPr="003E78E2">
        <w:rPr>
          <w:rFonts w:eastAsia="Times New Roman"/>
        </w:rPr>
        <w:t xml:space="preserve">Of the 5,914 cases reported in Victoria, all were locally acquired. Of the remaining 207 cases nationally reported, only 23% were reported as locally acquired. </w:t>
      </w:r>
    </w:p>
    <w:p w14:paraId="78377DC9" w14:textId="77777777" w:rsidR="00413D97" w:rsidRPr="003E78E2" w:rsidRDefault="00413D97" w:rsidP="003E78E2">
      <w:pPr>
        <w:pStyle w:val="ListParagraph"/>
        <w:numPr>
          <w:ilvl w:val="0"/>
          <w:numId w:val="17"/>
        </w:numPr>
        <w:rPr>
          <w:rFonts w:eastAsia="Times New Roman"/>
        </w:rPr>
      </w:pPr>
      <w:r w:rsidRPr="003E78E2">
        <w:rPr>
          <w:rFonts w:eastAsia="Times New Roman"/>
        </w:rPr>
        <w:t xml:space="preserve">ACT is the only jurisdiction reporting 0 cases, with its last case reported on 9 July. </w:t>
      </w:r>
    </w:p>
    <w:p w14:paraId="03E182C2" w14:textId="77777777" w:rsidR="00413D97" w:rsidRPr="003E78E2" w:rsidRDefault="00413D97" w:rsidP="003E78E2">
      <w:pPr>
        <w:pStyle w:val="ListParagraph"/>
        <w:numPr>
          <w:ilvl w:val="0"/>
          <w:numId w:val="17"/>
        </w:numPr>
        <w:rPr>
          <w:rFonts w:eastAsia="Times New Roman"/>
        </w:rPr>
      </w:pPr>
      <w:r w:rsidRPr="003E78E2">
        <w:rPr>
          <w:rFonts w:eastAsia="Times New Roman"/>
        </w:rPr>
        <w:t xml:space="preserve">A total of 71 deaths were reported, all from Victoria. </w:t>
      </w:r>
    </w:p>
    <w:p w14:paraId="7D61EDF7" w14:textId="77777777" w:rsidR="00413D97" w:rsidRPr="003E78E2" w:rsidRDefault="00413D97" w:rsidP="003E78E2">
      <w:pPr>
        <w:pStyle w:val="ListParagraph"/>
        <w:numPr>
          <w:ilvl w:val="0"/>
          <w:numId w:val="17"/>
        </w:numPr>
        <w:rPr>
          <w:rFonts w:eastAsia="Times New Roman"/>
        </w:rPr>
      </w:pPr>
      <w:r w:rsidRPr="003E78E2">
        <w:rPr>
          <w:rFonts w:eastAsia="Times New Roman"/>
        </w:rPr>
        <w:t xml:space="preserve">On average, 437 cases were reported each day over the reporting period, an increase from 247 cases per day over the previous fortnight. </w:t>
      </w:r>
    </w:p>
    <w:p w14:paraId="30F3245A" w14:textId="77777777" w:rsidR="00413D97" w:rsidRPr="003E78E2" w:rsidRDefault="00413D97" w:rsidP="003E78E2">
      <w:pPr>
        <w:pStyle w:val="ListParagraph"/>
        <w:numPr>
          <w:ilvl w:val="0"/>
          <w:numId w:val="17"/>
        </w:numPr>
        <w:rPr>
          <w:rFonts w:eastAsia="Times New Roman"/>
        </w:rPr>
      </w:pPr>
      <w:r w:rsidRPr="003E78E2">
        <w:rPr>
          <w:rFonts w:eastAsia="Times New Roman"/>
        </w:rPr>
        <w:t xml:space="preserve">Testing rates remain high across all jurisdictions, with an overall positivity rate for the reporting period of 0.7%. Victoria reported a positivity rate of 1.7% for this reporting period. In all other jurisdictions the positivity rate was 0.07% or lower. </w:t>
      </w:r>
    </w:p>
    <w:p w14:paraId="7AC661D7" w14:textId="77777777" w:rsidR="00413D97" w:rsidRPr="003E78E2" w:rsidRDefault="00413D97" w:rsidP="003E78E2">
      <w:pPr>
        <w:pStyle w:val="ListParagraph"/>
        <w:numPr>
          <w:ilvl w:val="0"/>
          <w:numId w:val="17"/>
        </w:numPr>
        <w:rPr>
          <w:rFonts w:eastAsia="Times New Roman"/>
        </w:rPr>
      </w:pPr>
      <w:r w:rsidRPr="003E78E2">
        <w:rPr>
          <w:rFonts w:eastAsia="Times New Roman"/>
        </w:rPr>
        <w:t xml:space="preserve">Overall, syndromic surveillance of respiratory illness trends continues to show very low levels compared to previous years. </w:t>
      </w:r>
    </w:p>
    <w:p w14:paraId="27A46A72" w14:textId="77777777" w:rsidR="00413D97" w:rsidRPr="003E78E2" w:rsidRDefault="00413D97" w:rsidP="003E78E2">
      <w:pPr>
        <w:pStyle w:val="ListParagraph"/>
        <w:numPr>
          <w:ilvl w:val="0"/>
          <w:numId w:val="17"/>
        </w:numPr>
        <w:rPr>
          <w:rFonts w:eastAsia="Times New Roman"/>
        </w:rPr>
      </w:pPr>
      <w:r w:rsidRPr="003E78E2">
        <w:rPr>
          <w:rFonts w:eastAsia="Times New Roman"/>
        </w:rPr>
        <w:t xml:space="preserve">12% of cases have required hospitalisation or intensive care. </w:t>
      </w:r>
    </w:p>
    <w:p w14:paraId="69945C45" w14:textId="77777777" w:rsidR="00413D97" w:rsidRDefault="00413D97" w:rsidP="003E78E2">
      <w:r>
        <w:t xml:space="preserve">Keywords: SARS-CoV-2; novel coronavirus; 2019-nCoV; coronavirus disease 2019; COVID-19; acute respiratory disease; epidemiology; Australia </w:t>
      </w:r>
    </w:p>
    <w:p w14:paraId="7BA4C07E" w14:textId="77777777" w:rsidR="00592CBC" w:rsidRDefault="00592CBC">
      <w:pPr>
        <w:rPr>
          <w:b/>
        </w:rPr>
      </w:pPr>
      <w:r>
        <w:br w:type="page"/>
      </w:r>
    </w:p>
    <w:p w14:paraId="7A79A485" w14:textId="77777777" w:rsidR="00413D97" w:rsidRDefault="00413D97" w:rsidP="00592CBC">
      <w:pPr>
        <w:pStyle w:val="CDIFigures"/>
      </w:pPr>
      <w:r>
        <w:lastRenderedPageBreak/>
        <w:t xml:space="preserve">Figure 1: New and cumulative COVID-19 notifications by date of illness </w:t>
      </w:r>
      <w:proofErr w:type="spellStart"/>
      <w:r>
        <w:t>onset,</w:t>
      </w:r>
      <w:proofErr w:type="gramStart"/>
      <w:r w:rsidRPr="00330573">
        <w:rPr>
          <w:vertAlign w:val="superscript"/>
        </w:rPr>
        <w:t>a</w:t>
      </w:r>
      <w:proofErr w:type="spellEnd"/>
      <w:proofErr w:type="gramEnd"/>
      <w:r>
        <w:t xml:space="preserve"> Australia</w:t>
      </w:r>
    </w:p>
    <w:p w14:paraId="27A9812C" w14:textId="77777777" w:rsidR="00413D97" w:rsidRDefault="00413D97" w:rsidP="00592CBC">
      <w:pPr>
        <w:jc w:val="center"/>
        <w:rPr>
          <w:rFonts w:eastAsia="Times New Roman"/>
        </w:rPr>
      </w:pPr>
      <w:r>
        <w:rPr>
          <w:rFonts w:eastAsia="Times New Roman"/>
          <w:noProof/>
        </w:rPr>
        <w:drawing>
          <wp:inline distT="0" distB="0" distL="0" distR="0" wp14:anchorId="6E9A8ABD" wp14:editId="21C7AAC2">
            <wp:extent cx="6111252" cy="2130556"/>
            <wp:effectExtent l="0" t="0" r="3810" b="3175"/>
            <wp:docPr id="16" name="Picture 16" descr="New and cumulative COVID-19 notifications by date of illness onset, Australia &#10;Bar chart showing COVID-19 notifications by date of illness onset, for the 18,367 Australian cases. Notifications for the cases shown have onset dates ranging from 13 January 2020 to 2 August 2020. The chart also shows the curve of cumulative cases, which rises steeply between 15 and 25 March before levelling off to a much more gradual rise from April through until mid-June, followed by another substantial increase in cases due to an outbreak largely concentrated in Victor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and cumulative COVID-19 notifications by date of illness onset, Australia &#10;Bar chart showing COVID-19 notifications by date of illness onset, for the 18,367 Australian cases. Notifications for the cases shown have onset dates ranging from 13 January 2020 to 2 August 2020. The chart also shows the curve of cumulative cases, which rises steeply between 15 and 25 March before levelling off to a much more gradual rise from April through until mid-June, followed by another substantial increase in cases due to an outbreak largely concentrated in Victoria.&#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11252" cy="2130556"/>
                    </a:xfrm>
                    <a:prstGeom prst="rect">
                      <a:avLst/>
                    </a:prstGeom>
                  </pic:spPr>
                </pic:pic>
              </a:graphicData>
            </a:graphic>
          </wp:inline>
        </w:drawing>
      </w:r>
    </w:p>
    <w:p w14:paraId="2CCD3C64" w14:textId="77777777" w:rsidR="00413D97" w:rsidRDefault="00413D97" w:rsidP="00592CBC">
      <w:pPr>
        <w:pStyle w:val="CDIfootnotes"/>
      </w:pPr>
      <w:proofErr w:type="gramStart"/>
      <w:r>
        <w:rPr>
          <w:lang w:val="en-US"/>
        </w:rPr>
        <w:t>a</w:t>
      </w:r>
      <w:proofErr w:type="gramEnd"/>
      <w:r>
        <w:rPr>
          <w:lang w:val="en-US"/>
        </w:rPr>
        <w:tab/>
      </w:r>
      <w:r>
        <w:t>Illnesses that began 7 days prior to 2 August may not yet be reported and interpretation of trends during this period should be undertaken with caution.</w:t>
      </w:r>
    </w:p>
    <w:p w14:paraId="5892A623" w14:textId="77777777" w:rsidR="00413D97" w:rsidRPr="007E7844" w:rsidRDefault="00413D97" w:rsidP="007E7844">
      <w:pPr>
        <w:pStyle w:val="Heading1"/>
      </w:pPr>
      <w:r w:rsidRPr="007E7844">
        <w:t xml:space="preserve">In focus: New South Wales </w:t>
      </w:r>
    </w:p>
    <w:p w14:paraId="0CFC7671" w14:textId="77777777" w:rsidR="00413D97" w:rsidRDefault="00413D97" w:rsidP="007E7844">
      <w:r>
        <w:t xml:space="preserve">In New South Wales, there have been a total of 3,831 cases reported to date, with 171 cases notified in this reporting period. Most cases occurred in March, with case numbers decreasing throughout April and May. Locally-acquired cases started to increase slightly towards the end of June and this trend has continued to date (Figure 2). Of the locally-acquired cases recently diagnosed in NSW, the majority have been linked to known cases or outbreaks with a small number unable to be linked. </w:t>
      </w:r>
    </w:p>
    <w:p w14:paraId="4C588BD7" w14:textId="77777777" w:rsidR="00413D97" w:rsidRDefault="00413D97" w:rsidP="007E7844">
      <w:r>
        <w:t xml:space="preserve">NSW has maintained a high rate of testing, with over 300,000 tests conducted over the reporting period, representing a testing rate of 39.5 tests per 1,000 population. Additionally, over this reporting period, NSW cases were reported more frequently in males (rate ratio 1.1:1). This trend has remained consistent over the epidemic to date (Table 1). </w:t>
      </w:r>
    </w:p>
    <w:p w14:paraId="7BF9992F" w14:textId="77777777" w:rsidR="00413D97" w:rsidRDefault="00413D97" w:rsidP="007E7844">
      <w:r>
        <w:t xml:space="preserve">Cumulatively, cases in NSW were reported most frequently in people aged 20–29 years old (793 cases) (Table 1). Of the 3,831 cases reported in NSW to date, 38 cases (1%) were in those identifying as Aboriginal and Torres Strait Islander peoples. </w:t>
      </w:r>
    </w:p>
    <w:p w14:paraId="3176975C" w14:textId="77777777" w:rsidR="00413D97" w:rsidRDefault="00413D97" w:rsidP="007E7844">
      <w:r>
        <w:t xml:space="preserve">Overall, for NSW there have been 52 deaths attributed to COVID-19, 26 males and 26 females, all over the age of 50, resulting in a crude case fatality rate of 1.36% (Table 1). </w:t>
      </w:r>
    </w:p>
    <w:p w14:paraId="2D9984DB" w14:textId="77777777" w:rsidR="00413D97" w:rsidRDefault="00413D97" w:rsidP="007E7844">
      <w:r>
        <w:t>Most cases reported in NSW have been overseas acquired, although the proportion of locally-acquired cases increased markedly in July, showing a shift in source of acquisition from overseas to locally acquired (Figure 3). Importantly, the proportion of locally-acquired cases where a contact was not identified has remained low throughout the epidemic.</w:t>
      </w:r>
    </w:p>
    <w:p w14:paraId="758A96A1" w14:textId="77777777" w:rsidR="00413D97" w:rsidRDefault="00413D97" w:rsidP="007E7844">
      <w:r>
        <w:t>The age distribution of COVID-19 cases in NSW has changed over the course of the epidemic, with cases decreasing over time in those over 50 years of age and increasing over time in those less than 20 years of age (Figure 4). Prior to the start of June, the proportion of cases reported in school aged children (aged 5 to 17 years) was 2%. Since June this proportion has increased to 12%, while the proportion of cases reported in older adults (aged 65 and over) has decreased from 20% to 5% for all NSW cases. The median age of cases reported early in the epidemic was 45 years (interquartile range, IQR: 29 to 62), while in the later phase, the median age has reduced to 34 years (IQR: 23 to 48).</w:t>
      </w:r>
    </w:p>
    <w:p w14:paraId="60C18CDB" w14:textId="77777777" w:rsidR="00413D97" w:rsidRPr="007E33F8" w:rsidRDefault="00413D97" w:rsidP="007E33F8">
      <w:pPr>
        <w:pStyle w:val="CDIFigures"/>
      </w:pPr>
      <w:r w:rsidRPr="007E33F8">
        <w:rPr>
          <w:rStyle w:val="Strong"/>
          <w:b/>
          <w:bCs w:val="0"/>
        </w:rPr>
        <w:lastRenderedPageBreak/>
        <w:t>Figure 2: New South Wales COVID-19 notifications by notification date, cumulative and new cases</w:t>
      </w:r>
    </w:p>
    <w:p w14:paraId="7C459CD3" w14:textId="77777777" w:rsidR="00413D97" w:rsidRDefault="00413D97">
      <w:pPr>
        <w:pStyle w:val="NormalWeb"/>
      </w:pPr>
      <w:r>
        <w:rPr>
          <w:noProof/>
        </w:rPr>
        <w:drawing>
          <wp:inline distT="0" distB="0" distL="0" distR="0" wp14:anchorId="39C95F22">
            <wp:extent cx="6602411" cy="4203700"/>
            <wp:effectExtent l="0" t="0" r="8255" b="6350"/>
            <wp:docPr id="2" name="Picture 2" descr="Bar chart showing COVID-19 notifications by date of illness onset, for the 3,831 New South Wales cases. Notifications for the cases shown have onset dates ranging from 13 January 2020 to 2 August 2020. The chart also shows the curve of cumulative cases, which rises steeply between 15 and 25 March before levelling off to a much more gradual rise from April through until mid-June, followed by another slight increase due to a combination of repatriation flight cases and locally-acquired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chart showing COVID-19 notifications by date of illness onset, for the 3,831 New South Wales cases. Notifications for the cases shown have onset dates ranging from 13 January 2020 to 2 August 2020. The chart also shows the curve of cumulative cases, which rises steeply between 15 and 25 March before levelling off to a much more gradual rise from April through until mid-June, followed by another slight increase due to a combination of repatriation flight cases and locally-acquired cases."/>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09399" cy="4208149"/>
                    </a:xfrm>
                    <a:prstGeom prst="rect">
                      <a:avLst/>
                    </a:prstGeom>
                  </pic:spPr>
                </pic:pic>
              </a:graphicData>
            </a:graphic>
          </wp:inline>
        </w:drawing>
      </w:r>
    </w:p>
    <w:p w14:paraId="159E40BE" w14:textId="77777777" w:rsidR="00413D97" w:rsidRDefault="00413D97" w:rsidP="00911113">
      <w:pPr>
        <w:pStyle w:val="CDIFigures"/>
      </w:pPr>
      <w:r>
        <w:t>Table 1: New South Wales COVID-19 cases and deaths by age group and gender, as at 2 August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NSW COVID-19 cases and deaths by age group and gender. The highest incidence of cases has been in the 20–29 year old age group, followed by 30–39, with a slightly higher number of cases among males than females overall (1,922:1,840 across all age groups). As at 2 August, equal numbers of male and female deaths have been reported (26 of each), with 90% of deaths reported in the 70 and over age groups. &#10;"/>
      </w:tblPr>
      <w:tblGrid>
        <w:gridCol w:w="3600"/>
        <w:gridCol w:w="1800"/>
        <w:gridCol w:w="2160"/>
        <w:gridCol w:w="1440"/>
        <w:gridCol w:w="1466"/>
      </w:tblGrid>
      <w:tr w:rsidR="003D2720" w:rsidRPr="00706658" w14:paraId="48C1B56B" w14:textId="77777777" w:rsidTr="00995397">
        <w:trPr>
          <w:cnfStyle w:val="100000000000" w:firstRow="1" w:lastRow="0" w:firstColumn="0" w:lastColumn="0" w:oddVBand="0" w:evenVBand="0" w:oddHBand="0" w:evenHBand="0" w:firstRowFirstColumn="0" w:firstRowLastColumn="0" w:lastRowFirstColumn="0" w:lastRowLastColumn="0"/>
          <w:tblHeader/>
        </w:trPr>
        <w:tc>
          <w:tcPr>
            <w:tcW w:w="3600" w:type="dxa"/>
            <w:vMerge w:val="restart"/>
            <w:tcBorders>
              <w:bottom w:val="single" w:sz="2" w:space="0" w:color="FFFFFF" w:themeColor="background1"/>
              <w:right w:val="single" w:sz="2" w:space="0" w:color="FFFFFF" w:themeColor="background1"/>
            </w:tcBorders>
            <w:hideMark/>
          </w:tcPr>
          <w:p w14:paraId="732676B0" w14:textId="77777777" w:rsidR="00413D97" w:rsidRPr="00706658" w:rsidRDefault="00413D97">
            <w:pPr>
              <w:pStyle w:val="NormalWeb"/>
              <w:rPr>
                <w:color w:val="FFFFFF" w:themeColor="background1"/>
                <w:sz w:val="18"/>
                <w:szCs w:val="18"/>
              </w:rPr>
            </w:pPr>
            <w:r w:rsidRPr="00706658">
              <w:rPr>
                <w:color w:val="FFFFFF" w:themeColor="background1"/>
                <w:sz w:val="18"/>
                <w:szCs w:val="18"/>
              </w:rPr>
              <w:t>Age group</w:t>
            </w:r>
          </w:p>
        </w:tc>
        <w:tc>
          <w:tcPr>
            <w:tcW w:w="3960" w:type="dxa"/>
            <w:gridSpan w:val="2"/>
            <w:tcBorders>
              <w:left w:val="single" w:sz="2" w:space="0" w:color="FFFFFF" w:themeColor="background1"/>
              <w:bottom w:val="single" w:sz="2" w:space="0" w:color="FFFFFF" w:themeColor="background1"/>
              <w:right w:val="single" w:sz="2" w:space="0" w:color="FFFFFF" w:themeColor="background1"/>
            </w:tcBorders>
            <w:hideMark/>
          </w:tcPr>
          <w:p w14:paraId="25A42A96" w14:textId="77777777" w:rsidR="00413D97" w:rsidRPr="00706658" w:rsidRDefault="00413D97" w:rsidP="00D67B13">
            <w:pPr>
              <w:pStyle w:val="NormalWeb"/>
              <w:jc w:val="center"/>
              <w:rPr>
                <w:color w:val="FFFFFF" w:themeColor="background1"/>
                <w:sz w:val="18"/>
                <w:szCs w:val="18"/>
              </w:rPr>
            </w:pPr>
            <w:r w:rsidRPr="00706658">
              <w:rPr>
                <w:color w:val="FFFFFF" w:themeColor="background1"/>
                <w:sz w:val="18"/>
                <w:szCs w:val="18"/>
              </w:rPr>
              <w:t>Cases</w:t>
            </w:r>
          </w:p>
        </w:tc>
        <w:tc>
          <w:tcPr>
            <w:tcW w:w="2906" w:type="dxa"/>
            <w:gridSpan w:val="2"/>
            <w:tcBorders>
              <w:left w:val="single" w:sz="2" w:space="0" w:color="FFFFFF" w:themeColor="background1"/>
              <w:bottom w:val="single" w:sz="2" w:space="0" w:color="FFFFFF" w:themeColor="background1"/>
            </w:tcBorders>
            <w:hideMark/>
          </w:tcPr>
          <w:p w14:paraId="26027EA8" w14:textId="77777777" w:rsidR="00413D97" w:rsidRPr="00706658" w:rsidRDefault="00413D97" w:rsidP="00D67B13">
            <w:pPr>
              <w:pStyle w:val="NormalWeb"/>
              <w:jc w:val="center"/>
              <w:rPr>
                <w:color w:val="FFFFFF" w:themeColor="background1"/>
                <w:sz w:val="18"/>
                <w:szCs w:val="18"/>
              </w:rPr>
            </w:pPr>
            <w:r w:rsidRPr="00706658">
              <w:rPr>
                <w:color w:val="FFFFFF" w:themeColor="background1"/>
                <w:sz w:val="18"/>
                <w:szCs w:val="18"/>
              </w:rPr>
              <w:t>Deaths</w:t>
            </w:r>
          </w:p>
        </w:tc>
      </w:tr>
      <w:tr w:rsidR="003D2720" w:rsidRPr="00706658" w14:paraId="52FA9370" w14:textId="77777777" w:rsidTr="00995397">
        <w:trPr>
          <w:cnfStyle w:val="100000000000" w:firstRow="1" w:lastRow="0" w:firstColumn="0" w:lastColumn="0" w:oddVBand="0" w:evenVBand="0" w:oddHBand="0" w:evenHBand="0" w:firstRowFirstColumn="0" w:firstRowLastColumn="0" w:lastRowFirstColumn="0" w:lastRowLastColumn="0"/>
          <w:tblHeader/>
        </w:trPr>
        <w:tc>
          <w:tcPr>
            <w:tcW w:w="3600" w:type="dxa"/>
            <w:vMerge/>
            <w:tcBorders>
              <w:top w:val="single" w:sz="2" w:space="0" w:color="FFFFFF" w:themeColor="background1"/>
              <w:right w:val="single" w:sz="2" w:space="0" w:color="FFFFFF" w:themeColor="background1"/>
            </w:tcBorders>
            <w:hideMark/>
          </w:tcPr>
          <w:p w14:paraId="4A59A12A" w14:textId="77777777" w:rsidR="00413D97" w:rsidRPr="00706658" w:rsidRDefault="00413D97">
            <w:pPr>
              <w:rPr>
                <w:color w:val="FFFFFF" w:themeColor="background1"/>
                <w:sz w:val="18"/>
                <w:szCs w:val="18"/>
              </w:rPr>
            </w:pPr>
          </w:p>
        </w:tc>
        <w:tc>
          <w:tcPr>
            <w:tcW w:w="1800" w:type="dxa"/>
            <w:tcBorders>
              <w:top w:val="single" w:sz="2" w:space="0" w:color="FFFFFF" w:themeColor="background1"/>
              <w:left w:val="single" w:sz="2" w:space="0" w:color="FFFFFF" w:themeColor="background1"/>
              <w:right w:val="single" w:sz="2" w:space="0" w:color="FFFFFF" w:themeColor="background1"/>
            </w:tcBorders>
            <w:hideMark/>
          </w:tcPr>
          <w:p w14:paraId="6B88932F" w14:textId="77777777" w:rsidR="00413D97" w:rsidRPr="00706658" w:rsidRDefault="00413D97" w:rsidP="00D67B13">
            <w:pPr>
              <w:pStyle w:val="NormalWeb"/>
              <w:jc w:val="center"/>
              <w:rPr>
                <w:color w:val="FFFFFF" w:themeColor="background1"/>
                <w:sz w:val="18"/>
                <w:szCs w:val="18"/>
              </w:rPr>
            </w:pPr>
            <w:r w:rsidRPr="00706658">
              <w:rPr>
                <w:color w:val="FFFFFF" w:themeColor="background1"/>
                <w:sz w:val="18"/>
                <w:szCs w:val="18"/>
              </w:rPr>
              <w:t>Male</w:t>
            </w:r>
          </w:p>
        </w:tc>
        <w:tc>
          <w:tcPr>
            <w:tcW w:w="2160" w:type="dxa"/>
            <w:tcBorders>
              <w:top w:val="single" w:sz="2" w:space="0" w:color="FFFFFF" w:themeColor="background1"/>
              <w:left w:val="single" w:sz="2" w:space="0" w:color="FFFFFF" w:themeColor="background1"/>
              <w:right w:val="single" w:sz="2" w:space="0" w:color="FFFFFF" w:themeColor="background1"/>
            </w:tcBorders>
            <w:hideMark/>
          </w:tcPr>
          <w:p w14:paraId="7183647D" w14:textId="77777777" w:rsidR="00413D97" w:rsidRPr="00706658" w:rsidRDefault="00413D97" w:rsidP="00D67B13">
            <w:pPr>
              <w:pStyle w:val="NormalWeb"/>
              <w:jc w:val="center"/>
              <w:rPr>
                <w:color w:val="FFFFFF" w:themeColor="background1"/>
                <w:sz w:val="18"/>
                <w:szCs w:val="18"/>
              </w:rPr>
            </w:pPr>
            <w:r w:rsidRPr="00706658">
              <w:rPr>
                <w:color w:val="FFFFFF" w:themeColor="background1"/>
                <w:sz w:val="18"/>
                <w:szCs w:val="18"/>
              </w:rPr>
              <w:t>Female</w:t>
            </w:r>
          </w:p>
        </w:tc>
        <w:tc>
          <w:tcPr>
            <w:tcW w:w="1440" w:type="dxa"/>
            <w:tcBorders>
              <w:top w:val="single" w:sz="2" w:space="0" w:color="FFFFFF" w:themeColor="background1"/>
              <w:left w:val="single" w:sz="2" w:space="0" w:color="FFFFFF" w:themeColor="background1"/>
              <w:right w:val="single" w:sz="2" w:space="0" w:color="FFFFFF" w:themeColor="background1"/>
            </w:tcBorders>
            <w:hideMark/>
          </w:tcPr>
          <w:p w14:paraId="58B2F756" w14:textId="77777777" w:rsidR="00413D97" w:rsidRPr="00706658" w:rsidRDefault="00413D97" w:rsidP="00D67B13">
            <w:pPr>
              <w:pStyle w:val="NormalWeb"/>
              <w:jc w:val="center"/>
              <w:rPr>
                <w:color w:val="FFFFFF" w:themeColor="background1"/>
                <w:sz w:val="18"/>
                <w:szCs w:val="18"/>
              </w:rPr>
            </w:pPr>
            <w:r w:rsidRPr="00706658">
              <w:rPr>
                <w:color w:val="FFFFFF" w:themeColor="background1"/>
                <w:sz w:val="18"/>
                <w:szCs w:val="18"/>
              </w:rPr>
              <w:t>Male</w:t>
            </w:r>
          </w:p>
        </w:tc>
        <w:tc>
          <w:tcPr>
            <w:tcW w:w="1466" w:type="dxa"/>
            <w:tcBorders>
              <w:top w:val="single" w:sz="2" w:space="0" w:color="FFFFFF" w:themeColor="background1"/>
              <w:left w:val="single" w:sz="2" w:space="0" w:color="FFFFFF" w:themeColor="background1"/>
            </w:tcBorders>
            <w:hideMark/>
          </w:tcPr>
          <w:p w14:paraId="64C775AE" w14:textId="77777777" w:rsidR="00413D97" w:rsidRPr="00706658" w:rsidRDefault="00413D97" w:rsidP="00D67B13">
            <w:pPr>
              <w:pStyle w:val="NormalWeb"/>
              <w:jc w:val="center"/>
              <w:rPr>
                <w:color w:val="FFFFFF" w:themeColor="background1"/>
                <w:sz w:val="18"/>
                <w:szCs w:val="18"/>
              </w:rPr>
            </w:pPr>
            <w:r w:rsidRPr="00706658">
              <w:rPr>
                <w:color w:val="FFFFFF" w:themeColor="background1"/>
                <w:sz w:val="18"/>
                <w:szCs w:val="18"/>
              </w:rPr>
              <w:t>Female</w:t>
            </w:r>
          </w:p>
        </w:tc>
      </w:tr>
      <w:tr w:rsidR="003D2720" w:rsidRPr="00706658" w14:paraId="31E5E497" w14:textId="77777777" w:rsidTr="003D2720">
        <w:tc>
          <w:tcPr>
            <w:tcW w:w="3600" w:type="dxa"/>
            <w:hideMark/>
          </w:tcPr>
          <w:p w14:paraId="71F719DC" w14:textId="77777777" w:rsidR="00413D97" w:rsidRPr="00706658" w:rsidRDefault="00413D97">
            <w:pPr>
              <w:pStyle w:val="NormalWeb"/>
              <w:rPr>
                <w:sz w:val="18"/>
                <w:szCs w:val="18"/>
              </w:rPr>
            </w:pPr>
            <w:r w:rsidRPr="00706658">
              <w:rPr>
                <w:sz w:val="18"/>
                <w:szCs w:val="18"/>
              </w:rPr>
              <w:t>0 to 9</w:t>
            </w:r>
          </w:p>
        </w:tc>
        <w:tc>
          <w:tcPr>
            <w:tcW w:w="1800" w:type="dxa"/>
            <w:hideMark/>
          </w:tcPr>
          <w:p w14:paraId="2FA7F586" w14:textId="77777777" w:rsidR="00413D97" w:rsidRPr="00706658" w:rsidRDefault="00413D97" w:rsidP="00D67B13">
            <w:pPr>
              <w:pStyle w:val="NormalWeb"/>
              <w:jc w:val="center"/>
              <w:rPr>
                <w:sz w:val="18"/>
                <w:szCs w:val="18"/>
              </w:rPr>
            </w:pPr>
            <w:r w:rsidRPr="00706658">
              <w:rPr>
                <w:sz w:val="18"/>
                <w:szCs w:val="18"/>
              </w:rPr>
              <w:t>45</w:t>
            </w:r>
          </w:p>
        </w:tc>
        <w:tc>
          <w:tcPr>
            <w:tcW w:w="2160" w:type="dxa"/>
            <w:hideMark/>
          </w:tcPr>
          <w:p w14:paraId="5982DF09" w14:textId="77777777" w:rsidR="00413D97" w:rsidRPr="00706658" w:rsidRDefault="00413D97" w:rsidP="00D67B13">
            <w:pPr>
              <w:pStyle w:val="NormalWeb"/>
              <w:jc w:val="center"/>
              <w:rPr>
                <w:sz w:val="18"/>
                <w:szCs w:val="18"/>
              </w:rPr>
            </w:pPr>
            <w:r w:rsidRPr="00706658">
              <w:rPr>
                <w:sz w:val="18"/>
                <w:szCs w:val="18"/>
              </w:rPr>
              <w:t>37</w:t>
            </w:r>
          </w:p>
        </w:tc>
        <w:tc>
          <w:tcPr>
            <w:tcW w:w="1440" w:type="dxa"/>
            <w:hideMark/>
          </w:tcPr>
          <w:p w14:paraId="0CB32F72" w14:textId="77777777" w:rsidR="00413D97" w:rsidRPr="00706658" w:rsidRDefault="00413D97" w:rsidP="00D67B13">
            <w:pPr>
              <w:pStyle w:val="NormalWeb"/>
              <w:jc w:val="center"/>
              <w:rPr>
                <w:sz w:val="18"/>
                <w:szCs w:val="18"/>
              </w:rPr>
            </w:pPr>
            <w:r w:rsidRPr="00706658">
              <w:rPr>
                <w:sz w:val="18"/>
                <w:szCs w:val="18"/>
              </w:rPr>
              <w:t>0</w:t>
            </w:r>
          </w:p>
        </w:tc>
        <w:tc>
          <w:tcPr>
            <w:tcW w:w="1466" w:type="dxa"/>
            <w:hideMark/>
          </w:tcPr>
          <w:p w14:paraId="512FCD5A" w14:textId="77777777" w:rsidR="00413D97" w:rsidRPr="00706658" w:rsidRDefault="00413D97" w:rsidP="00D67B13">
            <w:pPr>
              <w:pStyle w:val="NormalWeb"/>
              <w:jc w:val="center"/>
              <w:rPr>
                <w:sz w:val="18"/>
                <w:szCs w:val="18"/>
              </w:rPr>
            </w:pPr>
            <w:r w:rsidRPr="00706658">
              <w:rPr>
                <w:sz w:val="18"/>
                <w:szCs w:val="18"/>
              </w:rPr>
              <w:t>0</w:t>
            </w:r>
          </w:p>
        </w:tc>
      </w:tr>
      <w:tr w:rsidR="003D2720" w:rsidRPr="00706658" w14:paraId="5BD78807" w14:textId="77777777" w:rsidTr="003D2720">
        <w:trPr>
          <w:cnfStyle w:val="000000010000" w:firstRow="0" w:lastRow="0" w:firstColumn="0" w:lastColumn="0" w:oddVBand="0" w:evenVBand="0" w:oddHBand="0" w:evenHBand="1" w:firstRowFirstColumn="0" w:firstRowLastColumn="0" w:lastRowFirstColumn="0" w:lastRowLastColumn="0"/>
        </w:trPr>
        <w:tc>
          <w:tcPr>
            <w:tcW w:w="3600" w:type="dxa"/>
            <w:hideMark/>
          </w:tcPr>
          <w:p w14:paraId="5B7F4819" w14:textId="77777777" w:rsidR="00413D97" w:rsidRPr="00706658" w:rsidRDefault="00413D97">
            <w:pPr>
              <w:pStyle w:val="NormalWeb"/>
              <w:rPr>
                <w:sz w:val="18"/>
                <w:szCs w:val="18"/>
              </w:rPr>
            </w:pPr>
            <w:r w:rsidRPr="00706658">
              <w:rPr>
                <w:sz w:val="18"/>
                <w:szCs w:val="18"/>
              </w:rPr>
              <w:t>10 to 19</w:t>
            </w:r>
          </w:p>
        </w:tc>
        <w:tc>
          <w:tcPr>
            <w:tcW w:w="1800" w:type="dxa"/>
            <w:hideMark/>
          </w:tcPr>
          <w:p w14:paraId="3CFDDFB8" w14:textId="77777777" w:rsidR="00413D97" w:rsidRPr="00706658" w:rsidRDefault="00413D97" w:rsidP="00D67B13">
            <w:pPr>
              <w:pStyle w:val="NormalWeb"/>
              <w:jc w:val="center"/>
              <w:rPr>
                <w:sz w:val="18"/>
                <w:szCs w:val="18"/>
              </w:rPr>
            </w:pPr>
            <w:r w:rsidRPr="00706658">
              <w:rPr>
                <w:sz w:val="18"/>
                <w:szCs w:val="18"/>
              </w:rPr>
              <w:t>79</w:t>
            </w:r>
          </w:p>
        </w:tc>
        <w:tc>
          <w:tcPr>
            <w:tcW w:w="2160" w:type="dxa"/>
            <w:hideMark/>
          </w:tcPr>
          <w:p w14:paraId="727C5A40" w14:textId="77777777" w:rsidR="00413D97" w:rsidRPr="00706658" w:rsidRDefault="00413D97" w:rsidP="00D67B13">
            <w:pPr>
              <w:pStyle w:val="NormalWeb"/>
              <w:jc w:val="center"/>
              <w:rPr>
                <w:sz w:val="18"/>
                <w:szCs w:val="18"/>
              </w:rPr>
            </w:pPr>
            <w:r w:rsidRPr="00706658">
              <w:rPr>
                <w:sz w:val="18"/>
                <w:szCs w:val="18"/>
              </w:rPr>
              <w:t>80</w:t>
            </w:r>
          </w:p>
        </w:tc>
        <w:tc>
          <w:tcPr>
            <w:tcW w:w="1440" w:type="dxa"/>
            <w:hideMark/>
          </w:tcPr>
          <w:p w14:paraId="279F433C" w14:textId="77777777" w:rsidR="00413D97" w:rsidRPr="00706658" w:rsidRDefault="00413D97" w:rsidP="00D67B13">
            <w:pPr>
              <w:pStyle w:val="NormalWeb"/>
              <w:jc w:val="center"/>
              <w:rPr>
                <w:sz w:val="18"/>
                <w:szCs w:val="18"/>
              </w:rPr>
            </w:pPr>
            <w:r w:rsidRPr="00706658">
              <w:rPr>
                <w:sz w:val="18"/>
                <w:szCs w:val="18"/>
              </w:rPr>
              <w:t>0</w:t>
            </w:r>
          </w:p>
        </w:tc>
        <w:tc>
          <w:tcPr>
            <w:tcW w:w="1466" w:type="dxa"/>
            <w:hideMark/>
          </w:tcPr>
          <w:p w14:paraId="23E3238C" w14:textId="77777777" w:rsidR="00413D97" w:rsidRPr="00706658" w:rsidRDefault="00413D97" w:rsidP="00D67B13">
            <w:pPr>
              <w:pStyle w:val="NormalWeb"/>
              <w:jc w:val="center"/>
              <w:rPr>
                <w:sz w:val="18"/>
                <w:szCs w:val="18"/>
              </w:rPr>
            </w:pPr>
            <w:r w:rsidRPr="00706658">
              <w:rPr>
                <w:sz w:val="18"/>
                <w:szCs w:val="18"/>
              </w:rPr>
              <w:t>0</w:t>
            </w:r>
          </w:p>
        </w:tc>
      </w:tr>
      <w:tr w:rsidR="003D2720" w:rsidRPr="00706658" w14:paraId="6E6D14E5" w14:textId="77777777" w:rsidTr="003D2720">
        <w:tc>
          <w:tcPr>
            <w:tcW w:w="3600" w:type="dxa"/>
            <w:hideMark/>
          </w:tcPr>
          <w:p w14:paraId="768A4A08" w14:textId="77777777" w:rsidR="00413D97" w:rsidRPr="00706658" w:rsidRDefault="00413D97">
            <w:pPr>
              <w:pStyle w:val="NormalWeb"/>
              <w:rPr>
                <w:sz w:val="18"/>
                <w:szCs w:val="18"/>
              </w:rPr>
            </w:pPr>
            <w:r w:rsidRPr="00706658">
              <w:rPr>
                <w:sz w:val="18"/>
                <w:szCs w:val="18"/>
              </w:rPr>
              <w:t>20 to 29</w:t>
            </w:r>
          </w:p>
        </w:tc>
        <w:tc>
          <w:tcPr>
            <w:tcW w:w="1800" w:type="dxa"/>
            <w:hideMark/>
          </w:tcPr>
          <w:p w14:paraId="32471EC7" w14:textId="77777777" w:rsidR="00413D97" w:rsidRPr="00706658" w:rsidRDefault="00413D97" w:rsidP="00D67B13">
            <w:pPr>
              <w:pStyle w:val="NormalWeb"/>
              <w:jc w:val="center"/>
              <w:rPr>
                <w:sz w:val="18"/>
                <w:szCs w:val="18"/>
              </w:rPr>
            </w:pPr>
            <w:r w:rsidRPr="00706658">
              <w:rPr>
                <w:sz w:val="18"/>
                <w:szCs w:val="18"/>
              </w:rPr>
              <w:t>365</w:t>
            </w:r>
          </w:p>
        </w:tc>
        <w:tc>
          <w:tcPr>
            <w:tcW w:w="2160" w:type="dxa"/>
            <w:hideMark/>
          </w:tcPr>
          <w:p w14:paraId="6D747429" w14:textId="77777777" w:rsidR="00413D97" w:rsidRPr="00706658" w:rsidRDefault="00413D97" w:rsidP="00D67B13">
            <w:pPr>
              <w:pStyle w:val="NormalWeb"/>
              <w:jc w:val="center"/>
              <w:rPr>
                <w:sz w:val="18"/>
                <w:szCs w:val="18"/>
              </w:rPr>
            </w:pPr>
            <w:r w:rsidRPr="00706658">
              <w:rPr>
                <w:sz w:val="18"/>
                <w:szCs w:val="18"/>
              </w:rPr>
              <w:t>428</w:t>
            </w:r>
          </w:p>
        </w:tc>
        <w:tc>
          <w:tcPr>
            <w:tcW w:w="1440" w:type="dxa"/>
            <w:hideMark/>
          </w:tcPr>
          <w:p w14:paraId="279927C1" w14:textId="77777777" w:rsidR="00413D97" w:rsidRPr="00706658" w:rsidRDefault="00413D97" w:rsidP="00D67B13">
            <w:pPr>
              <w:pStyle w:val="NormalWeb"/>
              <w:jc w:val="center"/>
              <w:rPr>
                <w:sz w:val="18"/>
                <w:szCs w:val="18"/>
              </w:rPr>
            </w:pPr>
            <w:r w:rsidRPr="00706658">
              <w:rPr>
                <w:sz w:val="18"/>
                <w:szCs w:val="18"/>
              </w:rPr>
              <w:t>0</w:t>
            </w:r>
          </w:p>
        </w:tc>
        <w:tc>
          <w:tcPr>
            <w:tcW w:w="1466" w:type="dxa"/>
            <w:hideMark/>
          </w:tcPr>
          <w:p w14:paraId="3996EF74" w14:textId="77777777" w:rsidR="00413D97" w:rsidRPr="00706658" w:rsidRDefault="00413D97" w:rsidP="00D67B13">
            <w:pPr>
              <w:pStyle w:val="NormalWeb"/>
              <w:jc w:val="center"/>
              <w:rPr>
                <w:sz w:val="18"/>
                <w:szCs w:val="18"/>
              </w:rPr>
            </w:pPr>
            <w:r w:rsidRPr="00706658">
              <w:rPr>
                <w:sz w:val="18"/>
                <w:szCs w:val="18"/>
              </w:rPr>
              <w:t>0</w:t>
            </w:r>
          </w:p>
        </w:tc>
      </w:tr>
      <w:tr w:rsidR="003D2720" w:rsidRPr="00706658" w14:paraId="5F149254" w14:textId="77777777" w:rsidTr="003D2720">
        <w:trPr>
          <w:cnfStyle w:val="000000010000" w:firstRow="0" w:lastRow="0" w:firstColumn="0" w:lastColumn="0" w:oddVBand="0" w:evenVBand="0" w:oddHBand="0" w:evenHBand="1" w:firstRowFirstColumn="0" w:firstRowLastColumn="0" w:lastRowFirstColumn="0" w:lastRowLastColumn="0"/>
        </w:trPr>
        <w:tc>
          <w:tcPr>
            <w:tcW w:w="3600" w:type="dxa"/>
            <w:hideMark/>
          </w:tcPr>
          <w:p w14:paraId="69C79AA3" w14:textId="77777777" w:rsidR="00413D97" w:rsidRPr="00706658" w:rsidRDefault="00413D97">
            <w:pPr>
              <w:pStyle w:val="NormalWeb"/>
              <w:rPr>
                <w:sz w:val="18"/>
                <w:szCs w:val="18"/>
              </w:rPr>
            </w:pPr>
            <w:r w:rsidRPr="00706658">
              <w:rPr>
                <w:sz w:val="18"/>
                <w:szCs w:val="18"/>
              </w:rPr>
              <w:t>30 to 39</w:t>
            </w:r>
          </w:p>
        </w:tc>
        <w:tc>
          <w:tcPr>
            <w:tcW w:w="1800" w:type="dxa"/>
            <w:hideMark/>
          </w:tcPr>
          <w:p w14:paraId="29844C63" w14:textId="77777777" w:rsidR="00413D97" w:rsidRPr="00706658" w:rsidRDefault="00413D97" w:rsidP="00D67B13">
            <w:pPr>
              <w:pStyle w:val="NormalWeb"/>
              <w:jc w:val="center"/>
              <w:rPr>
                <w:sz w:val="18"/>
                <w:szCs w:val="18"/>
              </w:rPr>
            </w:pPr>
            <w:r w:rsidRPr="00706658">
              <w:rPr>
                <w:sz w:val="18"/>
                <w:szCs w:val="18"/>
              </w:rPr>
              <w:t>349</w:t>
            </w:r>
          </w:p>
        </w:tc>
        <w:tc>
          <w:tcPr>
            <w:tcW w:w="2160" w:type="dxa"/>
            <w:hideMark/>
          </w:tcPr>
          <w:p w14:paraId="53733E64" w14:textId="77777777" w:rsidR="00413D97" w:rsidRPr="00706658" w:rsidRDefault="00413D97" w:rsidP="00D67B13">
            <w:pPr>
              <w:pStyle w:val="NormalWeb"/>
              <w:jc w:val="center"/>
              <w:rPr>
                <w:sz w:val="18"/>
                <w:szCs w:val="18"/>
              </w:rPr>
            </w:pPr>
            <w:r w:rsidRPr="00706658">
              <w:rPr>
                <w:sz w:val="18"/>
                <w:szCs w:val="18"/>
              </w:rPr>
              <w:t>322</w:t>
            </w:r>
          </w:p>
        </w:tc>
        <w:tc>
          <w:tcPr>
            <w:tcW w:w="1440" w:type="dxa"/>
            <w:hideMark/>
          </w:tcPr>
          <w:p w14:paraId="072D66A9" w14:textId="77777777" w:rsidR="00413D97" w:rsidRPr="00706658" w:rsidRDefault="00413D97" w:rsidP="00D67B13">
            <w:pPr>
              <w:pStyle w:val="NormalWeb"/>
              <w:jc w:val="center"/>
              <w:rPr>
                <w:sz w:val="18"/>
                <w:szCs w:val="18"/>
              </w:rPr>
            </w:pPr>
            <w:r w:rsidRPr="00706658">
              <w:rPr>
                <w:sz w:val="18"/>
                <w:szCs w:val="18"/>
              </w:rPr>
              <w:t>0</w:t>
            </w:r>
          </w:p>
        </w:tc>
        <w:tc>
          <w:tcPr>
            <w:tcW w:w="1466" w:type="dxa"/>
            <w:hideMark/>
          </w:tcPr>
          <w:p w14:paraId="73C81D2F" w14:textId="77777777" w:rsidR="00413D97" w:rsidRPr="00706658" w:rsidRDefault="00413D97" w:rsidP="00D67B13">
            <w:pPr>
              <w:pStyle w:val="NormalWeb"/>
              <w:jc w:val="center"/>
              <w:rPr>
                <w:sz w:val="18"/>
                <w:szCs w:val="18"/>
              </w:rPr>
            </w:pPr>
            <w:r w:rsidRPr="00706658">
              <w:rPr>
                <w:sz w:val="18"/>
                <w:szCs w:val="18"/>
              </w:rPr>
              <w:t>0</w:t>
            </w:r>
          </w:p>
        </w:tc>
      </w:tr>
      <w:tr w:rsidR="003D2720" w:rsidRPr="00706658" w14:paraId="00C35BF7" w14:textId="77777777" w:rsidTr="003D2720">
        <w:tc>
          <w:tcPr>
            <w:tcW w:w="3600" w:type="dxa"/>
            <w:hideMark/>
          </w:tcPr>
          <w:p w14:paraId="333E7CE7" w14:textId="77777777" w:rsidR="00413D97" w:rsidRPr="00706658" w:rsidRDefault="00413D97">
            <w:pPr>
              <w:pStyle w:val="NormalWeb"/>
              <w:rPr>
                <w:sz w:val="18"/>
                <w:szCs w:val="18"/>
              </w:rPr>
            </w:pPr>
            <w:r w:rsidRPr="00706658">
              <w:rPr>
                <w:sz w:val="18"/>
                <w:szCs w:val="18"/>
              </w:rPr>
              <w:t>40 to 49</w:t>
            </w:r>
          </w:p>
        </w:tc>
        <w:tc>
          <w:tcPr>
            <w:tcW w:w="1800" w:type="dxa"/>
            <w:hideMark/>
          </w:tcPr>
          <w:p w14:paraId="7F4A8254" w14:textId="77777777" w:rsidR="00413D97" w:rsidRPr="00706658" w:rsidRDefault="00413D97" w:rsidP="00D67B13">
            <w:pPr>
              <w:pStyle w:val="NormalWeb"/>
              <w:jc w:val="center"/>
              <w:rPr>
                <w:sz w:val="18"/>
                <w:szCs w:val="18"/>
              </w:rPr>
            </w:pPr>
            <w:r w:rsidRPr="00706658">
              <w:rPr>
                <w:sz w:val="18"/>
                <w:szCs w:val="18"/>
              </w:rPr>
              <w:t>298</w:t>
            </w:r>
          </w:p>
        </w:tc>
        <w:tc>
          <w:tcPr>
            <w:tcW w:w="2160" w:type="dxa"/>
            <w:hideMark/>
          </w:tcPr>
          <w:p w14:paraId="6876DD9A" w14:textId="77777777" w:rsidR="00413D97" w:rsidRPr="00706658" w:rsidRDefault="00413D97" w:rsidP="00D67B13">
            <w:pPr>
              <w:pStyle w:val="NormalWeb"/>
              <w:jc w:val="center"/>
              <w:rPr>
                <w:sz w:val="18"/>
                <w:szCs w:val="18"/>
              </w:rPr>
            </w:pPr>
            <w:r w:rsidRPr="00706658">
              <w:rPr>
                <w:sz w:val="18"/>
                <w:szCs w:val="18"/>
              </w:rPr>
              <w:t>202</w:t>
            </w:r>
          </w:p>
        </w:tc>
        <w:tc>
          <w:tcPr>
            <w:tcW w:w="1440" w:type="dxa"/>
            <w:hideMark/>
          </w:tcPr>
          <w:p w14:paraId="33205E59" w14:textId="77777777" w:rsidR="00413D97" w:rsidRPr="00706658" w:rsidRDefault="00413D97" w:rsidP="00D67B13">
            <w:pPr>
              <w:pStyle w:val="NormalWeb"/>
              <w:jc w:val="center"/>
              <w:rPr>
                <w:sz w:val="18"/>
                <w:szCs w:val="18"/>
              </w:rPr>
            </w:pPr>
            <w:r w:rsidRPr="00706658">
              <w:rPr>
                <w:sz w:val="18"/>
                <w:szCs w:val="18"/>
              </w:rPr>
              <w:t>0</w:t>
            </w:r>
          </w:p>
        </w:tc>
        <w:tc>
          <w:tcPr>
            <w:tcW w:w="1466" w:type="dxa"/>
            <w:hideMark/>
          </w:tcPr>
          <w:p w14:paraId="7BD04A67" w14:textId="77777777" w:rsidR="00413D97" w:rsidRPr="00706658" w:rsidRDefault="00413D97" w:rsidP="00D67B13">
            <w:pPr>
              <w:pStyle w:val="NormalWeb"/>
              <w:jc w:val="center"/>
              <w:rPr>
                <w:sz w:val="18"/>
                <w:szCs w:val="18"/>
              </w:rPr>
            </w:pPr>
            <w:r w:rsidRPr="00706658">
              <w:rPr>
                <w:sz w:val="18"/>
                <w:szCs w:val="18"/>
              </w:rPr>
              <w:t>0</w:t>
            </w:r>
          </w:p>
        </w:tc>
      </w:tr>
      <w:tr w:rsidR="003D2720" w:rsidRPr="00706658" w14:paraId="2703F805" w14:textId="77777777" w:rsidTr="003D2720">
        <w:trPr>
          <w:cnfStyle w:val="000000010000" w:firstRow="0" w:lastRow="0" w:firstColumn="0" w:lastColumn="0" w:oddVBand="0" w:evenVBand="0" w:oddHBand="0" w:evenHBand="1" w:firstRowFirstColumn="0" w:firstRowLastColumn="0" w:lastRowFirstColumn="0" w:lastRowLastColumn="0"/>
        </w:trPr>
        <w:tc>
          <w:tcPr>
            <w:tcW w:w="3600" w:type="dxa"/>
            <w:hideMark/>
          </w:tcPr>
          <w:p w14:paraId="61ABC0A9" w14:textId="77777777" w:rsidR="00413D97" w:rsidRPr="00706658" w:rsidRDefault="00413D97">
            <w:pPr>
              <w:pStyle w:val="NormalWeb"/>
              <w:rPr>
                <w:sz w:val="18"/>
                <w:szCs w:val="18"/>
              </w:rPr>
            </w:pPr>
            <w:r w:rsidRPr="00706658">
              <w:rPr>
                <w:sz w:val="18"/>
                <w:szCs w:val="18"/>
              </w:rPr>
              <w:t>50 to 59</w:t>
            </w:r>
          </w:p>
        </w:tc>
        <w:tc>
          <w:tcPr>
            <w:tcW w:w="1800" w:type="dxa"/>
            <w:hideMark/>
          </w:tcPr>
          <w:p w14:paraId="150AFA80" w14:textId="77777777" w:rsidR="00413D97" w:rsidRPr="00706658" w:rsidRDefault="00413D97" w:rsidP="00D67B13">
            <w:pPr>
              <w:pStyle w:val="NormalWeb"/>
              <w:jc w:val="center"/>
              <w:rPr>
                <w:sz w:val="18"/>
                <w:szCs w:val="18"/>
              </w:rPr>
            </w:pPr>
            <w:r w:rsidRPr="00706658">
              <w:rPr>
                <w:sz w:val="18"/>
                <w:szCs w:val="18"/>
              </w:rPr>
              <w:t>270</w:t>
            </w:r>
          </w:p>
        </w:tc>
        <w:tc>
          <w:tcPr>
            <w:tcW w:w="2160" w:type="dxa"/>
            <w:hideMark/>
          </w:tcPr>
          <w:p w14:paraId="6138BD0A" w14:textId="77777777" w:rsidR="00413D97" w:rsidRPr="00706658" w:rsidRDefault="00413D97" w:rsidP="00D67B13">
            <w:pPr>
              <w:pStyle w:val="NormalWeb"/>
              <w:jc w:val="center"/>
              <w:rPr>
                <w:sz w:val="18"/>
                <w:szCs w:val="18"/>
              </w:rPr>
            </w:pPr>
            <w:r w:rsidRPr="00706658">
              <w:rPr>
                <w:sz w:val="18"/>
                <w:szCs w:val="18"/>
              </w:rPr>
              <w:t>268</w:t>
            </w:r>
          </w:p>
        </w:tc>
        <w:tc>
          <w:tcPr>
            <w:tcW w:w="1440" w:type="dxa"/>
            <w:hideMark/>
          </w:tcPr>
          <w:p w14:paraId="58B91FD8" w14:textId="77777777" w:rsidR="00413D97" w:rsidRPr="00706658" w:rsidRDefault="00413D97" w:rsidP="00D67B13">
            <w:pPr>
              <w:pStyle w:val="NormalWeb"/>
              <w:jc w:val="center"/>
              <w:rPr>
                <w:sz w:val="18"/>
                <w:szCs w:val="18"/>
              </w:rPr>
            </w:pPr>
            <w:r w:rsidRPr="00706658">
              <w:rPr>
                <w:sz w:val="18"/>
                <w:szCs w:val="18"/>
              </w:rPr>
              <w:t>0</w:t>
            </w:r>
          </w:p>
        </w:tc>
        <w:tc>
          <w:tcPr>
            <w:tcW w:w="1466" w:type="dxa"/>
            <w:hideMark/>
          </w:tcPr>
          <w:p w14:paraId="51077AEF" w14:textId="77777777" w:rsidR="00413D97" w:rsidRPr="00706658" w:rsidRDefault="00413D97" w:rsidP="00D67B13">
            <w:pPr>
              <w:pStyle w:val="NormalWeb"/>
              <w:jc w:val="center"/>
              <w:rPr>
                <w:sz w:val="18"/>
                <w:szCs w:val="18"/>
              </w:rPr>
            </w:pPr>
            <w:r w:rsidRPr="00706658">
              <w:rPr>
                <w:sz w:val="18"/>
                <w:szCs w:val="18"/>
              </w:rPr>
              <w:t>1</w:t>
            </w:r>
          </w:p>
        </w:tc>
      </w:tr>
      <w:tr w:rsidR="003D2720" w:rsidRPr="00706658" w14:paraId="25CC4B46" w14:textId="77777777" w:rsidTr="003D2720">
        <w:tc>
          <w:tcPr>
            <w:tcW w:w="3600" w:type="dxa"/>
            <w:hideMark/>
          </w:tcPr>
          <w:p w14:paraId="5E4E9F72" w14:textId="77777777" w:rsidR="00413D97" w:rsidRPr="00706658" w:rsidRDefault="00413D97">
            <w:pPr>
              <w:pStyle w:val="NormalWeb"/>
              <w:rPr>
                <w:sz w:val="18"/>
                <w:szCs w:val="18"/>
              </w:rPr>
            </w:pPr>
            <w:r w:rsidRPr="00706658">
              <w:rPr>
                <w:sz w:val="18"/>
                <w:szCs w:val="18"/>
              </w:rPr>
              <w:t>60 to 69</w:t>
            </w:r>
          </w:p>
        </w:tc>
        <w:tc>
          <w:tcPr>
            <w:tcW w:w="1800" w:type="dxa"/>
            <w:hideMark/>
          </w:tcPr>
          <w:p w14:paraId="0947CB22" w14:textId="77777777" w:rsidR="00413D97" w:rsidRPr="00706658" w:rsidRDefault="00413D97" w:rsidP="00D67B13">
            <w:pPr>
              <w:pStyle w:val="NormalWeb"/>
              <w:jc w:val="center"/>
              <w:rPr>
                <w:sz w:val="18"/>
                <w:szCs w:val="18"/>
              </w:rPr>
            </w:pPr>
            <w:r w:rsidRPr="00706658">
              <w:rPr>
                <w:sz w:val="18"/>
                <w:szCs w:val="18"/>
              </w:rPr>
              <w:t>265</w:t>
            </w:r>
          </w:p>
        </w:tc>
        <w:tc>
          <w:tcPr>
            <w:tcW w:w="2160" w:type="dxa"/>
            <w:hideMark/>
          </w:tcPr>
          <w:p w14:paraId="22488E5A" w14:textId="77777777" w:rsidR="00413D97" w:rsidRPr="00706658" w:rsidRDefault="00413D97" w:rsidP="00D67B13">
            <w:pPr>
              <w:pStyle w:val="NormalWeb"/>
              <w:jc w:val="center"/>
              <w:rPr>
                <w:sz w:val="18"/>
                <w:szCs w:val="18"/>
              </w:rPr>
            </w:pPr>
            <w:r w:rsidRPr="00706658">
              <w:rPr>
                <w:sz w:val="18"/>
                <w:szCs w:val="18"/>
              </w:rPr>
              <w:t>268</w:t>
            </w:r>
          </w:p>
        </w:tc>
        <w:tc>
          <w:tcPr>
            <w:tcW w:w="1440" w:type="dxa"/>
            <w:hideMark/>
          </w:tcPr>
          <w:p w14:paraId="5489D29C" w14:textId="77777777" w:rsidR="00413D97" w:rsidRPr="00706658" w:rsidRDefault="00413D97" w:rsidP="00D67B13">
            <w:pPr>
              <w:pStyle w:val="NormalWeb"/>
              <w:jc w:val="center"/>
              <w:rPr>
                <w:sz w:val="18"/>
                <w:szCs w:val="18"/>
              </w:rPr>
            </w:pPr>
            <w:r w:rsidRPr="00706658">
              <w:rPr>
                <w:sz w:val="18"/>
                <w:szCs w:val="18"/>
              </w:rPr>
              <w:t>3</w:t>
            </w:r>
          </w:p>
        </w:tc>
        <w:tc>
          <w:tcPr>
            <w:tcW w:w="1466" w:type="dxa"/>
            <w:hideMark/>
          </w:tcPr>
          <w:p w14:paraId="46618230" w14:textId="77777777" w:rsidR="00413D97" w:rsidRPr="00706658" w:rsidRDefault="00413D97" w:rsidP="00D67B13">
            <w:pPr>
              <w:pStyle w:val="NormalWeb"/>
              <w:jc w:val="center"/>
              <w:rPr>
                <w:sz w:val="18"/>
                <w:szCs w:val="18"/>
              </w:rPr>
            </w:pPr>
            <w:r w:rsidRPr="00706658">
              <w:rPr>
                <w:sz w:val="18"/>
                <w:szCs w:val="18"/>
              </w:rPr>
              <w:t>1</w:t>
            </w:r>
          </w:p>
        </w:tc>
      </w:tr>
      <w:tr w:rsidR="003D2720" w:rsidRPr="00706658" w14:paraId="5D6E8889" w14:textId="77777777" w:rsidTr="003D2720">
        <w:trPr>
          <w:cnfStyle w:val="000000010000" w:firstRow="0" w:lastRow="0" w:firstColumn="0" w:lastColumn="0" w:oddVBand="0" w:evenVBand="0" w:oddHBand="0" w:evenHBand="1" w:firstRowFirstColumn="0" w:firstRowLastColumn="0" w:lastRowFirstColumn="0" w:lastRowLastColumn="0"/>
        </w:trPr>
        <w:tc>
          <w:tcPr>
            <w:tcW w:w="3600" w:type="dxa"/>
            <w:hideMark/>
          </w:tcPr>
          <w:p w14:paraId="29707C1F" w14:textId="77777777" w:rsidR="00413D97" w:rsidRPr="00706658" w:rsidRDefault="00413D97">
            <w:pPr>
              <w:pStyle w:val="NormalWeb"/>
              <w:rPr>
                <w:sz w:val="18"/>
                <w:szCs w:val="18"/>
              </w:rPr>
            </w:pPr>
            <w:r w:rsidRPr="00706658">
              <w:rPr>
                <w:sz w:val="18"/>
                <w:szCs w:val="18"/>
              </w:rPr>
              <w:t>70 to 79</w:t>
            </w:r>
          </w:p>
        </w:tc>
        <w:tc>
          <w:tcPr>
            <w:tcW w:w="1800" w:type="dxa"/>
            <w:hideMark/>
          </w:tcPr>
          <w:p w14:paraId="5B5673DF" w14:textId="77777777" w:rsidR="00413D97" w:rsidRPr="00706658" w:rsidRDefault="00413D97" w:rsidP="00D67B13">
            <w:pPr>
              <w:pStyle w:val="NormalWeb"/>
              <w:jc w:val="center"/>
              <w:rPr>
                <w:sz w:val="18"/>
                <w:szCs w:val="18"/>
              </w:rPr>
            </w:pPr>
            <w:r w:rsidRPr="00706658">
              <w:rPr>
                <w:sz w:val="18"/>
                <w:szCs w:val="18"/>
              </w:rPr>
              <w:t>175</w:t>
            </w:r>
          </w:p>
        </w:tc>
        <w:tc>
          <w:tcPr>
            <w:tcW w:w="2160" w:type="dxa"/>
            <w:hideMark/>
          </w:tcPr>
          <w:p w14:paraId="1EA81E36" w14:textId="77777777" w:rsidR="00413D97" w:rsidRPr="00706658" w:rsidRDefault="00413D97" w:rsidP="00D67B13">
            <w:pPr>
              <w:pStyle w:val="NormalWeb"/>
              <w:jc w:val="center"/>
              <w:rPr>
                <w:sz w:val="18"/>
                <w:szCs w:val="18"/>
              </w:rPr>
            </w:pPr>
            <w:r w:rsidRPr="00706658">
              <w:rPr>
                <w:sz w:val="18"/>
                <w:szCs w:val="18"/>
              </w:rPr>
              <w:t>159</w:t>
            </w:r>
          </w:p>
        </w:tc>
        <w:tc>
          <w:tcPr>
            <w:tcW w:w="1440" w:type="dxa"/>
            <w:hideMark/>
          </w:tcPr>
          <w:p w14:paraId="329BBC2F" w14:textId="77777777" w:rsidR="00413D97" w:rsidRPr="00706658" w:rsidRDefault="00413D97" w:rsidP="00D67B13">
            <w:pPr>
              <w:pStyle w:val="NormalWeb"/>
              <w:jc w:val="center"/>
              <w:rPr>
                <w:sz w:val="18"/>
                <w:szCs w:val="18"/>
              </w:rPr>
            </w:pPr>
            <w:r w:rsidRPr="00706658">
              <w:rPr>
                <w:sz w:val="18"/>
                <w:szCs w:val="18"/>
              </w:rPr>
              <w:t>7</w:t>
            </w:r>
          </w:p>
        </w:tc>
        <w:tc>
          <w:tcPr>
            <w:tcW w:w="1466" w:type="dxa"/>
            <w:hideMark/>
          </w:tcPr>
          <w:p w14:paraId="1B8F2441" w14:textId="77777777" w:rsidR="00413D97" w:rsidRPr="00706658" w:rsidRDefault="00413D97" w:rsidP="00D67B13">
            <w:pPr>
              <w:pStyle w:val="NormalWeb"/>
              <w:jc w:val="center"/>
              <w:rPr>
                <w:sz w:val="18"/>
                <w:szCs w:val="18"/>
              </w:rPr>
            </w:pPr>
            <w:r w:rsidRPr="00706658">
              <w:rPr>
                <w:sz w:val="18"/>
                <w:szCs w:val="18"/>
              </w:rPr>
              <w:t>6</w:t>
            </w:r>
          </w:p>
        </w:tc>
      </w:tr>
      <w:tr w:rsidR="003D2720" w:rsidRPr="00706658" w14:paraId="31BA8ECD" w14:textId="77777777" w:rsidTr="003D2720">
        <w:tc>
          <w:tcPr>
            <w:tcW w:w="3600" w:type="dxa"/>
            <w:hideMark/>
          </w:tcPr>
          <w:p w14:paraId="7478CF13" w14:textId="77777777" w:rsidR="00413D97" w:rsidRPr="00706658" w:rsidRDefault="00413D97">
            <w:pPr>
              <w:pStyle w:val="NormalWeb"/>
              <w:rPr>
                <w:sz w:val="18"/>
                <w:szCs w:val="18"/>
              </w:rPr>
            </w:pPr>
            <w:r w:rsidRPr="00706658">
              <w:rPr>
                <w:sz w:val="18"/>
                <w:szCs w:val="18"/>
              </w:rPr>
              <w:t>80 to 89</w:t>
            </w:r>
          </w:p>
        </w:tc>
        <w:tc>
          <w:tcPr>
            <w:tcW w:w="1800" w:type="dxa"/>
            <w:hideMark/>
          </w:tcPr>
          <w:p w14:paraId="59AD0DE7" w14:textId="77777777" w:rsidR="00413D97" w:rsidRPr="00706658" w:rsidRDefault="00413D97" w:rsidP="00D67B13">
            <w:pPr>
              <w:pStyle w:val="NormalWeb"/>
              <w:jc w:val="center"/>
              <w:rPr>
                <w:sz w:val="18"/>
                <w:szCs w:val="18"/>
              </w:rPr>
            </w:pPr>
            <w:r w:rsidRPr="00706658">
              <w:rPr>
                <w:sz w:val="18"/>
                <w:szCs w:val="18"/>
              </w:rPr>
              <w:t>58</w:t>
            </w:r>
          </w:p>
        </w:tc>
        <w:tc>
          <w:tcPr>
            <w:tcW w:w="2160" w:type="dxa"/>
            <w:hideMark/>
          </w:tcPr>
          <w:p w14:paraId="5EFB3673" w14:textId="77777777" w:rsidR="00413D97" w:rsidRPr="00706658" w:rsidRDefault="00413D97" w:rsidP="00D67B13">
            <w:pPr>
              <w:pStyle w:val="NormalWeb"/>
              <w:jc w:val="center"/>
              <w:rPr>
                <w:sz w:val="18"/>
                <w:szCs w:val="18"/>
              </w:rPr>
            </w:pPr>
            <w:r w:rsidRPr="00706658">
              <w:rPr>
                <w:sz w:val="18"/>
                <w:szCs w:val="18"/>
              </w:rPr>
              <w:t>52</w:t>
            </w:r>
          </w:p>
        </w:tc>
        <w:tc>
          <w:tcPr>
            <w:tcW w:w="1440" w:type="dxa"/>
            <w:hideMark/>
          </w:tcPr>
          <w:p w14:paraId="6664CA51" w14:textId="77777777" w:rsidR="00413D97" w:rsidRPr="00706658" w:rsidRDefault="00413D97" w:rsidP="00D67B13">
            <w:pPr>
              <w:pStyle w:val="NormalWeb"/>
              <w:jc w:val="center"/>
              <w:rPr>
                <w:sz w:val="18"/>
                <w:szCs w:val="18"/>
              </w:rPr>
            </w:pPr>
            <w:r w:rsidRPr="00706658">
              <w:rPr>
                <w:sz w:val="18"/>
                <w:szCs w:val="18"/>
              </w:rPr>
              <w:t>10</w:t>
            </w:r>
          </w:p>
        </w:tc>
        <w:tc>
          <w:tcPr>
            <w:tcW w:w="1466" w:type="dxa"/>
            <w:hideMark/>
          </w:tcPr>
          <w:p w14:paraId="43B27EE2" w14:textId="77777777" w:rsidR="00413D97" w:rsidRPr="00706658" w:rsidRDefault="00413D97" w:rsidP="00D67B13">
            <w:pPr>
              <w:pStyle w:val="NormalWeb"/>
              <w:jc w:val="center"/>
              <w:rPr>
                <w:sz w:val="18"/>
                <w:szCs w:val="18"/>
              </w:rPr>
            </w:pPr>
            <w:r w:rsidRPr="00706658">
              <w:rPr>
                <w:sz w:val="18"/>
                <w:szCs w:val="18"/>
              </w:rPr>
              <w:t>8</w:t>
            </w:r>
          </w:p>
        </w:tc>
      </w:tr>
      <w:tr w:rsidR="003D2720" w:rsidRPr="00706658" w14:paraId="34CF1300" w14:textId="77777777" w:rsidTr="003D2720">
        <w:trPr>
          <w:cnfStyle w:val="000000010000" w:firstRow="0" w:lastRow="0" w:firstColumn="0" w:lastColumn="0" w:oddVBand="0" w:evenVBand="0" w:oddHBand="0" w:evenHBand="1" w:firstRowFirstColumn="0" w:firstRowLastColumn="0" w:lastRowFirstColumn="0" w:lastRowLastColumn="0"/>
        </w:trPr>
        <w:tc>
          <w:tcPr>
            <w:tcW w:w="3600" w:type="dxa"/>
            <w:hideMark/>
          </w:tcPr>
          <w:p w14:paraId="5D051B1F" w14:textId="77777777" w:rsidR="00413D97" w:rsidRPr="00706658" w:rsidRDefault="00413D97">
            <w:pPr>
              <w:pStyle w:val="NormalWeb"/>
              <w:rPr>
                <w:sz w:val="18"/>
                <w:szCs w:val="18"/>
              </w:rPr>
            </w:pPr>
            <w:r w:rsidRPr="00706658">
              <w:rPr>
                <w:sz w:val="18"/>
                <w:szCs w:val="18"/>
              </w:rPr>
              <w:t>90 and over</w:t>
            </w:r>
          </w:p>
        </w:tc>
        <w:tc>
          <w:tcPr>
            <w:tcW w:w="1800" w:type="dxa"/>
            <w:hideMark/>
          </w:tcPr>
          <w:p w14:paraId="27EE6D7F" w14:textId="77777777" w:rsidR="00413D97" w:rsidRPr="00706658" w:rsidRDefault="00413D97" w:rsidP="00D67B13">
            <w:pPr>
              <w:pStyle w:val="NormalWeb"/>
              <w:jc w:val="center"/>
              <w:rPr>
                <w:sz w:val="18"/>
                <w:szCs w:val="18"/>
              </w:rPr>
            </w:pPr>
            <w:r w:rsidRPr="00706658">
              <w:rPr>
                <w:sz w:val="18"/>
                <w:szCs w:val="18"/>
              </w:rPr>
              <w:t>18</w:t>
            </w:r>
          </w:p>
        </w:tc>
        <w:tc>
          <w:tcPr>
            <w:tcW w:w="2160" w:type="dxa"/>
            <w:hideMark/>
          </w:tcPr>
          <w:p w14:paraId="00EB76EF" w14:textId="77777777" w:rsidR="00413D97" w:rsidRPr="00706658" w:rsidRDefault="00413D97" w:rsidP="00D67B13">
            <w:pPr>
              <w:pStyle w:val="NormalWeb"/>
              <w:jc w:val="center"/>
              <w:rPr>
                <w:sz w:val="18"/>
                <w:szCs w:val="18"/>
              </w:rPr>
            </w:pPr>
            <w:r w:rsidRPr="00706658">
              <w:rPr>
                <w:sz w:val="18"/>
                <w:szCs w:val="18"/>
              </w:rPr>
              <w:t>24</w:t>
            </w:r>
          </w:p>
        </w:tc>
        <w:tc>
          <w:tcPr>
            <w:tcW w:w="1440" w:type="dxa"/>
            <w:hideMark/>
          </w:tcPr>
          <w:p w14:paraId="643E6179" w14:textId="77777777" w:rsidR="00413D97" w:rsidRPr="00706658" w:rsidRDefault="00413D97" w:rsidP="00D67B13">
            <w:pPr>
              <w:pStyle w:val="NormalWeb"/>
              <w:jc w:val="center"/>
              <w:rPr>
                <w:sz w:val="18"/>
                <w:szCs w:val="18"/>
              </w:rPr>
            </w:pPr>
            <w:r w:rsidRPr="00706658">
              <w:rPr>
                <w:sz w:val="18"/>
                <w:szCs w:val="18"/>
              </w:rPr>
              <w:t>6</w:t>
            </w:r>
          </w:p>
        </w:tc>
        <w:tc>
          <w:tcPr>
            <w:tcW w:w="1466" w:type="dxa"/>
            <w:hideMark/>
          </w:tcPr>
          <w:p w14:paraId="482E5711" w14:textId="77777777" w:rsidR="00413D97" w:rsidRPr="00706658" w:rsidRDefault="00413D97" w:rsidP="00D67B13">
            <w:pPr>
              <w:pStyle w:val="NormalWeb"/>
              <w:jc w:val="center"/>
              <w:rPr>
                <w:sz w:val="18"/>
                <w:szCs w:val="18"/>
              </w:rPr>
            </w:pPr>
            <w:r w:rsidRPr="00706658">
              <w:rPr>
                <w:sz w:val="18"/>
                <w:szCs w:val="18"/>
              </w:rPr>
              <w:t>10</w:t>
            </w:r>
          </w:p>
        </w:tc>
      </w:tr>
      <w:tr w:rsidR="003D2720" w:rsidRPr="00706658" w14:paraId="1F6586B5" w14:textId="77777777" w:rsidTr="008F7C0E">
        <w:tc>
          <w:tcPr>
            <w:tcW w:w="3600" w:type="dxa"/>
            <w:shd w:val="clear" w:color="auto" w:fill="FDE9D9" w:themeFill="accent6" w:themeFillTint="33"/>
            <w:hideMark/>
          </w:tcPr>
          <w:p w14:paraId="0718A917" w14:textId="77777777" w:rsidR="00413D97" w:rsidRPr="00706658" w:rsidRDefault="00413D97">
            <w:pPr>
              <w:pStyle w:val="NormalWeb"/>
              <w:rPr>
                <w:b/>
                <w:sz w:val="18"/>
                <w:szCs w:val="18"/>
              </w:rPr>
            </w:pPr>
            <w:r w:rsidRPr="00706658">
              <w:rPr>
                <w:b/>
                <w:sz w:val="18"/>
                <w:szCs w:val="18"/>
              </w:rPr>
              <w:t>Total</w:t>
            </w:r>
          </w:p>
        </w:tc>
        <w:tc>
          <w:tcPr>
            <w:tcW w:w="1800" w:type="dxa"/>
            <w:shd w:val="clear" w:color="auto" w:fill="FDE9D9" w:themeFill="accent6" w:themeFillTint="33"/>
            <w:hideMark/>
          </w:tcPr>
          <w:p w14:paraId="581B92C6" w14:textId="77777777" w:rsidR="00413D97" w:rsidRPr="00706658" w:rsidRDefault="00413D97" w:rsidP="00D67B13">
            <w:pPr>
              <w:pStyle w:val="NormalWeb"/>
              <w:jc w:val="center"/>
              <w:rPr>
                <w:b/>
                <w:sz w:val="18"/>
                <w:szCs w:val="18"/>
              </w:rPr>
            </w:pPr>
            <w:r w:rsidRPr="00706658">
              <w:rPr>
                <w:b/>
                <w:sz w:val="18"/>
                <w:szCs w:val="18"/>
              </w:rPr>
              <w:t>1922</w:t>
            </w:r>
          </w:p>
        </w:tc>
        <w:tc>
          <w:tcPr>
            <w:tcW w:w="2160" w:type="dxa"/>
            <w:shd w:val="clear" w:color="auto" w:fill="FDE9D9" w:themeFill="accent6" w:themeFillTint="33"/>
            <w:hideMark/>
          </w:tcPr>
          <w:p w14:paraId="34DA9158" w14:textId="77777777" w:rsidR="00413D97" w:rsidRPr="00706658" w:rsidRDefault="00413D97" w:rsidP="00D67B13">
            <w:pPr>
              <w:pStyle w:val="NormalWeb"/>
              <w:jc w:val="center"/>
              <w:rPr>
                <w:b/>
                <w:sz w:val="18"/>
                <w:szCs w:val="18"/>
              </w:rPr>
            </w:pPr>
            <w:r w:rsidRPr="00706658">
              <w:rPr>
                <w:b/>
                <w:sz w:val="18"/>
                <w:szCs w:val="18"/>
              </w:rPr>
              <w:t>1840</w:t>
            </w:r>
          </w:p>
        </w:tc>
        <w:tc>
          <w:tcPr>
            <w:tcW w:w="1440" w:type="dxa"/>
            <w:shd w:val="clear" w:color="auto" w:fill="FDE9D9" w:themeFill="accent6" w:themeFillTint="33"/>
            <w:hideMark/>
          </w:tcPr>
          <w:p w14:paraId="4006A786" w14:textId="77777777" w:rsidR="00413D97" w:rsidRPr="00706658" w:rsidRDefault="00413D97" w:rsidP="00D67B13">
            <w:pPr>
              <w:pStyle w:val="NormalWeb"/>
              <w:jc w:val="center"/>
              <w:rPr>
                <w:b/>
                <w:sz w:val="18"/>
                <w:szCs w:val="18"/>
              </w:rPr>
            </w:pPr>
            <w:r w:rsidRPr="00706658">
              <w:rPr>
                <w:b/>
                <w:sz w:val="18"/>
                <w:szCs w:val="18"/>
              </w:rPr>
              <w:t>26</w:t>
            </w:r>
          </w:p>
        </w:tc>
        <w:tc>
          <w:tcPr>
            <w:tcW w:w="1466" w:type="dxa"/>
            <w:shd w:val="clear" w:color="auto" w:fill="FDE9D9" w:themeFill="accent6" w:themeFillTint="33"/>
            <w:hideMark/>
          </w:tcPr>
          <w:p w14:paraId="5A558F41" w14:textId="77777777" w:rsidR="00413D97" w:rsidRPr="00706658" w:rsidRDefault="00413D97" w:rsidP="00D67B13">
            <w:pPr>
              <w:pStyle w:val="NormalWeb"/>
              <w:jc w:val="center"/>
              <w:rPr>
                <w:b/>
                <w:sz w:val="18"/>
                <w:szCs w:val="18"/>
              </w:rPr>
            </w:pPr>
            <w:r w:rsidRPr="00706658">
              <w:rPr>
                <w:b/>
                <w:sz w:val="18"/>
                <w:szCs w:val="18"/>
              </w:rPr>
              <w:t>26</w:t>
            </w:r>
          </w:p>
        </w:tc>
      </w:tr>
    </w:tbl>
    <w:p w14:paraId="14ED9C48" w14:textId="77777777" w:rsidR="007F3394" w:rsidRDefault="007F3394" w:rsidP="007F3394">
      <w:pPr>
        <w:pStyle w:val="CDIFigures"/>
      </w:pPr>
    </w:p>
    <w:p w14:paraId="7A91376A" w14:textId="77777777" w:rsidR="007F3394" w:rsidRDefault="007F3394" w:rsidP="007F3394">
      <w:r>
        <w:br w:type="page"/>
      </w:r>
    </w:p>
    <w:p w14:paraId="3007E5BB" w14:textId="77777777" w:rsidR="00413D97" w:rsidRDefault="00413D97" w:rsidP="007F3394">
      <w:pPr>
        <w:pStyle w:val="CDIFigures"/>
      </w:pPr>
      <w:r>
        <w:lastRenderedPageBreak/>
        <w:t>Figure 3: New South Wales COVID-19 notifications by source of infection, February–July 2020</w:t>
      </w:r>
    </w:p>
    <w:p w14:paraId="3A04F31A" w14:textId="77777777" w:rsidR="00413D97" w:rsidRDefault="00413D97" w:rsidP="000B5BA6">
      <w:pPr>
        <w:pStyle w:val="NormalWeb"/>
        <w:jc w:val="center"/>
      </w:pPr>
      <w:r>
        <w:rPr>
          <w:noProof/>
        </w:rPr>
        <w:drawing>
          <wp:inline distT="0" distB="0" distL="0" distR="0" wp14:anchorId="7D537988" wp14:editId="042886CA">
            <wp:extent cx="6163069" cy="3102870"/>
            <wp:effectExtent l="0" t="0" r="0" b="2540"/>
            <wp:docPr id="3" name="Picture 3" descr="Stacked column chart showing monthly NSW COVID-19 notifications by source of infection. Across February and March, overseas-acquired cases predominated; in April, with the international border closed, a majority of cases were acquired locally; across May and June, overseas-acquired cases again predominated; July has seen most new notifications locally acquired, with a small proportion of cases acquired inter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cked column chart showing monthly NSW COVID-19 notifications by source of infection. Across February and March, overseas-acquired cases predominated; in April, with the international border closed, a majority of cases were acquired locally; across May and June, overseas-acquired cases again predominated; July has seen most new notifications locally acquired, with a small proportion of cases acquired interstat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163069" cy="3102870"/>
                    </a:xfrm>
                    <a:prstGeom prst="rect">
                      <a:avLst/>
                    </a:prstGeom>
                  </pic:spPr>
                </pic:pic>
              </a:graphicData>
            </a:graphic>
          </wp:inline>
        </w:drawing>
      </w:r>
    </w:p>
    <w:p w14:paraId="6AEF00D0" w14:textId="77777777" w:rsidR="00413D97" w:rsidRDefault="00413D97" w:rsidP="009F4B9E">
      <w:pPr>
        <w:pStyle w:val="CDIFigures"/>
      </w:pPr>
      <w:r>
        <w:t>Figure 4: New South Wales COVID-19 notifications by age group, February–July 2020</w:t>
      </w:r>
    </w:p>
    <w:p w14:paraId="6DFF19A1" w14:textId="77777777" w:rsidR="00413D97" w:rsidRDefault="00413D97" w:rsidP="009F4B9E">
      <w:pPr>
        <w:jc w:val="center"/>
        <w:rPr>
          <w:rFonts w:eastAsia="Times New Roman"/>
        </w:rPr>
      </w:pPr>
      <w:r>
        <w:rPr>
          <w:rFonts w:eastAsia="Times New Roman"/>
          <w:noProof/>
        </w:rPr>
        <w:drawing>
          <wp:inline distT="0" distB="0" distL="0" distR="0" wp14:anchorId="066A62FA" wp14:editId="6CB202F6">
            <wp:extent cx="6111252" cy="2279909"/>
            <wp:effectExtent l="0" t="0" r="3810" b="6350"/>
            <wp:docPr id="4" name="Picture 4" descr="Stacked column chart showing monthly NSW COVID-19 notifications by age group, for the age ranges 0–20 years, 20–50 years, 50–70 years and 70+ years. Excluding February, the 20–50 year age group has encompassed the majority of NSW cases notified in each month. The percentage of cases in the 50–70 years age group has decreased fairly steadily each month from February (43%) to June (15%) then up to 23% in July. A relatively high proportion of cases (10–16%) was seen in those aged 70+ throughout February to April; in May through July, this age group has accounted for fewer than 4% of cases each month. Cases in the 0–20 year age group, low for the first several months, have accounted for around 20% of cases notified in both June and Ju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cked column chart showing monthly NSW COVID-19 notifications by age group, for the age ranges 0–20 years, 20–50 years, 50–70 years and 70+ years. Excluding February, the 20–50 year age group has encompassed the majority of NSW cases notified in each month. The percentage of cases in the 50–70 years age group has decreased fairly steadily each month from February (43%) to June (15%) then up to 23% in July. A relatively high proportion of cases (10–16%) was seen in those aged 70+ throughout February to April; in May through July, this age group has accounted for fewer than 4% of cases each month. Cases in the 0–20 year age group, low for the first several months, have accounted for around 20% of cases notified in both June and July."/>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111252" cy="2279909"/>
                    </a:xfrm>
                    <a:prstGeom prst="rect">
                      <a:avLst/>
                    </a:prstGeom>
                  </pic:spPr>
                </pic:pic>
              </a:graphicData>
            </a:graphic>
          </wp:inline>
        </w:drawing>
      </w:r>
    </w:p>
    <w:p w14:paraId="6E872F3F" w14:textId="77777777" w:rsidR="00413D97" w:rsidRPr="009F4B9E" w:rsidRDefault="00413D97" w:rsidP="009F4B9E">
      <w:pPr>
        <w:pStyle w:val="Heading1"/>
      </w:pPr>
      <w:r w:rsidRPr="009F4B9E">
        <w:t xml:space="preserve">Australian cases: descriptive epidemiology </w:t>
      </w:r>
    </w:p>
    <w:p w14:paraId="532C642B" w14:textId="77777777" w:rsidR="00413D97" w:rsidRDefault="00413D97">
      <w:pPr>
        <w:pStyle w:val="Heading2"/>
        <w:rPr>
          <w:rFonts w:eastAsia="Times New Roman"/>
        </w:rPr>
      </w:pPr>
      <w:r>
        <w:rPr>
          <w:rFonts w:eastAsia="Times New Roman"/>
        </w:rPr>
        <w:t xml:space="preserve">Transmission trends </w:t>
      </w:r>
    </w:p>
    <w:p w14:paraId="690BAF31" w14:textId="77777777" w:rsidR="00413D97" w:rsidRDefault="00413D97" w:rsidP="009F4B9E">
      <w:r>
        <w:t>Up to 2 August 2020 there were 22,358 COVID-19 cases, including 361 deaths, reported nationally. Over the latest fortnightly reporting period, there were 6,121 cases, including 71 deaths. The majority of the recently reported cases were from Victoria (97%), followed by New South Wales (2.5%). A small number of cases was also reported in Queensland, South Australia, Tasmania, Western Australia and the Northern Territory (0.5%). On average, 437 cases were reported each day over the reporting period, an increase from 247 cases per day over the previous reporting</w:t>
      </w:r>
      <w:r w:rsidR="00555615">
        <w:t> </w:t>
      </w:r>
      <w:r>
        <w:t xml:space="preserve">period. </w:t>
      </w:r>
    </w:p>
    <w:p w14:paraId="004CE863" w14:textId="77777777" w:rsidR="00413D97" w:rsidRDefault="00413D97">
      <w:pPr>
        <w:pStyle w:val="NormalWeb"/>
      </w:pPr>
      <w:r>
        <w:t xml:space="preserve">Since the first case of COVID-19 was identified in Australia, all states and territories have experienced COVID-19 cases, with some jurisdictions experiencing higher numbers and more community-associated transmission. These </w:t>
      </w:r>
      <w:r>
        <w:lastRenderedPageBreak/>
        <w:t xml:space="preserve">differences arise from factors including state demographics, population size, patterns of overseas arrivals in the beginning of the pandemic, and ongoing repatriation flights which have been concentrated in Melbourne and Sydney. Cases in Victoria are currently driven by community transmission, with numerous outbreaks occurring across a range of settings and locations in Greater Melbourne. </w:t>
      </w:r>
    </w:p>
    <w:p w14:paraId="217BBB90" w14:textId="77777777" w:rsidR="00413D97" w:rsidRDefault="00413D97">
      <w:pPr>
        <w:pStyle w:val="Heading2"/>
        <w:rPr>
          <w:rFonts w:eastAsia="Times New Roman"/>
        </w:rPr>
      </w:pPr>
      <w:r>
        <w:rPr>
          <w:rFonts w:eastAsia="Times New Roman"/>
        </w:rPr>
        <w:t xml:space="preserve">Respiratory illness trends </w:t>
      </w:r>
    </w:p>
    <w:p w14:paraId="22D7537D" w14:textId="77777777" w:rsidR="00413D97" w:rsidRDefault="00413D97">
      <w:pPr>
        <w:pStyle w:val="NormalWeb"/>
      </w:pPr>
      <w:r>
        <w:t>The internet-based syndromic surveillance system, FluTracking,</w:t>
      </w:r>
      <w:r>
        <w:rPr>
          <w:vertAlign w:val="superscript"/>
        </w:rPr>
        <w:t>1</w:t>
      </w:r>
      <w:r>
        <w:t xml:space="preserve"> monitors trends of influenza-like illness (fever and cough) and acute respiratory illness (runny nose and sore throat) in the community via self-reporting of respiratory symptoms from registered participants. Whilst this system is not specific to COVID-19, it monitors reports of respiratory symptoms and provides an indication of broader respiratory illness transmission. </w:t>
      </w:r>
    </w:p>
    <w:p w14:paraId="39AAB1E9" w14:textId="77777777" w:rsidR="00413D97" w:rsidRDefault="00413D97">
      <w:pPr>
        <w:pStyle w:val="NormalWeb"/>
      </w:pPr>
      <w:r>
        <w:t>Based on self-reports of fever and cough in the community, respiratory illness symptoms are currently low nationally, approximately five- to seven-fold lower than the historical average for this time of year. There was no evidence of increased community acute respiratory illness in Victoria despite the increase in COVID-19 case numbers (Figure 5).</w:t>
      </w:r>
    </w:p>
    <w:p w14:paraId="647806C4" w14:textId="77777777" w:rsidR="00413D97" w:rsidRDefault="00413D97">
      <w:pPr>
        <w:pStyle w:val="Heading2"/>
        <w:rPr>
          <w:rFonts w:eastAsia="Times New Roman"/>
        </w:rPr>
      </w:pPr>
      <w:r>
        <w:rPr>
          <w:rFonts w:eastAsia="Times New Roman"/>
        </w:rPr>
        <w:t xml:space="preserve">Source of acquisition </w:t>
      </w:r>
    </w:p>
    <w:p w14:paraId="6BA88636" w14:textId="77777777" w:rsidR="00413D97" w:rsidRDefault="00413D97">
      <w:pPr>
        <w:pStyle w:val="NormalWeb"/>
      </w:pPr>
      <w:r>
        <w:t xml:space="preserve">As at 2 August 2020, Australia has recorded 18,367 cases of COVID-19 and 240 deaths: 49% of cases are reported as locally acquired; 40% are reported as overseas acquired; and 11% remain under investigation. Of all locally-acquired cases in this reporting period, the source of acquisition for 22% of cases was unable to be linked to a known case or cluster. This included 11 cases where a contact could not be identified but interstate travel had occurred. </w:t>
      </w:r>
    </w:p>
    <w:p w14:paraId="3B31ACDE" w14:textId="77777777" w:rsidR="00413D97" w:rsidRDefault="00413D97">
      <w:pPr>
        <w:pStyle w:val="NormalWeb"/>
      </w:pPr>
      <w:r>
        <w:t xml:space="preserve">In this reporting period, 97% of cases have been reported from Victoria (5,914). Of these cases, 43% are reported as locally acquired with known source, 12% as locally acquired with unknown source and, due to the scale of the outbreak, 45% are under investigation, though they are likely locally acquired (Table 2, Figure 6). </w:t>
      </w:r>
    </w:p>
    <w:p w14:paraId="7BC1A62C" w14:textId="77777777" w:rsidR="00413D97" w:rsidRDefault="00413D97">
      <w:pPr>
        <w:pStyle w:val="NormalWeb"/>
      </w:pPr>
      <w:r>
        <w:t>For all other cases (207) in this reporting period: 82% of these cases were reported from NSW; 61% of cases are reported as locally acquired with known source; 11% of cases are reported as locally acquired with unknown source; 23% of cases are reported as overseas acquired; and 5% of cases reported are under investigation (Table 2). Overseas-acquired cases in this fortnight were reported from NSW (28), WA (14) and Qld (5) and were detected in travellers in hotel quarantine from repatriation flights.</w:t>
      </w:r>
    </w:p>
    <w:p w14:paraId="4F10EAE8" w14:textId="77777777" w:rsidR="00F368EA" w:rsidRDefault="00F368EA">
      <w:pPr>
        <w:rPr>
          <w:b/>
        </w:rPr>
      </w:pPr>
      <w:r>
        <w:br w:type="page"/>
      </w:r>
    </w:p>
    <w:p w14:paraId="5710A91C" w14:textId="77777777" w:rsidR="00413D97" w:rsidRDefault="00413D97" w:rsidP="00A92495">
      <w:pPr>
        <w:pStyle w:val="CDIFigures"/>
      </w:pPr>
      <w:r>
        <w:lastRenderedPageBreak/>
        <w:t xml:space="preserve">Figure 5: Weekly trends in respiratory illness amongst FluTracking survey participants (age standardised), 2020 and average of the previous five </w:t>
      </w:r>
      <w:proofErr w:type="spellStart"/>
      <w:r>
        <w:t>years</w:t>
      </w:r>
      <w:r>
        <w:rPr>
          <w:vertAlign w:val="superscript"/>
        </w:rPr>
        <w:t>a</w:t>
      </w:r>
      <w:proofErr w:type="spellEnd"/>
    </w:p>
    <w:p w14:paraId="3534876A" w14:textId="77777777" w:rsidR="00413D97" w:rsidRDefault="00413D97" w:rsidP="006A5720">
      <w:pPr>
        <w:pStyle w:val="NormalWeb"/>
        <w:jc w:val="center"/>
      </w:pPr>
      <w:r>
        <w:rPr>
          <w:noProof/>
        </w:rPr>
        <w:drawing>
          <wp:inline distT="0" distB="0" distL="0" distR="0" wp14:anchorId="3A63BB01" wp14:editId="70D9C045">
            <wp:extent cx="6108204" cy="3983744"/>
            <wp:effectExtent l="0" t="0" r="6985" b="0"/>
            <wp:docPr id="5" name="Picture 5" descr="Line graph comparing weekly fever and cough notifications, as percentage of FluTracking survey participants, since 1 March 2020 with the averaged notifications each week for the years 2015–2019. Notifications for much of March this year have been around 1.5% but from April through to the end of July have consistently below 0.5%. While in previous years, FluTracking notifications have only been reported from May onwards, it is evident from the trend of notifications for this year than they are well below the average for the previous five years, for which the reporting rate is typically between 2% and 2.5% across the weeks from the start of May to the end of Ju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e graph comparing weekly fever and cough notifications, as percentage of FluTracking survey participants, since 1 March 2020 with the averaged notifications each week for the years 2015–2019. Notifications for much of March this year have been around 1.5% but from April through to the end of July have consistently below 0.5%. While in previous years, FluTracking notifications have only been reported from May onwards, it is evident from the trend of notifications for this year than they are well below the average for the previous five years, for which the reporting rate is typically between 2% and 2.5% across the weeks from the start of May to the end of July."/>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108204" cy="3983744"/>
                    </a:xfrm>
                    <a:prstGeom prst="rect">
                      <a:avLst/>
                    </a:prstGeom>
                  </pic:spPr>
                </pic:pic>
              </a:graphicData>
            </a:graphic>
          </wp:inline>
        </w:drawing>
      </w:r>
    </w:p>
    <w:p w14:paraId="3B3BCB18" w14:textId="77777777" w:rsidR="006A5720" w:rsidRDefault="006A5720">
      <w:pPr>
        <w:rPr>
          <w:b/>
        </w:rPr>
      </w:pPr>
      <w:r>
        <w:br w:type="page"/>
      </w:r>
    </w:p>
    <w:p w14:paraId="7FEB2C89" w14:textId="77777777" w:rsidR="00413D97" w:rsidRDefault="00413D97" w:rsidP="006A5720">
      <w:pPr>
        <w:pStyle w:val="CDIFigures"/>
      </w:pPr>
      <w:r>
        <w:lastRenderedPageBreak/>
        <w:t>Figure 6: COVID-19 notifications Victoria, and all other jurisdictions, by source of acquisition, as at 2 August 2020</w:t>
      </w:r>
    </w:p>
    <w:p w14:paraId="7C187548" w14:textId="77777777" w:rsidR="00413D97" w:rsidRDefault="00413D97">
      <w:pPr>
        <w:pStyle w:val="NormalWeb"/>
      </w:pPr>
      <w:r>
        <w:rPr>
          <w:noProof/>
        </w:rPr>
        <w:drawing>
          <wp:inline distT="0" distB="0" distL="0" distR="0" wp14:anchorId="1F09F952" wp14:editId="440AE401">
            <wp:extent cx="6743700" cy="8661356"/>
            <wp:effectExtent l="0" t="0" r="0" b="6985"/>
            <wp:docPr id="6" name="Picture 6" descr="Bar charts of new case notifications in Victoria, and in the set of other jurisdictions, by date of illness onset and source of acquisition. It is apparent that all jurisdictions saw a peak in notifications around 20 March 2020, with a majority of cases during this time overseas acquired. In contrast, almost all cases in the more recent and ongoing outbreak centred on Victoria (which has now overshadowed that state’s mid-March peak) have been locally acquired, while numbers of recent notifications elsewhere are much 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r charts of new case notifications in Victoria, and in the set of other jurisdictions, by date of illness onset and source of acquisition. It is apparent that all jurisdictions saw a peak in notifications around 20 March 2020, with a majority of cases during this time overseas acquired. In contrast, almost all cases in the more recent and ongoing outbreak centred on Victoria (which has now overshadowed that state’s mid-March peak) have been locally acquired, while numbers of recent notifications elsewhere are much lower."/>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745592" cy="8663786"/>
                    </a:xfrm>
                    <a:prstGeom prst="rect">
                      <a:avLst/>
                    </a:prstGeom>
                  </pic:spPr>
                </pic:pic>
              </a:graphicData>
            </a:graphic>
          </wp:inline>
        </w:drawing>
      </w:r>
    </w:p>
    <w:p w14:paraId="5158528D" w14:textId="77777777" w:rsidR="00413D97" w:rsidRDefault="00413D97" w:rsidP="00FF7F11">
      <w:pPr>
        <w:pStyle w:val="CDIFigures"/>
      </w:pPr>
      <w:r>
        <w:lastRenderedPageBreak/>
        <w:t>Table 2: COVID-19 notifications by jurisdiction and source of acquisition, 20 July – 2 August</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2 shows COVID-19 notifications by jurisdiction and by source of acquisition, for the current reporting fortnight. Most new COVID-19 notifications (5,914/6,121) have been reported in Victoria, where most cases are locally acquired and a large number of recent cases remain under investigation. New South Wales has reported 171 new COVID-19 notifications, the majority of which are locally aquired. In other states and territories, new notifications are predominantly overseas-acquired.&#10;"/>
      </w:tblPr>
      <w:tblGrid>
        <w:gridCol w:w="3261"/>
        <w:gridCol w:w="850"/>
        <w:gridCol w:w="992"/>
        <w:gridCol w:w="709"/>
        <w:gridCol w:w="709"/>
        <w:gridCol w:w="709"/>
        <w:gridCol w:w="567"/>
        <w:gridCol w:w="567"/>
        <w:gridCol w:w="747"/>
        <w:gridCol w:w="1329"/>
      </w:tblGrid>
      <w:tr w:rsidR="006908E8" w:rsidRPr="00BC00E6" w14:paraId="5261A31C" w14:textId="77777777" w:rsidTr="00EC183E">
        <w:trPr>
          <w:cnfStyle w:val="100000000000" w:firstRow="1" w:lastRow="0" w:firstColumn="0" w:lastColumn="0" w:oddVBand="0" w:evenVBand="0" w:oddHBand="0" w:evenHBand="0" w:firstRowFirstColumn="0" w:firstRowLastColumn="0" w:lastRowFirstColumn="0" w:lastRowLastColumn="0"/>
          <w:tblHeader/>
        </w:trPr>
        <w:tc>
          <w:tcPr>
            <w:tcW w:w="3261" w:type="dxa"/>
            <w:hideMark/>
          </w:tcPr>
          <w:p w14:paraId="4463CDC1" w14:textId="77777777" w:rsidR="00413D97" w:rsidRPr="00BC00E6" w:rsidRDefault="00413D97">
            <w:pPr>
              <w:pStyle w:val="NormalWeb"/>
              <w:rPr>
                <w:color w:val="FFFFFF" w:themeColor="background1"/>
                <w:sz w:val="18"/>
                <w:szCs w:val="18"/>
              </w:rPr>
            </w:pPr>
            <w:r w:rsidRPr="00BC00E6">
              <w:rPr>
                <w:color w:val="FFFFFF" w:themeColor="background1"/>
                <w:sz w:val="18"/>
                <w:szCs w:val="18"/>
              </w:rPr>
              <w:t>Source</w:t>
            </w:r>
          </w:p>
        </w:tc>
        <w:tc>
          <w:tcPr>
            <w:tcW w:w="850" w:type="dxa"/>
            <w:hideMark/>
          </w:tcPr>
          <w:p w14:paraId="43D9397C" w14:textId="77777777" w:rsidR="00413D97" w:rsidRPr="00BC00E6" w:rsidRDefault="00413D97" w:rsidP="00EC183E">
            <w:pPr>
              <w:pStyle w:val="NormalWeb"/>
              <w:jc w:val="center"/>
              <w:rPr>
                <w:color w:val="FFFFFF" w:themeColor="background1"/>
                <w:sz w:val="18"/>
                <w:szCs w:val="18"/>
              </w:rPr>
            </w:pPr>
            <w:r w:rsidRPr="00BC00E6">
              <w:rPr>
                <w:color w:val="FFFFFF" w:themeColor="background1"/>
                <w:sz w:val="18"/>
                <w:szCs w:val="18"/>
              </w:rPr>
              <w:t>NSW</w:t>
            </w:r>
          </w:p>
        </w:tc>
        <w:tc>
          <w:tcPr>
            <w:tcW w:w="992" w:type="dxa"/>
            <w:hideMark/>
          </w:tcPr>
          <w:p w14:paraId="7F7F11C0" w14:textId="77777777" w:rsidR="00413D97" w:rsidRPr="00BC00E6" w:rsidRDefault="00413D97" w:rsidP="00EC183E">
            <w:pPr>
              <w:pStyle w:val="NormalWeb"/>
              <w:jc w:val="center"/>
              <w:rPr>
                <w:color w:val="FFFFFF" w:themeColor="background1"/>
                <w:sz w:val="18"/>
                <w:szCs w:val="18"/>
              </w:rPr>
            </w:pPr>
            <w:r w:rsidRPr="00BC00E6">
              <w:rPr>
                <w:color w:val="FFFFFF" w:themeColor="background1"/>
                <w:sz w:val="18"/>
                <w:szCs w:val="18"/>
              </w:rPr>
              <w:t>Vic</w:t>
            </w:r>
          </w:p>
        </w:tc>
        <w:tc>
          <w:tcPr>
            <w:tcW w:w="709" w:type="dxa"/>
            <w:hideMark/>
          </w:tcPr>
          <w:p w14:paraId="48D8EC6F" w14:textId="77777777" w:rsidR="00413D97" w:rsidRPr="00BC00E6" w:rsidRDefault="00413D97" w:rsidP="00EC183E">
            <w:pPr>
              <w:pStyle w:val="NormalWeb"/>
              <w:jc w:val="center"/>
              <w:rPr>
                <w:color w:val="FFFFFF" w:themeColor="background1"/>
                <w:sz w:val="18"/>
                <w:szCs w:val="18"/>
              </w:rPr>
            </w:pPr>
            <w:r w:rsidRPr="00BC00E6">
              <w:rPr>
                <w:color w:val="FFFFFF" w:themeColor="background1"/>
                <w:sz w:val="18"/>
                <w:szCs w:val="18"/>
              </w:rPr>
              <w:t>Qld</w:t>
            </w:r>
          </w:p>
        </w:tc>
        <w:tc>
          <w:tcPr>
            <w:tcW w:w="709" w:type="dxa"/>
            <w:hideMark/>
          </w:tcPr>
          <w:p w14:paraId="44F33790" w14:textId="77777777" w:rsidR="00413D97" w:rsidRPr="00BC00E6" w:rsidRDefault="00413D97" w:rsidP="00EC183E">
            <w:pPr>
              <w:pStyle w:val="NormalWeb"/>
              <w:jc w:val="center"/>
              <w:rPr>
                <w:color w:val="FFFFFF" w:themeColor="background1"/>
                <w:sz w:val="18"/>
                <w:szCs w:val="18"/>
              </w:rPr>
            </w:pPr>
            <w:r w:rsidRPr="00BC00E6">
              <w:rPr>
                <w:color w:val="FFFFFF" w:themeColor="background1"/>
                <w:sz w:val="18"/>
                <w:szCs w:val="18"/>
              </w:rPr>
              <w:t>WA</w:t>
            </w:r>
          </w:p>
        </w:tc>
        <w:tc>
          <w:tcPr>
            <w:tcW w:w="709" w:type="dxa"/>
            <w:hideMark/>
          </w:tcPr>
          <w:p w14:paraId="41A775F7" w14:textId="77777777" w:rsidR="00413D97" w:rsidRPr="00BC00E6" w:rsidRDefault="00413D97" w:rsidP="00EC183E">
            <w:pPr>
              <w:pStyle w:val="NormalWeb"/>
              <w:jc w:val="center"/>
              <w:rPr>
                <w:color w:val="FFFFFF" w:themeColor="background1"/>
                <w:sz w:val="18"/>
                <w:szCs w:val="18"/>
              </w:rPr>
            </w:pPr>
            <w:r w:rsidRPr="00BC00E6">
              <w:rPr>
                <w:color w:val="FFFFFF" w:themeColor="background1"/>
                <w:sz w:val="18"/>
                <w:szCs w:val="18"/>
              </w:rPr>
              <w:t>SA</w:t>
            </w:r>
          </w:p>
        </w:tc>
        <w:tc>
          <w:tcPr>
            <w:tcW w:w="567" w:type="dxa"/>
            <w:hideMark/>
          </w:tcPr>
          <w:p w14:paraId="506558B9" w14:textId="77777777" w:rsidR="00413D97" w:rsidRPr="00BC00E6" w:rsidRDefault="00413D97" w:rsidP="00EC183E">
            <w:pPr>
              <w:pStyle w:val="NormalWeb"/>
              <w:jc w:val="center"/>
              <w:rPr>
                <w:color w:val="FFFFFF" w:themeColor="background1"/>
                <w:sz w:val="18"/>
                <w:szCs w:val="18"/>
              </w:rPr>
            </w:pPr>
            <w:r w:rsidRPr="00BC00E6">
              <w:rPr>
                <w:color w:val="FFFFFF" w:themeColor="background1"/>
                <w:sz w:val="18"/>
                <w:szCs w:val="18"/>
              </w:rPr>
              <w:t>Tas</w:t>
            </w:r>
          </w:p>
        </w:tc>
        <w:tc>
          <w:tcPr>
            <w:tcW w:w="567" w:type="dxa"/>
            <w:hideMark/>
          </w:tcPr>
          <w:p w14:paraId="5B09A2CC" w14:textId="77777777" w:rsidR="00413D97" w:rsidRPr="00BC00E6" w:rsidRDefault="00413D97" w:rsidP="00EC183E">
            <w:pPr>
              <w:pStyle w:val="NormalWeb"/>
              <w:jc w:val="center"/>
              <w:rPr>
                <w:color w:val="FFFFFF" w:themeColor="background1"/>
                <w:sz w:val="18"/>
                <w:szCs w:val="18"/>
              </w:rPr>
            </w:pPr>
            <w:r w:rsidRPr="00BC00E6">
              <w:rPr>
                <w:color w:val="FFFFFF" w:themeColor="background1"/>
                <w:sz w:val="18"/>
                <w:szCs w:val="18"/>
              </w:rPr>
              <w:t>NT</w:t>
            </w:r>
          </w:p>
        </w:tc>
        <w:tc>
          <w:tcPr>
            <w:tcW w:w="747" w:type="dxa"/>
            <w:hideMark/>
          </w:tcPr>
          <w:p w14:paraId="1BB7540A" w14:textId="77777777" w:rsidR="00413D97" w:rsidRPr="00BC00E6" w:rsidRDefault="00413D97" w:rsidP="00EC183E">
            <w:pPr>
              <w:pStyle w:val="NormalWeb"/>
              <w:jc w:val="center"/>
              <w:rPr>
                <w:color w:val="FFFFFF" w:themeColor="background1"/>
                <w:sz w:val="18"/>
                <w:szCs w:val="18"/>
              </w:rPr>
            </w:pPr>
            <w:r w:rsidRPr="00BC00E6">
              <w:rPr>
                <w:color w:val="FFFFFF" w:themeColor="background1"/>
                <w:sz w:val="18"/>
                <w:szCs w:val="18"/>
              </w:rPr>
              <w:t>ACT</w:t>
            </w:r>
          </w:p>
        </w:tc>
        <w:tc>
          <w:tcPr>
            <w:tcW w:w="1329" w:type="dxa"/>
            <w:hideMark/>
          </w:tcPr>
          <w:p w14:paraId="631FB4A2" w14:textId="77777777" w:rsidR="00413D97" w:rsidRPr="00BC00E6" w:rsidRDefault="00413D97" w:rsidP="00EC183E">
            <w:pPr>
              <w:pStyle w:val="NormalWeb"/>
              <w:jc w:val="center"/>
              <w:rPr>
                <w:color w:val="FFFFFF" w:themeColor="background1"/>
                <w:sz w:val="18"/>
                <w:szCs w:val="18"/>
              </w:rPr>
            </w:pPr>
            <w:r w:rsidRPr="00BC00E6">
              <w:rPr>
                <w:color w:val="FFFFFF" w:themeColor="background1"/>
                <w:sz w:val="18"/>
                <w:szCs w:val="18"/>
              </w:rPr>
              <w:t>Australia</w:t>
            </w:r>
          </w:p>
        </w:tc>
      </w:tr>
      <w:tr w:rsidR="00413D97" w:rsidRPr="00BC00E6" w14:paraId="0ADDF4A3" w14:textId="77777777" w:rsidTr="00EC183E">
        <w:tc>
          <w:tcPr>
            <w:tcW w:w="3261" w:type="dxa"/>
            <w:hideMark/>
          </w:tcPr>
          <w:p w14:paraId="06BB5778" w14:textId="77777777" w:rsidR="00413D97" w:rsidRPr="00BC00E6" w:rsidRDefault="00413D97">
            <w:pPr>
              <w:pStyle w:val="NormalWeb"/>
              <w:rPr>
                <w:sz w:val="18"/>
                <w:szCs w:val="18"/>
              </w:rPr>
            </w:pPr>
            <w:r w:rsidRPr="00BC00E6">
              <w:rPr>
                <w:sz w:val="18"/>
                <w:szCs w:val="18"/>
              </w:rPr>
              <w:t>Overseas</w:t>
            </w:r>
          </w:p>
        </w:tc>
        <w:tc>
          <w:tcPr>
            <w:tcW w:w="850" w:type="dxa"/>
            <w:hideMark/>
          </w:tcPr>
          <w:p w14:paraId="5C175874" w14:textId="77777777" w:rsidR="00413D97" w:rsidRPr="00BC00E6" w:rsidRDefault="00413D97" w:rsidP="00EC183E">
            <w:pPr>
              <w:pStyle w:val="NormalWeb"/>
              <w:jc w:val="center"/>
              <w:rPr>
                <w:sz w:val="18"/>
                <w:szCs w:val="18"/>
              </w:rPr>
            </w:pPr>
            <w:r w:rsidRPr="00BC00E6">
              <w:rPr>
                <w:sz w:val="18"/>
                <w:szCs w:val="18"/>
              </w:rPr>
              <w:t>28</w:t>
            </w:r>
          </w:p>
        </w:tc>
        <w:tc>
          <w:tcPr>
            <w:tcW w:w="992" w:type="dxa"/>
            <w:hideMark/>
          </w:tcPr>
          <w:p w14:paraId="06A94D62" w14:textId="77777777" w:rsidR="00413D97" w:rsidRPr="00BC00E6" w:rsidRDefault="00413D97" w:rsidP="00EC183E">
            <w:pPr>
              <w:pStyle w:val="NormalWeb"/>
              <w:jc w:val="center"/>
              <w:rPr>
                <w:sz w:val="18"/>
                <w:szCs w:val="18"/>
              </w:rPr>
            </w:pPr>
            <w:r w:rsidRPr="00BC00E6">
              <w:rPr>
                <w:sz w:val="18"/>
                <w:szCs w:val="18"/>
              </w:rPr>
              <w:t>0</w:t>
            </w:r>
          </w:p>
        </w:tc>
        <w:tc>
          <w:tcPr>
            <w:tcW w:w="709" w:type="dxa"/>
            <w:hideMark/>
          </w:tcPr>
          <w:p w14:paraId="280A6A04" w14:textId="77777777" w:rsidR="00413D97" w:rsidRPr="00BC00E6" w:rsidRDefault="00413D97" w:rsidP="00EC183E">
            <w:pPr>
              <w:pStyle w:val="NormalWeb"/>
              <w:jc w:val="center"/>
              <w:rPr>
                <w:sz w:val="18"/>
                <w:szCs w:val="18"/>
              </w:rPr>
            </w:pPr>
            <w:r w:rsidRPr="00BC00E6">
              <w:rPr>
                <w:sz w:val="18"/>
                <w:szCs w:val="18"/>
              </w:rPr>
              <w:t>5</w:t>
            </w:r>
          </w:p>
        </w:tc>
        <w:tc>
          <w:tcPr>
            <w:tcW w:w="709" w:type="dxa"/>
            <w:hideMark/>
          </w:tcPr>
          <w:p w14:paraId="3291E4E2" w14:textId="77777777" w:rsidR="00413D97" w:rsidRPr="00BC00E6" w:rsidRDefault="00413D97" w:rsidP="00EC183E">
            <w:pPr>
              <w:pStyle w:val="NormalWeb"/>
              <w:jc w:val="center"/>
              <w:rPr>
                <w:sz w:val="18"/>
                <w:szCs w:val="18"/>
              </w:rPr>
            </w:pPr>
            <w:r w:rsidRPr="00BC00E6">
              <w:rPr>
                <w:sz w:val="18"/>
                <w:szCs w:val="18"/>
              </w:rPr>
              <w:t>14</w:t>
            </w:r>
          </w:p>
        </w:tc>
        <w:tc>
          <w:tcPr>
            <w:tcW w:w="709" w:type="dxa"/>
            <w:hideMark/>
          </w:tcPr>
          <w:p w14:paraId="22068C3E" w14:textId="77777777" w:rsidR="00413D97" w:rsidRPr="00BC00E6" w:rsidRDefault="00413D97" w:rsidP="00EC183E">
            <w:pPr>
              <w:pStyle w:val="NormalWeb"/>
              <w:jc w:val="center"/>
              <w:rPr>
                <w:sz w:val="18"/>
                <w:szCs w:val="18"/>
              </w:rPr>
            </w:pPr>
            <w:r w:rsidRPr="00BC00E6">
              <w:rPr>
                <w:sz w:val="18"/>
                <w:szCs w:val="18"/>
              </w:rPr>
              <w:t>0</w:t>
            </w:r>
          </w:p>
        </w:tc>
        <w:tc>
          <w:tcPr>
            <w:tcW w:w="567" w:type="dxa"/>
            <w:hideMark/>
          </w:tcPr>
          <w:p w14:paraId="703EEDB4" w14:textId="77777777" w:rsidR="00413D97" w:rsidRPr="00BC00E6" w:rsidRDefault="00413D97" w:rsidP="00EC183E">
            <w:pPr>
              <w:pStyle w:val="NormalWeb"/>
              <w:jc w:val="center"/>
              <w:rPr>
                <w:sz w:val="18"/>
                <w:szCs w:val="18"/>
              </w:rPr>
            </w:pPr>
            <w:r w:rsidRPr="00BC00E6">
              <w:rPr>
                <w:sz w:val="18"/>
                <w:szCs w:val="18"/>
              </w:rPr>
              <w:t>0</w:t>
            </w:r>
          </w:p>
        </w:tc>
        <w:tc>
          <w:tcPr>
            <w:tcW w:w="567" w:type="dxa"/>
            <w:hideMark/>
          </w:tcPr>
          <w:p w14:paraId="393201A9" w14:textId="77777777" w:rsidR="00413D97" w:rsidRPr="00BC00E6" w:rsidRDefault="00413D97" w:rsidP="00EC183E">
            <w:pPr>
              <w:pStyle w:val="NormalWeb"/>
              <w:jc w:val="center"/>
              <w:rPr>
                <w:sz w:val="18"/>
                <w:szCs w:val="18"/>
              </w:rPr>
            </w:pPr>
            <w:r w:rsidRPr="00BC00E6">
              <w:rPr>
                <w:sz w:val="18"/>
                <w:szCs w:val="18"/>
              </w:rPr>
              <w:t>0</w:t>
            </w:r>
          </w:p>
        </w:tc>
        <w:tc>
          <w:tcPr>
            <w:tcW w:w="747" w:type="dxa"/>
            <w:hideMark/>
          </w:tcPr>
          <w:p w14:paraId="4E768031" w14:textId="77777777" w:rsidR="00413D97" w:rsidRPr="00BC00E6" w:rsidRDefault="00413D97" w:rsidP="00EC183E">
            <w:pPr>
              <w:pStyle w:val="NormalWeb"/>
              <w:jc w:val="center"/>
              <w:rPr>
                <w:sz w:val="18"/>
                <w:szCs w:val="18"/>
              </w:rPr>
            </w:pPr>
            <w:r w:rsidRPr="00BC00E6">
              <w:rPr>
                <w:sz w:val="18"/>
                <w:szCs w:val="18"/>
              </w:rPr>
              <w:t>0</w:t>
            </w:r>
          </w:p>
        </w:tc>
        <w:tc>
          <w:tcPr>
            <w:tcW w:w="1329" w:type="dxa"/>
            <w:hideMark/>
          </w:tcPr>
          <w:p w14:paraId="3320C2CD" w14:textId="77777777" w:rsidR="00413D97" w:rsidRPr="00BC00E6" w:rsidRDefault="00413D97" w:rsidP="00EC183E">
            <w:pPr>
              <w:pStyle w:val="NormalWeb"/>
              <w:jc w:val="center"/>
              <w:rPr>
                <w:sz w:val="18"/>
                <w:szCs w:val="18"/>
              </w:rPr>
            </w:pPr>
            <w:r w:rsidRPr="00BC00E6">
              <w:rPr>
                <w:sz w:val="18"/>
                <w:szCs w:val="18"/>
              </w:rPr>
              <w:t>47</w:t>
            </w:r>
          </w:p>
        </w:tc>
      </w:tr>
      <w:tr w:rsidR="006908E8" w:rsidRPr="00BC00E6" w14:paraId="5D44BD60" w14:textId="77777777" w:rsidTr="00EC183E">
        <w:trPr>
          <w:cnfStyle w:val="000000010000" w:firstRow="0" w:lastRow="0" w:firstColumn="0" w:lastColumn="0" w:oddVBand="0" w:evenVBand="0" w:oddHBand="0" w:evenHBand="1" w:firstRowFirstColumn="0" w:firstRowLastColumn="0" w:lastRowFirstColumn="0" w:lastRowLastColumn="0"/>
        </w:trPr>
        <w:tc>
          <w:tcPr>
            <w:tcW w:w="3261" w:type="dxa"/>
            <w:hideMark/>
          </w:tcPr>
          <w:p w14:paraId="7FFED399" w14:textId="77777777" w:rsidR="00413D97" w:rsidRPr="00BC00E6" w:rsidRDefault="00413D97">
            <w:pPr>
              <w:pStyle w:val="NormalWeb"/>
              <w:rPr>
                <w:sz w:val="18"/>
                <w:szCs w:val="18"/>
              </w:rPr>
            </w:pPr>
            <w:r w:rsidRPr="00BC00E6">
              <w:rPr>
                <w:sz w:val="18"/>
                <w:szCs w:val="18"/>
              </w:rPr>
              <w:t>Local—source known</w:t>
            </w:r>
          </w:p>
        </w:tc>
        <w:tc>
          <w:tcPr>
            <w:tcW w:w="850" w:type="dxa"/>
            <w:hideMark/>
          </w:tcPr>
          <w:p w14:paraId="6E08923C" w14:textId="77777777" w:rsidR="00413D97" w:rsidRPr="00BC00E6" w:rsidRDefault="00413D97" w:rsidP="00EC183E">
            <w:pPr>
              <w:pStyle w:val="NormalWeb"/>
              <w:jc w:val="center"/>
              <w:rPr>
                <w:sz w:val="18"/>
                <w:szCs w:val="18"/>
              </w:rPr>
            </w:pPr>
            <w:r w:rsidRPr="00BC00E6">
              <w:rPr>
                <w:sz w:val="18"/>
                <w:szCs w:val="18"/>
              </w:rPr>
              <w:t>123</w:t>
            </w:r>
          </w:p>
        </w:tc>
        <w:tc>
          <w:tcPr>
            <w:tcW w:w="992" w:type="dxa"/>
            <w:hideMark/>
          </w:tcPr>
          <w:p w14:paraId="59DEF92A" w14:textId="77777777" w:rsidR="00413D97" w:rsidRPr="00BC00E6" w:rsidRDefault="00413D97" w:rsidP="00EC183E">
            <w:pPr>
              <w:pStyle w:val="NormalWeb"/>
              <w:jc w:val="center"/>
              <w:rPr>
                <w:sz w:val="18"/>
                <w:szCs w:val="18"/>
              </w:rPr>
            </w:pPr>
            <w:r w:rsidRPr="00BC00E6">
              <w:rPr>
                <w:sz w:val="18"/>
                <w:szCs w:val="18"/>
              </w:rPr>
              <w:t>2,556</w:t>
            </w:r>
          </w:p>
        </w:tc>
        <w:tc>
          <w:tcPr>
            <w:tcW w:w="709" w:type="dxa"/>
            <w:hideMark/>
          </w:tcPr>
          <w:p w14:paraId="5A09935A" w14:textId="77777777" w:rsidR="00413D97" w:rsidRPr="00BC00E6" w:rsidRDefault="00413D97" w:rsidP="00EC183E">
            <w:pPr>
              <w:pStyle w:val="NormalWeb"/>
              <w:jc w:val="center"/>
              <w:rPr>
                <w:sz w:val="18"/>
                <w:szCs w:val="18"/>
              </w:rPr>
            </w:pPr>
            <w:r w:rsidRPr="00BC00E6">
              <w:rPr>
                <w:sz w:val="18"/>
                <w:szCs w:val="18"/>
              </w:rPr>
              <w:t>3</w:t>
            </w:r>
          </w:p>
        </w:tc>
        <w:tc>
          <w:tcPr>
            <w:tcW w:w="709" w:type="dxa"/>
            <w:hideMark/>
          </w:tcPr>
          <w:p w14:paraId="3C66CE65" w14:textId="77777777" w:rsidR="00413D97" w:rsidRPr="00BC00E6" w:rsidRDefault="00413D97" w:rsidP="00EC183E">
            <w:pPr>
              <w:pStyle w:val="NormalWeb"/>
              <w:jc w:val="center"/>
              <w:rPr>
                <w:sz w:val="18"/>
                <w:szCs w:val="18"/>
              </w:rPr>
            </w:pPr>
            <w:r w:rsidRPr="00BC00E6">
              <w:rPr>
                <w:sz w:val="18"/>
                <w:szCs w:val="18"/>
              </w:rPr>
              <w:t>1</w:t>
            </w:r>
          </w:p>
        </w:tc>
        <w:tc>
          <w:tcPr>
            <w:tcW w:w="709" w:type="dxa"/>
            <w:hideMark/>
          </w:tcPr>
          <w:p w14:paraId="4F08C558" w14:textId="77777777" w:rsidR="00413D97" w:rsidRPr="00BC00E6" w:rsidRDefault="00413D97" w:rsidP="00EC183E">
            <w:pPr>
              <w:pStyle w:val="NormalWeb"/>
              <w:jc w:val="center"/>
              <w:rPr>
                <w:sz w:val="18"/>
                <w:szCs w:val="18"/>
              </w:rPr>
            </w:pPr>
            <w:r w:rsidRPr="00BC00E6">
              <w:rPr>
                <w:sz w:val="18"/>
                <w:szCs w:val="18"/>
              </w:rPr>
              <w:t>0</w:t>
            </w:r>
          </w:p>
        </w:tc>
        <w:tc>
          <w:tcPr>
            <w:tcW w:w="567" w:type="dxa"/>
            <w:hideMark/>
          </w:tcPr>
          <w:p w14:paraId="1E8793D8" w14:textId="77777777" w:rsidR="00413D97" w:rsidRPr="00BC00E6" w:rsidRDefault="00413D97" w:rsidP="00EC183E">
            <w:pPr>
              <w:pStyle w:val="NormalWeb"/>
              <w:jc w:val="center"/>
              <w:rPr>
                <w:sz w:val="18"/>
                <w:szCs w:val="18"/>
              </w:rPr>
            </w:pPr>
            <w:r w:rsidRPr="00BC00E6">
              <w:rPr>
                <w:sz w:val="18"/>
                <w:szCs w:val="18"/>
              </w:rPr>
              <w:t>0</w:t>
            </w:r>
          </w:p>
        </w:tc>
        <w:tc>
          <w:tcPr>
            <w:tcW w:w="567" w:type="dxa"/>
            <w:hideMark/>
          </w:tcPr>
          <w:p w14:paraId="523F74E6" w14:textId="77777777" w:rsidR="00413D97" w:rsidRPr="00BC00E6" w:rsidRDefault="00413D97" w:rsidP="00EC183E">
            <w:pPr>
              <w:pStyle w:val="NormalWeb"/>
              <w:jc w:val="center"/>
              <w:rPr>
                <w:sz w:val="18"/>
                <w:szCs w:val="18"/>
              </w:rPr>
            </w:pPr>
            <w:r w:rsidRPr="00BC00E6">
              <w:rPr>
                <w:sz w:val="18"/>
                <w:szCs w:val="18"/>
              </w:rPr>
              <w:t>0</w:t>
            </w:r>
          </w:p>
        </w:tc>
        <w:tc>
          <w:tcPr>
            <w:tcW w:w="747" w:type="dxa"/>
            <w:hideMark/>
          </w:tcPr>
          <w:p w14:paraId="67747491" w14:textId="77777777" w:rsidR="00413D97" w:rsidRPr="00BC00E6" w:rsidRDefault="00413D97" w:rsidP="00EC183E">
            <w:pPr>
              <w:pStyle w:val="NormalWeb"/>
              <w:jc w:val="center"/>
              <w:rPr>
                <w:sz w:val="18"/>
                <w:szCs w:val="18"/>
              </w:rPr>
            </w:pPr>
            <w:r w:rsidRPr="00BC00E6">
              <w:rPr>
                <w:sz w:val="18"/>
                <w:szCs w:val="18"/>
              </w:rPr>
              <w:t>0</w:t>
            </w:r>
          </w:p>
        </w:tc>
        <w:tc>
          <w:tcPr>
            <w:tcW w:w="1329" w:type="dxa"/>
            <w:hideMark/>
          </w:tcPr>
          <w:p w14:paraId="79A8D6C8" w14:textId="77777777" w:rsidR="00413D97" w:rsidRPr="00BC00E6" w:rsidRDefault="00413D97" w:rsidP="00EC183E">
            <w:pPr>
              <w:pStyle w:val="NormalWeb"/>
              <w:jc w:val="center"/>
              <w:rPr>
                <w:sz w:val="18"/>
                <w:szCs w:val="18"/>
              </w:rPr>
            </w:pPr>
            <w:r w:rsidRPr="00BC00E6">
              <w:rPr>
                <w:sz w:val="18"/>
                <w:szCs w:val="18"/>
              </w:rPr>
              <w:t>2,683</w:t>
            </w:r>
          </w:p>
        </w:tc>
      </w:tr>
      <w:tr w:rsidR="00413D97" w:rsidRPr="00BC00E6" w14:paraId="44E96E0E" w14:textId="77777777" w:rsidTr="00EC183E">
        <w:tc>
          <w:tcPr>
            <w:tcW w:w="3261" w:type="dxa"/>
            <w:hideMark/>
          </w:tcPr>
          <w:p w14:paraId="3121FC7E" w14:textId="77777777" w:rsidR="00413D97" w:rsidRPr="00BC00E6" w:rsidRDefault="00413D97">
            <w:pPr>
              <w:pStyle w:val="NormalWeb"/>
              <w:rPr>
                <w:sz w:val="18"/>
                <w:szCs w:val="18"/>
              </w:rPr>
            </w:pPr>
            <w:r w:rsidRPr="00BC00E6">
              <w:rPr>
                <w:sz w:val="18"/>
                <w:szCs w:val="18"/>
              </w:rPr>
              <w:t>Local—source unknown</w:t>
            </w:r>
          </w:p>
        </w:tc>
        <w:tc>
          <w:tcPr>
            <w:tcW w:w="850" w:type="dxa"/>
            <w:hideMark/>
          </w:tcPr>
          <w:p w14:paraId="7FE047D5" w14:textId="77777777" w:rsidR="00413D97" w:rsidRPr="00BC00E6" w:rsidRDefault="00413D97" w:rsidP="00EC183E">
            <w:pPr>
              <w:pStyle w:val="NormalWeb"/>
              <w:jc w:val="center"/>
              <w:rPr>
                <w:sz w:val="18"/>
                <w:szCs w:val="18"/>
              </w:rPr>
            </w:pPr>
            <w:r w:rsidRPr="00BC00E6">
              <w:rPr>
                <w:sz w:val="18"/>
                <w:szCs w:val="18"/>
              </w:rPr>
              <w:t>19</w:t>
            </w:r>
          </w:p>
        </w:tc>
        <w:tc>
          <w:tcPr>
            <w:tcW w:w="992" w:type="dxa"/>
            <w:hideMark/>
          </w:tcPr>
          <w:p w14:paraId="5A30C351" w14:textId="77777777" w:rsidR="00413D97" w:rsidRPr="00BC00E6" w:rsidRDefault="00413D97" w:rsidP="00EC183E">
            <w:pPr>
              <w:pStyle w:val="NormalWeb"/>
              <w:jc w:val="center"/>
              <w:rPr>
                <w:sz w:val="18"/>
                <w:szCs w:val="18"/>
              </w:rPr>
            </w:pPr>
            <w:r w:rsidRPr="00BC00E6">
              <w:rPr>
                <w:sz w:val="18"/>
                <w:szCs w:val="18"/>
              </w:rPr>
              <w:t>718</w:t>
            </w:r>
          </w:p>
        </w:tc>
        <w:tc>
          <w:tcPr>
            <w:tcW w:w="709" w:type="dxa"/>
            <w:hideMark/>
          </w:tcPr>
          <w:p w14:paraId="1BC1EDE5" w14:textId="77777777" w:rsidR="00413D97" w:rsidRPr="00BC00E6" w:rsidRDefault="00413D97" w:rsidP="00EC183E">
            <w:pPr>
              <w:pStyle w:val="NormalWeb"/>
              <w:jc w:val="center"/>
              <w:rPr>
                <w:sz w:val="18"/>
                <w:szCs w:val="18"/>
              </w:rPr>
            </w:pPr>
            <w:r w:rsidRPr="00BC00E6">
              <w:rPr>
                <w:sz w:val="18"/>
                <w:szCs w:val="18"/>
              </w:rPr>
              <w:t>2</w:t>
            </w:r>
          </w:p>
        </w:tc>
        <w:tc>
          <w:tcPr>
            <w:tcW w:w="709" w:type="dxa"/>
            <w:hideMark/>
          </w:tcPr>
          <w:p w14:paraId="79D01A24" w14:textId="77777777" w:rsidR="00413D97" w:rsidRPr="00BC00E6" w:rsidRDefault="00413D97" w:rsidP="00EC183E">
            <w:pPr>
              <w:pStyle w:val="NormalWeb"/>
              <w:jc w:val="center"/>
              <w:rPr>
                <w:sz w:val="18"/>
                <w:szCs w:val="18"/>
              </w:rPr>
            </w:pPr>
            <w:r w:rsidRPr="00BC00E6">
              <w:rPr>
                <w:sz w:val="18"/>
                <w:szCs w:val="18"/>
              </w:rPr>
              <w:t>1</w:t>
            </w:r>
          </w:p>
        </w:tc>
        <w:tc>
          <w:tcPr>
            <w:tcW w:w="709" w:type="dxa"/>
            <w:hideMark/>
          </w:tcPr>
          <w:p w14:paraId="3F87E0DF" w14:textId="77777777" w:rsidR="00413D97" w:rsidRPr="00BC00E6" w:rsidRDefault="00413D97" w:rsidP="00EC183E">
            <w:pPr>
              <w:pStyle w:val="NormalWeb"/>
              <w:jc w:val="center"/>
              <w:rPr>
                <w:sz w:val="18"/>
                <w:szCs w:val="18"/>
              </w:rPr>
            </w:pPr>
            <w:r w:rsidRPr="00BC00E6">
              <w:rPr>
                <w:sz w:val="18"/>
                <w:szCs w:val="18"/>
              </w:rPr>
              <w:t>0</w:t>
            </w:r>
          </w:p>
        </w:tc>
        <w:tc>
          <w:tcPr>
            <w:tcW w:w="567" w:type="dxa"/>
            <w:hideMark/>
          </w:tcPr>
          <w:p w14:paraId="5ACAA659" w14:textId="77777777" w:rsidR="00413D97" w:rsidRPr="00BC00E6" w:rsidRDefault="00413D97" w:rsidP="00EC183E">
            <w:pPr>
              <w:pStyle w:val="NormalWeb"/>
              <w:jc w:val="center"/>
              <w:rPr>
                <w:sz w:val="18"/>
                <w:szCs w:val="18"/>
              </w:rPr>
            </w:pPr>
            <w:r w:rsidRPr="00BC00E6">
              <w:rPr>
                <w:sz w:val="18"/>
                <w:szCs w:val="18"/>
              </w:rPr>
              <w:t>1</w:t>
            </w:r>
          </w:p>
        </w:tc>
        <w:tc>
          <w:tcPr>
            <w:tcW w:w="567" w:type="dxa"/>
            <w:hideMark/>
          </w:tcPr>
          <w:p w14:paraId="2B5C8E48" w14:textId="77777777" w:rsidR="00413D97" w:rsidRPr="00BC00E6" w:rsidRDefault="00413D97" w:rsidP="00EC183E">
            <w:pPr>
              <w:pStyle w:val="NormalWeb"/>
              <w:jc w:val="center"/>
              <w:rPr>
                <w:sz w:val="18"/>
                <w:szCs w:val="18"/>
              </w:rPr>
            </w:pPr>
            <w:r w:rsidRPr="00BC00E6">
              <w:rPr>
                <w:sz w:val="18"/>
                <w:szCs w:val="18"/>
              </w:rPr>
              <w:t>0</w:t>
            </w:r>
          </w:p>
        </w:tc>
        <w:tc>
          <w:tcPr>
            <w:tcW w:w="747" w:type="dxa"/>
            <w:hideMark/>
          </w:tcPr>
          <w:p w14:paraId="18CB33DB" w14:textId="77777777" w:rsidR="00413D97" w:rsidRPr="00BC00E6" w:rsidRDefault="00413D97" w:rsidP="00EC183E">
            <w:pPr>
              <w:pStyle w:val="NormalWeb"/>
              <w:jc w:val="center"/>
              <w:rPr>
                <w:sz w:val="18"/>
                <w:szCs w:val="18"/>
              </w:rPr>
            </w:pPr>
            <w:r w:rsidRPr="00BC00E6">
              <w:rPr>
                <w:sz w:val="18"/>
                <w:szCs w:val="18"/>
              </w:rPr>
              <w:t>0</w:t>
            </w:r>
          </w:p>
        </w:tc>
        <w:tc>
          <w:tcPr>
            <w:tcW w:w="1329" w:type="dxa"/>
            <w:hideMark/>
          </w:tcPr>
          <w:p w14:paraId="469107EA" w14:textId="77777777" w:rsidR="00413D97" w:rsidRPr="00BC00E6" w:rsidRDefault="00413D97" w:rsidP="00EC183E">
            <w:pPr>
              <w:pStyle w:val="NormalWeb"/>
              <w:jc w:val="center"/>
              <w:rPr>
                <w:sz w:val="18"/>
                <w:szCs w:val="18"/>
              </w:rPr>
            </w:pPr>
            <w:r w:rsidRPr="00BC00E6">
              <w:rPr>
                <w:sz w:val="18"/>
                <w:szCs w:val="18"/>
              </w:rPr>
              <w:t>741</w:t>
            </w:r>
          </w:p>
        </w:tc>
      </w:tr>
      <w:tr w:rsidR="006908E8" w:rsidRPr="00BC00E6" w14:paraId="5E795DB7" w14:textId="77777777" w:rsidTr="00EC183E">
        <w:trPr>
          <w:cnfStyle w:val="000000010000" w:firstRow="0" w:lastRow="0" w:firstColumn="0" w:lastColumn="0" w:oddVBand="0" w:evenVBand="0" w:oddHBand="0" w:evenHBand="1" w:firstRowFirstColumn="0" w:firstRowLastColumn="0" w:lastRowFirstColumn="0" w:lastRowLastColumn="0"/>
        </w:trPr>
        <w:tc>
          <w:tcPr>
            <w:tcW w:w="3261" w:type="dxa"/>
            <w:hideMark/>
          </w:tcPr>
          <w:p w14:paraId="4A2FE4F4" w14:textId="77777777" w:rsidR="00413D97" w:rsidRPr="00BC00E6" w:rsidRDefault="00413D97">
            <w:pPr>
              <w:pStyle w:val="NormalWeb"/>
              <w:rPr>
                <w:sz w:val="18"/>
                <w:szCs w:val="18"/>
              </w:rPr>
            </w:pPr>
            <w:r w:rsidRPr="00BC00E6">
              <w:rPr>
                <w:sz w:val="18"/>
                <w:szCs w:val="18"/>
              </w:rPr>
              <w:t>Under investigation</w:t>
            </w:r>
          </w:p>
        </w:tc>
        <w:tc>
          <w:tcPr>
            <w:tcW w:w="850" w:type="dxa"/>
            <w:hideMark/>
          </w:tcPr>
          <w:p w14:paraId="2A6F44A0" w14:textId="77777777" w:rsidR="00413D97" w:rsidRPr="00BC00E6" w:rsidRDefault="00413D97" w:rsidP="00EC183E">
            <w:pPr>
              <w:pStyle w:val="NormalWeb"/>
              <w:jc w:val="center"/>
              <w:rPr>
                <w:sz w:val="18"/>
                <w:szCs w:val="18"/>
              </w:rPr>
            </w:pPr>
            <w:r w:rsidRPr="00BC00E6">
              <w:rPr>
                <w:sz w:val="18"/>
                <w:szCs w:val="18"/>
              </w:rPr>
              <w:t>1</w:t>
            </w:r>
          </w:p>
        </w:tc>
        <w:tc>
          <w:tcPr>
            <w:tcW w:w="992" w:type="dxa"/>
            <w:hideMark/>
          </w:tcPr>
          <w:p w14:paraId="09A87BC1" w14:textId="77777777" w:rsidR="00413D97" w:rsidRPr="00BC00E6" w:rsidRDefault="00413D97" w:rsidP="00EC183E">
            <w:pPr>
              <w:pStyle w:val="NormalWeb"/>
              <w:jc w:val="center"/>
              <w:rPr>
                <w:sz w:val="18"/>
                <w:szCs w:val="18"/>
              </w:rPr>
            </w:pPr>
            <w:r w:rsidRPr="00BC00E6">
              <w:rPr>
                <w:sz w:val="18"/>
                <w:szCs w:val="18"/>
              </w:rPr>
              <w:t>2,640</w:t>
            </w:r>
          </w:p>
        </w:tc>
        <w:tc>
          <w:tcPr>
            <w:tcW w:w="709" w:type="dxa"/>
            <w:hideMark/>
          </w:tcPr>
          <w:p w14:paraId="1FA0557C" w14:textId="77777777" w:rsidR="00413D97" w:rsidRPr="00BC00E6" w:rsidRDefault="00413D97" w:rsidP="00EC183E">
            <w:pPr>
              <w:pStyle w:val="NormalWeb"/>
              <w:jc w:val="center"/>
              <w:rPr>
                <w:sz w:val="18"/>
                <w:szCs w:val="18"/>
              </w:rPr>
            </w:pPr>
            <w:r w:rsidRPr="00BC00E6">
              <w:rPr>
                <w:sz w:val="18"/>
                <w:szCs w:val="18"/>
              </w:rPr>
              <w:t>3</w:t>
            </w:r>
          </w:p>
        </w:tc>
        <w:tc>
          <w:tcPr>
            <w:tcW w:w="709" w:type="dxa"/>
            <w:hideMark/>
          </w:tcPr>
          <w:p w14:paraId="64FC3CA1" w14:textId="77777777" w:rsidR="00413D97" w:rsidRPr="00BC00E6" w:rsidRDefault="00413D97" w:rsidP="00EC183E">
            <w:pPr>
              <w:pStyle w:val="NormalWeb"/>
              <w:jc w:val="center"/>
              <w:rPr>
                <w:sz w:val="18"/>
                <w:szCs w:val="18"/>
              </w:rPr>
            </w:pPr>
            <w:r w:rsidRPr="00BC00E6">
              <w:rPr>
                <w:sz w:val="18"/>
                <w:szCs w:val="18"/>
              </w:rPr>
              <w:t>2</w:t>
            </w:r>
          </w:p>
        </w:tc>
        <w:tc>
          <w:tcPr>
            <w:tcW w:w="709" w:type="dxa"/>
            <w:hideMark/>
          </w:tcPr>
          <w:p w14:paraId="3BAECA60" w14:textId="77777777" w:rsidR="00413D97" w:rsidRPr="00BC00E6" w:rsidRDefault="00413D97" w:rsidP="00EC183E">
            <w:pPr>
              <w:pStyle w:val="NormalWeb"/>
              <w:jc w:val="center"/>
              <w:rPr>
                <w:sz w:val="18"/>
                <w:szCs w:val="18"/>
              </w:rPr>
            </w:pPr>
            <w:r w:rsidRPr="00BC00E6">
              <w:rPr>
                <w:sz w:val="18"/>
                <w:szCs w:val="18"/>
              </w:rPr>
              <w:t>2</w:t>
            </w:r>
          </w:p>
        </w:tc>
        <w:tc>
          <w:tcPr>
            <w:tcW w:w="567" w:type="dxa"/>
            <w:hideMark/>
          </w:tcPr>
          <w:p w14:paraId="3B968F34" w14:textId="77777777" w:rsidR="00413D97" w:rsidRPr="00BC00E6" w:rsidRDefault="00413D97" w:rsidP="00EC183E">
            <w:pPr>
              <w:pStyle w:val="NormalWeb"/>
              <w:jc w:val="center"/>
              <w:rPr>
                <w:sz w:val="18"/>
                <w:szCs w:val="18"/>
              </w:rPr>
            </w:pPr>
            <w:r w:rsidRPr="00BC00E6">
              <w:rPr>
                <w:sz w:val="18"/>
                <w:szCs w:val="18"/>
              </w:rPr>
              <w:t>0</w:t>
            </w:r>
          </w:p>
        </w:tc>
        <w:tc>
          <w:tcPr>
            <w:tcW w:w="567" w:type="dxa"/>
            <w:hideMark/>
          </w:tcPr>
          <w:p w14:paraId="1A009EED" w14:textId="77777777" w:rsidR="00413D97" w:rsidRPr="00BC00E6" w:rsidRDefault="00413D97" w:rsidP="00EC183E">
            <w:pPr>
              <w:pStyle w:val="NormalWeb"/>
              <w:jc w:val="center"/>
              <w:rPr>
                <w:sz w:val="18"/>
                <w:szCs w:val="18"/>
              </w:rPr>
            </w:pPr>
            <w:r w:rsidRPr="00BC00E6">
              <w:rPr>
                <w:sz w:val="18"/>
                <w:szCs w:val="18"/>
              </w:rPr>
              <w:t>2</w:t>
            </w:r>
          </w:p>
        </w:tc>
        <w:tc>
          <w:tcPr>
            <w:tcW w:w="747" w:type="dxa"/>
            <w:hideMark/>
          </w:tcPr>
          <w:p w14:paraId="24DDA631" w14:textId="77777777" w:rsidR="00413D97" w:rsidRPr="00BC00E6" w:rsidRDefault="00413D97" w:rsidP="00EC183E">
            <w:pPr>
              <w:pStyle w:val="NormalWeb"/>
              <w:jc w:val="center"/>
              <w:rPr>
                <w:sz w:val="18"/>
                <w:szCs w:val="18"/>
              </w:rPr>
            </w:pPr>
            <w:r w:rsidRPr="00BC00E6">
              <w:rPr>
                <w:sz w:val="18"/>
                <w:szCs w:val="18"/>
              </w:rPr>
              <w:t>0</w:t>
            </w:r>
          </w:p>
        </w:tc>
        <w:tc>
          <w:tcPr>
            <w:tcW w:w="1329" w:type="dxa"/>
            <w:hideMark/>
          </w:tcPr>
          <w:p w14:paraId="663D7333" w14:textId="77777777" w:rsidR="00413D97" w:rsidRPr="00BC00E6" w:rsidRDefault="00413D97" w:rsidP="00EC183E">
            <w:pPr>
              <w:pStyle w:val="NormalWeb"/>
              <w:jc w:val="center"/>
              <w:rPr>
                <w:sz w:val="18"/>
                <w:szCs w:val="18"/>
              </w:rPr>
            </w:pPr>
            <w:r w:rsidRPr="00BC00E6">
              <w:rPr>
                <w:sz w:val="18"/>
                <w:szCs w:val="18"/>
              </w:rPr>
              <w:t>2,650</w:t>
            </w:r>
          </w:p>
        </w:tc>
      </w:tr>
      <w:tr w:rsidR="00413D97" w:rsidRPr="00BC00E6" w14:paraId="58313BA5" w14:textId="77777777" w:rsidTr="00433D66">
        <w:tc>
          <w:tcPr>
            <w:tcW w:w="3261" w:type="dxa"/>
            <w:shd w:val="clear" w:color="auto" w:fill="FDE9D9" w:themeFill="accent6" w:themeFillTint="33"/>
            <w:hideMark/>
          </w:tcPr>
          <w:p w14:paraId="710D2EC9" w14:textId="77777777" w:rsidR="00413D97" w:rsidRPr="00BC00E6" w:rsidRDefault="00413D97">
            <w:pPr>
              <w:pStyle w:val="NormalWeb"/>
              <w:rPr>
                <w:b/>
                <w:sz w:val="18"/>
                <w:szCs w:val="18"/>
              </w:rPr>
            </w:pPr>
            <w:r w:rsidRPr="00BC00E6">
              <w:rPr>
                <w:b/>
                <w:sz w:val="18"/>
                <w:szCs w:val="18"/>
              </w:rPr>
              <w:t>Total</w:t>
            </w:r>
          </w:p>
        </w:tc>
        <w:tc>
          <w:tcPr>
            <w:tcW w:w="850" w:type="dxa"/>
            <w:shd w:val="clear" w:color="auto" w:fill="FDE9D9" w:themeFill="accent6" w:themeFillTint="33"/>
            <w:hideMark/>
          </w:tcPr>
          <w:p w14:paraId="21C8D825" w14:textId="77777777" w:rsidR="00413D97" w:rsidRPr="00BC00E6" w:rsidRDefault="00413D97" w:rsidP="00EC183E">
            <w:pPr>
              <w:pStyle w:val="NormalWeb"/>
              <w:jc w:val="center"/>
              <w:rPr>
                <w:b/>
                <w:sz w:val="18"/>
                <w:szCs w:val="18"/>
              </w:rPr>
            </w:pPr>
            <w:r w:rsidRPr="00BC00E6">
              <w:rPr>
                <w:b/>
                <w:sz w:val="18"/>
                <w:szCs w:val="18"/>
              </w:rPr>
              <w:t>171</w:t>
            </w:r>
          </w:p>
        </w:tc>
        <w:tc>
          <w:tcPr>
            <w:tcW w:w="992" w:type="dxa"/>
            <w:shd w:val="clear" w:color="auto" w:fill="FDE9D9" w:themeFill="accent6" w:themeFillTint="33"/>
            <w:hideMark/>
          </w:tcPr>
          <w:p w14:paraId="3118D87C" w14:textId="77777777" w:rsidR="00413D97" w:rsidRPr="00BC00E6" w:rsidRDefault="00413D97" w:rsidP="00EC183E">
            <w:pPr>
              <w:pStyle w:val="NormalWeb"/>
              <w:jc w:val="center"/>
              <w:rPr>
                <w:b/>
                <w:sz w:val="18"/>
                <w:szCs w:val="18"/>
              </w:rPr>
            </w:pPr>
            <w:r w:rsidRPr="00BC00E6">
              <w:rPr>
                <w:b/>
                <w:sz w:val="18"/>
                <w:szCs w:val="18"/>
              </w:rPr>
              <w:t>5,914</w:t>
            </w:r>
          </w:p>
        </w:tc>
        <w:tc>
          <w:tcPr>
            <w:tcW w:w="709" w:type="dxa"/>
            <w:shd w:val="clear" w:color="auto" w:fill="FDE9D9" w:themeFill="accent6" w:themeFillTint="33"/>
            <w:hideMark/>
          </w:tcPr>
          <w:p w14:paraId="2135ED1B" w14:textId="77777777" w:rsidR="00413D97" w:rsidRPr="00BC00E6" w:rsidRDefault="00413D97" w:rsidP="00EC183E">
            <w:pPr>
              <w:pStyle w:val="NormalWeb"/>
              <w:jc w:val="center"/>
              <w:rPr>
                <w:b/>
                <w:sz w:val="18"/>
                <w:szCs w:val="18"/>
              </w:rPr>
            </w:pPr>
            <w:r w:rsidRPr="00BC00E6">
              <w:rPr>
                <w:b/>
                <w:sz w:val="18"/>
                <w:szCs w:val="18"/>
              </w:rPr>
              <w:t>13</w:t>
            </w:r>
          </w:p>
        </w:tc>
        <w:tc>
          <w:tcPr>
            <w:tcW w:w="709" w:type="dxa"/>
            <w:shd w:val="clear" w:color="auto" w:fill="FDE9D9" w:themeFill="accent6" w:themeFillTint="33"/>
            <w:hideMark/>
          </w:tcPr>
          <w:p w14:paraId="2CD5F967" w14:textId="77777777" w:rsidR="00413D97" w:rsidRPr="00BC00E6" w:rsidRDefault="00413D97" w:rsidP="00EC183E">
            <w:pPr>
              <w:pStyle w:val="NormalWeb"/>
              <w:jc w:val="center"/>
              <w:rPr>
                <w:b/>
                <w:sz w:val="18"/>
                <w:szCs w:val="18"/>
              </w:rPr>
            </w:pPr>
            <w:r w:rsidRPr="00BC00E6">
              <w:rPr>
                <w:b/>
                <w:sz w:val="18"/>
                <w:szCs w:val="18"/>
              </w:rPr>
              <w:t>18</w:t>
            </w:r>
          </w:p>
        </w:tc>
        <w:tc>
          <w:tcPr>
            <w:tcW w:w="709" w:type="dxa"/>
            <w:shd w:val="clear" w:color="auto" w:fill="FDE9D9" w:themeFill="accent6" w:themeFillTint="33"/>
            <w:hideMark/>
          </w:tcPr>
          <w:p w14:paraId="27CDC108" w14:textId="77777777" w:rsidR="00413D97" w:rsidRPr="00BC00E6" w:rsidRDefault="00413D97" w:rsidP="00EC183E">
            <w:pPr>
              <w:pStyle w:val="NormalWeb"/>
              <w:jc w:val="center"/>
              <w:rPr>
                <w:b/>
                <w:sz w:val="18"/>
                <w:szCs w:val="18"/>
              </w:rPr>
            </w:pPr>
            <w:r w:rsidRPr="00BC00E6">
              <w:rPr>
                <w:b/>
                <w:sz w:val="18"/>
                <w:szCs w:val="18"/>
              </w:rPr>
              <w:t>2</w:t>
            </w:r>
          </w:p>
        </w:tc>
        <w:tc>
          <w:tcPr>
            <w:tcW w:w="567" w:type="dxa"/>
            <w:shd w:val="clear" w:color="auto" w:fill="FDE9D9" w:themeFill="accent6" w:themeFillTint="33"/>
            <w:hideMark/>
          </w:tcPr>
          <w:p w14:paraId="1B7316DE" w14:textId="77777777" w:rsidR="00413D97" w:rsidRPr="00BC00E6" w:rsidRDefault="00413D97" w:rsidP="00EC183E">
            <w:pPr>
              <w:pStyle w:val="NormalWeb"/>
              <w:jc w:val="center"/>
              <w:rPr>
                <w:b/>
                <w:sz w:val="18"/>
                <w:szCs w:val="18"/>
              </w:rPr>
            </w:pPr>
            <w:r w:rsidRPr="00BC00E6">
              <w:rPr>
                <w:b/>
                <w:sz w:val="18"/>
                <w:szCs w:val="18"/>
              </w:rPr>
              <w:t>1</w:t>
            </w:r>
          </w:p>
        </w:tc>
        <w:tc>
          <w:tcPr>
            <w:tcW w:w="567" w:type="dxa"/>
            <w:shd w:val="clear" w:color="auto" w:fill="FDE9D9" w:themeFill="accent6" w:themeFillTint="33"/>
            <w:hideMark/>
          </w:tcPr>
          <w:p w14:paraId="2940F6A6" w14:textId="77777777" w:rsidR="00413D97" w:rsidRPr="00BC00E6" w:rsidRDefault="00413D97" w:rsidP="00EC183E">
            <w:pPr>
              <w:pStyle w:val="NormalWeb"/>
              <w:jc w:val="center"/>
              <w:rPr>
                <w:b/>
                <w:sz w:val="18"/>
                <w:szCs w:val="18"/>
              </w:rPr>
            </w:pPr>
            <w:r w:rsidRPr="00BC00E6">
              <w:rPr>
                <w:b/>
                <w:sz w:val="18"/>
                <w:szCs w:val="18"/>
              </w:rPr>
              <w:t>2</w:t>
            </w:r>
          </w:p>
        </w:tc>
        <w:tc>
          <w:tcPr>
            <w:tcW w:w="747" w:type="dxa"/>
            <w:shd w:val="clear" w:color="auto" w:fill="FDE9D9" w:themeFill="accent6" w:themeFillTint="33"/>
            <w:hideMark/>
          </w:tcPr>
          <w:p w14:paraId="3C431A64" w14:textId="77777777" w:rsidR="00413D97" w:rsidRPr="00BC00E6" w:rsidRDefault="00413D97" w:rsidP="00EC183E">
            <w:pPr>
              <w:pStyle w:val="NormalWeb"/>
              <w:jc w:val="center"/>
              <w:rPr>
                <w:b/>
                <w:sz w:val="18"/>
                <w:szCs w:val="18"/>
              </w:rPr>
            </w:pPr>
            <w:r w:rsidRPr="00BC00E6">
              <w:rPr>
                <w:b/>
                <w:sz w:val="18"/>
                <w:szCs w:val="18"/>
              </w:rPr>
              <w:t>0</w:t>
            </w:r>
          </w:p>
        </w:tc>
        <w:tc>
          <w:tcPr>
            <w:tcW w:w="1329" w:type="dxa"/>
            <w:shd w:val="clear" w:color="auto" w:fill="FDE9D9" w:themeFill="accent6" w:themeFillTint="33"/>
            <w:hideMark/>
          </w:tcPr>
          <w:p w14:paraId="7558513B" w14:textId="77777777" w:rsidR="00413D97" w:rsidRPr="00BC00E6" w:rsidRDefault="00413D97" w:rsidP="00EC183E">
            <w:pPr>
              <w:pStyle w:val="NormalWeb"/>
              <w:jc w:val="center"/>
              <w:rPr>
                <w:b/>
                <w:sz w:val="18"/>
                <w:szCs w:val="18"/>
              </w:rPr>
            </w:pPr>
            <w:r w:rsidRPr="00BC00E6">
              <w:rPr>
                <w:b/>
                <w:sz w:val="18"/>
                <w:szCs w:val="18"/>
              </w:rPr>
              <w:t>6,121</w:t>
            </w:r>
          </w:p>
        </w:tc>
      </w:tr>
    </w:tbl>
    <w:p w14:paraId="73CA027A" w14:textId="77777777" w:rsidR="00413D97" w:rsidRDefault="00413D97" w:rsidP="00FF7F11">
      <w:pPr>
        <w:pStyle w:val="CDIFigures"/>
      </w:pPr>
      <w:r>
        <w:t>Table 3: Locally-acquired COVID-19 cases by jurisdiction, as at 2 August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fortnightly locally-acquired case notifications and rates per 100,000 population within each jurisdiction for the current reporting fortnight, as well as the notifications for the previous reporting fortnight and the cumulative case numbers and rates for each jurisdiction. The ongoing outbreak in Victoria has seen a sharp increase in its number of locally-acquired cases and rate per 100,000; at 167.6 cases per 100,000 population, Victoria now has substantially the highest cumulative locally-acquired case rate nationwide.&#10;"/>
      </w:tblPr>
      <w:tblGrid>
        <w:gridCol w:w="967"/>
        <w:gridCol w:w="1530"/>
        <w:gridCol w:w="1531"/>
        <w:gridCol w:w="1530"/>
        <w:gridCol w:w="1531"/>
        <w:gridCol w:w="1530"/>
        <w:gridCol w:w="1531"/>
      </w:tblGrid>
      <w:tr w:rsidR="00413D97" w:rsidRPr="00BC00E6" w14:paraId="7A5AFCF0" w14:textId="77777777" w:rsidTr="006E2577">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7CE04D9" w14:textId="77777777" w:rsidR="00413D97" w:rsidRPr="00BC00E6" w:rsidRDefault="00413D97">
            <w:pPr>
              <w:pStyle w:val="NormalWeb"/>
              <w:rPr>
                <w:color w:val="FFFFFF" w:themeColor="background1"/>
                <w:sz w:val="18"/>
                <w:szCs w:val="18"/>
              </w:rPr>
            </w:pPr>
            <w:r w:rsidRPr="00BC00E6">
              <w:rPr>
                <w:color w:val="FFFFFF" w:themeColor="background1"/>
                <w:sz w:val="18"/>
                <w:szCs w:val="18"/>
              </w:rPr>
              <w:t>Jurisdiction</w:t>
            </w:r>
          </w:p>
        </w:tc>
        <w:tc>
          <w:tcPr>
            <w:tcW w:w="3061" w:type="dxa"/>
            <w:gridSpan w:val="2"/>
            <w:tcBorders>
              <w:left w:val="single" w:sz="2" w:space="0" w:color="FFFFFF" w:themeColor="background1"/>
              <w:bottom w:val="single" w:sz="2" w:space="0" w:color="FFFFFF" w:themeColor="background1"/>
              <w:right w:val="single" w:sz="2" w:space="0" w:color="FFFFFF" w:themeColor="background1"/>
            </w:tcBorders>
            <w:hideMark/>
          </w:tcPr>
          <w:p w14:paraId="259CBC7F" w14:textId="77777777" w:rsidR="00413D97" w:rsidRPr="00BC00E6" w:rsidRDefault="00413D97" w:rsidP="00A5738A">
            <w:pPr>
              <w:pStyle w:val="NormalWeb"/>
              <w:jc w:val="center"/>
              <w:rPr>
                <w:color w:val="FFFFFF" w:themeColor="background1"/>
                <w:sz w:val="18"/>
                <w:szCs w:val="18"/>
              </w:rPr>
            </w:pPr>
            <w:r w:rsidRPr="00BC00E6">
              <w:rPr>
                <w:color w:val="FFFFFF" w:themeColor="background1"/>
                <w:sz w:val="18"/>
                <w:szCs w:val="18"/>
              </w:rPr>
              <w:t>Reporting period</w:t>
            </w:r>
            <w:r w:rsidRPr="00BC00E6">
              <w:rPr>
                <w:color w:val="FFFFFF" w:themeColor="background1"/>
                <w:sz w:val="18"/>
                <w:szCs w:val="18"/>
              </w:rPr>
              <w:br/>
              <w:t>5–19 July</w:t>
            </w:r>
          </w:p>
        </w:tc>
        <w:tc>
          <w:tcPr>
            <w:tcW w:w="3061" w:type="dxa"/>
            <w:gridSpan w:val="2"/>
            <w:tcBorders>
              <w:left w:val="single" w:sz="2" w:space="0" w:color="FFFFFF" w:themeColor="background1"/>
              <w:bottom w:val="single" w:sz="2" w:space="0" w:color="FFFFFF" w:themeColor="background1"/>
              <w:right w:val="single" w:sz="2" w:space="0" w:color="FFFFFF" w:themeColor="background1"/>
            </w:tcBorders>
            <w:hideMark/>
          </w:tcPr>
          <w:p w14:paraId="08F80871" w14:textId="77777777" w:rsidR="00413D97" w:rsidRPr="00BC00E6" w:rsidRDefault="00413D97" w:rsidP="00A5738A">
            <w:pPr>
              <w:pStyle w:val="NormalWeb"/>
              <w:jc w:val="center"/>
              <w:rPr>
                <w:color w:val="FFFFFF" w:themeColor="background1"/>
                <w:sz w:val="18"/>
                <w:szCs w:val="18"/>
              </w:rPr>
            </w:pPr>
            <w:r w:rsidRPr="00BC00E6">
              <w:rPr>
                <w:color w:val="FFFFFF" w:themeColor="background1"/>
                <w:sz w:val="18"/>
                <w:szCs w:val="18"/>
              </w:rPr>
              <w:t>Reporting period</w:t>
            </w:r>
            <w:r w:rsidRPr="00BC00E6">
              <w:rPr>
                <w:color w:val="FFFFFF" w:themeColor="background1"/>
                <w:sz w:val="18"/>
                <w:szCs w:val="18"/>
              </w:rPr>
              <w:br/>
              <w:t>20 July–2 August</w:t>
            </w:r>
          </w:p>
        </w:tc>
        <w:tc>
          <w:tcPr>
            <w:tcW w:w="3061" w:type="dxa"/>
            <w:gridSpan w:val="2"/>
            <w:tcBorders>
              <w:left w:val="single" w:sz="2" w:space="0" w:color="FFFFFF" w:themeColor="background1"/>
              <w:bottom w:val="single" w:sz="2" w:space="0" w:color="FFFFFF" w:themeColor="background1"/>
            </w:tcBorders>
            <w:hideMark/>
          </w:tcPr>
          <w:p w14:paraId="2E688249" w14:textId="77777777" w:rsidR="00413D97" w:rsidRPr="00BC00E6" w:rsidRDefault="00413D97" w:rsidP="00A5738A">
            <w:pPr>
              <w:pStyle w:val="NormalWeb"/>
              <w:jc w:val="center"/>
              <w:rPr>
                <w:color w:val="FFFFFF" w:themeColor="background1"/>
                <w:sz w:val="18"/>
                <w:szCs w:val="18"/>
              </w:rPr>
            </w:pPr>
            <w:r w:rsidRPr="00BC00E6">
              <w:rPr>
                <w:color w:val="FFFFFF" w:themeColor="background1"/>
                <w:sz w:val="18"/>
                <w:szCs w:val="18"/>
              </w:rPr>
              <w:t>Cumulative cases</w:t>
            </w:r>
          </w:p>
        </w:tc>
      </w:tr>
      <w:tr w:rsidR="00413D97" w:rsidRPr="00BC00E6" w14:paraId="634E93E1" w14:textId="77777777" w:rsidTr="006E2577">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FA67BE6" w14:textId="77777777" w:rsidR="00413D97" w:rsidRPr="00BC00E6" w:rsidRDefault="00413D97">
            <w:pPr>
              <w:rPr>
                <w:color w:val="FFFFFF" w:themeColor="background1"/>
                <w:sz w:val="18"/>
                <w:szCs w:val="18"/>
              </w:rPr>
            </w:pPr>
          </w:p>
        </w:tc>
        <w:tc>
          <w:tcPr>
            <w:tcW w:w="1530" w:type="dxa"/>
            <w:tcBorders>
              <w:top w:val="single" w:sz="2" w:space="0" w:color="FFFFFF" w:themeColor="background1"/>
              <w:left w:val="single" w:sz="2" w:space="0" w:color="FFFFFF" w:themeColor="background1"/>
              <w:right w:val="single" w:sz="2" w:space="0" w:color="FFFFFF" w:themeColor="background1"/>
            </w:tcBorders>
            <w:hideMark/>
          </w:tcPr>
          <w:p w14:paraId="00EBF203" w14:textId="77777777" w:rsidR="00413D97" w:rsidRPr="00BC00E6" w:rsidRDefault="00413D97" w:rsidP="00A5738A">
            <w:pPr>
              <w:pStyle w:val="NormalWeb"/>
              <w:jc w:val="center"/>
              <w:rPr>
                <w:color w:val="FFFFFF" w:themeColor="background1"/>
                <w:sz w:val="18"/>
                <w:szCs w:val="18"/>
              </w:rPr>
            </w:pPr>
            <w:r w:rsidRPr="00BC00E6">
              <w:rPr>
                <w:color w:val="FFFFFF" w:themeColor="background1"/>
                <w:sz w:val="18"/>
                <w:szCs w:val="18"/>
              </w:rPr>
              <w:t>Number of cases</w:t>
            </w:r>
          </w:p>
        </w:tc>
        <w:tc>
          <w:tcPr>
            <w:tcW w:w="1531" w:type="dxa"/>
            <w:tcBorders>
              <w:top w:val="single" w:sz="2" w:space="0" w:color="FFFFFF" w:themeColor="background1"/>
              <w:left w:val="single" w:sz="2" w:space="0" w:color="FFFFFF" w:themeColor="background1"/>
              <w:right w:val="single" w:sz="2" w:space="0" w:color="FFFFFF" w:themeColor="background1"/>
            </w:tcBorders>
            <w:hideMark/>
          </w:tcPr>
          <w:p w14:paraId="76B00D31" w14:textId="77777777" w:rsidR="00413D97" w:rsidRPr="00BC00E6" w:rsidRDefault="00413D97" w:rsidP="00A5738A">
            <w:pPr>
              <w:pStyle w:val="NormalWeb"/>
              <w:jc w:val="center"/>
              <w:rPr>
                <w:color w:val="FFFFFF" w:themeColor="background1"/>
                <w:sz w:val="18"/>
                <w:szCs w:val="18"/>
              </w:rPr>
            </w:pPr>
            <w:r w:rsidRPr="00BC00E6">
              <w:rPr>
                <w:color w:val="FFFFFF" w:themeColor="background1"/>
                <w:sz w:val="18"/>
                <w:szCs w:val="18"/>
              </w:rPr>
              <w:t>Rates per 100,000 population</w:t>
            </w:r>
          </w:p>
        </w:tc>
        <w:tc>
          <w:tcPr>
            <w:tcW w:w="1530" w:type="dxa"/>
            <w:tcBorders>
              <w:top w:val="single" w:sz="2" w:space="0" w:color="FFFFFF" w:themeColor="background1"/>
              <w:left w:val="single" w:sz="2" w:space="0" w:color="FFFFFF" w:themeColor="background1"/>
              <w:right w:val="single" w:sz="2" w:space="0" w:color="FFFFFF" w:themeColor="background1"/>
            </w:tcBorders>
            <w:hideMark/>
          </w:tcPr>
          <w:p w14:paraId="5AF7022B" w14:textId="77777777" w:rsidR="00413D97" w:rsidRPr="00BC00E6" w:rsidRDefault="00413D97" w:rsidP="00A5738A">
            <w:pPr>
              <w:pStyle w:val="NormalWeb"/>
              <w:jc w:val="center"/>
              <w:rPr>
                <w:color w:val="FFFFFF" w:themeColor="background1"/>
                <w:sz w:val="18"/>
                <w:szCs w:val="18"/>
              </w:rPr>
            </w:pPr>
            <w:r w:rsidRPr="00BC00E6">
              <w:rPr>
                <w:color w:val="FFFFFF" w:themeColor="background1"/>
                <w:sz w:val="18"/>
                <w:szCs w:val="18"/>
              </w:rPr>
              <w:t>Number of cases</w:t>
            </w:r>
          </w:p>
        </w:tc>
        <w:tc>
          <w:tcPr>
            <w:tcW w:w="1531" w:type="dxa"/>
            <w:tcBorders>
              <w:top w:val="single" w:sz="2" w:space="0" w:color="FFFFFF" w:themeColor="background1"/>
              <w:left w:val="single" w:sz="2" w:space="0" w:color="FFFFFF" w:themeColor="background1"/>
              <w:right w:val="single" w:sz="2" w:space="0" w:color="FFFFFF" w:themeColor="background1"/>
            </w:tcBorders>
            <w:hideMark/>
          </w:tcPr>
          <w:p w14:paraId="511B0A41" w14:textId="77777777" w:rsidR="00413D97" w:rsidRPr="00BC00E6" w:rsidRDefault="00413D97" w:rsidP="00A5738A">
            <w:pPr>
              <w:pStyle w:val="NormalWeb"/>
              <w:jc w:val="center"/>
              <w:rPr>
                <w:color w:val="FFFFFF" w:themeColor="background1"/>
                <w:sz w:val="18"/>
                <w:szCs w:val="18"/>
              </w:rPr>
            </w:pPr>
            <w:r w:rsidRPr="00BC00E6">
              <w:rPr>
                <w:color w:val="FFFFFF" w:themeColor="background1"/>
                <w:sz w:val="18"/>
                <w:szCs w:val="18"/>
              </w:rPr>
              <w:t>Rates per 100,000 population</w:t>
            </w:r>
          </w:p>
        </w:tc>
        <w:tc>
          <w:tcPr>
            <w:tcW w:w="1530" w:type="dxa"/>
            <w:tcBorders>
              <w:top w:val="single" w:sz="2" w:space="0" w:color="FFFFFF" w:themeColor="background1"/>
              <w:left w:val="single" w:sz="2" w:space="0" w:color="FFFFFF" w:themeColor="background1"/>
              <w:right w:val="single" w:sz="2" w:space="0" w:color="FFFFFF" w:themeColor="background1"/>
            </w:tcBorders>
            <w:hideMark/>
          </w:tcPr>
          <w:p w14:paraId="15654944" w14:textId="77777777" w:rsidR="00413D97" w:rsidRPr="00BC00E6" w:rsidRDefault="00413D97" w:rsidP="00A5738A">
            <w:pPr>
              <w:pStyle w:val="NormalWeb"/>
              <w:jc w:val="center"/>
              <w:rPr>
                <w:color w:val="FFFFFF" w:themeColor="background1"/>
                <w:sz w:val="18"/>
                <w:szCs w:val="18"/>
              </w:rPr>
            </w:pPr>
            <w:r w:rsidRPr="00BC00E6">
              <w:rPr>
                <w:color w:val="FFFFFF" w:themeColor="background1"/>
                <w:sz w:val="18"/>
                <w:szCs w:val="18"/>
              </w:rPr>
              <w:t>Number of cases</w:t>
            </w:r>
          </w:p>
        </w:tc>
        <w:tc>
          <w:tcPr>
            <w:tcW w:w="1531" w:type="dxa"/>
            <w:tcBorders>
              <w:top w:val="single" w:sz="2" w:space="0" w:color="FFFFFF" w:themeColor="background1"/>
              <w:left w:val="single" w:sz="2" w:space="0" w:color="FFFFFF" w:themeColor="background1"/>
            </w:tcBorders>
            <w:hideMark/>
          </w:tcPr>
          <w:p w14:paraId="69B86D86" w14:textId="77777777" w:rsidR="00413D97" w:rsidRPr="00BC00E6" w:rsidRDefault="00413D97" w:rsidP="00A5738A">
            <w:pPr>
              <w:pStyle w:val="NormalWeb"/>
              <w:jc w:val="center"/>
              <w:rPr>
                <w:color w:val="FFFFFF" w:themeColor="background1"/>
                <w:sz w:val="18"/>
                <w:szCs w:val="18"/>
              </w:rPr>
            </w:pPr>
            <w:r w:rsidRPr="00BC00E6">
              <w:rPr>
                <w:color w:val="FFFFFF" w:themeColor="background1"/>
                <w:sz w:val="18"/>
                <w:szCs w:val="18"/>
              </w:rPr>
              <w:t>Rates per 100,000 population</w:t>
            </w:r>
          </w:p>
        </w:tc>
      </w:tr>
      <w:tr w:rsidR="00413D97" w:rsidRPr="00BC00E6" w14:paraId="10E353B7" w14:textId="77777777" w:rsidTr="00A5738A">
        <w:tc>
          <w:tcPr>
            <w:tcW w:w="0" w:type="auto"/>
            <w:hideMark/>
          </w:tcPr>
          <w:p w14:paraId="588C15A6" w14:textId="77777777" w:rsidR="00413D97" w:rsidRPr="00BC00E6" w:rsidRDefault="00413D97">
            <w:pPr>
              <w:pStyle w:val="NormalWeb"/>
              <w:rPr>
                <w:sz w:val="18"/>
                <w:szCs w:val="18"/>
              </w:rPr>
            </w:pPr>
            <w:r w:rsidRPr="00BC00E6">
              <w:rPr>
                <w:sz w:val="18"/>
                <w:szCs w:val="18"/>
              </w:rPr>
              <w:t>NSW</w:t>
            </w:r>
          </w:p>
        </w:tc>
        <w:tc>
          <w:tcPr>
            <w:tcW w:w="1530" w:type="dxa"/>
            <w:hideMark/>
          </w:tcPr>
          <w:p w14:paraId="11276543" w14:textId="77777777" w:rsidR="00413D97" w:rsidRPr="00BC00E6" w:rsidRDefault="00413D97" w:rsidP="00A5738A">
            <w:pPr>
              <w:pStyle w:val="NormalWeb"/>
              <w:jc w:val="center"/>
              <w:rPr>
                <w:sz w:val="18"/>
                <w:szCs w:val="18"/>
              </w:rPr>
            </w:pPr>
            <w:r w:rsidRPr="00BC00E6">
              <w:rPr>
                <w:sz w:val="18"/>
                <w:szCs w:val="18"/>
              </w:rPr>
              <w:t>119</w:t>
            </w:r>
          </w:p>
        </w:tc>
        <w:tc>
          <w:tcPr>
            <w:tcW w:w="1531" w:type="dxa"/>
            <w:hideMark/>
          </w:tcPr>
          <w:p w14:paraId="2F647AA8" w14:textId="77777777" w:rsidR="00413D97" w:rsidRPr="00BC00E6" w:rsidRDefault="00413D97" w:rsidP="00A5738A">
            <w:pPr>
              <w:pStyle w:val="NormalWeb"/>
              <w:jc w:val="center"/>
              <w:rPr>
                <w:sz w:val="18"/>
                <w:szCs w:val="18"/>
              </w:rPr>
            </w:pPr>
            <w:r w:rsidRPr="00BC00E6">
              <w:rPr>
                <w:sz w:val="18"/>
                <w:szCs w:val="18"/>
              </w:rPr>
              <w:t>1.5</w:t>
            </w:r>
          </w:p>
        </w:tc>
        <w:tc>
          <w:tcPr>
            <w:tcW w:w="1530" w:type="dxa"/>
            <w:hideMark/>
          </w:tcPr>
          <w:p w14:paraId="3CC2452A" w14:textId="77777777" w:rsidR="00413D97" w:rsidRPr="00BC00E6" w:rsidRDefault="00413D97" w:rsidP="00A5738A">
            <w:pPr>
              <w:pStyle w:val="NormalWeb"/>
              <w:jc w:val="center"/>
              <w:rPr>
                <w:sz w:val="18"/>
                <w:szCs w:val="18"/>
              </w:rPr>
            </w:pPr>
            <w:r w:rsidRPr="00BC00E6">
              <w:rPr>
                <w:sz w:val="18"/>
                <w:szCs w:val="18"/>
              </w:rPr>
              <w:t>142</w:t>
            </w:r>
          </w:p>
        </w:tc>
        <w:tc>
          <w:tcPr>
            <w:tcW w:w="1531" w:type="dxa"/>
            <w:hideMark/>
          </w:tcPr>
          <w:p w14:paraId="03E436B3" w14:textId="77777777" w:rsidR="00413D97" w:rsidRPr="00BC00E6" w:rsidRDefault="00413D97" w:rsidP="00A5738A">
            <w:pPr>
              <w:pStyle w:val="NormalWeb"/>
              <w:jc w:val="center"/>
              <w:rPr>
                <w:sz w:val="18"/>
                <w:szCs w:val="18"/>
              </w:rPr>
            </w:pPr>
            <w:r w:rsidRPr="00BC00E6">
              <w:rPr>
                <w:sz w:val="18"/>
                <w:szCs w:val="18"/>
              </w:rPr>
              <w:t>1.8</w:t>
            </w:r>
          </w:p>
        </w:tc>
        <w:tc>
          <w:tcPr>
            <w:tcW w:w="1530" w:type="dxa"/>
            <w:hideMark/>
          </w:tcPr>
          <w:p w14:paraId="65132DB8" w14:textId="77777777" w:rsidR="00413D97" w:rsidRPr="00BC00E6" w:rsidRDefault="00413D97" w:rsidP="00A5738A">
            <w:pPr>
              <w:pStyle w:val="NormalWeb"/>
              <w:jc w:val="center"/>
              <w:rPr>
                <w:sz w:val="18"/>
                <w:szCs w:val="18"/>
              </w:rPr>
            </w:pPr>
            <w:r w:rsidRPr="00BC00E6">
              <w:rPr>
                <w:sz w:val="18"/>
                <w:szCs w:val="18"/>
              </w:rPr>
              <w:t>1,590</w:t>
            </w:r>
          </w:p>
        </w:tc>
        <w:tc>
          <w:tcPr>
            <w:tcW w:w="1531" w:type="dxa"/>
            <w:hideMark/>
          </w:tcPr>
          <w:p w14:paraId="2BCDCAA1" w14:textId="77777777" w:rsidR="00413D97" w:rsidRPr="00BC00E6" w:rsidRDefault="00413D97" w:rsidP="00A5738A">
            <w:pPr>
              <w:pStyle w:val="NormalWeb"/>
              <w:jc w:val="center"/>
              <w:rPr>
                <w:sz w:val="18"/>
                <w:szCs w:val="18"/>
              </w:rPr>
            </w:pPr>
            <w:r w:rsidRPr="00BC00E6">
              <w:rPr>
                <w:sz w:val="18"/>
                <w:szCs w:val="18"/>
              </w:rPr>
              <w:t>19.7</w:t>
            </w:r>
          </w:p>
        </w:tc>
      </w:tr>
      <w:tr w:rsidR="00413D97" w:rsidRPr="00BC00E6" w14:paraId="2A61AB78" w14:textId="77777777" w:rsidTr="00A5738A">
        <w:trPr>
          <w:cnfStyle w:val="000000010000" w:firstRow="0" w:lastRow="0" w:firstColumn="0" w:lastColumn="0" w:oddVBand="0" w:evenVBand="0" w:oddHBand="0" w:evenHBand="1" w:firstRowFirstColumn="0" w:firstRowLastColumn="0" w:lastRowFirstColumn="0" w:lastRowLastColumn="0"/>
        </w:trPr>
        <w:tc>
          <w:tcPr>
            <w:tcW w:w="0" w:type="auto"/>
            <w:hideMark/>
          </w:tcPr>
          <w:p w14:paraId="7C0F430E" w14:textId="77777777" w:rsidR="00413D97" w:rsidRPr="00BC00E6" w:rsidRDefault="00413D97">
            <w:pPr>
              <w:pStyle w:val="NormalWeb"/>
              <w:rPr>
                <w:sz w:val="18"/>
                <w:szCs w:val="18"/>
              </w:rPr>
            </w:pPr>
            <w:r w:rsidRPr="00BC00E6">
              <w:rPr>
                <w:sz w:val="18"/>
                <w:szCs w:val="18"/>
              </w:rPr>
              <w:t>Vic</w:t>
            </w:r>
          </w:p>
        </w:tc>
        <w:tc>
          <w:tcPr>
            <w:tcW w:w="1530" w:type="dxa"/>
            <w:hideMark/>
          </w:tcPr>
          <w:p w14:paraId="708C7D66" w14:textId="77777777" w:rsidR="00413D97" w:rsidRPr="00BC00E6" w:rsidRDefault="00413D97" w:rsidP="00A5738A">
            <w:pPr>
              <w:pStyle w:val="NormalWeb"/>
              <w:jc w:val="center"/>
              <w:rPr>
                <w:sz w:val="18"/>
                <w:szCs w:val="18"/>
              </w:rPr>
            </w:pPr>
            <w:r w:rsidRPr="00BC00E6">
              <w:rPr>
                <w:sz w:val="18"/>
                <w:szCs w:val="18"/>
              </w:rPr>
              <w:t>3,234</w:t>
            </w:r>
          </w:p>
        </w:tc>
        <w:tc>
          <w:tcPr>
            <w:tcW w:w="1531" w:type="dxa"/>
            <w:hideMark/>
          </w:tcPr>
          <w:p w14:paraId="58B3A212" w14:textId="77777777" w:rsidR="00413D97" w:rsidRPr="00BC00E6" w:rsidRDefault="00413D97" w:rsidP="00A5738A">
            <w:pPr>
              <w:pStyle w:val="NormalWeb"/>
              <w:jc w:val="center"/>
              <w:rPr>
                <w:sz w:val="18"/>
                <w:szCs w:val="18"/>
              </w:rPr>
            </w:pPr>
            <w:r w:rsidRPr="00BC00E6">
              <w:rPr>
                <w:sz w:val="18"/>
                <w:szCs w:val="18"/>
              </w:rPr>
              <w:t>49.0</w:t>
            </w:r>
          </w:p>
        </w:tc>
        <w:tc>
          <w:tcPr>
            <w:tcW w:w="1530" w:type="dxa"/>
            <w:hideMark/>
          </w:tcPr>
          <w:p w14:paraId="7E5D7BA7" w14:textId="77777777" w:rsidR="00413D97" w:rsidRPr="00BC00E6" w:rsidRDefault="00413D97" w:rsidP="00A5738A">
            <w:pPr>
              <w:pStyle w:val="NormalWeb"/>
              <w:jc w:val="center"/>
              <w:rPr>
                <w:sz w:val="18"/>
                <w:szCs w:val="18"/>
              </w:rPr>
            </w:pPr>
            <w:r w:rsidRPr="00BC00E6">
              <w:rPr>
                <w:sz w:val="18"/>
                <w:szCs w:val="18"/>
              </w:rPr>
              <w:t>5,914</w:t>
            </w:r>
          </w:p>
        </w:tc>
        <w:tc>
          <w:tcPr>
            <w:tcW w:w="1531" w:type="dxa"/>
            <w:hideMark/>
          </w:tcPr>
          <w:p w14:paraId="635DC42E" w14:textId="77777777" w:rsidR="00413D97" w:rsidRPr="00BC00E6" w:rsidRDefault="00413D97" w:rsidP="00A5738A">
            <w:pPr>
              <w:pStyle w:val="NormalWeb"/>
              <w:jc w:val="center"/>
              <w:rPr>
                <w:sz w:val="18"/>
                <w:szCs w:val="18"/>
              </w:rPr>
            </w:pPr>
            <w:r w:rsidRPr="00BC00E6">
              <w:rPr>
                <w:sz w:val="18"/>
                <w:szCs w:val="18"/>
              </w:rPr>
              <w:t>89.7</w:t>
            </w:r>
          </w:p>
        </w:tc>
        <w:tc>
          <w:tcPr>
            <w:tcW w:w="1530" w:type="dxa"/>
            <w:hideMark/>
          </w:tcPr>
          <w:p w14:paraId="1F3C0522" w14:textId="77777777" w:rsidR="00413D97" w:rsidRPr="00BC00E6" w:rsidRDefault="00413D97" w:rsidP="00A5738A">
            <w:pPr>
              <w:pStyle w:val="NormalWeb"/>
              <w:jc w:val="center"/>
              <w:rPr>
                <w:sz w:val="18"/>
                <w:szCs w:val="18"/>
              </w:rPr>
            </w:pPr>
            <w:r w:rsidRPr="00BC00E6">
              <w:rPr>
                <w:sz w:val="18"/>
                <w:szCs w:val="18"/>
              </w:rPr>
              <w:t>11,052</w:t>
            </w:r>
          </w:p>
        </w:tc>
        <w:tc>
          <w:tcPr>
            <w:tcW w:w="1531" w:type="dxa"/>
            <w:hideMark/>
          </w:tcPr>
          <w:p w14:paraId="5C9DBCD2" w14:textId="77777777" w:rsidR="00413D97" w:rsidRPr="00BC00E6" w:rsidRDefault="00413D97" w:rsidP="00A5738A">
            <w:pPr>
              <w:pStyle w:val="NormalWeb"/>
              <w:jc w:val="center"/>
              <w:rPr>
                <w:sz w:val="18"/>
                <w:szCs w:val="18"/>
              </w:rPr>
            </w:pPr>
            <w:r w:rsidRPr="00BC00E6">
              <w:rPr>
                <w:sz w:val="18"/>
                <w:szCs w:val="18"/>
              </w:rPr>
              <w:t>167.6</w:t>
            </w:r>
          </w:p>
        </w:tc>
      </w:tr>
      <w:tr w:rsidR="00413D97" w:rsidRPr="00BC00E6" w14:paraId="2AF2F178" w14:textId="77777777" w:rsidTr="00A5738A">
        <w:tc>
          <w:tcPr>
            <w:tcW w:w="0" w:type="auto"/>
            <w:hideMark/>
          </w:tcPr>
          <w:p w14:paraId="7FFBD2A3" w14:textId="77777777" w:rsidR="00413D97" w:rsidRPr="00BC00E6" w:rsidRDefault="00413D97">
            <w:pPr>
              <w:pStyle w:val="NormalWeb"/>
              <w:rPr>
                <w:sz w:val="18"/>
                <w:szCs w:val="18"/>
              </w:rPr>
            </w:pPr>
            <w:r w:rsidRPr="00BC00E6">
              <w:rPr>
                <w:sz w:val="18"/>
                <w:szCs w:val="18"/>
              </w:rPr>
              <w:t>Qld</w:t>
            </w:r>
          </w:p>
        </w:tc>
        <w:tc>
          <w:tcPr>
            <w:tcW w:w="1530" w:type="dxa"/>
            <w:hideMark/>
          </w:tcPr>
          <w:p w14:paraId="7ACCB252" w14:textId="77777777" w:rsidR="00413D97" w:rsidRPr="00BC00E6" w:rsidRDefault="00413D97" w:rsidP="00A5738A">
            <w:pPr>
              <w:pStyle w:val="NormalWeb"/>
              <w:jc w:val="center"/>
              <w:rPr>
                <w:sz w:val="18"/>
                <w:szCs w:val="18"/>
              </w:rPr>
            </w:pPr>
            <w:r w:rsidRPr="00BC00E6">
              <w:rPr>
                <w:sz w:val="18"/>
                <w:szCs w:val="18"/>
              </w:rPr>
              <w:t>0</w:t>
            </w:r>
          </w:p>
        </w:tc>
        <w:tc>
          <w:tcPr>
            <w:tcW w:w="1531" w:type="dxa"/>
            <w:hideMark/>
          </w:tcPr>
          <w:p w14:paraId="19E1DE6A" w14:textId="77777777" w:rsidR="00413D97" w:rsidRPr="00BC00E6" w:rsidRDefault="00413D97" w:rsidP="00A5738A">
            <w:pPr>
              <w:pStyle w:val="NormalWeb"/>
              <w:jc w:val="center"/>
              <w:rPr>
                <w:sz w:val="18"/>
                <w:szCs w:val="18"/>
              </w:rPr>
            </w:pPr>
            <w:r w:rsidRPr="00BC00E6">
              <w:rPr>
                <w:sz w:val="18"/>
                <w:szCs w:val="18"/>
              </w:rPr>
              <w:t>0.0</w:t>
            </w:r>
          </w:p>
        </w:tc>
        <w:tc>
          <w:tcPr>
            <w:tcW w:w="1530" w:type="dxa"/>
            <w:hideMark/>
          </w:tcPr>
          <w:p w14:paraId="091E4E45" w14:textId="77777777" w:rsidR="00413D97" w:rsidRPr="00BC00E6" w:rsidRDefault="00413D97" w:rsidP="00A5738A">
            <w:pPr>
              <w:pStyle w:val="NormalWeb"/>
              <w:jc w:val="center"/>
              <w:rPr>
                <w:sz w:val="18"/>
                <w:szCs w:val="18"/>
              </w:rPr>
            </w:pPr>
            <w:r w:rsidRPr="00BC00E6">
              <w:rPr>
                <w:sz w:val="18"/>
                <w:szCs w:val="18"/>
              </w:rPr>
              <w:t>8</w:t>
            </w:r>
          </w:p>
        </w:tc>
        <w:tc>
          <w:tcPr>
            <w:tcW w:w="1531" w:type="dxa"/>
            <w:hideMark/>
          </w:tcPr>
          <w:p w14:paraId="6AAD64A9" w14:textId="77777777" w:rsidR="00413D97" w:rsidRPr="00BC00E6" w:rsidRDefault="00413D97" w:rsidP="00A5738A">
            <w:pPr>
              <w:pStyle w:val="NormalWeb"/>
              <w:jc w:val="center"/>
              <w:rPr>
                <w:sz w:val="18"/>
                <w:szCs w:val="18"/>
              </w:rPr>
            </w:pPr>
            <w:r w:rsidRPr="00BC00E6">
              <w:rPr>
                <w:sz w:val="18"/>
                <w:szCs w:val="18"/>
              </w:rPr>
              <w:t>0.2</w:t>
            </w:r>
          </w:p>
        </w:tc>
        <w:tc>
          <w:tcPr>
            <w:tcW w:w="1530" w:type="dxa"/>
            <w:hideMark/>
          </w:tcPr>
          <w:p w14:paraId="18FB9F0F" w14:textId="77777777" w:rsidR="00413D97" w:rsidRPr="00BC00E6" w:rsidRDefault="00413D97" w:rsidP="00A5738A">
            <w:pPr>
              <w:pStyle w:val="NormalWeb"/>
              <w:jc w:val="center"/>
              <w:rPr>
                <w:sz w:val="18"/>
                <w:szCs w:val="18"/>
              </w:rPr>
            </w:pPr>
            <w:r w:rsidRPr="00BC00E6">
              <w:rPr>
                <w:sz w:val="18"/>
                <w:szCs w:val="18"/>
              </w:rPr>
              <w:t>249</w:t>
            </w:r>
          </w:p>
        </w:tc>
        <w:tc>
          <w:tcPr>
            <w:tcW w:w="1531" w:type="dxa"/>
            <w:hideMark/>
          </w:tcPr>
          <w:p w14:paraId="0811B900" w14:textId="77777777" w:rsidR="00413D97" w:rsidRPr="00BC00E6" w:rsidRDefault="00413D97" w:rsidP="00A5738A">
            <w:pPr>
              <w:pStyle w:val="NormalWeb"/>
              <w:jc w:val="center"/>
              <w:rPr>
                <w:sz w:val="18"/>
                <w:szCs w:val="18"/>
              </w:rPr>
            </w:pPr>
            <w:r w:rsidRPr="00BC00E6">
              <w:rPr>
                <w:sz w:val="18"/>
                <w:szCs w:val="18"/>
              </w:rPr>
              <w:t>4.9</w:t>
            </w:r>
          </w:p>
        </w:tc>
      </w:tr>
      <w:tr w:rsidR="00413D97" w:rsidRPr="00BC00E6" w14:paraId="68EE80D5" w14:textId="77777777" w:rsidTr="00A5738A">
        <w:trPr>
          <w:cnfStyle w:val="000000010000" w:firstRow="0" w:lastRow="0" w:firstColumn="0" w:lastColumn="0" w:oddVBand="0" w:evenVBand="0" w:oddHBand="0" w:evenHBand="1" w:firstRowFirstColumn="0" w:firstRowLastColumn="0" w:lastRowFirstColumn="0" w:lastRowLastColumn="0"/>
        </w:trPr>
        <w:tc>
          <w:tcPr>
            <w:tcW w:w="0" w:type="auto"/>
            <w:hideMark/>
          </w:tcPr>
          <w:p w14:paraId="45265279" w14:textId="77777777" w:rsidR="00413D97" w:rsidRPr="00BC00E6" w:rsidRDefault="00413D97">
            <w:pPr>
              <w:pStyle w:val="NormalWeb"/>
              <w:rPr>
                <w:sz w:val="18"/>
                <w:szCs w:val="18"/>
              </w:rPr>
            </w:pPr>
            <w:r w:rsidRPr="00BC00E6">
              <w:rPr>
                <w:sz w:val="18"/>
                <w:szCs w:val="18"/>
              </w:rPr>
              <w:t>WA</w:t>
            </w:r>
          </w:p>
        </w:tc>
        <w:tc>
          <w:tcPr>
            <w:tcW w:w="1530" w:type="dxa"/>
            <w:hideMark/>
          </w:tcPr>
          <w:p w14:paraId="6A36C98A" w14:textId="77777777" w:rsidR="00413D97" w:rsidRPr="00BC00E6" w:rsidRDefault="00413D97" w:rsidP="00A5738A">
            <w:pPr>
              <w:pStyle w:val="NormalWeb"/>
              <w:jc w:val="center"/>
              <w:rPr>
                <w:sz w:val="18"/>
                <w:szCs w:val="18"/>
              </w:rPr>
            </w:pPr>
            <w:r w:rsidRPr="00BC00E6">
              <w:rPr>
                <w:sz w:val="18"/>
                <w:szCs w:val="18"/>
              </w:rPr>
              <w:t>2</w:t>
            </w:r>
          </w:p>
        </w:tc>
        <w:tc>
          <w:tcPr>
            <w:tcW w:w="1531" w:type="dxa"/>
            <w:hideMark/>
          </w:tcPr>
          <w:p w14:paraId="52DEAE50" w14:textId="77777777" w:rsidR="00413D97" w:rsidRPr="00BC00E6" w:rsidRDefault="00413D97" w:rsidP="00A5738A">
            <w:pPr>
              <w:pStyle w:val="NormalWeb"/>
              <w:jc w:val="center"/>
              <w:rPr>
                <w:sz w:val="18"/>
                <w:szCs w:val="18"/>
              </w:rPr>
            </w:pPr>
            <w:r w:rsidRPr="00BC00E6">
              <w:rPr>
                <w:sz w:val="18"/>
                <w:szCs w:val="18"/>
              </w:rPr>
              <w:t>0.1</w:t>
            </w:r>
          </w:p>
        </w:tc>
        <w:tc>
          <w:tcPr>
            <w:tcW w:w="1530" w:type="dxa"/>
            <w:hideMark/>
          </w:tcPr>
          <w:p w14:paraId="43D22494" w14:textId="77777777" w:rsidR="00413D97" w:rsidRPr="00BC00E6" w:rsidRDefault="00413D97" w:rsidP="00A5738A">
            <w:pPr>
              <w:pStyle w:val="NormalWeb"/>
              <w:jc w:val="center"/>
              <w:rPr>
                <w:sz w:val="18"/>
                <w:szCs w:val="18"/>
              </w:rPr>
            </w:pPr>
            <w:r w:rsidRPr="00BC00E6">
              <w:rPr>
                <w:sz w:val="18"/>
                <w:szCs w:val="18"/>
              </w:rPr>
              <w:t>4</w:t>
            </w:r>
          </w:p>
        </w:tc>
        <w:tc>
          <w:tcPr>
            <w:tcW w:w="1531" w:type="dxa"/>
            <w:hideMark/>
          </w:tcPr>
          <w:p w14:paraId="6FD222B8" w14:textId="77777777" w:rsidR="00413D97" w:rsidRPr="00BC00E6" w:rsidRDefault="00413D97" w:rsidP="00A5738A">
            <w:pPr>
              <w:pStyle w:val="NormalWeb"/>
              <w:jc w:val="center"/>
              <w:rPr>
                <w:sz w:val="18"/>
                <w:szCs w:val="18"/>
              </w:rPr>
            </w:pPr>
            <w:r w:rsidRPr="00BC00E6">
              <w:rPr>
                <w:sz w:val="18"/>
                <w:szCs w:val="18"/>
              </w:rPr>
              <w:t>0.2</w:t>
            </w:r>
          </w:p>
        </w:tc>
        <w:tc>
          <w:tcPr>
            <w:tcW w:w="1530" w:type="dxa"/>
            <w:hideMark/>
          </w:tcPr>
          <w:p w14:paraId="6B8AEEB1" w14:textId="77777777" w:rsidR="00413D97" w:rsidRPr="00BC00E6" w:rsidRDefault="00413D97" w:rsidP="00A5738A">
            <w:pPr>
              <w:pStyle w:val="NormalWeb"/>
              <w:jc w:val="center"/>
              <w:rPr>
                <w:sz w:val="18"/>
                <w:szCs w:val="18"/>
              </w:rPr>
            </w:pPr>
            <w:r w:rsidRPr="00BC00E6">
              <w:rPr>
                <w:sz w:val="18"/>
                <w:szCs w:val="18"/>
              </w:rPr>
              <w:t>94</w:t>
            </w:r>
          </w:p>
        </w:tc>
        <w:tc>
          <w:tcPr>
            <w:tcW w:w="1531" w:type="dxa"/>
            <w:hideMark/>
          </w:tcPr>
          <w:p w14:paraId="4BF3F443" w14:textId="77777777" w:rsidR="00413D97" w:rsidRPr="00BC00E6" w:rsidRDefault="00413D97" w:rsidP="00A5738A">
            <w:pPr>
              <w:pStyle w:val="NormalWeb"/>
              <w:jc w:val="center"/>
              <w:rPr>
                <w:sz w:val="18"/>
                <w:szCs w:val="18"/>
              </w:rPr>
            </w:pPr>
            <w:r w:rsidRPr="00BC00E6">
              <w:rPr>
                <w:sz w:val="18"/>
                <w:szCs w:val="18"/>
              </w:rPr>
              <w:t>3.6</w:t>
            </w:r>
          </w:p>
        </w:tc>
      </w:tr>
      <w:tr w:rsidR="00413D97" w:rsidRPr="00BC00E6" w14:paraId="4563412B" w14:textId="77777777" w:rsidTr="00A5738A">
        <w:tc>
          <w:tcPr>
            <w:tcW w:w="0" w:type="auto"/>
            <w:hideMark/>
          </w:tcPr>
          <w:p w14:paraId="20D16B0F" w14:textId="77777777" w:rsidR="00413D97" w:rsidRPr="00BC00E6" w:rsidRDefault="00413D97">
            <w:pPr>
              <w:pStyle w:val="NormalWeb"/>
              <w:rPr>
                <w:sz w:val="18"/>
                <w:szCs w:val="18"/>
              </w:rPr>
            </w:pPr>
            <w:r w:rsidRPr="00BC00E6">
              <w:rPr>
                <w:sz w:val="18"/>
                <w:szCs w:val="18"/>
              </w:rPr>
              <w:t>SA</w:t>
            </w:r>
          </w:p>
        </w:tc>
        <w:tc>
          <w:tcPr>
            <w:tcW w:w="1530" w:type="dxa"/>
            <w:hideMark/>
          </w:tcPr>
          <w:p w14:paraId="1D04E5B5" w14:textId="77777777" w:rsidR="00413D97" w:rsidRPr="00BC00E6" w:rsidRDefault="00413D97" w:rsidP="00A5738A">
            <w:pPr>
              <w:pStyle w:val="NormalWeb"/>
              <w:jc w:val="center"/>
              <w:rPr>
                <w:sz w:val="18"/>
                <w:szCs w:val="18"/>
              </w:rPr>
            </w:pPr>
            <w:r w:rsidRPr="00BC00E6">
              <w:rPr>
                <w:sz w:val="18"/>
                <w:szCs w:val="18"/>
              </w:rPr>
              <w:t>0</w:t>
            </w:r>
          </w:p>
        </w:tc>
        <w:tc>
          <w:tcPr>
            <w:tcW w:w="1531" w:type="dxa"/>
            <w:hideMark/>
          </w:tcPr>
          <w:p w14:paraId="5FED20A0" w14:textId="77777777" w:rsidR="00413D97" w:rsidRPr="00BC00E6" w:rsidRDefault="00413D97" w:rsidP="00A5738A">
            <w:pPr>
              <w:pStyle w:val="NormalWeb"/>
              <w:jc w:val="center"/>
              <w:rPr>
                <w:sz w:val="18"/>
                <w:szCs w:val="18"/>
              </w:rPr>
            </w:pPr>
            <w:r w:rsidRPr="00BC00E6">
              <w:rPr>
                <w:sz w:val="18"/>
                <w:szCs w:val="18"/>
              </w:rPr>
              <w:t>0.0</w:t>
            </w:r>
          </w:p>
        </w:tc>
        <w:tc>
          <w:tcPr>
            <w:tcW w:w="1530" w:type="dxa"/>
            <w:hideMark/>
          </w:tcPr>
          <w:p w14:paraId="27098C18" w14:textId="77777777" w:rsidR="00413D97" w:rsidRPr="00BC00E6" w:rsidRDefault="00413D97" w:rsidP="00A5738A">
            <w:pPr>
              <w:pStyle w:val="NormalWeb"/>
              <w:jc w:val="center"/>
              <w:rPr>
                <w:sz w:val="18"/>
                <w:szCs w:val="18"/>
              </w:rPr>
            </w:pPr>
            <w:r w:rsidRPr="00BC00E6">
              <w:rPr>
                <w:sz w:val="18"/>
                <w:szCs w:val="18"/>
              </w:rPr>
              <w:t>2</w:t>
            </w:r>
          </w:p>
        </w:tc>
        <w:tc>
          <w:tcPr>
            <w:tcW w:w="1531" w:type="dxa"/>
            <w:hideMark/>
          </w:tcPr>
          <w:p w14:paraId="345032C3" w14:textId="77777777" w:rsidR="00413D97" w:rsidRPr="00BC00E6" w:rsidRDefault="00413D97" w:rsidP="00A5738A">
            <w:pPr>
              <w:pStyle w:val="NormalWeb"/>
              <w:jc w:val="center"/>
              <w:rPr>
                <w:sz w:val="18"/>
                <w:szCs w:val="18"/>
              </w:rPr>
            </w:pPr>
            <w:r w:rsidRPr="00BC00E6">
              <w:rPr>
                <w:sz w:val="18"/>
                <w:szCs w:val="18"/>
              </w:rPr>
              <w:t>0.1</w:t>
            </w:r>
          </w:p>
        </w:tc>
        <w:tc>
          <w:tcPr>
            <w:tcW w:w="1530" w:type="dxa"/>
            <w:hideMark/>
          </w:tcPr>
          <w:p w14:paraId="03B8259B" w14:textId="77777777" w:rsidR="00413D97" w:rsidRPr="00BC00E6" w:rsidRDefault="00413D97" w:rsidP="00A5738A">
            <w:pPr>
              <w:pStyle w:val="NormalWeb"/>
              <w:jc w:val="center"/>
              <w:rPr>
                <w:sz w:val="18"/>
                <w:szCs w:val="18"/>
              </w:rPr>
            </w:pPr>
            <w:r w:rsidRPr="00BC00E6">
              <w:rPr>
                <w:sz w:val="18"/>
                <w:szCs w:val="18"/>
              </w:rPr>
              <w:t>141</w:t>
            </w:r>
          </w:p>
        </w:tc>
        <w:tc>
          <w:tcPr>
            <w:tcW w:w="1531" w:type="dxa"/>
            <w:hideMark/>
          </w:tcPr>
          <w:p w14:paraId="4A8758B7" w14:textId="77777777" w:rsidR="00413D97" w:rsidRPr="00BC00E6" w:rsidRDefault="00413D97" w:rsidP="00A5738A">
            <w:pPr>
              <w:pStyle w:val="NormalWeb"/>
              <w:jc w:val="center"/>
              <w:rPr>
                <w:sz w:val="18"/>
                <w:szCs w:val="18"/>
              </w:rPr>
            </w:pPr>
            <w:r w:rsidRPr="00BC00E6">
              <w:rPr>
                <w:sz w:val="18"/>
                <w:szCs w:val="18"/>
              </w:rPr>
              <w:t>8.0</w:t>
            </w:r>
          </w:p>
        </w:tc>
      </w:tr>
      <w:tr w:rsidR="00413D97" w:rsidRPr="00BC00E6" w14:paraId="07A29285" w14:textId="77777777" w:rsidTr="00A5738A">
        <w:trPr>
          <w:cnfStyle w:val="000000010000" w:firstRow="0" w:lastRow="0" w:firstColumn="0" w:lastColumn="0" w:oddVBand="0" w:evenVBand="0" w:oddHBand="0" w:evenHBand="1" w:firstRowFirstColumn="0" w:firstRowLastColumn="0" w:lastRowFirstColumn="0" w:lastRowLastColumn="0"/>
        </w:trPr>
        <w:tc>
          <w:tcPr>
            <w:tcW w:w="0" w:type="auto"/>
            <w:hideMark/>
          </w:tcPr>
          <w:p w14:paraId="0BC7DC8D" w14:textId="77777777" w:rsidR="00413D97" w:rsidRPr="00BC00E6" w:rsidRDefault="00413D97">
            <w:pPr>
              <w:pStyle w:val="NormalWeb"/>
              <w:rPr>
                <w:sz w:val="18"/>
                <w:szCs w:val="18"/>
              </w:rPr>
            </w:pPr>
            <w:r w:rsidRPr="00BC00E6">
              <w:rPr>
                <w:sz w:val="18"/>
                <w:szCs w:val="18"/>
              </w:rPr>
              <w:t>Tas</w:t>
            </w:r>
          </w:p>
        </w:tc>
        <w:tc>
          <w:tcPr>
            <w:tcW w:w="1530" w:type="dxa"/>
            <w:hideMark/>
          </w:tcPr>
          <w:p w14:paraId="0D64BD1B" w14:textId="77777777" w:rsidR="00413D97" w:rsidRPr="00BC00E6" w:rsidRDefault="00413D97" w:rsidP="00A5738A">
            <w:pPr>
              <w:pStyle w:val="NormalWeb"/>
              <w:jc w:val="center"/>
              <w:rPr>
                <w:sz w:val="18"/>
                <w:szCs w:val="18"/>
              </w:rPr>
            </w:pPr>
            <w:r w:rsidRPr="00BC00E6">
              <w:rPr>
                <w:sz w:val="18"/>
                <w:szCs w:val="18"/>
              </w:rPr>
              <w:t>0</w:t>
            </w:r>
          </w:p>
        </w:tc>
        <w:tc>
          <w:tcPr>
            <w:tcW w:w="1531" w:type="dxa"/>
            <w:hideMark/>
          </w:tcPr>
          <w:p w14:paraId="6CB76AE8" w14:textId="77777777" w:rsidR="00413D97" w:rsidRPr="00BC00E6" w:rsidRDefault="00413D97" w:rsidP="00A5738A">
            <w:pPr>
              <w:pStyle w:val="NormalWeb"/>
              <w:jc w:val="center"/>
              <w:rPr>
                <w:sz w:val="18"/>
                <w:szCs w:val="18"/>
              </w:rPr>
            </w:pPr>
            <w:r w:rsidRPr="00BC00E6">
              <w:rPr>
                <w:sz w:val="18"/>
                <w:szCs w:val="18"/>
              </w:rPr>
              <w:t>0.0</w:t>
            </w:r>
          </w:p>
        </w:tc>
        <w:tc>
          <w:tcPr>
            <w:tcW w:w="1530" w:type="dxa"/>
            <w:hideMark/>
          </w:tcPr>
          <w:p w14:paraId="538D25AA" w14:textId="77777777" w:rsidR="00413D97" w:rsidRPr="00BC00E6" w:rsidRDefault="00413D97" w:rsidP="00A5738A">
            <w:pPr>
              <w:pStyle w:val="NormalWeb"/>
              <w:jc w:val="center"/>
              <w:rPr>
                <w:sz w:val="18"/>
                <w:szCs w:val="18"/>
              </w:rPr>
            </w:pPr>
            <w:r w:rsidRPr="00BC00E6">
              <w:rPr>
                <w:sz w:val="18"/>
                <w:szCs w:val="18"/>
              </w:rPr>
              <w:t>1</w:t>
            </w:r>
          </w:p>
        </w:tc>
        <w:tc>
          <w:tcPr>
            <w:tcW w:w="1531" w:type="dxa"/>
            <w:hideMark/>
          </w:tcPr>
          <w:p w14:paraId="68EACD70" w14:textId="77777777" w:rsidR="00413D97" w:rsidRPr="00BC00E6" w:rsidRDefault="00413D97" w:rsidP="00A5738A">
            <w:pPr>
              <w:pStyle w:val="NormalWeb"/>
              <w:jc w:val="center"/>
              <w:rPr>
                <w:sz w:val="18"/>
                <w:szCs w:val="18"/>
              </w:rPr>
            </w:pPr>
            <w:r w:rsidRPr="00BC00E6">
              <w:rPr>
                <w:sz w:val="18"/>
                <w:szCs w:val="18"/>
              </w:rPr>
              <w:t>0.2</w:t>
            </w:r>
          </w:p>
        </w:tc>
        <w:tc>
          <w:tcPr>
            <w:tcW w:w="1530" w:type="dxa"/>
            <w:hideMark/>
          </w:tcPr>
          <w:p w14:paraId="12D823FF" w14:textId="77777777" w:rsidR="00413D97" w:rsidRPr="00BC00E6" w:rsidRDefault="00413D97" w:rsidP="00A5738A">
            <w:pPr>
              <w:pStyle w:val="NormalWeb"/>
              <w:jc w:val="center"/>
              <w:rPr>
                <w:sz w:val="18"/>
                <w:szCs w:val="18"/>
              </w:rPr>
            </w:pPr>
            <w:r w:rsidRPr="00BC00E6">
              <w:rPr>
                <w:sz w:val="18"/>
                <w:szCs w:val="18"/>
              </w:rPr>
              <w:t>148</w:t>
            </w:r>
          </w:p>
        </w:tc>
        <w:tc>
          <w:tcPr>
            <w:tcW w:w="1531" w:type="dxa"/>
            <w:hideMark/>
          </w:tcPr>
          <w:p w14:paraId="08E9AD1B" w14:textId="77777777" w:rsidR="00413D97" w:rsidRPr="00BC00E6" w:rsidRDefault="00413D97" w:rsidP="00A5738A">
            <w:pPr>
              <w:pStyle w:val="NormalWeb"/>
              <w:jc w:val="center"/>
              <w:rPr>
                <w:sz w:val="18"/>
                <w:szCs w:val="18"/>
              </w:rPr>
            </w:pPr>
            <w:r w:rsidRPr="00BC00E6">
              <w:rPr>
                <w:sz w:val="18"/>
                <w:szCs w:val="18"/>
              </w:rPr>
              <w:t>27.7</w:t>
            </w:r>
          </w:p>
        </w:tc>
      </w:tr>
      <w:tr w:rsidR="00413D97" w:rsidRPr="00BC00E6" w14:paraId="56689A63" w14:textId="77777777" w:rsidTr="00A5738A">
        <w:tc>
          <w:tcPr>
            <w:tcW w:w="0" w:type="auto"/>
            <w:hideMark/>
          </w:tcPr>
          <w:p w14:paraId="02DBA427" w14:textId="77777777" w:rsidR="00413D97" w:rsidRPr="00BC00E6" w:rsidRDefault="00413D97">
            <w:pPr>
              <w:pStyle w:val="NormalWeb"/>
              <w:rPr>
                <w:sz w:val="18"/>
                <w:szCs w:val="18"/>
              </w:rPr>
            </w:pPr>
            <w:r w:rsidRPr="00BC00E6">
              <w:rPr>
                <w:sz w:val="18"/>
                <w:szCs w:val="18"/>
              </w:rPr>
              <w:t>NT</w:t>
            </w:r>
          </w:p>
        </w:tc>
        <w:tc>
          <w:tcPr>
            <w:tcW w:w="1530" w:type="dxa"/>
            <w:hideMark/>
          </w:tcPr>
          <w:p w14:paraId="3F35299C" w14:textId="77777777" w:rsidR="00413D97" w:rsidRPr="00BC00E6" w:rsidRDefault="00413D97" w:rsidP="00A5738A">
            <w:pPr>
              <w:pStyle w:val="NormalWeb"/>
              <w:jc w:val="center"/>
              <w:rPr>
                <w:sz w:val="18"/>
                <w:szCs w:val="18"/>
              </w:rPr>
            </w:pPr>
            <w:r w:rsidRPr="00BC00E6">
              <w:rPr>
                <w:sz w:val="18"/>
                <w:szCs w:val="18"/>
              </w:rPr>
              <w:t>0</w:t>
            </w:r>
          </w:p>
        </w:tc>
        <w:tc>
          <w:tcPr>
            <w:tcW w:w="1531" w:type="dxa"/>
            <w:hideMark/>
          </w:tcPr>
          <w:p w14:paraId="758A1D6A" w14:textId="77777777" w:rsidR="00413D97" w:rsidRPr="00BC00E6" w:rsidRDefault="00413D97" w:rsidP="00A5738A">
            <w:pPr>
              <w:pStyle w:val="NormalWeb"/>
              <w:jc w:val="center"/>
              <w:rPr>
                <w:sz w:val="18"/>
                <w:szCs w:val="18"/>
              </w:rPr>
            </w:pPr>
            <w:r w:rsidRPr="00BC00E6">
              <w:rPr>
                <w:sz w:val="18"/>
                <w:szCs w:val="18"/>
              </w:rPr>
              <w:t>0.0</w:t>
            </w:r>
          </w:p>
        </w:tc>
        <w:tc>
          <w:tcPr>
            <w:tcW w:w="1530" w:type="dxa"/>
            <w:hideMark/>
          </w:tcPr>
          <w:p w14:paraId="4E9750E3" w14:textId="77777777" w:rsidR="00413D97" w:rsidRPr="00BC00E6" w:rsidRDefault="00413D97" w:rsidP="00A5738A">
            <w:pPr>
              <w:pStyle w:val="NormalWeb"/>
              <w:jc w:val="center"/>
              <w:rPr>
                <w:sz w:val="18"/>
                <w:szCs w:val="18"/>
              </w:rPr>
            </w:pPr>
            <w:r w:rsidRPr="00BC00E6">
              <w:rPr>
                <w:sz w:val="18"/>
                <w:szCs w:val="18"/>
              </w:rPr>
              <w:t>2</w:t>
            </w:r>
          </w:p>
        </w:tc>
        <w:tc>
          <w:tcPr>
            <w:tcW w:w="1531" w:type="dxa"/>
            <w:hideMark/>
          </w:tcPr>
          <w:p w14:paraId="1E06E52A" w14:textId="77777777" w:rsidR="00413D97" w:rsidRPr="00BC00E6" w:rsidRDefault="00413D97" w:rsidP="00A5738A">
            <w:pPr>
              <w:pStyle w:val="NormalWeb"/>
              <w:jc w:val="center"/>
              <w:rPr>
                <w:sz w:val="18"/>
                <w:szCs w:val="18"/>
              </w:rPr>
            </w:pPr>
            <w:r w:rsidRPr="00BC00E6">
              <w:rPr>
                <w:sz w:val="18"/>
                <w:szCs w:val="18"/>
              </w:rPr>
              <w:t>0.8</w:t>
            </w:r>
          </w:p>
        </w:tc>
        <w:tc>
          <w:tcPr>
            <w:tcW w:w="1530" w:type="dxa"/>
            <w:hideMark/>
          </w:tcPr>
          <w:p w14:paraId="099247CA" w14:textId="77777777" w:rsidR="00413D97" w:rsidRPr="00BC00E6" w:rsidRDefault="00413D97" w:rsidP="00A5738A">
            <w:pPr>
              <w:pStyle w:val="NormalWeb"/>
              <w:jc w:val="center"/>
              <w:rPr>
                <w:sz w:val="18"/>
                <w:szCs w:val="18"/>
              </w:rPr>
            </w:pPr>
            <w:r w:rsidRPr="00BC00E6">
              <w:rPr>
                <w:sz w:val="18"/>
                <w:szCs w:val="18"/>
              </w:rPr>
              <w:t>6</w:t>
            </w:r>
          </w:p>
        </w:tc>
        <w:tc>
          <w:tcPr>
            <w:tcW w:w="1531" w:type="dxa"/>
            <w:hideMark/>
          </w:tcPr>
          <w:p w14:paraId="4BD8C774" w14:textId="77777777" w:rsidR="00413D97" w:rsidRPr="00BC00E6" w:rsidRDefault="00413D97" w:rsidP="00A5738A">
            <w:pPr>
              <w:pStyle w:val="NormalWeb"/>
              <w:jc w:val="center"/>
              <w:rPr>
                <w:sz w:val="18"/>
                <w:szCs w:val="18"/>
              </w:rPr>
            </w:pPr>
            <w:r w:rsidRPr="00BC00E6">
              <w:rPr>
                <w:sz w:val="18"/>
                <w:szCs w:val="18"/>
              </w:rPr>
              <w:t>2.4</w:t>
            </w:r>
          </w:p>
        </w:tc>
      </w:tr>
      <w:tr w:rsidR="00413D97" w:rsidRPr="00BC00E6" w14:paraId="6FEAEDEA" w14:textId="77777777" w:rsidTr="00A5738A">
        <w:trPr>
          <w:cnfStyle w:val="000000010000" w:firstRow="0" w:lastRow="0" w:firstColumn="0" w:lastColumn="0" w:oddVBand="0" w:evenVBand="0" w:oddHBand="0" w:evenHBand="1" w:firstRowFirstColumn="0" w:firstRowLastColumn="0" w:lastRowFirstColumn="0" w:lastRowLastColumn="0"/>
        </w:trPr>
        <w:tc>
          <w:tcPr>
            <w:tcW w:w="0" w:type="auto"/>
            <w:hideMark/>
          </w:tcPr>
          <w:p w14:paraId="05F79B5D" w14:textId="77777777" w:rsidR="00413D97" w:rsidRPr="00BC00E6" w:rsidRDefault="00413D97">
            <w:pPr>
              <w:pStyle w:val="NormalWeb"/>
              <w:rPr>
                <w:sz w:val="18"/>
                <w:szCs w:val="18"/>
              </w:rPr>
            </w:pPr>
            <w:r w:rsidRPr="00BC00E6">
              <w:rPr>
                <w:sz w:val="18"/>
                <w:szCs w:val="18"/>
              </w:rPr>
              <w:t>ACT</w:t>
            </w:r>
          </w:p>
        </w:tc>
        <w:tc>
          <w:tcPr>
            <w:tcW w:w="1530" w:type="dxa"/>
            <w:hideMark/>
          </w:tcPr>
          <w:p w14:paraId="070FF8A2" w14:textId="77777777" w:rsidR="00413D97" w:rsidRPr="00BC00E6" w:rsidRDefault="00413D97" w:rsidP="00A5738A">
            <w:pPr>
              <w:pStyle w:val="NormalWeb"/>
              <w:jc w:val="center"/>
              <w:rPr>
                <w:sz w:val="18"/>
                <w:szCs w:val="18"/>
              </w:rPr>
            </w:pPr>
            <w:r w:rsidRPr="00BC00E6">
              <w:rPr>
                <w:sz w:val="18"/>
                <w:szCs w:val="18"/>
              </w:rPr>
              <w:t>5</w:t>
            </w:r>
          </w:p>
        </w:tc>
        <w:tc>
          <w:tcPr>
            <w:tcW w:w="1531" w:type="dxa"/>
            <w:hideMark/>
          </w:tcPr>
          <w:p w14:paraId="0AC21B06" w14:textId="77777777" w:rsidR="00413D97" w:rsidRPr="00BC00E6" w:rsidRDefault="00413D97" w:rsidP="00A5738A">
            <w:pPr>
              <w:pStyle w:val="NormalWeb"/>
              <w:jc w:val="center"/>
              <w:rPr>
                <w:sz w:val="18"/>
                <w:szCs w:val="18"/>
              </w:rPr>
            </w:pPr>
            <w:r w:rsidRPr="00BC00E6">
              <w:rPr>
                <w:sz w:val="18"/>
                <w:szCs w:val="18"/>
              </w:rPr>
              <w:t>1.2</w:t>
            </w:r>
          </w:p>
        </w:tc>
        <w:tc>
          <w:tcPr>
            <w:tcW w:w="1530" w:type="dxa"/>
            <w:hideMark/>
          </w:tcPr>
          <w:p w14:paraId="5393632F" w14:textId="77777777" w:rsidR="00413D97" w:rsidRPr="00BC00E6" w:rsidRDefault="00413D97" w:rsidP="00A5738A">
            <w:pPr>
              <w:pStyle w:val="NormalWeb"/>
              <w:jc w:val="center"/>
              <w:rPr>
                <w:sz w:val="18"/>
                <w:szCs w:val="18"/>
              </w:rPr>
            </w:pPr>
            <w:r w:rsidRPr="00BC00E6">
              <w:rPr>
                <w:sz w:val="18"/>
                <w:szCs w:val="18"/>
              </w:rPr>
              <w:t>0</w:t>
            </w:r>
          </w:p>
        </w:tc>
        <w:tc>
          <w:tcPr>
            <w:tcW w:w="1531" w:type="dxa"/>
            <w:hideMark/>
          </w:tcPr>
          <w:p w14:paraId="5850F025" w14:textId="77777777" w:rsidR="00413D97" w:rsidRPr="00BC00E6" w:rsidRDefault="00413D97" w:rsidP="00A5738A">
            <w:pPr>
              <w:pStyle w:val="NormalWeb"/>
              <w:jc w:val="center"/>
              <w:rPr>
                <w:sz w:val="18"/>
                <w:szCs w:val="18"/>
              </w:rPr>
            </w:pPr>
            <w:r w:rsidRPr="00BC00E6">
              <w:rPr>
                <w:sz w:val="18"/>
                <w:szCs w:val="18"/>
              </w:rPr>
              <w:t>0.0</w:t>
            </w:r>
          </w:p>
        </w:tc>
        <w:tc>
          <w:tcPr>
            <w:tcW w:w="1530" w:type="dxa"/>
            <w:hideMark/>
          </w:tcPr>
          <w:p w14:paraId="34198EC3" w14:textId="77777777" w:rsidR="00413D97" w:rsidRPr="00BC00E6" w:rsidRDefault="00413D97" w:rsidP="00A5738A">
            <w:pPr>
              <w:pStyle w:val="NormalWeb"/>
              <w:jc w:val="center"/>
              <w:rPr>
                <w:sz w:val="18"/>
                <w:szCs w:val="18"/>
              </w:rPr>
            </w:pPr>
            <w:r w:rsidRPr="00BC00E6">
              <w:rPr>
                <w:sz w:val="18"/>
                <w:szCs w:val="18"/>
              </w:rPr>
              <w:t>29</w:t>
            </w:r>
          </w:p>
        </w:tc>
        <w:tc>
          <w:tcPr>
            <w:tcW w:w="1531" w:type="dxa"/>
            <w:hideMark/>
          </w:tcPr>
          <w:p w14:paraId="5386A814" w14:textId="77777777" w:rsidR="00413D97" w:rsidRPr="00BC00E6" w:rsidRDefault="00413D97" w:rsidP="00A5738A">
            <w:pPr>
              <w:pStyle w:val="NormalWeb"/>
              <w:jc w:val="center"/>
              <w:rPr>
                <w:sz w:val="18"/>
                <w:szCs w:val="18"/>
              </w:rPr>
            </w:pPr>
            <w:r w:rsidRPr="00BC00E6">
              <w:rPr>
                <w:sz w:val="18"/>
                <w:szCs w:val="18"/>
              </w:rPr>
              <w:t>6.8</w:t>
            </w:r>
          </w:p>
        </w:tc>
      </w:tr>
      <w:tr w:rsidR="00413D97" w:rsidRPr="00BC00E6" w14:paraId="47365DFD" w14:textId="77777777" w:rsidTr="0086637D">
        <w:tc>
          <w:tcPr>
            <w:tcW w:w="0" w:type="auto"/>
            <w:shd w:val="clear" w:color="auto" w:fill="FDE9D9" w:themeFill="accent6" w:themeFillTint="33"/>
            <w:hideMark/>
          </w:tcPr>
          <w:p w14:paraId="22B6245E" w14:textId="77777777" w:rsidR="00413D97" w:rsidRPr="00BC00E6" w:rsidRDefault="00413D97">
            <w:pPr>
              <w:pStyle w:val="NormalWeb"/>
              <w:rPr>
                <w:b/>
                <w:sz w:val="18"/>
                <w:szCs w:val="18"/>
              </w:rPr>
            </w:pPr>
            <w:r w:rsidRPr="00BC00E6">
              <w:rPr>
                <w:b/>
                <w:sz w:val="18"/>
                <w:szCs w:val="18"/>
              </w:rPr>
              <w:t>Australia</w:t>
            </w:r>
          </w:p>
        </w:tc>
        <w:tc>
          <w:tcPr>
            <w:tcW w:w="1530" w:type="dxa"/>
            <w:shd w:val="clear" w:color="auto" w:fill="FDE9D9" w:themeFill="accent6" w:themeFillTint="33"/>
            <w:hideMark/>
          </w:tcPr>
          <w:p w14:paraId="409DF574" w14:textId="77777777" w:rsidR="00413D97" w:rsidRPr="00BC00E6" w:rsidRDefault="00413D97" w:rsidP="00A5738A">
            <w:pPr>
              <w:pStyle w:val="NormalWeb"/>
              <w:jc w:val="center"/>
              <w:rPr>
                <w:b/>
                <w:sz w:val="18"/>
                <w:szCs w:val="18"/>
              </w:rPr>
            </w:pPr>
            <w:r w:rsidRPr="00BC00E6">
              <w:rPr>
                <w:b/>
                <w:sz w:val="18"/>
                <w:szCs w:val="18"/>
              </w:rPr>
              <w:t>3,360</w:t>
            </w:r>
          </w:p>
        </w:tc>
        <w:tc>
          <w:tcPr>
            <w:tcW w:w="1531" w:type="dxa"/>
            <w:shd w:val="clear" w:color="auto" w:fill="FDE9D9" w:themeFill="accent6" w:themeFillTint="33"/>
            <w:hideMark/>
          </w:tcPr>
          <w:p w14:paraId="06DE2BAD" w14:textId="77777777" w:rsidR="00413D97" w:rsidRPr="00BC00E6" w:rsidRDefault="00413D97" w:rsidP="00A5738A">
            <w:pPr>
              <w:pStyle w:val="NormalWeb"/>
              <w:jc w:val="center"/>
              <w:rPr>
                <w:b/>
                <w:sz w:val="18"/>
                <w:szCs w:val="18"/>
              </w:rPr>
            </w:pPr>
            <w:r w:rsidRPr="00BC00E6">
              <w:rPr>
                <w:b/>
                <w:sz w:val="18"/>
                <w:szCs w:val="18"/>
              </w:rPr>
              <w:t>13.2</w:t>
            </w:r>
          </w:p>
        </w:tc>
        <w:tc>
          <w:tcPr>
            <w:tcW w:w="1530" w:type="dxa"/>
            <w:shd w:val="clear" w:color="auto" w:fill="FDE9D9" w:themeFill="accent6" w:themeFillTint="33"/>
            <w:hideMark/>
          </w:tcPr>
          <w:p w14:paraId="143E38BC" w14:textId="77777777" w:rsidR="00413D97" w:rsidRPr="00BC00E6" w:rsidRDefault="00413D97" w:rsidP="00A5738A">
            <w:pPr>
              <w:pStyle w:val="NormalWeb"/>
              <w:jc w:val="center"/>
              <w:rPr>
                <w:b/>
                <w:sz w:val="18"/>
                <w:szCs w:val="18"/>
              </w:rPr>
            </w:pPr>
            <w:r w:rsidRPr="00BC00E6">
              <w:rPr>
                <w:b/>
                <w:sz w:val="18"/>
                <w:szCs w:val="18"/>
              </w:rPr>
              <w:t>6,073</w:t>
            </w:r>
          </w:p>
        </w:tc>
        <w:tc>
          <w:tcPr>
            <w:tcW w:w="1531" w:type="dxa"/>
            <w:shd w:val="clear" w:color="auto" w:fill="FDE9D9" w:themeFill="accent6" w:themeFillTint="33"/>
            <w:hideMark/>
          </w:tcPr>
          <w:p w14:paraId="32133035" w14:textId="77777777" w:rsidR="00413D97" w:rsidRPr="00BC00E6" w:rsidRDefault="00413D97" w:rsidP="00A5738A">
            <w:pPr>
              <w:pStyle w:val="NormalWeb"/>
              <w:jc w:val="center"/>
              <w:rPr>
                <w:b/>
                <w:sz w:val="18"/>
                <w:szCs w:val="18"/>
              </w:rPr>
            </w:pPr>
            <w:r w:rsidRPr="00BC00E6">
              <w:rPr>
                <w:b/>
                <w:sz w:val="18"/>
                <w:szCs w:val="18"/>
              </w:rPr>
              <w:t>23.9</w:t>
            </w:r>
          </w:p>
        </w:tc>
        <w:tc>
          <w:tcPr>
            <w:tcW w:w="1530" w:type="dxa"/>
            <w:shd w:val="clear" w:color="auto" w:fill="FDE9D9" w:themeFill="accent6" w:themeFillTint="33"/>
            <w:hideMark/>
          </w:tcPr>
          <w:p w14:paraId="252D25AA" w14:textId="77777777" w:rsidR="00413D97" w:rsidRPr="00BC00E6" w:rsidRDefault="00413D97" w:rsidP="00A5738A">
            <w:pPr>
              <w:pStyle w:val="NormalWeb"/>
              <w:jc w:val="center"/>
              <w:rPr>
                <w:b/>
                <w:sz w:val="18"/>
                <w:szCs w:val="18"/>
              </w:rPr>
            </w:pPr>
            <w:r w:rsidRPr="00BC00E6">
              <w:rPr>
                <w:b/>
                <w:sz w:val="18"/>
                <w:szCs w:val="18"/>
              </w:rPr>
              <w:t>13,309</w:t>
            </w:r>
          </w:p>
        </w:tc>
        <w:tc>
          <w:tcPr>
            <w:tcW w:w="1531" w:type="dxa"/>
            <w:shd w:val="clear" w:color="auto" w:fill="FDE9D9" w:themeFill="accent6" w:themeFillTint="33"/>
            <w:hideMark/>
          </w:tcPr>
          <w:p w14:paraId="500ABE61" w14:textId="77777777" w:rsidR="00413D97" w:rsidRPr="00BC00E6" w:rsidRDefault="00413D97" w:rsidP="00A5738A">
            <w:pPr>
              <w:pStyle w:val="NormalWeb"/>
              <w:jc w:val="center"/>
              <w:rPr>
                <w:b/>
                <w:sz w:val="18"/>
                <w:szCs w:val="18"/>
              </w:rPr>
            </w:pPr>
            <w:r w:rsidRPr="00BC00E6">
              <w:rPr>
                <w:b/>
                <w:sz w:val="18"/>
                <w:szCs w:val="18"/>
              </w:rPr>
              <w:t>52.0</w:t>
            </w:r>
          </w:p>
        </w:tc>
      </w:tr>
    </w:tbl>
    <w:p w14:paraId="0BC08915" w14:textId="77777777" w:rsidR="00694D2A" w:rsidRDefault="00694D2A" w:rsidP="00694D2A">
      <w:pPr>
        <w:pStyle w:val="CDIFigures"/>
        <w:sectPr w:rsidR="00694D2A" w:rsidSect="00A30C37">
          <w:headerReference w:type="default" r:id="rId15"/>
          <w:footerReference w:type="default" r:id="rId16"/>
          <w:footerReference w:type="first" r:id="rId17"/>
          <w:footnotePr>
            <w:numFmt w:val="lowerRoman"/>
          </w:footnotePr>
          <w:pgSz w:w="11906" w:h="16838"/>
          <w:pgMar w:top="720" w:right="720" w:bottom="1134" w:left="720" w:header="709" w:footer="284" w:gutter="0"/>
          <w:cols w:space="708"/>
          <w:titlePg/>
          <w:docGrid w:linePitch="360"/>
        </w:sectPr>
      </w:pPr>
    </w:p>
    <w:p w14:paraId="745799C2" w14:textId="77777777" w:rsidR="00413D97" w:rsidRDefault="00413D97" w:rsidP="00694D2A">
      <w:pPr>
        <w:pStyle w:val="CDIFigures"/>
      </w:pPr>
      <w:r>
        <w:lastRenderedPageBreak/>
        <w:t>Table 4: Diagnostic tests performed in Australia, by jurisdiction, as at 2 August 2020</w:t>
      </w:r>
      <w:r>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cumulative number of diagnostic tests performed (and the percentage of such tests positive) within each jurisdiction by the end of this reporting fortnight, as well as at the end of the previous reporting fortnight. Nationwide, for this reporting period there have been 889,678 tests performed, with a positivity rate of 0.68%. Of all tests performed in Australia since 13 January 2020 (4,366,141 tests), the cumulative testing rate is 17,216 tests per 100,000 population and the positivity rate is 0.41%.&#10;"/>
      </w:tblPr>
      <w:tblGrid>
        <w:gridCol w:w="1867"/>
        <w:gridCol w:w="1868"/>
        <w:gridCol w:w="1867"/>
        <w:gridCol w:w="1868"/>
        <w:gridCol w:w="1867"/>
        <w:gridCol w:w="1868"/>
        <w:gridCol w:w="1553"/>
        <w:gridCol w:w="2182"/>
      </w:tblGrid>
      <w:tr w:rsidR="007E47D2" w:rsidRPr="00704F0B" w14:paraId="7E2ADFEC" w14:textId="77777777" w:rsidTr="00A72550">
        <w:trPr>
          <w:cnfStyle w:val="100000000000" w:firstRow="1" w:lastRow="0" w:firstColumn="0" w:lastColumn="0" w:oddVBand="0" w:evenVBand="0" w:oddHBand="0" w:evenHBand="0" w:firstRowFirstColumn="0" w:firstRowLastColumn="0" w:lastRowFirstColumn="0" w:lastRowLastColumn="0"/>
          <w:tblHeader/>
        </w:trPr>
        <w:tc>
          <w:tcPr>
            <w:tcW w:w="1867" w:type="dxa"/>
            <w:vMerge w:val="restart"/>
            <w:tcBorders>
              <w:right w:val="single" w:sz="2" w:space="0" w:color="FFFFFF" w:themeColor="background1"/>
            </w:tcBorders>
            <w:hideMark/>
          </w:tcPr>
          <w:p w14:paraId="5FB28AFB" w14:textId="77777777" w:rsidR="007E47D2" w:rsidRPr="00704F0B" w:rsidRDefault="007E47D2" w:rsidP="00506008">
            <w:pPr>
              <w:pStyle w:val="NormalWeb"/>
              <w:rPr>
                <w:b w:val="0"/>
                <w:color w:val="FFFFFF" w:themeColor="background1"/>
                <w:sz w:val="18"/>
                <w:szCs w:val="18"/>
              </w:rPr>
            </w:pPr>
            <w:r w:rsidRPr="00704F0B">
              <w:rPr>
                <w:color w:val="FFFFFF" w:themeColor="background1"/>
                <w:sz w:val="18"/>
                <w:szCs w:val="18"/>
              </w:rPr>
              <w:t>Jurisdiction</w:t>
            </w:r>
          </w:p>
        </w:tc>
        <w:tc>
          <w:tcPr>
            <w:tcW w:w="5603" w:type="dxa"/>
            <w:gridSpan w:val="3"/>
            <w:tcBorders>
              <w:bottom w:val="single" w:sz="2" w:space="0" w:color="FFFFFF" w:themeColor="background1"/>
              <w:right w:val="single" w:sz="2" w:space="0" w:color="FFFFFF" w:themeColor="background1"/>
            </w:tcBorders>
          </w:tcPr>
          <w:p w14:paraId="5F8AA16A" w14:textId="77777777" w:rsidR="007E47D2" w:rsidRPr="00704F0B" w:rsidRDefault="007E47D2" w:rsidP="00506008">
            <w:pPr>
              <w:pStyle w:val="NormalWeb"/>
              <w:jc w:val="center"/>
              <w:rPr>
                <w:color w:val="FFFFFF" w:themeColor="background1"/>
                <w:sz w:val="18"/>
                <w:szCs w:val="18"/>
              </w:rPr>
            </w:pPr>
            <w:r w:rsidRPr="00704F0B">
              <w:rPr>
                <w:color w:val="FFFFFF" w:themeColor="background1"/>
                <w:sz w:val="18"/>
                <w:szCs w:val="18"/>
              </w:rPr>
              <w:t>Tests performed</w:t>
            </w:r>
            <w:r w:rsidRPr="00704F0B">
              <w:rPr>
                <w:color w:val="FFFFFF" w:themeColor="background1"/>
                <w:sz w:val="18"/>
                <w:szCs w:val="18"/>
              </w:rPr>
              <w:br/>
              <w:t>6—19 July</w:t>
            </w:r>
          </w:p>
        </w:tc>
        <w:tc>
          <w:tcPr>
            <w:tcW w:w="1867" w:type="dxa"/>
            <w:tcBorders>
              <w:left w:val="single" w:sz="2" w:space="0" w:color="FFFFFF" w:themeColor="background1"/>
              <w:bottom w:val="single" w:sz="2" w:space="0" w:color="FFFFFF" w:themeColor="background1"/>
              <w:right w:val="single" w:sz="2" w:space="0" w:color="FFFFFF" w:themeColor="background1"/>
            </w:tcBorders>
            <w:hideMark/>
          </w:tcPr>
          <w:p w14:paraId="645F3E5D" w14:textId="77777777" w:rsidR="007E47D2" w:rsidRPr="00704F0B" w:rsidRDefault="007E47D2" w:rsidP="00506008">
            <w:pPr>
              <w:pStyle w:val="NormalWeb"/>
              <w:jc w:val="center"/>
              <w:rPr>
                <w:b w:val="0"/>
                <w:color w:val="FFFFFF" w:themeColor="background1"/>
                <w:sz w:val="18"/>
                <w:szCs w:val="18"/>
              </w:rPr>
            </w:pPr>
            <w:r w:rsidRPr="00704F0B">
              <w:rPr>
                <w:color w:val="FFFFFF" w:themeColor="background1"/>
                <w:sz w:val="18"/>
                <w:szCs w:val="18"/>
              </w:rPr>
              <w:t>Tests performed</w:t>
            </w:r>
            <w:r w:rsidRPr="00704F0B">
              <w:rPr>
                <w:color w:val="FFFFFF" w:themeColor="background1"/>
                <w:sz w:val="18"/>
                <w:szCs w:val="18"/>
              </w:rPr>
              <w:br/>
              <w:t>20 July—2 August</w:t>
            </w:r>
          </w:p>
        </w:tc>
        <w:tc>
          <w:tcPr>
            <w:tcW w:w="5603" w:type="dxa"/>
            <w:gridSpan w:val="3"/>
            <w:tcBorders>
              <w:left w:val="single" w:sz="2" w:space="0" w:color="FFFFFF" w:themeColor="background1"/>
              <w:bottom w:val="single" w:sz="2" w:space="0" w:color="FFFFFF" w:themeColor="background1"/>
            </w:tcBorders>
          </w:tcPr>
          <w:p w14:paraId="34E87457" w14:textId="77777777" w:rsidR="007E47D2" w:rsidRPr="00704F0B" w:rsidRDefault="007E47D2" w:rsidP="00506008">
            <w:pPr>
              <w:pStyle w:val="NormalWeb"/>
              <w:jc w:val="center"/>
              <w:rPr>
                <w:color w:val="FFFFFF" w:themeColor="background1"/>
                <w:sz w:val="18"/>
                <w:szCs w:val="18"/>
              </w:rPr>
            </w:pPr>
            <w:r w:rsidRPr="00704F0B">
              <w:rPr>
                <w:color w:val="FFFFFF" w:themeColor="background1"/>
                <w:sz w:val="18"/>
                <w:szCs w:val="18"/>
              </w:rPr>
              <w:t>Cumulative tests performed</w:t>
            </w:r>
          </w:p>
          <w:p w14:paraId="54C3FF6D" w14:textId="77777777" w:rsidR="007E47D2" w:rsidRPr="00704F0B" w:rsidRDefault="007E47D2" w:rsidP="00506008">
            <w:pPr>
              <w:pStyle w:val="NormalWeb"/>
              <w:jc w:val="center"/>
              <w:rPr>
                <w:color w:val="FFFFFF" w:themeColor="background1"/>
                <w:sz w:val="18"/>
                <w:szCs w:val="18"/>
              </w:rPr>
            </w:pPr>
            <w:r w:rsidRPr="00704F0B">
              <w:rPr>
                <w:color w:val="FFFFFF" w:themeColor="background1"/>
                <w:sz w:val="18"/>
                <w:szCs w:val="18"/>
              </w:rPr>
              <w:t>to 2 August</w:t>
            </w:r>
          </w:p>
        </w:tc>
      </w:tr>
      <w:tr w:rsidR="007E47D2" w:rsidRPr="00704F0B" w14:paraId="517A7486" w14:textId="77777777" w:rsidTr="00A72550">
        <w:trPr>
          <w:cnfStyle w:val="100000000000" w:firstRow="1" w:lastRow="0" w:firstColumn="0" w:lastColumn="0" w:oddVBand="0" w:evenVBand="0" w:oddHBand="0" w:evenHBand="0" w:firstRowFirstColumn="0" w:firstRowLastColumn="0" w:lastRowFirstColumn="0" w:lastRowLastColumn="0"/>
          <w:tblHeader/>
        </w:trPr>
        <w:tc>
          <w:tcPr>
            <w:tcW w:w="1867" w:type="dxa"/>
            <w:vMerge/>
            <w:tcBorders>
              <w:right w:val="single" w:sz="2" w:space="0" w:color="FFFFFF" w:themeColor="background1"/>
            </w:tcBorders>
            <w:hideMark/>
          </w:tcPr>
          <w:p w14:paraId="4DDD4D15" w14:textId="77777777" w:rsidR="007E47D2" w:rsidRPr="00704F0B" w:rsidRDefault="007E47D2" w:rsidP="00506008">
            <w:pPr>
              <w:rPr>
                <w:color w:val="FFFFFF" w:themeColor="background1"/>
                <w:sz w:val="18"/>
                <w:szCs w:val="18"/>
              </w:rPr>
            </w:pPr>
          </w:p>
        </w:tc>
        <w:tc>
          <w:tcPr>
            <w:tcW w:w="1868" w:type="dxa"/>
            <w:tcBorders>
              <w:top w:val="single" w:sz="2" w:space="0" w:color="FFFFFF" w:themeColor="background1"/>
              <w:left w:val="single" w:sz="2" w:space="0" w:color="FFFFFF" w:themeColor="background1"/>
              <w:right w:val="single" w:sz="2" w:space="0" w:color="FFFFFF" w:themeColor="background1"/>
            </w:tcBorders>
            <w:hideMark/>
          </w:tcPr>
          <w:p w14:paraId="3DE2EB48" w14:textId="77777777" w:rsidR="007E47D2" w:rsidRPr="00704F0B" w:rsidRDefault="007E47D2" w:rsidP="0032139E">
            <w:pPr>
              <w:pStyle w:val="NormalWeb"/>
              <w:jc w:val="center"/>
              <w:rPr>
                <w:color w:val="FFFFFF" w:themeColor="background1"/>
                <w:sz w:val="18"/>
                <w:szCs w:val="18"/>
              </w:rPr>
            </w:pPr>
            <w:r w:rsidRPr="00704F0B">
              <w:rPr>
                <w:color w:val="FFFFFF" w:themeColor="background1"/>
                <w:sz w:val="18"/>
                <w:szCs w:val="18"/>
              </w:rPr>
              <w:t>N</w:t>
            </w:r>
          </w:p>
        </w:tc>
        <w:tc>
          <w:tcPr>
            <w:tcW w:w="1867" w:type="dxa"/>
            <w:tcBorders>
              <w:top w:val="single" w:sz="2" w:space="0" w:color="FFFFFF" w:themeColor="background1"/>
              <w:left w:val="single" w:sz="2" w:space="0" w:color="FFFFFF" w:themeColor="background1"/>
              <w:right w:val="single" w:sz="2" w:space="0" w:color="FFFFFF" w:themeColor="background1"/>
            </w:tcBorders>
            <w:hideMark/>
          </w:tcPr>
          <w:p w14:paraId="4568FC07" w14:textId="77777777" w:rsidR="007E47D2" w:rsidRPr="00704F0B" w:rsidRDefault="007E47D2" w:rsidP="0032139E">
            <w:pPr>
              <w:pStyle w:val="NormalWeb"/>
              <w:jc w:val="center"/>
              <w:rPr>
                <w:color w:val="FFFFFF" w:themeColor="background1"/>
                <w:sz w:val="18"/>
                <w:szCs w:val="18"/>
              </w:rPr>
            </w:pPr>
            <w:r w:rsidRPr="00704F0B">
              <w:rPr>
                <w:color w:val="FFFFFF" w:themeColor="background1"/>
                <w:sz w:val="18"/>
                <w:szCs w:val="18"/>
              </w:rPr>
              <w:t>Positivity (%)</w:t>
            </w:r>
          </w:p>
        </w:tc>
        <w:tc>
          <w:tcPr>
            <w:tcW w:w="1868" w:type="dxa"/>
            <w:tcBorders>
              <w:top w:val="single" w:sz="2" w:space="0" w:color="FFFFFF" w:themeColor="background1"/>
              <w:left w:val="single" w:sz="2" w:space="0" w:color="FFFFFF" w:themeColor="background1"/>
              <w:right w:val="single" w:sz="2" w:space="0" w:color="FFFFFF" w:themeColor="background1"/>
            </w:tcBorders>
            <w:hideMark/>
          </w:tcPr>
          <w:p w14:paraId="67996E55" w14:textId="77777777" w:rsidR="007E47D2" w:rsidRPr="00704F0B" w:rsidRDefault="007E47D2" w:rsidP="0032139E">
            <w:pPr>
              <w:pStyle w:val="NormalWeb"/>
              <w:jc w:val="center"/>
              <w:rPr>
                <w:color w:val="FFFFFF" w:themeColor="background1"/>
                <w:sz w:val="18"/>
                <w:szCs w:val="18"/>
              </w:rPr>
            </w:pPr>
            <w:r w:rsidRPr="00704F0B">
              <w:rPr>
                <w:color w:val="FFFFFF" w:themeColor="background1"/>
                <w:sz w:val="18"/>
                <w:szCs w:val="18"/>
              </w:rPr>
              <w:t>N</w:t>
            </w:r>
          </w:p>
        </w:tc>
        <w:tc>
          <w:tcPr>
            <w:tcW w:w="1867" w:type="dxa"/>
            <w:tcBorders>
              <w:top w:val="single" w:sz="2" w:space="0" w:color="FFFFFF" w:themeColor="background1"/>
              <w:left w:val="single" w:sz="2" w:space="0" w:color="FFFFFF" w:themeColor="background1"/>
              <w:right w:val="single" w:sz="2" w:space="0" w:color="FFFFFF" w:themeColor="background1"/>
            </w:tcBorders>
            <w:hideMark/>
          </w:tcPr>
          <w:p w14:paraId="042AB243" w14:textId="77777777" w:rsidR="007E47D2" w:rsidRPr="00704F0B" w:rsidRDefault="007E47D2" w:rsidP="0032139E">
            <w:pPr>
              <w:pStyle w:val="NormalWeb"/>
              <w:jc w:val="center"/>
              <w:rPr>
                <w:color w:val="FFFFFF" w:themeColor="background1"/>
                <w:sz w:val="18"/>
                <w:szCs w:val="18"/>
              </w:rPr>
            </w:pPr>
            <w:r w:rsidRPr="00704F0B">
              <w:rPr>
                <w:color w:val="FFFFFF" w:themeColor="background1"/>
                <w:sz w:val="18"/>
                <w:szCs w:val="18"/>
              </w:rPr>
              <w:t>Positivity (%)</w:t>
            </w:r>
          </w:p>
        </w:tc>
        <w:tc>
          <w:tcPr>
            <w:tcW w:w="1868" w:type="dxa"/>
            <w:tcBorders>
              <w:top w:val="single" w:sz="2" w:space="0" w:color="FFFFFF" w:themeColor="background1"/>
              <w:left w:val="single" w:sz="2" w:space="0" w:color="FFFFFF" w:themeColor="background1"/>
              <w:right w:val="single" w:sz="2" w:space="0" w:color="FFFFFF" w:themeColor="background1"/>
            </w:tcBorders>
            <w:hideMark/>
          </w:tcPr>
          <w:p w14:paraId="75055FB8" w14:textId="77777777" w:rsidR="007E47D2" w:rsidRPr="00704F0B" w:rsidRDefault="007E47D2" w:rsidP="0032139E">
            <w:pPr>
              <w:pStyle w:val="NormalWeb"/>
              <w:jc w:val="center"/>
              <w:rPr>
                <w:color w:val="FFFFFF" w:themeColor="background1"/>
                <w:sz w:val="18"/>
                <w:szCs w:val="18"/>
              </w:rPr>
            </w:pPr>
            <w:r w:rsidRPr="00704F0B">
              <w:rPr>
                <w:color w:val="FFFFFF" w:themeColor="background1"/>
                <w:sz w:val="18"/>
                <w:szCs w:val="18"/>
              </w:rPr>
              <w:t>N</w:t>
            </w:r>
          </w:p>
        </w:tc>
        <w:tc>
          <w:tcPr>
            <w:tcW w:w="1553" w:type="dxa"/>
            <w:tcBorders>
              <w:top w:val="single" w:sz="2" w:space="0" w:color="FFFFFF" w:themeColor="background1"/>
              <w:left w:val="single" w:sz="2" w:space="0" w:color="FFFFFF" w:themeColor="background1"/>
              <w:right w:val="single" w:sz="2" w:space="0" w:color="FFFFFF" w:themeColor="background1"/>
            </w:tcBorders>
            <w:hideMark/>
          </w:tcPr>
          <w:p w14:paraId="6A361C90" w14:textId="77777777" w:rsidR="007E47D2" w:rsidRPr="00704F0B" w:rsidRDefault="007E47D2" w:rsidP="0032139E">
            <w:pPr>
              <w:pStyle w:val="NormalWeb"/>
              <w:jc w:val="center"/>
              <w:rPr>
                <w:color w:val="FFFFFF" w:themeColor="background1"/>
                <w:sz w:val="18"/>
                <w:szCs w:val="18"/>
              </w:rPr>
            </w:pPr>
            <w:r w:rsidRPr="00704F0B">
              <w:rPr>
                <w:color w:val="FFFFFF" w:themeColor="background1"/>
                <w:sz w:val="18"/>
                <w:szCs w:val="18"/>
              </w:rPr>
              <w:t>Positivity (%)</w:t>
            </w:r>
          </w:p>
        </w:tc>
        <w:tc>
          <w:tcPr>
            <w:tcW w:w="2182" w:type="dxa"/>
            <w:tcBorders>
              <w:top w:val="single" w:sz="2" w:space="0" w:color="FFFFFF" w:themeColor="background1"/>
              <w:left w:val="single" w:sz="2" w:space="0" w:color="FFFFFF" w:themeColor="background1"/>
            </w:tcBorders>
            <w:hideMark/>
          </w:tcPr>
          <w:p w14:paraId="38F2B0EE" w14:textId="77777777" w:rsidR="007E47D2" w:rsidRPr="00704F0B" w:rsidRDefault="007E47D2" w:rsidP="0032139E">
            <w:pPr>
              <w:pStyle w:val="NormalWeb"/>
              <w:jc w:val="center"/>
              <w:rPr>
                <w:color w:val="FFFFFF" w:themeColor="background1"/>
                <w:sz w:val="18"/>
                <w:szCs w:val="18"/>
              </w:rPr>
            </w:pPr>
            <w:r w:rsidRPr="00704F0B">
              <w:rPr>
                <w:color w:val="FFFFFF" w:themeColor="background1"/>
                <w:sz w:val="18"/>
                <w:szCs w:val="18"/>
              </w:rPr>
              <w:t xml:space="preserve">Per 100,000 population </w:t>
            </w:r>
            <w:proofErr w:type="spellStart"/>
            <w:r w:rsidRPr="00704F0B">
              <w:rPr>
                <w:color w:val="FFFFFF" w:themeColor="background1"/>
                <w:sz w:val="18"/>
                <w:szCs w:val="18"/>
                <w:vertAlign w:val="superscript"/>
              </w:rPr>
              <w:t>a,b</w:t>
            </w:r>
            <w:proofErr w:type="spellEnd"/>
          </w:p>
        </w:tc>
      </w:tr>
      <w:tr w:rsidR="0032139E" w:rsidRPr="00704F0B" w14:paraId="75993BB2" w14:textId="77777777" w:rsidTr="004B174B">
        <w:tc>
          <w:tcPr>
            <w:tcW w:w="1867" w:type="dxa"/>
            <w:hideMark/>
          </w:tcPr>
          <w:p w14:paraId="61D51F41" w14:textId="77777777" w:rsidR="00413D97" w:rsidRPr="00704F0B" w:rsidRDefault="00413D97" w:rsidP="00506008">
            <w:pPr>
              <w:pStyle w:val="NormalWeb"/>
              <w:rPr>
                <w:sz w:val="18"/>
                <w:szCs w:val="18"/>
              </w:rPr>
            </w:pPr>
            <w:r w:rsidRPr="00704F0B">
              <w:rPr>
                <w:sz w:val="18"/>
                <w:szCs w:val="18"/>
              </w:rPr>
              <w:t>NSW</w:t>
            </w:r>
          </w:p>
        </w:tc>
        <w:tc>
          <w:tcPr>
            <w:tcW w:w="1868" w:type="dxa"/>
            <w:hideMark/>
          </w:tcPr>
          <w:p w14:paraId="481CF401" w14:textId="77777777" w:rsidR="00413D97" w:rsidRPr="00704F0B" w:rsidRDefault="00413D97" w:rsidP="0032139E">
            <w:pPr>
              <w:pStyle w:val="NormalWeb"/>
              <w:jc w:val="center"/>
              <w:rPr>
                <w:sz w:val="18"/>
                <w:szCs w:val="18"/>
              </w:rPr>
            </w:pPr>
            <w:r w:rsidRPr="00704F0B">
              <w:rPr>
                <w:sz w:val="18"/>
                <w:szCs w:val="18"/>
              </w:rPr>
              <w:t>238,653</w:t>
            </w:r>
          </w:p>
        </w:tc>
        <w:tc>
          <w:tcPr>
            <w:tcW w:w="1867" w:type="dxa"/>
            <w:hideMark/>
          </w:tcPr>
          <w:p w14:paraId="19C999B7" w14:textId="77777777" w:rsidR="00413D97" w:rsidRPr="00704F0B" w:rsidRDefault="00413D97" w:rsidP="0032139E">
            <w:pPr>
              <w:pStyle w:val="NormalWeb"/>
              <w:jc w:val="center"/>
              <w:rPr>
                <w:sz w:val="18"/>
                <w:szCs w:val="18"/>
              </w:rPr>
            </w:pPr>
            <w:r w:rsidRPr="00704F0B">
              <w:rPr>
                <w:sz w:val="18"/>
                <w:szCs w:val="18"/>
              </w:rPr>
              <w:t>0.06</w:t>
            </w:r>
          </w:p>
        </w:tc>
        <w:tc>
          <w:tcPr>
            <w:tcW w:w="1868" w:type="dxa"/>
            <w:hideMark/>
          </w:tcPr>
          <w:p w14:paraId="661AC2AB" w14:textId="77777777" w:rsidR="00413D97" w:rsidRPr="00704F0B" w:rsidRDefault="00413D97" w:rsidP="0032139E">
            <w:pPr>
              <w:pStyle w:val="NormalWeb"/>
              <w:jc w:val="center"/>
              <w:rPr>
                <w:sz w:val="18"/>
                <w:szCs w:val="18"/>
              </w:rPr>
            </w:pPr>
            <w:r w:rsidRPr="00704F0B">
              <w:rPr>
                <w:sz w:val="18"/>
                <w:szCs w:val="18"/>
              </w:rPr>
              <w:t>326,955</w:t>
            </w:r>
          </w:p>
        </w:tc>
        <w:tc>
          <w:tcPr>
            <w:tcW w:w="1867" w:type="dxa"/>
            <w:hideMark/>
          </w:tcPr>
          <w:p w14:paraId="2BAAF503" w14:textId="77777777" w:rsidR="00413D97" w:rsidRPr="00704F0B" w:rsidRDefault="00413D97" w:rsidP="0032139E">
            <w:pPr>
              <w:pStyle w:val="NormalWeb"/>
              <w:jc w:val="center"/>
              <w:rPr>
                <w:sz w:val="18"/>
                <w:szCs w:val="18"/>
              </w:rPr>
            </w:pPr>
            <w:r w:rsidRPr="00704F0B">
              <w:rPr>
                <w:sz w:val="18"/>
                <w:szCs w:val="18"/>
              </w:rPr>
              <w:t>0.07</w:t>
            </w:r>
          </w:p>
        </w:tc>
        <w:tc>
          <w:tcPr>
            <w:tcW w:w="1868" w:type="dxa"/>
            <w:hideMark/>
          </w:tcPr>
          <w:p w14:paraId="5886343A" w14:textId="77777777" w:rsidR="00413D97" w:rsidRPr="00704F0B" w:rsidRDefault="00413D97" w:rsidP="0032139E">
            <w:pPr>
              <w:pStyle w:val="NormalWeb"/>
              <w:jc w:val="center"/>
              <w:rPr>
                <w:sz w:val="18"/>
                <w:szCs w:val="18"/>
              </w:rPr>
            </w:pPr>
            <w:r w:rsidRPr="00704F0B">
              <w:rPr>
                <w:sz w:val="18"/>
                <w:szCs w:val="18"/>
              </w:rPr>
              <w:t>1,508,040</w:t>
            </w:r>
          </w:p>
        </w:tc>
        <w:tc>
          <w:tcPr>
            <w:tcW w:w="1553" w:type="dxa"/>
            <w:hideMark/>
          </w:tcPr>
          <w:p w14:paraId="2F8E817E" w14:textId="77777777" w:rsidR="00413D97" w:rsidRPr="00704F0B" w:rsidRDefault="00413D97" w:rsidP="0032139E">
            <w:pPr>
              <w:pStyle w:val="NormalWeb"/>
              <w:jc w:val="center"/>
              <w:rPr>
                <w:sz w:val="18"/>
                <w:szCs w:val="18"/>
              </w:rPr>
            </w:pPr>
            <w:r w:rsidRPr="00704F0B">
              <w:rPr>
                <w:sz w:val="18"/>
                <w:szCs w:val="18"/>
              </w:rPr>
              <w:t>0.25</w:t>
            </w:r>
          </w:p>
        </w:tc>
        <w:tc>
          <w:tcPr>
            <w:tcW w:w="2182" w:type="dxa"/>
            <w:hideMark/>
          </w:tcPr>
          <w:p w14:paraId="090A923F" w14:textId="77777777" w:rsidR="00413D97" w:rsidRPr="00704F0B" w:rsidRDefault="00413D97" w:rsidP="0032139E">
            <w:pPr>
              <w:pStyle w:val="NormalWeb"/>
              <w:jc w:val="center"/>
              <w:rPr>
                <w:sz w:val="18"/>
                <w:szCs w:val="18"/>
              </w:rPr>
            </w:pPr>
            <w:r w:rsidRPr="00704F0B">
              <w:rPr>
                <w:sz w:val="18"/>
                <w:szCs w:val="18"/>
              </w:rPr>
              <w:t>18,641</w:t>
            </w:r>
          </w:p>
        </w:tc>
      </w:tr>
      <w:tr w:rsidR="00413D97" w:rsidRPr="00704F0B" w14:paraId="75045CB5" w14:textId="77777777" w:rsidTr="004B174B">
        <w:trPr>
          <w:cnfStyle w:val="000000010000" w:firstRow="0" w:lastRow="0" w:firstColumn="0" w:lastColumn="0" w:oddVBand="0" w:evenVBand="0" w:oddHBand="0" w:evenHBand="1" w:firstRowFirstColumn="0" w:firstRowLastColumn="0" w:lastRowFirstColumn="0" w:lastRowLastColumn="0"/>
        </w:trPr>
        <w:tc>
          <w:tcPr>
            <w:tcW w:w="1867" w:type="dxa"/>
            <w:hideMark/>
          </w:tcPr>
          <w:p w14:paraId="12942071" w14:textId="77777777" w:rsidR="00413D97" w:rsidRPr="00704F0B" w:rsidRDefault="00413D97" w:rsidP="00506008">
            <w:pPr>
              <w:pStyle w:val="NormalWeb"/>
              <w:rPr>
                <w:sz w:val="18"/>
                <w:szCs w:val="18"/>
              </w:rPr>
            </w:pPr>
            <w:r w:rsidRPr="00704F0B">
              <w:rPr>
                <w:sz w:val="18"/>
                <w:szCs w:val="18"/>
              </w:rPr>
              <w:t>Vic</w:t>
            </w:r>
          </w:p>
        </w:tc>
        <w:tc>
          <w:tcPr>
            <w:tcW w:w="1868" w:type="dxa"/>
            <w:hideMark/>
          </w:tcPr>
          <w:p w14:paraId="57AD3D6E" w14:textId="77777777" w:rsidR="00413D97" w:rsidRPr="00704F0B" w:rsidRDefault="00413D97" w:rsidP="0032139E">
            <w:pPr>
              <w:pStyle w:val="NormalWeb"/>
              <w:jc w:val="center"/>
              <w:rPr>
                <w:sz w:val="18"/>
                <w:szCs w:val="18"/>
              </w:rPr>
            </w:pPr>
            <w:r w:rsidRPr="00704F0B">
              <w:rPr>
                <w:sz w:val="18"/>
                <w:szCs w:val="18"/>
              </w:rPr>
              <w:t>377,015</w:t>
            </w:r>
          </w:p>
        </w:tc>
        <w:tc>
          <w:tcPr>
            <w:tcW w:w="1867" w:type="dxa"/>
            <w:hideMark/>
          </w:tcPr>
          <w:p w14:paraId="2C1A8F83" w14:textId="77777777" w:rsidR="00413D97" w:rsidRPr="00704F0B" w:rsidRDefault="00413D97" w:rsidP="0032139E">
            <w:pPr>
              <w:pStyle w:val="NormalWeb"/>
              <w:jc w:val="center"/>
              <w:rPr>
                <w:sz w:val="18"/>
                <w:szCs w:val="18"/>
              </w:rPr>
            </w:pPr>
            <w:r w:rsidRPr="00704F0B">
              <w:rPr>
                <w:sz w:val="18"/>
                <w:szCs w:val="18"/>
              </w:rPr>
              <w:t>0.84</w:t>
            </w:r>
          </w:p>
        </w:tc>
        <w:tc>
          <w:tcPr>
            <w:tcW w:w="1868" w:type="dxa"/>
            <w:hideMark/>
          </w:tcPr>
          <w:p w14:paraId="1200534F" w14:textId="77777777" w:rsidR="00413D97" w:rsidRPr="00704F0B" w:rsidRDefault="00413D97" w:rsidP="0032139E">
            <w:pPr>
              <w:pStyle w:val="NormalWeb"/>
              <w:jc w:val="center"/>
              <w:rPr>
                <w:sz w:val="18"/>
                <w:szCs w:val="18"/>
              </w:rPr>
            </w:pPr>
            <w:r w:rsidRPr="00704F0B">
              <w:rPr>
                <w:sz w:val="18"/>
                <w:szCs w:val="18"/>
              </w:rPr>
              <w:t>348,526</w:t>
            </w:r>
          </w:p>
        </w:tc>
        <w:tc>
          <w:tcPr>
            <w:tcW w:w="1867" w:type="dxa"/>
            <w:hideMark/>
          </w:tcPr>
          <w:p w14:paraId="3188B273" w14:textId="77777777" w:rsidR="00413D97" w:rsidRPr="00704F0B" w:rsidRDefault="00413D97" w:rsidP="0032139E">
            <w:pPr>
              <w:pStyle w:val="NormalWeb"/>
              <w:jc w:val="center"/>
              <w:rPr>
                <w:sz w:val="18"/>
                <w:szCs w:val="18"/>
              </w:rPr>
            </w:pPr>
            <w:r w:rsidRPr="00704F0B">
              <w:rPr>
                <w:sz w:val="18"/>
                <w:szCs w:val="18"/>
              </w:rPr>
              <w:t>1.67</w:t>
            </w:r>
          </w:p>
        </w:tc>
        <w:tc>
          <w:tcPr>
            <w:tcW w:w="1868" w:type="dxa"/>
            <w:hideMark/>
          </w:tcPr>
          <w:p w14:paraId="6432BAD2" w14:textId="77777777" w:rsidR="00413D97" w:rsidRPr="00704F0B" w:rsidRDefault="00413D97" w:rsidP="0032139E">
            <w:pPr>
              <w:pStyle w:val="NormalWeb"/>
              <w:jc w:val="center"/>
              <w:rPr>
                <w:sz w:val="18"/>
                <w:szCs w:val="18"/>
              </w:rPr>
            </w:pPr>
            <w:r w:rsidRPr="00704F0B">
              <w:rPr>
                <w:sz w:val="18"/>
                <w:szCs w:val="18"/>
              </w:rPr>
              <w:t>1,653,712</w:t>
            </w:r>
          </w:p>
        </w:tc>
        <w:tc>
          <w:tcPr>
            <w:tcW w:w="1553" w:type="dxa"/>
            <w:hideMark/>
          </w:tcPr>
          <w:p w14:paraId="0935EA5A" w14:textId="77777777" w:rsidR="00413D97" w:rsidRPr="00704F0B" w:rsidRDefault="00413D97" w:rsidP="0032139E">
            <w:pPr>
              <w:pStyle w:val="NormalWeb"/>
              <w:jc w:val="center"/>
              <w:rPr>
                <w:sz w:val="18"/>
                <w:szCs w:val="18"/>
              </w:rPr>
            </w:pPr>
            <w:r w:rsidRPr="00704F0B">
              <w:rPr>
                <w:sz w:val="18"/>
                <w:szCs w:val="18"/>
              </w:rPr>
              <w:t>0.70</w:t>
            </w:r>
          </w:p>
        </w:tc>
        <w:tc>
          <w:tcPr>
            <w:tcW w:w="2182" w:type="dxa"/>
            <w:hideMark/>
          </w:tcPr>
          <w:p w14:paraId="746C2CEC" w14:textId="77777777" w:rsidR="00413D97" w:rsidRPr="00704F0B" w:rsidRDefault="00413D97" w:rsidP="0032139E">
            <w:pPr>
              <w:pStyle w:val="NormalWeb"/>
              <w:jc w:val="center"/>
              <w:rPr>
                <w:sz w:val="18"/>
                <w:szCs w:val="18"/>
              </w:rPr>
            </w:pPr>
            <w:r w:rsidRPr="00704F0B">
              <w:rPr>
                <w:sz w:val="18"/>
                <w:szCs w:val="18"/>
              </w:rPr>
              <w:t>25,071</w:t>
            </w:r>
          </w:p>
        </w:tc>
      </w:tr>
      <w:tr w:rsidR="0032139E" w:rsidRPr="00704F0B" w14:paraId="603CD5AE" w14:textId="77777777" w:rsidTr="004B174B">
        <w:tc>
          <w:tcPr>
            <w:tcW w:w="1867" w:type="dxa"/>
            <w:hideMark/>
          </w:tcPr>
          <w:p w14:paraId="43657913" w14:textId="77777777" w:rsidR="00413D97" w:rsidRPr="00704F0B" w:rsidRDefault="00413D97" w:rsidP="00506008">
            <w:pPr>
              <w:pStyle w:val="NormalWeb"/>
              <w:rPr>
                <w:sz w:val="18"/>
                <w:szCs w:val="18"/>
              </w:rPr>
            </w:pPr>
            <w:r w:rsidRPr="00704F0B">
              <w:rPr>
                <w:sz w:val="18"/>
                <w:szCs w:val="18"/>
              </w:rPr>
              <w:t>Qld</w:t>
            </w:r>
          </w:p>
        </w:tc>
        <w:tc>
          <w:tcPr>
            <w:tcW w:w="1868" w:type="dxa"/>
            <w:hideMark/>
          </w:tcPr>
          <w:p w14:paraId="26E2A858" w14:textId="77777777" w:rsidR="00413D97" w:rsidRPr="00704F0B" w:rsidRDefault="00413D97" w:rsidP="0032139E">
            <w:pPr>
              <w:pStyle w:val="NormalWeb"/>
              <w:jc w:val="center"/>
              <w:rPr>
                <w:sz w:val="18"/>
                <w:szCs w:val="18"/>
              </w:rPr>
            </w:pPr>
            <w:r w:rsidRPr="00704F0B">
              <w:rPr>
                <w:sz w:val="18"/>
                <w:szCs w:val="18"/>
              </w:rPr>
              <w:t>68,567</w:t>
            </w:r>
          </w:p>
        </w:tc>
        <w:tc>
          <w:tcPr>
            <w:tcW w:w="1867" w:type="dxa"/>
            <w:hideMark/>
          </w:tcPr>
          <w:p w14:paraId="6060F4A9" w14:textId="77777777" w:rsidR="00413D97" w:rsidRPr="00704F0B" w:rsidRDefault="00413D97" w:rsidP="0032139E">
            <w:pPr>
              <w:pStyle w:val="NormalWeb"/>
              <w:jc w:val="center"/>
              <w:rPr>
                <w:sz w:val="18"/>
                <w:szCs w:val="18"/>
              </w:rPr>
            </w:pPr>
            <w:r w:rsidRPr="00704F0B">
              <w:rPr>
                <w:sz w:val="18"/>
                <w:szCs w:val="18"/>
              </w:rPr>
              <w:t>0.01</w:t>
            </w:r>
          </w:p>
        </w:tc>
        <w:tc>
          <w:tcPr>
            <w:tcW w:w="1868" w:type="dxa"/>
            <w:hideMark/>
          </w:tcPr>
          <w:p w14:paraId="0296D62F" w14:textId="77777777" w:rsidR="00413D97" w:rsidRPr="00704F0B" w:rsidRDefault="00413D97" w:rsidP="0032139E">
            <w:pPr>
              <w:pStyle w:val="NormalWeb"/>
              <w:jc w:val="center"/>
              <w:rPr>
                <w:sz w:val="18"/>
                <w:szCs w:val="18"/>
              </w:rPr>
            </w:pPr>
            <w:r w:rsidRPr="00704F0B">
              <w:rPr>
                <w:sz w:val="18"/>
                <w:szCs w:val="18"/>
              </w:rPr>
              <w:t>101,468</w:t>
            </w:r>
          </w:p>
        </w:tc>
        <w:tc>
          <w:tcPr>
            <w:tcW w:w="1867" w:type="dxa"/>
            <w:hideMark/>
          </w:tcPr>
          <w:p w14:paraId="6FA373EE" w14:textId="77777777" w:rsidR="00413D97" w:rsidRPr="00704F0B" w:rsidRDefault="00413D97" w:rsidP="0032139E">
            <w:pPr>
              <w:pStyle w:val="NormalWeb"/>
              <w:jc w:val="center"/>
              <w:rPr>
                <w:sz w:val="18"/>
                <w:szCs w:val="18"/>
              </w:rPr>
            </w:pPr>
            <w:r w:rsidRPr="00704F0B">
              <w:rPr>
                <w:sz w:val="18"/>
                <w:szCs w:val="18"/>
              </w:rPr>
              <w:t>0.01</w:t>
            </w:r>
          </w:p>
        </w:tc>
        <w:tc>
          <w:tcPr>
            <w:tcW w:w="1868" w:type="dxa"/>
            <w:hideMark/>
          </w:tcPr>
          <w:p w14:paraId="6CA36DC4" w14:textId="77777777" w:rsidR="00413D97" w:rsidRPr="00704F0B" w:rsidRDefault="00413D97" w:rsidP="0032139E">
            <w:pPr>
              <w:pStyle w:val="NormalWeb"/>
              <w:jc w:val="center"/>
              <w:rPr>
                <w:sz w:val="18"/>
                <w:szCs w:val="18"/>
              </w:rPr>
            </w:pPr>
            <w:r w:rsidRPr="00704F0B">
              <w:rPr>
                <w:sz w:val="18"/>
                <w:szCs w:val="18"/>
              </w:rPr>
              <w:t>560,607</w:t>
            </w:r>
          </w:p>
        </w:tc>
        <w:tc>
          <w:tcPr>
            <w:tcW w:w="1553" w:type="dxa"/>
            <w:hideMark/>
          </w:tcPr>
          <w:p w14:paraId="54B6F628" w14:textId="77777777" w:rsidR="00413D97" w:rsidRPr="00704F0B" w:rsidRDefault="00413D97" w:rsidP="0032139E">
            <w:pPr>
              <w:pStyle w:val="NormalWeb"/>
              <w:jc w:val="center"/>
              <w:rPr>
                <w:sz w:val="18"/>
                <w:szCs w:val="18"/>
              </w:rPr>
            </w:pPr>
            <w:r w:rsidRPr="00704F0B">
              <w:rPr>
                <w:sz w:val="18"/>
                <w:szCs w:val="18"/>
              </w:rPr>
              <w:t>0.19</w:t>
            </w:r>
          </w:p>
        </w:tc>
        <w:tc>
          <w:tcPr>
            <w:tcW w:w="2182" w:type="dxa"/>
            <w:hideMark/>
          </w:tcPr>
          <w:p w14:paraId="0A0E4369" w14:textId="77777777" w:rsidR="00413D97" w:rsidRPr="00704F0B" w:rsidRDefault="00413D97" w:rsidP="0032139E">
            <w:pPr>
              <w:pStyle w:val="NormalWeb"/>
              <w:jc w:val="center"/>
              <w:rPr>
                <w:sz w:val="18"/>
                <w:szCs w:val="18"/>
              </w:rPr>
            </w:pPr>
            <w:r w:rsidRPr="00704F0B">
              <w:rPr>
                <w:sz w:val="18"/>
                <w:szCs w:val="18"/>
              </w:rPr>
              <w:t>11,004</w:t>
            </w:r>
          </w:p>
        </w:tc>
      </w:tr>
      <w:tr w:rsidR="00413D97" w:rsidRPr="00704F0B" w14:paraId="506523BD" w14:textId="77777777" w:rsidTr="004B174B">
        <w:trPr>
          <w:cnfStyle w:val="000000010000" w:firstRow="0" w:lastRow="0" w:firstColumn="0" w:lastColumn="0" w:oddVBand="0" w:evenVBand="0" w:oddHBand="0" w:evenHBand="1" w:firstRowFirstColumn="0" w:firstRowLastColumn="0" w:lastRowFirstColumn="0" w:lastRowLastColumn="0"/>
        </w:trPr>
        <w:tc>
          <w:tcPr>
            <w:tcW w:w="1867" w:type="dxa"/>
            <w:hideMark/>
          </w:tcPr>
          <w:p w14:paraId="18DE5971" w14:textId="77777777" w:rsidR="00413D97" w:rsidRPr="00704F0B" w:rsidRDefault="00413D97" w:rsidP="00506008">
            <w:pPr>
              <w:pStyle w:val="NormalWeb"/>
              <w:rPr>
                <w:sz w:val="18"/>
                <w:szCs w:val="18"/>
              </w:rPr>
            </w:pPr>
            <w:r w:rsidRPr="00704F0B">
              <w:rPr>
                <w:sz w:val="18"/>
                <w:szCs w:val="18"/>
              </w:rPr>
              <w:t>WA</w:t>
            </w:r>
          </w:p>
        </w:tc>
        <w:tc>
          <w:tcPr>
            <w:tcW w:w="1868" w:type="dxa"/>
            <w:hideMark/>
          </w:tcPr>
          <w:p w14:paraId="251A06BD" w14:textId="77777777" w:rsidR="00413D97" w:rsidRPr="00704F0B" w:rsidRDefault="00413D97" w:rsidP="0032139E">
            <w:pPr>
              <w:pStyle w:val="NormalWeb"/>
              <w:jc w:val="center"/>
              <w:rPr>
                <w:sz w:val="18"/>
                <w:szCs w:val="18"/>
              </w:rPr>
            </w:pPr>
            <w:r w:rsidRPr="00704F0B">
              <w:rPr>
                <w:sz w:val="18"/>
                <w:szCs w:val="18"/>
              </w:rPr>
              <w:t>28,545</w:t>
            </w:r>
          </w:p>
        </w:tc>
        <w:tc>
          <w:tcPr>
            <w:tcW w:w="1867" w:type="dxa"/>
            <w:hideMark/>
          </w:tcPr>
          <w:p w14:paraId="72814D75" w14:textId="77777777" w:rsidR="00413D97" w:rsidRPr="00704F0B" w:rsidRDefault="00413D97" w:rsidP="0032139E">
            <w:pPr>
              <w:pStyle w:val="NormalWeb"/>
              <w:jc w:val="center"/>
              <w:rPr>
                <w:sz w:val="18"/>
                <w:szCs w:val="18"/>
              </w:rPr>
            </w:pPr>
            <w:r w:rsidRPr="00704F0B">
              <w:rPr>
                <w:sz w:val="18"/>
                <w:szCs w:val="18"/>
              </w:rPr>
              <w:t>0.11</w:t>
            </w:r>
          </w:p>
        </w:tc>
        <w:tc>
          <w:tcPr>
            <w:tcW w:w="1868" w:type="dxa"/>
            <w:hideMark/>
          </w:tcPr>
          <w:p w14:paraId="658588AC" w14:textId="77777777" w:rsidR="00413D97" w:rsidRPr="00704F0B" w:rsidRDefault="00413D97" w:rsidP="0032139E">
            <w:pPr>
              <w:pStyle w:val="NormalWeb"/>
              <w:jc w:val="center"/>
              <w:rPr>
                <w:sz w:val="18"/>
                <w:szCs w:val="18"/>
              </w:rPr>
            </w:pPr>
            <w:r w:rsidRPr="00704F0B">
              <w:rPr>
                <w:sz w:val="18"/>
                <w:szCs w:val="18"/>
              </w:rPr>
              <w:t>30,031</w:t>
            </w:r>
          </w:p>
        </w:tc>
        <w:tc>
          <w:tcPr>
            <w:tcW w:w="1867" w:type="dxa"/>
            <w:hideMark/>
          </w:tcPr>
          <w:p w14:paraId="4ED92266" w14:textId="77777777" w:rsidR="00413D97" w:rsidRPr="00704F0B" w:rsidRDefault="00413D97" w:rsidP="0032139E">
            <w:pPr>
              <w:pStyle w:val="NormalWeb"/>
              <w:jc w:val="center"/>
              <w:rPr>
                <w:sz w:val="18"/>
                <w:szCs w:val="18"/>
              </w:rPr>
            </w:pPr>
            <w:r w:rsidRPr="00704F0B">
              <w:rPr>
                <w:sz w:val="18"/>
                <w:szCs w:val="18"/>
              </w:rPr>
              <w:t>0.06</w:t>
            </w:r>
          </w:p>
        </w:tc>
        <w:tc>
          <w:tcPr>
            <w:tcW w:w="1868" w:type="dxa"/>
            <w:hideMark/>
          </w:tcPr>
          <w:p w14:paraId="7B097CD1" w14:textId="77777777" w:rsidR="00413D97" w:rsidRPr="00704F0B" w:rsidRDefault="00413D97" w:rsidP="0032139E">
            <w:pPr>
              <w:pStyle w:val="NormalWeb"/>
              <w:jc w:val="center"/>
              <w:rPr>
                <w:sz w:val="18"/>
                <w:szCs w:val="18"/>
              </w:rPr>
            </w:pPr>
            <w:r w:rsidRPr="00704F0B">
              <w:rPr>
                <w:sz w:val="18"/>
                <w:szCs w:val="18"/>
              </w:rPr>
              <w:t>249,789</w:t>
            </w:r>
          </w:p>
        </w:tc>
        <w:tc>
          <w:tcPr>
            <w:tcW w:w="1553" w:type="dxa"/>
            <w:hideMark/>
          </w:tcPr>
          <w:p w14:paraId="36064EFE" w14:textId="77777777" w:rsidR="00413D97" w:rsidRPr="00704F0B" w:rsidRDefault="00413D97" w:rsidP="0032139E">
            <w:pPr>
              <w:pStyle w:val="NormalWeb"/>
              <w:jc w:val="center"/>
              <w:rPr>
                <w:sz w:val="18"/>
                <w:szCs w:val="18"/>
              </w:rPr>
            </w:pPr>
            <w:r w:rsidRPr="00704F0B">
              <w:rPr>
                <w:sz w:val="18"/>
                <w:szCs w:val="18"/>
              </w:rPr>
              <w:t>0.27</w:t>
            </w:r>
          </w:p>
        </w:tc>
        <w:tc>
          <w:tcPr>
            <w:tcW w:w="2182" w:type="dxa"/>
            <w:hideMark/>
          </w:tcPr>
          <w:p w14:paraId="2B1143DC" w14:textId="77777777" w:rsidR="00413D97" w:rsidRPr="00704F0B" w:rsidRDefault="00413D97" w:rsidP="0032139E">
            <w:pPr>
              <w:pStyle w:val="NormalWeb"/>
              <w:jc w:val="center"/>
              <w:rPr>
                <w:sz w:val="18"/>
                <w:szCs w:val="18"/>
              </w:rPr>
            </w:pPr>
            <w:r w:rsidRPr="00704F0B">
              <w:rPr>
                <w:sz w:val="18"/>
                <w:szCs w:val="18"/>
              </w:rPr>
              <w:t>9,528</w:t>
            </w:r>
          </w:p>
        </w:tc>
      </w:tr>
      <w:tr w:rsidR="0032139E" w:rsidRPr="00704F0B" w14:paraId="56BF5716" w14:textId="77777777" w:rsidTr="004B174B">
        <w:tc>
          <w:tcPr>
            <w:tcW w:w="1867" w:type="dxa"/>
            <w:hideMark/>
          </w:tcPr>
          <w:p w14:paraId="5318FB2D" w14:textId="77777777" w:rsidR="00413D97" w:rsidRPr="00704F0B" w:rsidRDefault="00413D97" w:rsidP="00506008">
            <w:pPr>
              <w:pStyle w:val="NormalWeb"/>
              <w:rPr>
                <w:sz w:val="18"/>
                <w:szCs w:val="18"/>
              </w:rPr>
            </w:pPr>
            <w:r w:rsidRPr="00704F0B">
              <w:rPr>
                <w:sz w:val="18"/>
                <w:szCs w:val="18"/>
              </w:rPr>
              <w:t>SA</w:t>
            </w:r>
          </w:p>
        </w:tc>
        <w:tc>
          <w:tcPr>
            <w:tcW w:w="1868" w:type="dxa"/>
            <w:hideMark/>
          </w:tcPr>
          <w:p w14:paraId="0068CE4F" w14:textId="77777777" w:rsidR="00413D97" w:rsidRPr="00704F0B" w:rsidRDefault="00413D97" w:rsidP="0032139E">
            <w:pPr>
              <w:pStyle w:val="NormalWeb"/>
              <w:jc w:val="center"/>
              <w:rPr>
                <w:sz w:val="18"/>
                <w:szCs w:val="18"/>
              </w:rPr>
            </w:pPr>
            <w:r w:rsidRPr="00704F0B">
              <w:rPr>
                <w:sz w:val="18"/>
                <w:szCs w:val="18"/>
              </w:rPr>
              <w:t>27,336</w:t>
            </w:r>
          </w:p>
        </w:tc>
        <w:tc>
          <w:tcPr>
            <w:tcW w:w="1867" w:type="dxa"/>
            <w:hideMark/>
          </w:tcPr>
          <w:p w14:paraId="4FBF61D3" w14:textId="77777777" w:rsidR="00413D97" w:rsidRPr="00704F0B" w:rsidRDefault="00413D97" w:rsidP="0032139E">
            <w:pPr>
              <w:pStyle w:val="NormalWeb"/>
              <w:jc w:val="center"/>
              <w:rPr>
                <w:sz w:val="18"/>
                <w:szCs w:val="18"/>
              </w:rPr>
            </w:pPr>
            <w:r w:rsidRPr="00704F0B">
              <w:rPr>
                <w:sz w:val="18"/>
                <w:szCs w:val="18"/>
              </w:rPr>
              <w:t>0.00</w:t>
            </w:r>
          </w:p>
        </w:tc>
        <w:tc>
          <w:tcPr>
            <w:tcW w:w="1868" w:type="dxa"/>
            <w:hideMark/>
          </w:tcPr>
          <w:p w14:paraId="7C18AD2C" w14:textId="77777777" w:rsidR="00413D97" w:rsidRPr="00704F0B" w:rsidRDefault="00413D97" w:rsidP="0032139E">
            <w:pPr>
              <w:pStyle w:val="NormalWeb"/>
              <w:jc w:val="center"/>
              <w:rPr>
                <w:sz w:val="18"/>
                <w:szCs w:val="18"/>
              </w:rPr>
            </w:pPr>
            <w:r w:rsidRPr="00704F0B">
              <w:rPr>
                <w:sz w:val="18"/>
                <w:szCs w:val="18"/>
              </w:rPr>
              <w:t>57,732</w:t>
            </w:r>
          </w:p>
        </w:tc>
        <w:tc>
          <w:tcPr>
            <w:tcW w:w="1867" w:type="dxa"/>
            <w:hideMark/>
          </w:tcPr>
          <w:p w14:paraId="59B8712F" w14:textId="77777777" w:rsidR="00413D97" w:rsidRPr="00704F0B" w:rsidRDefault="00413D97" w:rsidP="0032139E">
            <w:pPr>
              <w:pStyle w:val="NormalWeb"/>
              <w:jc w:val="center"/>
              <w:rPr>
                <w:sz w:val="18"/>
                <w:szCs w:val="18"/>
              </w:rPr>
            </w:pPr>
            <w:r w:rsidRPr="00704F0B">
              <w:rPr>
                <w:sz w:val="18"/>
                <w:szCs w:val="18"/>
              </w:rPr>
              <w:t>0.02</w:t>
            </w:r>
          </w:p>
        </w:tc>
        <w:tc>
          <w:tcPr>
            <w:tcW w:w="1868" w:type="dxa"/>
            <w:hideMark/>
          </w:tcPr>
          <w:p w14:paraId="13DB1030" w14:textId="77777777" w:rsidR="00413D97" w:rsidRPr="00704F0B" w:rsidRDefault="00413D97" w:rsidP="0032139E">
            <w:pPr>
              <w:pStyle w:val="NormalWeb"/>
              <w:jc w:val="center"/>
              <w:rPr>
                <w:sz w:val="18"/>
                <w:szCs w:val="18"/>
              </w:rPr>
            </w:pPr>
            <w:r w:rsidRPr="00704F0B">
              <w:rPr>
                <w:sz w:val="18"/>
                <w:szCs w:val="18"/>
              </w:rPr>
              <w:t>246,160</w:t>
            </w:r>
          </w:p>
        </w:tc>
        <w:tc>
          <w:tcPr>
            <w:tcW w:w="1553" w:type="dxa"/>
            <w:hideMark/>
          </w:tcPr>
          <w:p w14:paraId="5608BB6E" w14:textId="77777777" w:rsidR="00413D97" w:rsidRPr="00704F0B" w:rsidRDefault="00413D97" w:rsidP="0032139E">
            <w:pPr>
              <w:pStyle w:val="NormalWeb"/>
              <w:jc w:val="center"/>
              <w:rPr>
                <w:sz w:val="18"/>
                <w:szCs w:val="18"/>
              </w:rPr>
            </w:pPr>
            <w:r w:rsidRPr="00704F0B">
              <w:rPr>
                <w:sz w:val="18"/>
                <w:szCs w:val="18"/>
              </w:rPr>
              <w:t>0.18</w:t>
            </w:r>
          </w:p>
        </w:tc>
        <w:tc>
          <w:tcPr>
            <w:tcW w:w="2182" w:type="dxa"/>
            <w:hideMark/>
          </w:tcPr>
          <w:p w14:paraId="280B5B6E" w14:textId="77777777" w:rsidR="00413D97" w:rsidRPr="00704F0B" w:rsidRDefault="00413D97" w:rsidP="0032139E">
            <w:pPr>
              <w:pStyle w:val="NormalWeb"/>
              <w:jc w:val="center"/>
              <w:rPr>
                <w:sz w:val="18"/>
                <w:szCs w:val="18"/>
              </w:rPr>
            </w:pPr>
            <w:r w:rsidRPr="00704F0B">
              <w:rPr>
                <w:sz w:val="18"/>
                <w:szCs w:val="18"/>
              </w:rPr>
              <w:t>14,051</w:t>
            </w:r>
          </w:p>
        </w:tc>
      </w:tr>
      <w:tr w:rsidR="00413D97" w:rsidRPr="00704F0B" w14:paraId="222869FA" w14:textId="77777777" w:rsidTr="004B174B">
        <w:trPr>
          <w:cnfStyle w:val="000000010000" w:firstRow="0" w:lastRow="0" w:firstColumn="0" w:lastColumn="0" w:oddVBand="0" w:evenVBand="0" w:oddHBand="0" w:evenHBand="1" w:firstRowFirstColumn="0" w:firstRowLastColumn="0" w:lastRowFirstColumn="0" w:lastRowLastColumn="0"/>
        </w:trPr>
        <w:tc>
          <w:tcPr>
            <w:tcW w:w="1867" w:type="dxa"/>
            <w:hideMark/>
          </w:tcPr>
          <w:p w14:paraId="057CD5D1" w14:textId="77777777" w:rsidR="00413D97" w:rsidRPr="00704F0B" w:rsidRDefault="00413D97" w:rsidP="00506008">
            <w:pPr>
              <w:pStyle w:val="NormalWeb"/>
              <w:rPr>
                <w:sz w:val="18"/>
                <w:szCs w:val="18"/>
              </w:rPr>
            </w:pPr>
            <w:r w:rsidRPr="00704F0B">
              <w:rPr>
                <w:sz w:val="18"/>
                <w:szCs w:val="18"/>
              </w:rPr>
              <w:t>Tas</w:t>
            </w:r>
          </w:p>
        </w:tc>
        <w:tc>
          <w:tcPr>
            <w:tcW w:w="1868" w:type="dxa"/>
            <w:hideMark/>
          </w:tcPr>
          <w:p w14:paraId="212358D7" w14:textId="77777777" w:rsidR="00413D97" w:rsidRPr="00704F0B" w:rsidRDefault="00413D97" w:rsidP="0032139E">
            <w:pPr>
              <w:pStyle w:val="NormalWeb"/>
              <w:jc w:val="center"/>
              <w:rPr>
                <w:sz w:val="18"/>
                <w:szCs w:val="18"/>
              </w:rPr>
            </w:pPr>
            <w:r w:rsidRPr="00704F0B">
              <w:rPr>
                <w:sz w:val="18"/>
                <w:szCs w:val="18"/>
              </w:rPr>
              <w:t>8,023</w:t>
            </w:r>
          </w:p>
        </w:tc>
        <w:tc>
          <w:tcPr>
            <w:tcW w:w="1867" w:type="dxa"/>
            <w:hideMark/>
          </w:tcPr>
          <w:p w14:paraId="6414067F" w14:textId="77777777" w:rsidR="00413D97" w:rsidRPr="00704F0B" w:rsidRDefault="00413D97" w:rsidP="0032139E">
            <w:pPr>
              <w:pStyle w:val="NormalWeb"/>
              <w:jc w:val="center"/>
              <w:rPr>
                <w:sz w:val="18"/>
                <w:szCs w:val="18"/>
              </w:rPr>
            </w:pPr>
            <w:r w:rsidRPr="00704F0B">
              <w:rPr>
                <w:sz w:val="18"/>
                <w:szCs w:val="18"/>
              </w:rPr>
              <w:t>0.00</w:t>
            </w:r>
          </w:p>
        </w:tc>
        <w:tc>
          <w:tcPr>
            <w:tcW w:w="1868" w:type="dxa"/>
            <w:hideMark/>
          </w:tcPr>
          <w:p w14:paraId="6F4A2088" w14:textId="77777777" w:rsidR="00413D97" w:rsidRPr="00704F0B" w:rsidRDefault="00413D97" w:rsidP="0032139E">
            <w:pPr>
              <w:pStyle w:val="NormalWeb"/>
              <w:jc w:val="center"/>
              <w:rPr>
                <w:sz w:val="18"/>
                <w:szCs w:val="18"/>
              </w:rPr>
            </w:pPr>
            <w:r w:rsidRPr="00704F0B">
              <w:rPr>
                <w:sz w:val="18"/>
                <w:szCs w:val="18"/>
              </w:rPr>
              <w:t>9,026</w:t>
            </w:r>
          </w:p>
        </w:tc>
        <w:tc>
          <w:tcPr>
            <w:tcW w:w="1867" w:type="dxa"/>
            <w:hideMark/>
          </w:tcPr>
          <w:p w14:paraId="09CEFEEA" w14:textId="77777777" w:rsidR="00413D97" w:rsidRPr="00704F0B" w:rsidRDefault="00413D97" w:rsidP="0032139E">
            <w:pPr>
              <w:pStyle w:val="NormalWeb"/>
              <w:jc w:val="center"/>
              <w:rPr>
                <w:sz w:val="18"/>
                <w:szCs w:val="18"/>
              </w:rPr>
            </w:pPr>
            <w:r w:rsidRPr="00704F0B">
              <w:rPr>
                <w:sz w:val="18"/>
                <w:szCs w:val="18"/>
              </w:rPr>
              <w:t>0.01</w:t>
            </w:r>
          </w:p>
        </w:tc>
        <w:tc>
          <w:tcPr>
            <w:tcW w:w="1868" w:type="dxa"/>
            <w:hideMark/>
          </w:tcPr>
          <w:p w14:paraId="65161413" w14:textId="77777777" w:rsidR="00413D97" w:rsidRPr="00704F0B" w:rsidRDefault="00413D97" w:rsidP="0032139E">
            <w:pPr>
              <w:pStyle w:val="NormalWeb"/>
              <w:jc w:val="center"/>
              <w:rPr>
                <w:sz w:val="18"/>
                <w:szCs w:val="18"/>
              </w:rPr>
            </w:pPr>
            <w:r w:rsidRPr="00704F0B">
              <w:rPr>
                <w:sz w:val="18"/>
                <w:szCs w:val="18"/>
              </w:rPr>
              <w:t>69,983</w:t>
            </w:r>
          </w:p>
        </w:tc>
        <w:tc>
          <w:tcPr>
            <w:tcW w:w="1553" w:type="dxa"/>
            <w:hideMark/>
          </w:tcPr>
          <w:p w14:paraId="1B0CF82B" w14:textId="77777777" w:rsidR="00413D97" w:rsidRPr="00704F0B" w:rsidRDefault="00413D97" w:rsidP="0032139E">
            <w:pPr>
              <w:pStyle w:val="NormalWeb"/>
              <w:jc w:val="center"/>
              <w:rPr>
                <w:sz w:val="18"/>
                <w:szCs w:val="18"/>
              </w:rPr>
            </w:pPr>
            <w:r w:rsidRPr="00704F0B">
              <w:rPr>
                <w:sz w:val="18"/>
                <w:szCs w:val="18"/>
              </w:rPr>
              <w:t>0.33</w:t>
            </w:r>
          </w:p>
        </w:tc>
        <w:tc>
          <w:tcPr>
            <w:tcW w:w="2182" w:type="dxa"/>
            <w:hideMark/>
          </w:tcPr>
          <w:p w14:paraId="5B99463D" w14:textId="77777777" w:rsidR="00413D97" w:rsidRPr="00704F0B" w:rsidRDefault="00413D97" w:rsidP="0032139E">
            <w:pPr>
              <w:pStyle w:val="NormalWeb"/>
              <w:jc w:val="center"/>
              <w:rPr>
                <w:sz w:val="18"/>
                <w:szCs w:val="18"/>
              </w:rPr>
            </w:pPr>
            <w:r w:rsidRPr="00704F0B">
              <w:rPr>
                <w:sz w:val="18"/>
                <w:szCs w:val="18"/>
              </w:rPr>
              <w:t>13,094</w:t>
            </w:r>
          </w:p>
        </w:tc>
      </w:tr>
      <w:tr w:rsidR="0032139E" w:rsidRPr="00704F0B" w14:paraId="6E792CA2" w14:textId="77777777" w:rsidTr="004B174B">
        <w:tc>
          <w:tcPr>
            <w:tcW w:w="1867" w:type="dxa"/>
            <w:hideMark/>
          </w:tcPr>
          <w:p w14:paraId="0376712B" w14:textId="77777777" w:rsidR="00413D97" w:rsidRPr="00704F0B" w:rsidRDefault="00413D97" w:rsidP="00506008">
            <w:pPr>
              <w:pStyle w:val="NormalWeb"/>
              <w:rPr>
                <w:sz w:val="18"/>
                <w:szCs w:val="18"/>
              </w:rPr>
            </w:pPr>
            <w:r w:rsidRPr="00704F0B">
              <w:rPr>
                <w:sz w:val="18"/>
                <w:szCs w:val="18"/>
              </w:rPr>
              <w:t>NT</w:t>
            </w:r>
          </w:p>
        </w:tc>
        <w:tc>
          <w:tcPr>
            <w:tcW w:w="1868" w:type="dxa"/>
            <w:hideMark/>
          </w:tcPr>
          <w:p w14:paraId="71E02DD3" w14:textId="77777777" w:rsidR="00413D97" w:rsidRPr="00704F0B" w:rsidRDefault="00413D97" w:rsidP="0032139E">
            <w:pPr>
              <w:pStyle w:val="NormalWeb"/>
              <w:jc w:val="center"/>
              <w:rPr>
                <w:sz w:val="18"/>
                <w:szCs w:val="18"/>
              </w:rPr>
            </w:pPr>
            <w:r w:rsidRPr="00704F0B">
              <w:rPr>
                <w:sz w:val="18"/>
                <w:szCs w:val="18"/>
              </w:rPr>
              <w:t>5,159</w:t>
            </w:r>
          </w:p>
        </w:tc>
        <w:tc>
          <w:tcPr>
            <w:tcW w:w="1867" w:type="dxa"/>
            <w:hideMark/>
          </w:tcPr>
          <w:p w14:paraId="404AE220" w14:textId="77777777" w:rsidR="00413D97" w:rsidRPr="00704F0B" w:rsidRDefault="00413D97" w:rsidP="0032139E">
            <w:pPr>
              <w:pStyle w:val="NormalWeb"/>
              <w:jc w:val="center"/>
              <w:rPr>
                <w:sz w:val="18"/>
                <w:szCs w:val="18"/>
              </w:rPr>
            </w:pPr>
            <w:r w:rsidRPr="00704F0B">
              <w:rPr>
                <w:sz w:val="18"/>
                <w:szCs w:val="18"/>
              </w:rPr>
              <w:t>0.02</w:t>
            </w:r>
          </w:p>
        </w:tc>
        <w:tc>
          <w:tcPr>
            <w:tcW w:w="1868" w:type="dxa"/>
            <w:hideMark/>
          </w:tcPr>
          <w:p w14:paraId="13D1C3D0" w14:textId="77777777" w:rsidR="00413D97" w:rsidRPr="00704F0B" w:rsidRDefault="00413D97" w:rsidP="0032139E">
            <w:pPr>
              <w:pStyle w:val="NormalWeb"/>
              <w:jc w:val="center"/>
              <w:rPr>
                <w:sz w:val="18"/>
                <w:szCs w:val="18"/>
              </w:rPr>
            </w:pPr>
            <w:r w:rsidRPr="00704F0B">
              <w:rPr>
                <w:sz w:val="18"/>
                <w:szCs w:val="18"/>
              </w:rPr>
              <w:t>5,304</w:t>
            </w:r>
          </w:p>
        </w:tc>
        <w:tc>
          <w:tcPr>
            <w:tcW w:w="1867" w:type="dxa"/>
            <w:hideMark/>
          </w:tcPr>
          <w:p w14:paraId="7151C266" w14:textId="77777777" w:rsidR="00413D97" w:rsidRPr="00704F0B" w:rsidRDefault="00413D97" w:rsidP="0032139E">
            <w:pPr>
              <w:pStyle w:val="NormalWeb"/>
              <w:jc w:val="center"/>
              <w:rPr>
                <w:sz w:val="18"/>
                <w:szCs w:val="18"/>
              </w:rPr>
            </w:pPr>
            <w:r w:rsidRPr="00704F0B">
              <w:rPr>
                <w:sz w:val="18"/>
                <w:szCs w:val="18"/>
              </w:rPr>
              <w:t>0.04</w:t>
            </w:r>
          </w:p>
        </w:tc>
        <w:tc>
          <w:tcPr>
            <w:tcW w:w="1868" w:type="dxa"/>
            <w:hideMark/>
          </w:tcPr>
          <w:p w14:paraId="689BB9F7" w14:textId="77777777" w:rsidR="00413D97" w:rsidRPr="00704F0B" w:rsidRDefault="00413D97" w:rsidP="0032139E">
            <w:pPr>
              <w:pStyle w:val="NormalWeb"/>
              <w:jc w:val="center"/>
              <w:rPr>
                <w:sz w:val="18"/>
                <w:szCs w:val="18"/>
              </w:rPr>
            </w:pPr>
            <w:r w:rsidRPr="00704F0B">
              <w:rPr>
                <w:sz w:val="18"/>
                <w:szCs w:val="18"/>
              </w:rPr>
              <w:t>25,211</w:t>
            </w:r>
          </w:p>
        </w:tc>
        <w:tc>
          <w:tcPr>
            <w:tcW w:w="1553" w:type="dxa"/>
            <w:hideMark/>
          </w:tcPr>
          <w:p w14:paraId="393A1CC3" w14:textId="77777777" w:rsidR="00413D97" w:rsidRPr="00704F0B" w:rsidRDefault="00413D97" w:rsidP="0032139E">
            <w:pPr>
              <w:pStyle w:val="NormalWeb"/>
              <w:jc w:val="center"/>
              <w:rPr>
                <w:sz w:val="18"/>
                <w:szCs w:val="18"/>
              </w:rPr>
            </w:pPr>
            <w:r w:rsidRPr="00704F0B">
              <w:rPr>
                <w:sz w:val="18"/>
                <w:szCs w:val="18"/>
              </w:rPr>
              <w:t>0.13</w:t>
            </w:r>
          </w:p>
        </w:tc>
        <w:tc>
          <w:tcPr>
            <w:tcW w:w="2182" w:type="dxa"/>
            <w:hideMark/>
          </w:tcPr>
          <w:p w14:paraId="056E2B20" w14:textId="77777777" w:rsidR="00413D97" w:rsidRPr="00704F0B" w:rsidRDefault="00413D97" w:rsidP="0032139E">
            <w:pPr>
              <w:pStyle w:val="NormalWeb"/>
              <w:jc w:val="center"/>
              <w:rPr>
                <w:sz w:val="18"/>
                <w:szCs w:val="18"/>
              </w:rPr>
            </w:pPr>
            <w:r w:rsidRPr="00704F0B">
              <w:rPr>
                <w:sz w:val="18"/>
                <w:szCs w:val="18"/>
              </w:rPr>
              <w:t>10,251</w:t>
            </w:r>
          </w:p>
        </w:tc>
      </w:tr>
      <w:tr w:rsidR="00413D97" w:rsidRPr="00704F0B" w14:paraId="61C5C3C4" w14:textId="77777777" w:rsidTr="004B174B">
        <w:trPr>
          <w:cnfStyle w:val="000000010000" w:firstRow="0" w:lastRow="0" w:firstColumn="0" w:lastColumn="0" w:oddVBand="0" w:evenVBand="0" w:oddHBand="0" w:evenHBand="1" w:firstRowFirstColumn="0" w:firstRowLastColumn="0" w:lastRowFirstColumn="0" w:lastRowLastColumn="0"/>
        </w:trPr>
        <w:tc>
          <w:tcPr>
            <w:tcW w:w="1867" w:type="dxa"/>
            <w:hideMark/>
          </w:tcPr>
          <w:p w14:paraId="39B24407" w14:textId="77777777" w:rsidR="00413D97" w:rsidRPr="00704F0B" w:rsidRDefault="00413D97" w:rsidP="00506008">
            <w:pPr>
              <w:pStyle w:val="NormalWeb"/>
              <w:rPr>
                <w:sz w:val="18"/>
                <w:szCs w:val="18"/>
              </w:rPr>
            </w:pPr>
            <w:r w:rsidRPr="00704F0B">
              <w:rPr>
                <w:sz w:val="18"/>
                <w:szCs w:val="18"/>
              </w:rPr>
              <w:t>ACT</w:t>
            </w:r>
          </w:p>
        </w:tc>
        <w:tc>
          <w:tcPr>
            <w:tcW w:w="1868" w:type="dxa"/>
            <w:hideMark/>
          </w:tcPr>
          <w:p w14:paraId="06E8A015" w14:textId="77777777" w:rsidR="00413D97" w:rsidRPr="00704F0B" w:rsidRDefault="00413D97" w:rsidP="0032139E">
            <w:pPr>
              <w:pStyle w:val="NormalWeb"/>
              <w:jc w:val="center"/>
              <w:rPr>
                <w:sz w:val="18"/>
                <w:szCs w:val="18"/>
              </w:rPr>
            </w:pPr>
            <w:r w:rsidRPr="00704F0B">
              <w:rPr>
                <w:sz w:val="18"/>
                <w:szCs w:val="18"/>
              </w:rPr>
              <w:t>9,730</w:t>
            </w:r>
          </w:p>
        </w:tc>
        <w:tc>
          <w:tcPr>
            <w:tcW w:w="1867" w:type="dxa"/>
            <w:hideMark/>
          </w:tcPr>
          <w:p w14:paraId="2551E972" w14:textId="77777777" w:rsidR="00413D97" w:rsidRPr="00704F0B" w:rsidRDefault="00413D97" w:rsidP="0032139E">
            <w:pPr>
              <w:pStyle w:val="NormalWeb"/>
              <w:jc w:val="center"/>
              <w:rPr>
                <w:sz w:val="18"/>
                <w:szCs w:val="18"/>
              </w:rPr>
            </w:pPr>
            <w:r w:rsidRPr="00704F0B">
              <w:rPr>
                <w:sz w:val="18"/>
                <w:szCs w:val="18"/>
              </w:rPr>
              <w:t>0.05</w:t>
            </w:r>
          </w:p>
        </w:tc>
        <w:tc>
          <w:tcPr>
            <w:tcW w:w="1868" w:type="dxa"/>
            <w:hideMark/>
          </w:tcPr>
          <w:p w14:paraId="52758D82" w14:textId="77777777" w:rsidR="00413D97" w:rsidRPr="00704F0B" w:rsidRDefault="00413D97" w:rsidP="0032139E">
            <w:pPr>
              <w:pStyle w:val="NormalWeb"/>
              <w:jc w:val="center"/>
              <w:rPr>
                <w:sz w:val="18"/>
                <w:szCs w:val="18"/>
              </w:rPr>
            </w:pPr>
            <w:r w:rsidRPr="00704F0B">
              <w:rPr>
                <w:sz w:val="18"/>
                <w:szCs w:val="18"/>
              </w:rPr>
              <w:t>10,636</w:t>
            </w:r>
          </w:p>
        </w:tc>
        <w:tc>
          <w:tcPr>
            <w:tcW w:w="1867" w:type="dxa"/>
            <w:hideMark/>
          </w:tcPr>
          <w:p w14:paraId="02C29EEE" w14:textId="77777777" w:rsidR="00413D97" w:rsidRPr="00704F0B" w:rsidRDefault="00413D97" w:rsidP="0032139E">
            <w:pPr>
              <w:pStyle w:val="NormalWeb"/>
              <w:jc w:val="center"/>
              <w:rPr>
                <w:sz w:val="18"/>
                <w:szCs w:val="18"/>
              </w:rPr>
            </w:pPr>
            <w:r w:rsidRPr="00704F0B">
              <w:rPr>
                <w:sz w:val="18"/>
                <w:szCs w:val="18"/>
              </w:rPr>
              <w:t>0.00</w:t>
            </w:r>
          </w:p>
        </w:tc>
        <w:tc>
          <w:tcPr>
            <w:tcW w:w="1868" w:type="dxa"/>
            <w:hideMark/>
          </w:tcPr>
          <w:p w14:paraId="7F57B6BF" w14:textId="77777777" w:rsidR="00413D97" w:rsidRPr="00704F0B" w:rsidRDefault="00413D97" w:rsidP="0032139E">
            <w:pPr>
              <w:pStyle w:val="NormalWeb"/>
              <w:jc w:val="center"/>
              <w:rPr>
                <w:sz w:val="18"/>
                <w:szCs w:val="18"/>
              </w:rPr>
            </w:pPr>
            <w:r w:rsidRPr="00704F0B">
              <w:rPr>
                <w:sz w:val="18"/>
                <w:szCs w:val="18"/>
              </w:rPr>
              <w:t>52,639</w:t>
            </w:r>
          </w:p>
        </w:tc>
        <w:tc>
          <w:tcPr>
            <w:tcW w:w="1553" w:type="dxa"/>
            <w:hideMark/>
          </w:tcPr>
          <w:p w14:paraId="630AB69F" w14:textId="77777777" w:rsidR="00413D97" w:rsidRPr="00704F0B" w:rsidRDefault="00413D97" w:rsidP="0032139E">
            <w:pPr>
              <w:pStyle w:val="NormalWeb"/>
              <w:jc w:val="center"/>
              <w:rPr>
                <w:sz w:val="18"/>
                <w:szCs w:val="18"/>
              </w:rPr>
            </w:pPr>
            <w:r w:rsidRPr="00704F0B">
              <w:rPr>
                <w:sz w:val="18"/>
                <w:szCs w:val="18"/>
              </w:rPr>
              <w:t>0.21</w:t>
            </w:r>
          </w:p>
        </w:tc>
        <w:tc>
          <w:tcPr>
            <w:tcW w:w="2182" w:type="dxa"/>
            <w:hideMark/>
          </w:tcPr>
          <w:p w14:paraId="2D0CDEA2" w14:textId="77777777" w:rsidR="00413D97" w:rsidRPr="00704F0B" w:rsidRDefault="00413D97" w:rsidP="0032139E">
            <w:pPr>
              <w:pStyle w:val="NormalWeb"/>
              <w:jc w:val="center"/>
              <w:rPr>
                <w:sz w:val="18"/>
                <w:szCs w:val="18"/>
              </w:rPr>
            </w:pPr>
            <w:r w:rsidRPr="00704F0B">
              <w:rPr>
                <w:sz w:val="18"/>
                <w:szCs w:val="18"/>
              </w:rPr>
              <w:t>12,336</w:t>
            </w:r>
          </w:p>
        </w:tc>
      </w:tr>
      <w:tr w:rsidR="0032139E" w:rsidRPr="00704F0B" w14:paraId="50B4AABD" w14:textId="77777777" w:rsidTr="004B174B">
        <w:tc>
          <w:tcPr>
            <w:tcW w:w="1867" w:type="dxa"/>
            <w:shd w:val="clear" w:color="auto" w:fill="FDE9D9" w:themeFill="accent6" w:themeFillTint="33"/>
            <w:hideMark/>
          </w:tcPr>
          <w:p w14:paraId="7AF42B03" w14:textId="77777777" w:rsidR="00413D97" w:rsidRPr="00704F0B" w:rsidRDefault="00413D97">
            <w:pPr>
              <w:pStyle w:val="NormalWeb"/>
              <w:rPr>
                <w:b/>
                <w:sz w:val="18"/>
                <w:szCs w:val="18"/>
              </w:rPr>
            </w:pPr>
            <w:r w:rsidRPr="00704F0B">
              <w:rPr>
                <w:b/>
                <w:sz w:val="18"/>
                <w:szCs w:val="18"/>
              </w:rPr>
              <w:t>Australia</w:t>
            </w:r>
          </w:p>
        </w:tc>
        <w:tc>
          <w:tcPr>
            <w:tcW w:w="1868" w:type="dxa"/>
            <w:shd w:val="clear" w:color="auto" w:fill="FDE9D9" w:themeFill="accent6" w:themeFillTint="33"/>
            <w:hideMark/>
          </w:tcPr>
          <w:p w14:paraId="0423191D" w14:textId="77777777" w:rsidR="00413D97" w:rsidRPr="00704F0B" w:rsidRDefault="00413D97" w:rsidP="0032139E">
            <w:pPr>
              <w:pStyle w:val="NormalWeb"/>
              <w:jc w:val="center"/>
              <w:rPr>
                <w:b/>
                <w:sz w:val="18"/>
                <w:szCs w:val="18"/>
              </w:rPr>
            </w:pPr>
            <w:r w:rsidRPr="00704F0B">
              <w:rPr>
                <w:b/>
                <w:sz w:val="18"/>
                <w:szCs w:val="18"/>
              </w:rPr>
              <w:t>763,028</w:t>
            </w:r>
          </w:p>
        </w:tc>
        <w:tc>
          <w:tcPr>
            <w:tcW w:w="1867" w:type="dxa"/>
            <w:shd w:val="clear" w:color="auto" w:fill="FDE9D9" w:themeFill="accent6" w:themeFillTint="33"/>
            <w:hideMark/>
          </w:tcPr>
          <w:p w14:paraId="51872D4C" w14:textId="77777777" w:rsidR="00413D97" w:rsidRPr="00704F0B" w:rsidRDefault="00413D97" w:rsidP="0032139E">
            <w:pPr>
              <w:pStyle w:val="NormalWeb"/>
              <w:jc w:val="center"/>
              <w:rPr>
                <w:b/>
                <w:sz w:val="18"/>
                <w:szCs w:val="18"/>
              </w:rPr>
            </w:pPr>
            <w:r w:rsidRPr="00704F0B">
              <w:rPr>
                <w:b/>
                <w:sz w:val="18"/>
                <w:szCs w:val="18"/>
              </w:rPr>
              <w:t>0.44</w:t>
            </w:r>
          </w:p>
        </w:tc>
        <w:tc>
          <w:tcPr>
            <w:tcW w:w="1868" w:type="dxa"/>
            <w:shd w:val="clear" w:color="auto" w:fill="FDE9D9" w:themeFill="accent6" w:themeFillTint="33"/>
            <w:hideMark/>
          </w:tcPr>
          <w:p w14:paraId="49E1AC8D" w14:textId="77777777" w:rsidR="00413D97" w:rsidRPr="00704F0B" w:rsidRDefault="00413D97" w:rsidP="0032139E">
            <w:pPr>
              <w:pStyle w:val="NormalWeb"/>
              <w:jc w:val="center"/>
              <w:rPr>
                <w:b/>
                <w:sz w:val="18"/>
                <w:szCs w:val="18"/>
              </w:rPr>
            </w:pPr>
            <w:r w:rsidRPr="00704F0B">
              <w:rPr>
                <w:b/>
                <w:sz w:val="18"/>
                <w:szCs w:val="18"/>
              </w:rPr>
              <w:t>889,678</w:t>
            </w:r>
          </w:p>
        </w:tc>
        <w:tc>
          <w:tcPr>
            <w:tcW w:w="1867" w:type="dxa"/>
            <w:shd w:val="clear" w:color="auto" w:fill="FDE9D9" w:themeFill="accent6" w:themeFillTint="33"/>
            <w:hideMark/>
          </w:tcPr>
          <w:p w14:paraId="71A5854C" w14:textId="77777777" w:rsidR="00413D97" w:rsidRPr="00704F0B" w:rsidRDefault="00413D97" w:rsidP="0032139E">
            <w:pPr>
              <w:pStyle w:val="NormalWeb"/>
              <w:jc w:val="center"/>
              <w:rPr>
                <w:b/>
                <w:sz w:val="18"/>
                <w:szCs w:val="18"/>
              </w:rPr>
            </w:pPr>
            <w:r w:rsidRPr="00704F0B">
              <w:rPr>
                <w:b/>
                <w:sz w:val="18"/>
                <w:szCs w:val="18"/>
              </w:rPr>
              <w:t>0.68</w:t>
            </w:r>
          </w:p>
        </w:tc>
        <w:tc>
          <w:tcPr>
            <w:tcW w:w="1868" w:type="dxa"/>
            <w:shd w:val="clear" w:color="auto" w:fill="FDE9D9" w:themeFill="accent6" w:themeFillTint="33"/>
            <w:hideMark/>
          </w:tcPr>
          <w:p w14:paraId="75F799E9" w14:textId="77777777" w:rsidR="00413D97" w:rsidRPr="00704F0B" w:rsidRDefault="00413D97" w:rsidP="0032139E">
            <w:pPr>
              <w:pStyle w:val="NormalWeb"/>
              <w:jc w:val="center"/>
              <w:rPr>
                <w:b/>
                <w:sz w:val="18"/>
                <w:szCs w:val="18"/>
              </w:rPr>
            </w:pPr>
            <w:r w:rsidRPr="00704F0B">
              <w:rPr>
                <w:b/>
                <w:sz w:val="18"/>
                <w:szCs w:val="18"/>
              </w:rPr>
              <w:t>4,366,141</w:t>
            </w:r>
          </w:p>
        </w:tc>
        <w:tc>
          <w:tcPr>
            <w:tcW w:w="1553" w:type="dxa"/>
            <w:shd w:val="clear" w:color="auto" w:fill="FDE9D9" w:themeFill="accent6" w:themeFillTint="33"/>
            <w:hideMark/>
          </w:tcPr>
          <w:p w14:paraId="36D86FAA" w14:textId="77777777" w:rsidR="00413D97" w:rsidRPr="00704F0B" w:rsidRDefault="00413D97" w:rsidP="0032139E">
            <w:pPr>
              <w:pStyle w:val="NormalWeb"/>
              <w:jc w:val="center"/>
              <w:rPr>
                <w:b/>
                <w:sz w:val="18"/>
                <w:szCs w:val="18"/>
              </w:rPr>
            </w:pPr>
            <w:r w:rsidRPr="00704F0B">
              <w:rPr>
                <w:b/>
                <w:sz w:val="18"/>
                <w:szCs w:val="18"/>
              </w:rPr>
              <w:t>0.41</w:t>
            </w:r>
          </w:p>
        </w:tc>
        <w:tc>
          <w:tcPr>
            <w:tcW w:w="2182" w:type="dxa"/>
            <w:shd w:val="clear" w:color="auto" w:fill="FDE9D9" w:themeFill="accent6" w:themeFillTint="33"/>
            <w:hideMark/>
          </w:tcPr>
          <w:p w14:paraId="28409584" w14:textId="77777777" w:rsidR="00413D97" w:rsidRPr="00704F0B" w:rsidRDefault="00413D97" w:rsidP="0032139E">
            <w:pPr>
              <w:pStyle w:val="NormalWeb"/>
              <w:jc w:val="center"/>
              <w:rPr>
                <w:b/>
                <w:sz w:val="18"/>
                <w:szCs w:val="18"/>
              </w:rPr>
            </w:pPr>
            <w:r w:rsidRPr="00704F0B">
              <w:rPr>
                <w:b/>
                <w:sz w:val="18"/>
                <w:szCs w:val="18"/>
              </w:rPr>
              <w:t>17,216</w:t>
            </w:r>
          </w:p>
        </w:tc>
      </w:tr>
    </w:tbl>
    <w:p w14:paraId="3E0700EF" w14:textId="77777777" w:rsidR="00413D97" w:rsidRPr="00882CB3" w:rsidRDefault="00413D97" w:rsidP="00882CB3">
      <w:pPr>
        <w:pStyle w:val="CDIfootnotes"/>
      </w:pPr>
      <w:r w:rsidRPr="00882CB3">
        <w:t>a</w:t>
      </w:r>
      <w:r w:rsidRPr="00882CB3">
        <w:tab/>
        <w:t xml:space="preserve">Data in this table </w:t>
      </w:r>
      <w:proofErr w:type="gramStart"/>
      <w:r w:rsidRPr="00882CB3">
        <w:t>are</w:t>
      </w:r>
      <w:proofErr w:type="gramEnd"/>
      <w:r w:rsidRPr="00882CB3">
        <w:t xml:space="preserve"> based on reports of notification by states and territories.</w:t>
      </w:r>
    </w:p>
    <w:p w14:paraId="2DBB965C" w14:textId="77777777" w:rsidR="00413D97" w:rsidRPr="00882CB3" w:rsidRDefault="00413D97" w:rsidP="00882CB3">
      <w:pPr>
        <w:pStyle w:val="CDIfootnotes"/>
      </w:pPr>
      <w:r w:rsidRPr="00882CB3">
        <w:t>b</w:t>
      </w:r>
      <w:r w:rsidRPr="00882CB3">
        <w:tab/>
        <w:t xml:space="preserve">Population data based on Australian Bureau of Statistics (ABS) Estimated Resident Population (ERP) as </w:t>
      </w:r>
      <w:proofErr w:type="gramStart"/>
      <w:r w:rsidRPr="00882CB3">
        <w:t>at</w:t>
      </w:r>
      <w:proofErr w:type="gramEnd"/>
      <w:r w:rsidRPr="00882CB3">
        <w:t xml:space="preserve"> 30 June 2019.</w:t>
      </w:r>
    </w:p>
    <w:p w14:paraId="1084107B" w14:textId="77777777" w:rsidR="00694D2A" w:rsidRDefault="00694D2A">
      <w:pPr>
        <w:pStyle w:val="NormalWeb"/>
        <w:sectPr w:rsidR="00694D2A" w:rsidSect="00694D2A">
          <w:footnotePr>
            <w:numFmt w:val="lowerRoman"/>
          </w:footnotePr>
          <w:pgSz w:w="16838" w:h="11906" w:orient="landscape"/>
          <w:pgMar w:top="720" w:right="720" w:bottom="720" w:left="1134" w:header="709" w:footer="284" w:gutter="0"/>
          <w:cols w:space="708"/>
          <w:titlePg/>
          <w:docGrid w:linePitch="360"/>
        </w:sectPr>
      </w:pPr>
    </w:p>
    <w:p w14:paraId="3578F5FB" w14:textId="77777777" w:rsidR="00413D97" w:rsidRDefault="00413D97" w:rsidP="003B02C3">
      <w:pPr>
        <w:pStyle w:val="CDIFigures"/>
      </w:pPr>
      <w:r>
        <w:lastRenderedPageBreak/>
        <w:t xml:space="preserve">Figure 7: COVID-19 Laboratory (PCR) testing rates in Australia, by age </w:t>
      </w:r>
      <w:proofErr w:type="spellStart"/>
      <w:r>
        <w:t>group,</w:t>
      </w:r>
      <w:r w:rsidRPr="003B02C3">
        <w:rPr>
          <w:vertAlign w:val="superscript"/>
        </w:rPr>
        <w:t>a,b</w:t>
      </w:r>
      <w:proofErr w:type="spellEnd"/>
      <w:r>
        <w:t xml:space="preserve"> 1 May to 31 July 2020</w:t>
      </w:r>
    </w:p>
    <w:p w14:paraId="7C8179F8" w14:textId="77777777" w:rsidR="00413D97" w:rsidRDefault="00413D97" w:rsidP="00B30DE8">
      <w:pPr>
        <w:pStyle w:val="NormalWeb"/>
        <w:jc w:val="center"/>
      </w:pPr>
      <w:r>
        <w:rPr>
          <w:noProof/>
        </w:rPr>
        <w:drawing>
          <wp:inline distT="0" distB="0" distL="0" distR="0" wp14:anchorId="5CAE7E1A" wp14:editId="061739A3">
            <wp:extent cx="6117348" cy="4059944"/>
            <wp:effectExtent l="0" t="0" r="0" b="0"/>
            <wp:docPr id="7" name="Picture 7" descr="A line graph showing the reported testing rate per 1,000 population each week in each of several age ranges. Weekly testing rates for all age groups have risen overall from 1 May to 31 July, though for most age groups the change in testing rate is erratic across this time period. The highest rate of testing throughout July has been in the 20–49 year age group (with 15 to 20 tests each week per 1,000 population), while the increase in testing rate in the 0–9 years and 10–19 years age groups from 1 May to 31 July has  been about sixfold, to around 12 tests per 1,000 population, a weekly testing rate broadly similar to the current rate among those aged 50 years and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line graph showing the reported testing rate per 1,000 population each week in each of several age ranges. Weekly testing rates for all age groups have risen overall from 1 May to 31 July, though for most age groups the change in testing rate is erratic across this time period. The highest rate of testing throughout July has been in the 20–49 year age group (with 15 to 20 tests each week per 1,000 population), while the increase in testing rate in the 0–9 years and 10–19 years age groups from 1 May to 31 July has  been about sixfold, to around 12 tests per 1,000 population, a weekly testing rate broadly similar to the current rate among those aged 50 years and over."/>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117348" cy="4059944"/>
                    </a:xfrm>
                    <a:prstGeom prst="rect">
                      <a:avLst/>
                    </a:prstGeom>
                  </pic:spPr>
                </pic:pic>
              </a:graphicData>
            </a:graphic>
          </wp:inline>
        </w:drawing>
      </w:r>
    </w:p>
    <w:p w14:paraId="0E310C7E" w14:textId="77777777" w:rsidR="00413D97" w:rsidRDefault="00413D97" w:rsidP="00B30DE8">
      <w:pPr>
        <w:pStyle w:val="CDIfootnotes"/>
      </w:pPr>
      <w:r>
        <w:t>a</w:t>
      </w:r>
      <w:r>
        <w:tab/>
        <w:t xml:space="preserve"> Data provided by jurisdictions to NIR weekly.</w:t>
      </w:r>
    </w:p>
    <w:p w14:paraId="0AB8F8BF" w14:textId="77777777" w:rsidR="00413D97" w:rsidRDefault="00413D97" w:rsidP="00B30DE8">
      <w:pPr>
        <w:pStyle w:val="CDIfootnotes"/>
      </w:pPr>
      <w:r>
        <w:t>b</w:t>
      </w:r>
      <w:r>
        <w:tab/>
      </w:r>
      <w:proofErr w:type="gramStart"/>
      <w:r>
        <w:t>The</w:t>
      </w:r>
      <w:proofErr w:type="gramEnd"/>
      <w:r>
        <w:t xml:space="preserve"> jurisdictions reporting each week (i.e. the denominator population) may vary.</w:t>
      </w:r>
    </w:p>
    <w:p w14:paraId="752B68FD" w14:textId="77777777" w:rsidR="00413D97" w:rsidRDefault="00413D97" w:rsidP="00B30DE8">
      <w:pPr>
        <w:pStyle w:val="CDIFigures"/>
      </w:pPr>
      <w:r>
        <w:t>Figure 8: COVID-19 cases, by age group and gender, to 2 August 2020, Australia</w:t>
      </w:r>
    </w:p>
    <w:p w14:paraId="1D679531" w14:textId="77777777" w:rsidR="00413D97" w:rsidRDefault="00413D97">
      <w:pPr>
        <w:pStyle w:val="NormalWeb"/>
      </w:pPr>
      <w:r>
        <w:rPr>
          <w:noProof/>
        </w:rPr>
        <w:drawing>
          <wp:inline distT="0" distB="0" distL="0" distR="0" wp14:anchorId="2D2897F1">
            <wp:extent cx="6247225" cy="3435350"/>
            <wp:effectExtent l="0" t="0" r="1270" b="0"/>
            <wp:docPr id="8" name="Picture 8" descr="A bar chart showing the dependence, of confirmed COVID-19 cases notified within the latest reporting period, on age group and sex. It can be seen that the notification rate is highest for those aged 90 and over, especially females. Excluding those 90 and over, rates per 100,000 population in the current reporting period have been highest in the 20 to 29 and 80 to 89 age groups (again, these notification rates have been higher in each case for females than males). Cumulatively since the outbreak’s onset, the highest notification rates (similarly higher in females than males) have been in the 90 and over, then 20 to 29 age groups; across most other age groups, cumulative notification rates are higher for males than fem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ar chart showing the dependence, of confirmed COVID-19 cases notified within the latest reporting period, on age group and sex. It can be seen that the notification rate is highest for those aged 90 and over, especially females. Excluding those 90 and over, rates per 100,000 population in the current reporting period have been highest in the 20 to 29 and 80 to 89 age groups (again, these notification rates have been higher in each case for females than males). Cumulatively since the outbreak’s onset, the highest notification rates (similarly higher in females than males) have been in the 90 and over, then 20 to 29 age groups; across most other age groups, cumulative notification rates are higher for males than females."/>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247820" cy="3435677"/>
                    </a:xfrm>
                    <a:prstGeom prst="rect">
                      <a:avLst/>
                    </a:prstGeom>
                  </pic:spPr>
                </pic:pic>
              </a:graphicData>
            </a:graphic>
          </wp:inline>
        </w:drawing>
      </w:r>
    </w:p>
    <w:p w14:paraId="29D34634" w14:textId="77777777" w:rsidR="00413D97" w:rsidRDefault="00413D97" w:rsidP="009653D5">
      <w:pPr>
        <w:pStyle w:val="CDIFigures"/>
      </w:pPr>
      <w:r>
        <w:lastRenderedPageBreak/>
        <w:t>Table 5: Number and case fatality rate for all cases, hospitalised cases and cases admitted to ICU, by age group and gender, Australia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Number and case fatality rate (CFR) for all cases, hospitalised cases and cases admitted to ICU by age group and gender, Australia &#10;Table 5 analyses the number and case fatality rate of all cases, hospitalised cases and cases admitted to ICU by age and gender."/>
      </w:tblPr>
      <w:tblGrid>
        <w:gridCol w:w="1145"/>
        <w:gridCol w:w="766"/>
        <w:gridCol w:w="766"/>
        <w:gridCol w:w="1009"/>
        <w:gridCol w:w="850"/>
        <w:gridCol w:w="993"/>
        <w:gridCol w:w="992"/>
        <w:gridCol w:w="1417"/>
        <w:gridCol w:w="993"/>
        <w:gridCol w:w="1506"/>
      </w:tblGrid>
      <w:tr w:rsidR="00413D97" w:rsidRPr="00F86B53" w14:paraId="23D8845E" w14:textId="77777777" w:rsidTr="003A3AB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93904B8" w14:textId="77777777" w:rsidR="00413D97" w:rsidRPr="00F86B53" w:rsidRDefault="00413D97">
            <w:pPr>
              <w:rPr>
                <w:color w:val="FFFFFF" w:themeColor="background1"/>
                <w:sz w:val="18"/>
                <w:szCs w:val="18"/>
              </w:rPr>
            </w:pPr>
          </w:p>
        </w:tc>
        <w:tc>
          <w:tcPr>
            <w:tcW w:w="2541" w:type="dxa"/>
            <w:gridSpan w:val="3"/>
            <w:tcBorders>
              <w:left w:val="single" w:sz="2" w:space="0" w:color="FFFFFF" w:themeColor="background1"/>
              <w:bottom w:val="single" w:sz="2" w:space="0" w:color="FFFFFF" w:themeColor="background1"/>
              <w:right w:val="single" w:sz="2" w:space="0" w:color="FFFFFF" w:themeColor="background1"/>
            </w:tcBorders>
            <w:hideMark/>
          </w:tcPr>
          <w:p w14:paraId="0B76D9CB" w14:textId="77777777" w:rsidR="00413D97" w:rsidRPr="00F86B53" w:rsidRDefault="00413D97" w:rsidP="00F86B53">
            <w:pPr>
              <w:pStyle w:val="NormalWeb"/>
              <w:jc w:val="center"/>
              <w:rPr>
                <w:color w:val="FFFFFF" w:themeColor="background1"/>
                <w:sz w:val="18"/>
                <w:szCs w:val="18"/>
              </w:rPr>
            </w:pPr>
            <w:r w:rsidRPr="00F86B53">
              <w:rPr>
                <w:color w:val="FFFFFF" w:themeColor="background1"/>
                <w:sz w:val="18"/>
                <w:szCs w:val="18"/>
              </w:rPr>
              <w:t xml:space="preserve">All </w:t>
            </w:r>
            <w:proofErr w:type="spellStart"/>
            <w:r w:rsidRPr="00F86B53">
              <w:rPr>
                <w:color w:val="FFFFFF" w:themeColor="background1"/>
                <w:sz w:val="18"/>
                <w:szCs w:val="18"/>
              </w:rPr>
              <w:t>cases</w:t>
            </w:r>
            <w:r w:rsidRPr="00DE1DB2">
              <w:rPr>
                <w:color w:val="FFFFFF" w:themeColor="background1"/>
                <w:sz w:val="18"/>
                <w:szCs w:val="18"/>
                <w:vertAlign w:val="superscript"/>
              </w:rPr>
              <w:t>a</w:t>
            </w:r>
            <w:proofErr w:type="spellEnd"/>
            <w:r w:rsidR="00013804">
              <w:rPr>
                <w:color w:val="FFFFFF" w:themeColor="background1"/>
                <w:sz w:val="18"/>
                <w:szCs w:val="18"/>
                <w:vertAlign w:val="superscript"/>
              </w:rPr>
              <w:br/>
            </w:r>
            <w:r w:rsidRPr="00F86B53">
              <w:rPr>
                <w:color w:val="FFFFFF" w:themeColor="background1"/>
                <w:sz w:val="18"/>
                <w:szCs w:val="18"/>
              </w:rPr>
              <w:t>n (CFR)</w:t>
            </w:r>
          </w:p>
        </w:tc>
        <w:tc>
          <w:tcPr>
            <w:tcW w:w="2835" w:type="dxa"/>
            <w:gridSpan w:val="3"/>
            <w:tcBorders>
              <w:left w:val="single" w:sz="2" w:space="0" w:color="FFFFFF" w:themeColor="background1"/>
              <w:bottom w:val="single" w:sz="2" w:space="0" w:color="FFFFFF" w:themeColor="background1"/>
              <w:right w:val="single" w:sz="2" w:space="0" w:color="FFFFFF" w:themeColor="background1"/>
            </w:tcBorders>
            <w:hideMark/>
          </w:tcPr>
          <w:p w14:paraId="698DF724" w14:textId="77777777" w:rsidR="00413D97" w:rsidRPr="00F86B53" w:rsidRDefault="00413D97" w:rsidP="00F86B53">
            <w:pPr>
              <w:pStyle w:val="NormalWeb"/>
              <w:jc w:val="center"/>
              <w:rPr>
                <w:color w:val="FFFFFF" w:themeColor="background1"/>
                <w:sz w:val="18"/>
                <w:szCs w:val="18"/>
              </w:rPr>
            </w:pPr>
            <w:proofErr w:type="spellStart"/>
            <w:r w:rsidRPr="00F86B53">
              <w:rPr>
                <w:color w:val="FFFFFF" w:themeColor="background1"/>
                <w:sz w:val="18"/>
                <w:szCs w:val="18"/>
              </w:rPr>
              <w:t>Hospitalisation</w:t>
            </w:r>
            <w:r w:rsidRPr="00DE1DB2">
              <w:rPr>
                <w:color w:val="FFFFFF" w:themeColor="background1"/>
                <w:sz w:val="18"/>
                <w:szCs w:val="18"/>
                <w:vertAlign w:val="superscript"/>
              </w:rPr>
              <w:t>b</w:t>
            </w:r>
            <w:proofErr w:type="spellEnd"/>
            <w:r w:rsidRPr="00F86B53">
              <w:rPr>
                <w:color w:val="FFFFFF" w:themeColor="background1"/>
                <w:sz w:val="18"/>
                <w:szCs w:val="18"/>
              </w:rPr>
              <w:br/>
              <w:t>(non ICU)</w:t>
            </w:r>
            <w:r w:rsidRPr="00F86B53">
              <w:rPr>
                <w:color w:val="FFFFFF" w:themeColor="background1"/>
                <w:sz w:val="18"/>
                <w:szCs w:val="18"/>
              </w:rPr>
              <w:br/>
              <w:t>n (CFR)</w:t>
            </w:r>
          </w:p>
        </w:tc>
        <w:tc>
          <w:tcPr>
            <w:tcW w:w="3916" w:type="dxa"/>
            <w:gridSpan w:val="3"/>
            <w:tcBorders>
              <w:left w:val="single" w:sz="2" w:space="0" w:color="FFFFFF" w:themeColor="background1"/>
              <w:bottom w:val="single" w:sz="2" w:space="0" w:color="FFFFFF" w:themeColor="background1"/>
            </w:tcBorders>
            <w:hideMark/>
          </w:tcPr>
          <w:p w14:paraId="064F1B57" w14:textId="77777777" w:rsidR="00413D97" w:rsidRPr="00F86B53" w:rsidRDefault="00413D97" w:rsidP="00F86B53">
            <w:pPr>
              <w:pStyle w:val="NormalWeb"/>
              <w:jc w:val="center"/>
              <w:rPr>
                <w:color w:val="FFFFFF" w:themeColor="background1"/>
                <w:sz w:val="18"/>
                <w:szCs w:val="18"/>
              </w:rPr>
            </w:pPr>
            <w:proofErr w:type="spellStart"/>
            <w:r w:rsidRPr="00F86B53">
              <w:rPr>
                <w:color w:val="FFFFFF" w:themeColor="background1"/>
                <w:sz w:val="18"/>
                <w:szCs w:val="18"/>
              </w:rPr>
              <w:t>ICU</w:t>
            </w:r>
            <w:r w:rsidRPr="00DE1DB2">
              <w:rPr>
                <w:color w:val="FFFFFF" w:themeColor="background1"/>
                <w:sz w:val="18"/>
                <w:szCs w:val="18"/>
                <w:vertAlign w:val="superscript"/>
              </w:rPr>
              <w:t>c</w:t>
            </w:r>
            <w:proofErr w:type="spellEnd"/>
            <w:r w:rsidR="00013804">
              <w:rPr>
                <w:color w:val="FFFFFF" w:themeColor="background1"/>
                <w:sz w:val="18"/>
                <w:szCs w:val="18"/>
                <w:vertAlign w:val="superscript"/>
              </w:rPr>
              <w:br/>
            </w:r>
            <w:r w:rsidRPr="00F86B53">
              <w:rPr>
                <w:color w:val="FFFFFF" w:themeColor="background1"/>
                <w:sz w:val="18"/>
                <w:szCs w:val="18"/>
              </w:rPr>
              <w:t>n (CFR)</w:t>
            </w:r>
          </w:p>
        </w:tc>
      </w:tr>
      <w:tr w:rsidR="00DE1DB2" w:rsidRPr="00F86B53" w14:paraId="2C218872" w14:textId="77777777" w:rsidTr="003A3AB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45AC09F" w14:textId="77777777" w:rsidR="00413D97" w:rsidRPr="00F86B53" w:rsidRDefault="00413D97">
            <w:pP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89C6F9F" w14:textId="77777777" w:rsidR="00413D97" w:rsidRPr="00F86B53" w:rsidRDefault="00413D97" w:rsidP="00F86B53">
            <w:pPr>
              <w:pStyle w:val="NormalWeb"/>
              <w:jc w:val="center"/>
              <w:rPr>
                <w:color w:val="FFFFFF" w:themeColor="background1"/>
                <w:sz w:val="18"/>
                <w:szCs w:val="18"/>
              </w:rPr>
            </w:pPr>
            <w:r w:rsidRPr="00F86B53">
              <w:rPr>
                <w:color w:val="FFFFFF" w:themeColor="background1"/>
                <w:sz w:val="18"/>
                <w:szCs w:val="18"/>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4731B20" w14:textId="77777777" w:rsidR="00413D97" w:rsidRPr="00F86B53" w:rsidRDefault="00413D97" w:rsidP="00F86B53">
            <w:pPr>
              <w:pStyle w:val="NormalWeb"/>
              <w:jc w:val="center"/>
              <w:rPr>
                <w:color w:val="FFFFFF" w:themeColor="background1"/>
                <w:sz w:val="18"/>
                <w:szCs w:val="18"/>
              </w:rPr>
            </w:pPr>
            <w:r w:rsidRPr="00F86B53">
              <w:rPr>
                <w:color w:val="FFFFFF" w:themeColor="background1"/>
                <w:sz w:val="18"/>
                <w:szCs w:val="18"/>
              </w:rPr>
              <w:t>Female</w:t>
            </w:r>
          </w:p>
        </w:tc>
        <w:tc>
          <w:tcPr>
            <w:tcW w:w="1009" w:type="dxa"/>
            <w:tcBorders>
              <w:top w:val="single" w:sz="2" w:space="0" w:color="FFFFFF" w:themeColor="background1"/>
              <w:left w:val="single" w:sz="2" w:space="0" w:color="FFFFFF" w:themeColor="background1"/>
              <w:right w:val="single" w:sz="2" w:space="0" w:color="FFFFFF" w:themeColor="background1"/>
            </w:tcBorders>
            <w:hideMark/>
          </w:tcPr>
          <w:p w14:paraId="5EE477D6" w14:textId="77777777" w:rsidR="00413D97" w:rsidRPr="00F86B53" w:rsidRDefault="00413D97" w:rsidP="00F86B53">
            <w:pPr>
              <w:pStyle w:val="NormalWeb"/>
              <w:jc w:val="center"/>
              <w:rPr>
                <w:color w:val="FFFFFF" w:themeColor="background1"/>
                <w:sz w:val="18"/>
                <w:szCs w:val="18"/>
              </w:rPr>
            </w:pPr>
            <w:r w:rsidRPr="00F86B53">
              <w:rPr>
                <w:color w:val="FFFFFF" w:themeColor="background1"/>
                <w:sz w:val="18"/>
                <w:szCs w:val="18"/>
              </w:rPr>
              <w:t>Persons</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7DD62514" w14:textId="77777777" w:rsidR="00413D97" w:rsidRPr="00F86B53" w:rsidRDefault="00413D97" w:rsidP="00F86B53">
            <w:pPr>
              <w:pStyle w:val="NormalWeb"/>
              <w:jc w:val="center"/>
              <w:rPr>
                <w:color w:val="FFFFFF" w:themeColor="background1"/>
                <w:sz w:val="18"/>
                <w:szCs w:val="18"/>
              </w:rPr>
            </w:pPr>
            <w:r w:rsidRPr="00F86B53">
              <w:rPr>
                <w:color w:val="FFFFFF" w:themeColor="background1"/>
                <w:sz w:val="18"/>
                <w:szCs w:val="18"/>
              </w:rPr>
              <w:t>Male</w:t>
            </w:r>
          </w:p>
        </w:tc>
        <w:tc>
          <w:tcPr>
            <w:tcW w:w="993" w:type="dxa"/>
            <w:tcBorders>
              <w:top w:val="single" w:sz="2" w:space="0" w:color="FFFFFF" w:themeColor="background1"/>
              <w:left w:val="single" w:sz="2" w:space="0" w:color="FFFFFF" w:themeColor="background1"/>
              <w:right w:val="single" w:sz="2" w:space="0" w:color="FFFFFF" w:themeColor="background1"/>
            </w:tcBorders>
            <w:hideMark/>
          </w:tcPr>
          <w:p w14:paraId="1B597664" w14:textId="77777777" w:rsidR="00413D97" w:rsidRPr="00F86B53" w:rsidRDefault="00413D97" w:rsidP="00F86B53">
            <w:pPr>
              <w:pStyle w:val="NormalWeb"/>
              <w:jc w:val="center"/>
              <w:rPr>
                <w:color w:val="FFFFFF" w:themeColor="background1"/>
                <w:sz w:val="18"/>
                <w:szCs w:val="18"/>
              </w:rPr>
            </w:pPr>
            <w:r w:rsidRPr="00F86B53">
              <w:rPr>
                <w:color w:val="FFFFFF" w:themeColor="background1"/>
                <w:sz w:val="18"/>
                <w:szCs w:val="18"/>
              </w:rPr>
              <w:t>Female</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521F9333" w14:textId="77777777" w:rsidR="00413D97" w:rsidRPr="00F86B53" w:rsidRDefault="00413D97" w:rsidP="00F86B53">
            <w:pPr>
              <w:pStyle w:val="NormalWeb"/>
              <w:jc w:val="center"/>
              <w:rPr>
                <w:color w:val="FFFFFF" w:themeColor="background1"/>
                <w:sz w:val="18"/>
                <w:szCs w:val="18"/>
              </w:rPr>
            </w:pPr>
            <w:r w:rsidRPr="00F86B53">
              <w:rPr>
                <w:color w:val="FFFFFF" w:themeColor="background1"/>
                <w:sz w:val="18"/>
                <w:szCs w:val="18"/>
              </w:rPr>
              <w:t>Persons</w:t>
            </w:r>
          </w:p>
        </w:tc>
        <w:tc>
          <w:tcPr>
            <w:tcW w:w="1417" w:type="dxa"/>
            <w:tcBorders>
              <w:top w:val="single" w:sz="2" w:space="0" w:color="FFFFFF" w:themeColor="background1"/>
              <w:left w:val="single" w:sz="2" w:space="0" w:color="FFFFFF" w:themeColor="background1"/>
              <w:right w:val="single" w:sz="2" w:space="0" w:color="FFFFFF" w:themeColor="background1"/>
            </w:tcBorders>
            <w:hideMark/>
          </w:tcPr>
          <w:p w14:paraId="205EE033" w14:textId="77777777" w:rsidR="00413D97" w:rsidRPr="00F86B53" w:rsidRDefault="00413D97" w:rsidP="00F86B53">
            <w:pPr>
              <w:pStyle w:val="NormalWeb"/>
              <w:jc w:val="center"/>
              <w:rPr>
                <w:color w:val="FFFFFF" w:themeColor="background1"/>
                <w:sz w:val="18"/>
                <w:szCs w:val="18"/>
              </w:rPr>
            </w:pPr>
            <w:r w:rsidRPr="00F86B53">
              <w:rPr>
                <w:color w:val="FFFFFF" w:themeColor="background1"/>
                <w:sz w:val="18"/>
                <w:szCs w:val="18"/>
              </w:rPr>
              <w:t>Male</w:t>
            </w:r>
          </w:p>
        </w:tc>
        <w:tc>
          <w:tcPr>
            <w:tcW w:w="993" w:type="dxa"/>
            <w:tcBorders>
              <w:top w:val="single" w:sz="2" w:space="0" w:color="FFFFFF" w:themeColor="background1"/>
              <w:left w:val="single" w:sz="2" w:space="0" w:color="FFFFFF" w:themeColor="background1"/>
              <w:right w:val="single" w:sz="2" w:space="0" w:color="FFFFFF" w:themeColor="background1"/>
            </w:tcBorders>
            <w:hideMark/>
          </w:tcPr>
          <w:p w14:paraId="72CBC1BE" w14:textId="77777777" w:rsidR="00413D97" w:rsidRPr="00F86B53" w:rsidRDefault="00413D97" w:rsidP="00F86B53">
            <w:pPr>
              <w:pStyle w:val="NormalWeb"/>
              <w:jc w:val="center"/>
              <w:rPr>
                <w:color w:val="FFFFFF" w:themeColor="background1"/>
                <w:sz w:val="18"/>
                <w:szCs w:val="18"/>
              </w:rPr>
            </w:pPr>
            <w:r w:rsidRPr="00F86B53">
              <w:rPr>
                <w:color w:val="FFFFFF" w:themeColor="background1"/>
                <w:sz w:val="18"/>
                <w:szCs w:val="18"/>
              </w:rPr>
              <w:t>Female</w:t>
            </w:r>
          </w:p>
        </w:tc>
        <w:tc>
          <w:tcPr>
            <w:tcW w:w="1506" w:type="dxa"/>
            <w:tcBorders>
              <w:top w:val="single" w:sz="2" w:space="0" w:color="FFFFFF" w:themeColor="background1"/>
              <w:left w:val="single" w:sz="2" w:space="0" w:color="FFFFFF" w:themeColor="background1"/>
            </w:tcBorders>
            <w:hideMark/>
          </w:tcPr>
          <w:p w14:paraId="0DD47F3A" w14:textId="77777777" w:rsidR="00413D97" w:rsidRPr="00F86B53" w:rsidRDefault="00413D97" w:rsidP="00F86B53">
            <w:pPr>
              <w:pStyle w:val="NormalWeb"/>
              <w:jc w:val="center"/>
              <w:rPr>
                <w:color w:val="FFFFFF" w:themeColor="background1"/>
                <w:sz w:val="18"/>
                <w:szCs w:val="18"/>
              </w:rPr>
            </w:pPr>
            <w:r w:rsidRPr="00F86B53">
              <w:rPr>
                <w:color w:val="FFFFFF" w:themeColor="background1"/>
                <w:sz w:val="18"/>
                <w:szCs w:val="18"/>
              </w:rPr>
              <w:t>Persons</w:t>
            </w:r>
          </w:p>
        </w:tc>
      </w:tr>
      <w:tr w:rsidR="00F86B53" w:rsidRPr="00F86B53" w14:paraId="26A4DE78" w14:textId="77777777" w:rsidTr="00DE1DB2">
        <w:tc>
          <w:tcPr>
            <w:tcW w:w="0" w:type="auto"/>
            <w:hideMark/>
          </w:tcPr>
          <w:p w14:paraId="1D7C55FB" w14:textId="77777777" w:rsidR="00413D97" w:rsidRPr="00F86B53" w:rsidRDefault="00413D97">
            <w:pPr>
              <w:pStyle w:val="NormalWeb"/>
              <w:rPr>
                <w:sz w:val="18"/>
                <w:szCs w:val="18"/>
              </w:rPr>
            </w:pPr>
            <w:r w:rsidRPr="00F86B53">
              <w:rPr>
                <w:sz w:val="18"/>
                <w:szCs w:val="18"/>
              </w:rPr>
              <w:t>All age groups</w:t>
            </w:r>
          </w:p>
        </w:tc>
        <w:tc>
          <w:tcPr>
            <w:tcW w:w="0" w:type="auto"/>
            <w:hideMark/>
          </w:tcPr>
          <w:p w14:paraId="45FB4C7C" w14:textId="77777777" w:rsidR="00413D97" w:rsidRPr="00F86B53" w:rsidRDefault="00413D97" w:rsidP="00F86B53">
            <w:pPr>
              <w:pStyle w:val="NormalWeb"/>
              <w:jc w:val="center"/>
              <w:rPr>
                <w:sz w:val="18"/>
                <w:szCs w:val="18"/>
              </w:rPr>
            </w:pPr>
            <w:r w:rsidRPr="00F86B53">
              <w:rPr>
                <w:sz w:val="18"/>
                <w:szCs w:val="18"/>
              </w:rPr>
              <w:t>133 (1.5)</w:t>
            </w:r>
          </w:p>
        </w:tc>
        <w:tc>
          <w:tcPr>
            <w:tcW w:w="0" w:type="auto"/>
            <w:hideMark/>
          </w:tcPr>
          <w:p w14:paraId="54B203C4" w14:textId="77777777" w:rsidR="00413D97" w:rsidRPr="00F86B53" w:rsidRDefault="00413D97" w:rsidP="00F86B53">
            <w:pPr>
              <w:pStyle w:val="NormalWeb"/>
              <w:jc w:val="center"/>
              <w:rPr>
                <w:sz w:val="18"/>
                <w:szCs w:val="18"/>
              </w:rPr>
            </w:pPr>
            <w:r w:rsidRPr="00F86B53">
              <w:rPr>
                <w:sz w:val="18"/>
                <w:szCs w:val="18"/>
              </w:rPr>
              <w:t>107 (1.2)</w:t>
            </w:r>
          </w:p>
        </w:tc>
        <w:tc>
          <w:tcPr>
            <w:tcW w:w="1009" w:type="dxa"/>
            <w:hideMark/>
          </w:tcPr>
          <w:p w14:paraId="4C47646C" w14:textId="77777777" w:rsidR="00413D97" w:rsidRPr="00F86B53" w:rsidRDefault="00413D97" w:rsidP="00F86B53">
            <w:pPr>
              <w:pStyle w:val="NormalWeb"/>
              <w:jc w:val="center"/>
              <w:rPr>
                <w:sz w:val="18"/>
                <w:szCs w:val="18"/>
              </w:rPr>
            </w:pPr>
            <w:r w:rsidRPr="00F86B53">
              <w:rPr>
                <w:sz w:val="18"/>
                <w:szCs w:val="18"/>
              </w:rPr>
              <w:t>240 (1.3)</w:t>
            </w:r>
          </w:p>
        </w:tc>
        <w:tc>
          <w:tcPr>
            <w:tcW w:w="850" w:type="dxa"/>
            <w:hideMark/>
          </w:tcPr>
          <w:p w14:paraId="69E4647D" w14:textId="77777777" w:rsidR="00413D97" w:rsidRPr="00F86B53" w:rsidRDefault="00413D97" w:rsidP="00F86B53">
            <w:pPr>
              <w:pStyle w:val="NormalWeb"/>
              <w:jc w:val="center"/>
              <w:rPr>
                <w:sz w:val="18"/>
                <w:szCs w:val="18"/>
              </w:rPr>
            </w:pPr>
            <w:r w:rsidRPr="00F86B53">
              <w:rPr>
                <w:sz w:val="18"/>
                <w:szCs w:val="18"/>
              </w:rPr>
              <w:t>5 (5.2)</w:t>
            </w:r>
          </w:p>
        </w:tc>
        <w:tc>
          <w:tcPr>
            <w:tcW w:w="993" w:type="dxa"/>
            <w:hideMark/>
          </w:tcPr>
          <w:p w14:paraId="79F006C5" w14:textId="77777777" w:rsidR="00413D97" w:rsidRPr="00F86B53" w:rsidRDefault="00413D97" w:rsidP="00F86B53">
            <w:pPr>
              <w:pStyle w:val="NormalWeb"/>
              <w:jc w:val="center"/>
              <w:rPr>
                <w:sz w:val="18"/>
                <w:szCs w:val="18"/>
              </w:rPr>
            </w:pPr>
            <w:r w:rsidRPr="00F86B53">
              <w:rPr>
                <w:sz w:val="18"/>
                <w:szCs w:val="18"/>
              </w:rPr>
              <w:t>3 (3.1)</w:t>
            </w:r>
          </w:p>
        </w:tc>
        <w:tc>
          <w:tcPr>
            <w:tcW w:w="992" w:type="dxa"/>
            <w:hideMark/>
          </w:tcPr>
          <w:p w14:paraId="08409AF9" w14:textId="77777777" w:rsidR="00413D97" w:rsidRPr="00F86B53" w:rsidRDefault="00413D97" w:rsidP="00F86B53">
            <w:pPr>
              <w:pStyle w:val="NormalWeb"/>
              <w:jc w:val="center"/>
              <w:rPr>
                <w:sz w:val="18"/>
                <w:szCs w:val="18"/>
              </w:rPr>
            </w:pPr>
            <w:r w:rsidRPr="00F86B53">
              <w:rPr>
                <w:sz w:val="18"/>
                <w:szCs w:val="18"/>
              </w:rPr>
              <w:t>8 (4.2)</w:t>
            </w:r>
          </w:p>
        </w:tc>
        <w:tc>
          <w:tcPr>
            <w:tcW w:w="1417" w:type="dxa"/>
            <w:hideMark/>
          </w:tcPr>
          <w:p w14:paraId="3185E90C" w14:textId="77777777" w:rsidR="00413D97" w:rsidRPr="00F86B53" w:rsidRDefault="00413D97" w:rsidP="00F86B53">
            <w:pPr>
              <w:pStyle w:val="NormalWeb"/>
              <w:jc w:val="center"/>
              <w:rPr>
                <w:sz w:val="18"/>
                <w:szCs w:val="18"/>
              </w:rPr>
            </w:pPr>
            <w:r w:rsidRPr="00F86B53">
              <w:rPr>
                <w:sz w:val="18"/>
                <w:szCs w:val="18"/>
              </w:rPr>
              <w:t>27 (13)</w:t>
            </w:r>
          </w:p>
        </w:tc>
        <w:tc>
          <w:tcPr>
            <w:tcW w:w="993" w:type="dxa"/>
            <w:hideMark/>
          </w:tcPr>
          <w:p w14:paraId="794A39BD" w14:textId="77777777" w:rsidR="00413D97" w:rsidRPr="00F86B53" w:rsidRDefault="00413D97" w:rsidP="00F86B53">
            <w:pPr>
              <w:pStyle w:val="NormalWeb"/>
              <w:jc w:val="center"/>
              <w:rPr>
                <w:sz w:val="18"/>
                <w:szCs w:val="18"/>
              </w:rPr>
            </w:pPr>
            <w:r w:rsidRPr="00F86B53">
              <w:rPr>
                <w:sz w:val="18"/>
                <w:szCs w:val="18"/>
              </w:rPr>
              <w:t>9 (8)</w:t>
            </w:r>
          </w:p>
        </w:tc>
        <w:tc>
          <w:tcPr>
            <w:tcW w:w="1506" w:type="dxa"/>
            <w:hideMark/>
          </w:tcPr>
          <w:p w14:paraId="2F95F355" w14:textId="77777777" w:rsidR="00413D97" w:rsidRPr="00F86B53" w:rsidRDefault="00413D97" w:rsidP="00F86B53">
            <w:pPr>
              <w:pStyle w:val="NormalWeb"/>
              <w:jc w:val="center"/>
              <w:rPr>
                <w:sz w:val="18"/>
                <w:szCs w:val="18"/>
              </w:rPr>
            </w:pPr>
            <w:r w:rsidRPr="00F86B53">
              <w:rPr>
                <w:sz w:val="18"/>
                <w:szCs w:val="18"/>
              </w:rPr>
              <w:t>36 (11)</w:t>
            </w:r>
          </w:p>
        </w:tc>
      </w:tr>
      <w:tr w:rsidR="00DE1DB2" w:rsidRPr="00F86B53" w14:paraId="25208B7D" w14:textId="77777777" w:rsidTr="00DE1DB2">
        <w:trPr>
          <w:cnfStyle w:val="000000010000" w:firstRow="0" w:lastRow="0" w:firstColumn="0" w:lastColumn="0" w:oddVBand="0" w:evenVBand="0" w:oddHBand="0" w:evenHBand="1" w:firstRowFirstColumn="0" w:firstRowLastColumn="0" w:lastRowFirstColumn="0" w:lastRowLastColumn="0"/>
        </w:trPr>
        <w:tc>
          <w:tcPr>
            <w:tcW w:w="0" w:type="auto"/>
            <w:hideMark/>
          </w:tcPr>
          <w:p w14:paraId="1DF76C3A" w14:textId="77777777" w:rsidR="00413D97" w:rsidRPr="00F86B53" w:rsidRDefault="00413D97">
            <w:pPr>
              <w:pStyle w:val="NormalWeb"/>
              <w:rPr>
                <w:sz w:val="18"/>
                <w:szCs w:val="18"/>
              </w:rPr>
            </w:pPr>
            <w:r w:rsidRPr="00F86B53">
              <w:rPr>
                <w:sz w:val="18"/>
                <w:szCs w:val="18"/>
              </w:rPr>
              <w:t>Under 50</w:t>
            </w:r>
          </w:p>
        </w:tc>
        <w:tc>
          <w:tcPr>
            <w:tcW w:w="0" w:type="auto"/>
            <w:hideMark/>
          </w:tcPr>
          <w:p w14:paraId="37FF9D40" w14:textId="77777777" w:rsidR="00413D97" w:rsidRPr="00F86B53" w:rsidRDefault="00413D97" w:rsidP="00F86B53">
            <w:pPr>
              <w:pStyle w:val="NormalWeb"/>
              <w:jc w:val="center"/>
              <w:rPr>
                <w:sz w:val="18"/>
                <w:szCs w:val="18"/>
              </w:rPr>
            </w:pPr>
            <w:r w:rsidRPr="00F86B53">
              <w:rPr>
                <w:sz w:val="18"/>
                <w:szCs w:val="18"/>
              </w:rPr>
              <w:t>3 (0.05)</w:t>
            </w:r>
          </w:p>
        </w:tc>
        <w:tc>
          <w:tcPr>
            <w:tcW w:w="0" w:type="auto"/>
            <w:hideMark/>
          </w:tcPr>
          <w:p w14:paraId="64407238" w14:textId="77777777" w:rsidR="00413D97" w:rsidRPr="00F86B53" w:rsidRDefault="00413D97" w:rsidP="00F86B53">
            <w:pPr>
              <w:pStyle w:val="NormalWeb"/>
              <w:jc w:val="center"/>
              <w:rPr>
                <w:sz w:val="18"/>
                <w:szCs w:val="18"/>
              </w:rPr>
            </w:pPr>
            <w:r w:rsidRPr="00F86B53">
              <w:rPr>
                <w:sz w:val="18"/>
                <w:szCs w:val="18"/>
              </w:rPr>
              <w:t>0 (0)</w:t>
            </w:r>
          </w:p>
        </w:tc>
        <w:tc>
          <w:tcPr>
            <w:tcW w:w="1009" w:type="dxa"/>
            <w:hideMark/>
          </w:tcPr>
          <w:p w14:paraId="176AC39C" w14:textId="77777777" w:rsidR="00413D97" w:rsidRPr="00F86B53" w:rsidRDefault="00413D97" w:rsidP="00F86B53">
            <w:pPr>
              <w:pStyle w:val="NormalWeb"/>
              <w:jc w:val="center"/>
              <w:rPr>
                <w:sz w:val="18"/>
                <w:szCs w:val="18"/>
              </w:rPr>
            </w:pPr>
            <w:r w:rsidRPr="00F86B53">
              <w:rPr>
                <w:sz w:val="18"/>
                <w:szCs w:val="18"/>
              </w:rPr>
              <w:t>3 (0.02)</w:t>
            </w:r>
          </w:p>
        </w:tc>
        <w:tc>
          <w:tcPr>
            <w:tcW w:w="850" w:type="dxa"/>
            <w:hideMark/>
          </w:tcPr>
          <w:p w14:paraId="75DEF569" w14:textId="77777777" w:rsidR="00413D97" w:rsidRPr="00F86B53" w:rsidRDefault="00413D97" w:rsidP="00F86B53">
            <w:pPr>
              <w:pStyle w:val="NormalWeb"/>
              <w:jc w:val="center"/>
              <w:rPr>
                <w:sz w:val="18"/>
                <w:szCs w:val="18"/>
              </w:rPr>
            </w:pPr>
            <w:r w:rsidRPr="00F86B53">
              <w:rPr>
                <w:sz w:val="18"/>
                <w:szCs w:val="18"/>
              </w:rPr>
              <w:t>0 (0.0)</w:t>
            </w:r>
          </w:p>
        </w:tc>
        <w:tc>
          <w:tcPr>
            <w:tcW w:w="993" w:type="dxa"/>
            <w:hideMark/>
          </w:tcPr>
          <w:p w14:paraId="0579B0C3" w14:textId="77777777" w:rsidR="00413D97" w:rsidRPr="00F86B53" w:rsidRDefault="00413D97" w:rsidP="00F86B53">
            <w:pPr>
              <w:pStyle w:val="NormalWeb"/>
              <w:jc w:val="center"/>
              <w:rPr>
                <w:sz w:val="18"/>
                <w:szCs w:val="18"/>
              </w:rPr>
            </w:pPr>
            <w:r w:rsidRPr="00F86B53">
              <w:rPr>
                <w:sz w:val="18"/>
                <w:szCs w:val="18"/>
              </w:rPr>
              <w:t>0 (0.0)</w:t>
            </w:r>
          </w:p>
        </w:tc>
        <w:tc>
          <w:tcPr>
            <w:tcW w:w="992" w:type="dxa"/>
            <w:hideMark/>
          </w:tcPr>
          <w:p w14:paraId="287EE6CF" w14:textId="77777777" w:rsidR="00413D97" w:rsidRPr="00F86B53" w:rsidRDefault="00413D97" w:rsidP="00F86B53">
            <w:pPr>
              <w:pStyle w:val="NormalWeb"/>
              <w:jc w:val="center"/>
              <w:rPr>
                <w:sz w:val="18"/>
                <w:szCs w:val="18"/>
              </w:rPr>
            </w:pPr>
            <w:r w:rsidRPr="00F86B53">
              <w:rPr>
                <w:sz w:val="18"/>
                <w:szCs w:val="18"/>
              </w:rPr>
              <w:t>0 (0.0)</w:t>
            </w:r>
          </w:p>
        </w:tc>
        <w:tc>
          <w:tcPr>
            <w:tcW w:w="1417" w:type="dxa"/>
            <w:hideMark/>
          </w:tcPr>
          <w:p w14:paraId="27694EFE" w14:textId="77777777" w:rsidR="00413D97" w:rsidRPr="00F86B53" w:rsidRDefault="00413D97" w:rsidP="00F86B53">
            <w:pPr>
              <w:pStyle w:val="NormalWeb"/>
              <w:jc w:val="center"/>
              <w:rPr>
                <w:sz w:val="18"/>
                <w:szCs w:val="18"/>
              </w:rPr>
            </w:pPr>
            <w:r w:rsidRPr="00F86B53">
              <w:rPr>
                <w:sz w:val="18"/>
                <w:szCs w:val="18"/>
              </w:rPr>
              <w:t>1 (2.0)</w:t>
            </w:r>
          </w:p>
        </w:tc>
        <w:tc>
          <w:tcPr>
            <w:tcW w:w="993" w:type="dxa"/>
            <w:hideMark/>
          </w:tcPr>
          <w:p w14:paraId="0E083E2B" w14:textId="77777777" w:rsidR="00413D97" w:rsidRPr="00F86B53" w:rsidRDefault="00413D97" w:rsidP="00F86B53">
            <w:pPr>
              <w:pStyle w:val="NormalWeb"/>
              <w:jc w:val="center"/>
              <w:rPr>
                <w:sz w:val="18"/>
                <w:szCs w:val="18"/>
              </w:rPr>
            </w:pPr>
            <w:r w:rsidRPr="00F86B53">
              <w:rPr>
                <w:sz w:val="18"/>
                <w:szCs w:val="18"/>
              </w:rPr>
              <w:t>0 (0.0)</w:t>
            </w:r>
          </w:p>
        </w:tc>
        <w:tc>
          <w:tcPr>
            <w:tcW w:w="1506" w:type="dxa"/>
            <w:hideMark/>
          </w:tcPr>
          <w:p w14:paraId="6D45AD91" w14:textId="77777777" w:rsidR="00413D97" w:rsidRPr="00F86B53" w:rsidRDefault="00413D97" w:rsidP="00F86B53">
            <w:pPr>
              <w:pStyle w:val="NormalWeb"/>
              <w:jc w:val="center"/>
              <w:rPr>
                <w:sz w:val="18"/>
                <w:szCs w:val="18"/>
              </w:rPr>
            </w:pPr>
            <w:r w:rsidRPr="00F86B53">
              <w:rPr>
                <w:sz w:val="18"/>
                <w:szCs w:val="18"/>
              </w:rPr>
              <w:t>1 (1.3)</w:t>
            </w:r>
          </w:p>
        </w:tc>
      </w:tr>
      <w:tr w:rsidR="00F86B53" w:rsidRPr="00F86B53" w14:paraId="6484E765" w14:textId="77777777" w:rsidTr="00DE1DB2">
        <w:tc>
          <w:tcPr>
            <w:tcW w:w="0" w:type="auto"/>
            <w:hideMark/>
          </w:tcPr>
          <w:p w14:paraId="6C93FEF8" w14:textId="77777777" w:rsidR="00413D97" w:rsidRPr="00F86B53" w:rsidRDefault="00413D97">
            <w:pPr>
              <w:pStyle w:val="NormalWeb"/>
              <w:rPr>
                <w:sz w:val="18"/>
                <w:szCs w:val="18"/>
              </w:rPr>
            </w:pPr>
            <w:r w:rsidRPr="00F86B53">
              <w:rPr>
                <w:sz w:val="18"/>
                <w:szCs w:val="18"/>
              </w:rPr>
              <w:t>50–64</w:t>
            </w:r>
          </w:p>
        </w:tc>
        <w:tc>
          <w:tcPr>
            <w:tcW w:w="0" w:type="auto"/>
            <w:hideMark/>
          </w:tcPr>
          <w:p w14:paraId="04A951A8" w14:textId="77777777" w:rsidR="00413D97" w:rsidRPr="00F86B53" w:rsidRDefault="00413D97" w:rsidP="00F86B53">
            <w:pPr>
              <w:pStyle w:val="NormalWeb"/>
              <w:jc w:val="center"/>
              <w:rPr>
                <w:sz w:val="18"/>
                <w:szCs w:val="18"/>
              </w:rPr>
            </w:pPr>
            <w:r w:rsidRPr="00F86B53">
              <w:rPr>
                <w:sz w:val="18"/>
                <w:szCs w:val="18"/>
              </w:rPr>
              <w:t>10 (0.6)</w:t>
            </w:r>
          </w:p>
        </w:tc>
        <w:tc>
          <w:tcPr>
            <w:tcW w:w="0" w:type="auto"/>
            <w:hideMark/>
          </w:tcPr>
          <w:p w14:paraId="6EAE3A53" w14:textId="77777777" w:rsidR="00413D97" w:rsidRPr="00F86B53" w:rsidRDefault="00413D97" w:rsidP="00F86B53">
            <w:pPr>
              <w:pStyle w:val="NormalWeb"/>
              <w:jc w:val="center"/>
              <w:rPr>
                <w:sz w:val="18"/>
                <w:szCs w:val="18"/>
              </w:rPr>
            </w:pPr>
            <w:r w:rsidRPr="00F86B53">
              <w:rPr>
                <w:sz w:val="18"/>
                <w:szCs w:val="18"/>
              </w:rPr>
              <w:t>4 (0.2)</w:t>
            </w:r>
          </w:p>
        </w:tc>
        <w:tc>
          <w:tcPr>
            <w:tcW w:w="1009" w:type="dxa"/>
            <w:hideMark/>
          </w:tcPr>
          <w:p w14:paraId="2D006702" w14:textId="77777777" w:rsidR="00413D97" w:rsidRPr="00F86B53" w:rsidRDefault="00413D97" w:rsidP="00F86B53">
            <w:pPr>
              <w:pStyle w:val="NormalWeb"/>
              <w:jc w:val="center"/>
              <w:rPr>
                <w:sz w:val="18"/>
                <w:szCs w:val="18"/>
              </w:rPr>
            </w:pPr>
            <w:r w:rsidRPr="00F86B53">
              <w:rPr>
                <w:sz w:val="18"/>
                <w:szCs w:val="18"/>
              </w:rPr>
              <w:t>14 (0.4)</w:t>
            </w:r>
          </w:p>
        </w:tc>
        <w:tc>
          <w:tcPr>
            <w:tcW w:w="850" w:type="dxa"/>
            <w:hideMark/>
          </w:tcPr>
          <w:p w14:paraId="037C7E17" w14:textId="77777777" w:rsidR="00413D97" w:rsidRPr="00F86B53" w:rsidRDefault="00413D97" w:rsidP="00F86B53">
            <w:pPr>
              <w:pStyle w:val="NormalWeb"/>
              <w:jc w:val="center"/>
              <w:rPr>
                <w:sz w:val="18"/>
                <w:szCs w:val="18"/>
              </w:rPr>
            </w:pPr>
            <w:r w:rsidRPr="00F86B53">
              <w:rPr>
                <w:sz w:val="18"/>
                <w:szCs w:val="18"/>
              </w:rPr>
              <w:t>0 (0.0)</w:t>
            </w:r>
          </w:p>
        </w:tc>
        <w:tc>
          <w:tcPr>
            <w:tcW w:w="993" w:type="dxa"/>
            <w:hideMark/>
          </w:tcPr>
          <w:p w14:paraId="59FDDAF9" w14:textId="77777777" w:rsidR="00413D97" w:rsidRPr="00F86B53" w:rsidRDefault="00413D97" w:rsidP="00F86B53">
            <w:pPr>
              <w:pStyle w:val="NormalWeb"/>
              <w:jc w:val="center"/>
              <w:rPr>
                <w:sz w:val="18"/>
                <w:szCs w:val="18"/>
              </w:rPr>
            </w:pPr>
            <w:r w:rsidRPr="00F86B53">
              <w:rPr>
                <w:sz w:val="18"/>
                <w:szCs w:val="18"/>
              </w:rPr>
              <w:t>1 (4.3)</w:t>
            </w:r>
          </w:p>
        </w:tc>
        <w:tc>
          <w:tcPr>
            <w:tcW w:w="992" w:type="dxa"/>
            <w:hideMark/>
          </w:tcPr>
          <w:p w14:paraId="7AC65925" w14:textId="77777777" w:rsidR="00413D97" w:rsidRPr="00F86B53" w:rsidRDefault="00413D97" w:rsidP="00F86B53">
            <w:pPr>
              <w:pStyle w:val="NormalWeb"/>
              <w:jc w:val="center"/>
              <w:rPr>
                <w:sz w:val="18"/>
                <w:szCs w:val="18"/>
              </w:rPr>
            </w:pPr>
            <w:r w:rsidRPr="00F86B53">
              <w:rPr>
                <w:sz w:val="18"/>
                <w:szCs w:val="18"/>
              </w:rPr>
              <w:t>1 (2.1)</w:t>
            </w:r>
          </w:p>
        </w:tc>
        <w:tc>
          <w:tcPr>
            <w:tcW w:w="1417" w:type="dxa"/>
            <w:hideMark/>
          </w:tcPr>
          <w:p w14:paraId="2656E6B7" w14:textId="77777777" w:rsidR="00413D97" w:rsidRPr="00F86B53" w:rsidRDefault="00413D97" w:rsidP="00F86B53">
            <w:pPr>
              <w:pStyle w:val="NormalWeb"/>
              <w:jc w:val="center"/>
              <w:rPr>
                <w:sz w:val="18"/>
                <w:szCs w:val="18"/>
              </w:rPr>
            </w:pPr>
            <w:r w:rsidRPr="00F86B53">
              <w:rPr>
                <w:sz w:val="18"/>
                <w:szCs w:val="18"/>
              </w:rPr>
              <w:t>4 (6.5)</w:t>
            </w:r>
          </w:p>
        </w:tc>
        <w:tc>
          <w:tcPr>
            <w:tcW w:w="993" w:type="dxa"/>
            <w:hideMark/>
          </w:tcPr>
          <w:p w14:paraId="6EDDC123" w14:textId="77777777" w:rsidR="00413D97" w:rsidRPr="00F86B53" w:rsidRDefault="00413D97" w:rsidP="00F86B53">
            <w:pPr>
              <w:pStyle w:val="NormalWeb"/>
              <w:jc w:val="center"/>
              <w:rPr>
                <w:sz w:val="18"/>
                <w:szCs w:val="18"/>
              </w:rPr>
            </w:pPr>
            <w:r w:rsidRPr="00F86B53">
              <w:rPr>
                <w:sz w:val="18"/>
                <w:szCs w:val="18"/>
              </w:rPr>
              <w:t>2 (5.4)</w:t>
            </w:r>
          </w:p>
        </w:tc>
        <w:tc>
          <w:tcPr>
            <w:tcW w:w="1506" w:type="dxa"/>
            <w:hideMark/>
          </w:tcPr>
          <w:p w14:paraId="4C474091" w14:textId="77777777" w:rsidR="00413D97" w:rsidRPr="00F86B53" w:rsidRDefault="00413D97" w:rsidP="00F86B53">
            <w:pPr>
              <w:pStyle w:val="NormalWeb"/>
              <w:jc w:val="center"/>
              <w:rPr>
                <w:sz w:val="18"/>
                <w:szCs w:val="18"/>
              </w:rPr>
            </w:pPr>
            <w:r w:rsidRPr="00F86B53">
              <w:rPr>
                <w:sz w:val="18"/>
                <w:szCs w:val="18"/>
              </w:rPr>
              <w:t>6 (6.1)</w:t>
            </w:r>
          </w:p>
        </w:tc>
      </w:tr>
      <w:tr w:rsidR="00DE1DB2" w:rsidRPr="00F86B53" w14:paraId="74F091CC" w14:textId="77777777" w:rsidTr="00DE1DB2">
        <w:trPr>
          <w:cnfStyle w:val="000000010000" w:firstRow="0" w:lastRow="0" w:firstColumn="0" w:lastColumn="0" w:oddVBand="0" w:evenVBand="0" w:oddHBand="0" w:evenHBand="1" w:firstRowFirstColumn="0" w:firstRowLastColumn="0" w:lastRowFirstColumn="0" w:lastRowLastColumn="0"/>
        </w:trPr>
        <w:tc>
          <w:tcPr>
            <w:tcW w:w="0" w:type="auto"/>
            <w:hideMark/>
          </w:tcPr>
          <w:p w14:paraId="59ADFD09" w14:textId="77777777" w:rsidR="00413D97" w:rsidRPr="00F86B53" w:rsidRDefault="00413D97">
            <w:pPr>
              <w:pStyle w:val="NormalWeb"/>
              <w:rPr>
                <w:sz w:val="18"/>
                <w:szCs w:val="18"/>
              </w:rPr>
            </w:pPr>
            <w:r w:rsidRPr="00F86B53">
              <w:rPr>
                <w:sz w:val="18"/>
                <w:szCs w:val="18"/>
              </w:rPr>
              <w:t>65–79</w:t>
            </w:r>
          </w:p>
        </w:tc>
        <w:tc>
          <w:tcPr>
            <w:tcW w:w="0" w:type="auto"/>
            <w:hideMark/>
          </w:tcPr>
          <w:p w14:paraId="02D118F7" w14:textId="77777777" w:rsidR="00413D97" w:rsidRPr="00F86B53" w:rsidRDefault="00413D97" w:rsidP="00F86B53">
            <w:pPr>
              <w:pStyle w:val="NormalWeb"/>
              <w:jc w:val="center"/>
              <w:rPr>
                <w:sz w:val="18"/>
                <w:szCs w:val="18"/>
              </w:rPr>
            </w:pPr>
            <w:r w:rsidRPr="00F86B53">
              <w:rPr>
                <w:sz w:val="18"/>
                <w:szCs w:val="18"/>
              </w:rPr>
              <w:t>45 (4.5)</w:t>
            </w:r>
          </w:p>
        </w:tc>
        <w:tc>
          <w:tcPr>
            <w:tcW w:w="0" w:type="auto"/>
            <w:hideMark/>
          </w:tcPr>
          <w:p w14:paraId="2AB77547" w14:textId="77777777" w:rsidR="00413D97" w:rsidRPr="00F86B53" w:rsidRDefault="00413D97" w:rsidP="00F86B53">
            <w:pPr>
              <w:pStyle w:val="NormalWeb"/>
              <w:jc w:val="center"/>
              <w:rPr>
                <w:sz w:val="18"/>
                <w:szCs w:val="18"/>
              </w:rPr>
            </w:pPr>
            <w:r w:rsidRPr="00F86B53">
              <w:rPr>
                <w:sz w:val="18"/>
                <w:szCs w:val="18"/>
              </w:rPr>
              <w:t>28 (3.0)</w:t>
            </w:r>
          </w:p>
        </w:tc>
        <w:tc>
          <w:tcPr>
            <w:tcW w:w="1009" w:type="dxa"/>
            <w:hideMark/>
          </w:tcPr>
          <w:p w14:paraId="5B1AEB74" w14:textId="77777777" w:rsidR="00413D97" w:rsidRPr="00F86B53" w:rsidRDefault="00413D97" w:rsidP="00F86B53">
            <w:pPr>
              <w:pStyle w:val="NormalWeb"/>
              <w:jc w:val="center"/>
              <w:rPr>
                <w:sz w:val="18"/>
                <w:szCs w:val="18"/>
              </w:rPr>
            </w:pPr>
            <w:r w:rsidRPr="00F86B53">
              <w:rPr>
                <w:sz w:val="18"/>
                <w:szCs w:val="18"/>
              </w:rPr>
              <w:t>73 (3.8)</w:t>
            </w:r>
          </w:p>
        </w:tc>
        <w:tc>
          <w:tcPr>
            <w:tcW w:w="850" w:type="dxa"/>
            <w:hideMark/>
          </w:tcPr>
          <w:p w14:paraId="32C796A3" w14:textId="77777777" w:rsidR="00413D97" w:rsidRPr="00F86B53" w:rsidRDefault="00413D97" w:rsidP="00F86B53">
            <w:pPr>
              <w:pStyle w:val="NormalWeb"/>
              <w:jc w:val="center"/>
              <w:rPr>
                <w:sz w:val="18"/>
                <w:szCs w:val="18"/>
              </w:rPr>
            </w:pPr>
            <w:r w:rsidRPr="00F86B53">
              <w:rPr>
                <w:sz w:val="18"/>
                <w:szCs w:val="18"/>
              </w:rPr>
              <w:t>2 (8.3)</w:t>
            </w:r>
          </w:p>
        </w:tc>
        <w:tc>
          <w:tcPr>
            <w:tcW w:w="993" w:type="dxa"/>
            <w:hideMark/>
          </w:tcPr>
          <w:p w14:paraId="2DEAA85C" w14:textId="77777777" w:rsidR="00413D97" w:rsidRPr="00F86B53" w:rsidRDefault="00413D97" w:rsidP="00F86B53">
            <w:pPr>
              <w:pStyle w:val="NormalWeb"/>
              <w:jc w:val="center"/>
              <w:rPr>
                <w:sz w:val="18"/>
                <w:szCs w:val="18"/>
              </w:rPr>
            </w:pPr>
            <w:r w:rsidRPr="00F86B53">
              <w:rPr>
                <w:sz w:val="18"/>
                <w:szCs w:val="18"/>
              </w:rPr>
              <w:t>0 (0.0)</w:t>
            </w:r>
          </w:p>
        </w:tc>
        <w:tc>
          <w:tcPr>
            <w:tcW w:w="992" w:type="dxa"/>
            <w:hideMark/>
          </w:tcPr>
          <w:p w14:paraId="1E498D4B" w14:textId="77777777" w:rsidR="00413D97" w:rsidRPr="00F86B53" w:rsidRDefault="00413D97" w:rsidP="00F86B53">
            <w:pPr>
              <w:pStyle w:val="NormalWeb"/>
              <w:jc w:val="center"/>
              <w:rPr>
                <w:sz w:val="18"/>
                <w:szCs w:val="18"/>
              </w:rPr>
            </w:pPr>
            <w:r w:rsidRPr="00F86B53">
              <w:rPr>
                <w:sz w:val="18"/>
                <w:szCs w:val="18"/>
              </w:rPr>
              <w:t>2 (4.8)</w:t>
            </w:r>
          </w:p>
        </w:tc>
        <w:tc>
          <w:tcPr>
            <w:tcW w:w="1417" w:type="dxa"/>
            <w:hideMark/>
          </w:tcPr>
          <w:p w14:paraId="06BE2EBF" w14:textId="77777777" w:rsidR="00413D97" w:rsidRPr="00F86B53" w:rsidRDefault="00413D97" w:rsidP="00F86B53">
            <w:pPr>
              <w:pStyle w:val="NormalWeb"/>
              <w:jc w:val="center"/>
              <w:rPr>
                <w:sz w:val="18"/>
                <w:szCs w:val="18"/>
              </w:rPr>
            </w:pPr>
            <w:r w:rsidRPr="00F86B53">
              <w:rPr>
                <w:sz w:val="18"/>
                <w:szCs w:val="18"/>
              </w:rPr>
              <w:t>15 (18.3)</w:t>
            </w:r>
          </w:p>
        </w:tc>
        <w:tc>
          <w:tcPr>
            <w:tcW w:w="993" w:type="dxa"/>
            <w:hideMark/>
          </w:tcPr>
          <w:p w14:paraId="49140737" w14:textId="77777777" w:rsidR="00413D97" w:rsidRPr="00F86B53" w:rsidRDefault="00413D97" w:rsidP="00F86B53">
            <w:pPr>
              <w:pStyle w:val="NormalWeb"/>
              <w:jc w:val="center"/>
              <w:rPr>
                <w:sz w:val="18"/>
                <w:szCs w:val="18"/>
              </w:rPr>
            </w:pPr>
            <w:r w:rsidRPr="00F86B53">
              <w:rPr>
                <w:sz w:val="18"/>
                <w:szCs w:val="18"/>
              </w:rPr>
              <w:t>5 (11.1)</w:t>
            </w:r>
          </w:p>
        </w:tc>
        <w:tc>
          <w:tcPr>
            <w:tcW w:w="1506" w:type="dxa"/>
            <w:hideMark/>
          </w:tcPr>
          <w:p w14:paraId="20659ACE" w14:textId="77777777" w:rsidR="00413D97" w:rsidRPr="00F86B53" w:rsidRDefault="00413D97" w:rsidP="00F86B53">
            <w:pPr>
              <w:pStyle w:val="NormalWeb"/>
              <w:jc w:val="center"/>
              <w:rPr>
                <w:sz w:val="18"/>
                <w:szCs w:val="18"/>
              </w:rPr>
            </w:pPr>
            <w:r w:rsidRPr="00F86B53">
              <w:rPr>
                <w:sz w:val="18"/>
                <w:szCs w:val="18"/>
              </w:rPr>
              <w:t>20 (15.7)</w:t>
            </w:r>
          </w:p>
        </w:tc>
      </w:tr>
      <w:tr w:rsidR="00F86B53" w:rsidRPr="00F86B53" w14:paraId="0E1A5420" w14:textId="77777777" w:rsidTr="00DE1DB2">
        <w:tc>
          <w:tcPr>
            <w:tcW w:w="0" w:type="auto"/>
            <w:hideMark/>
          </w:tcPr>
          <w:p w14:paraId="4C162B75" w14:textId="77777777" w:rsidR="00413D97" w:rsidRPr="00F86B53" w:rsidRDefault="00413D97">
            <w:pPr>
              <w:pStyle w:val="NormalWeb"/>
              <w:rPr>
                <w:sz w:val="18"/>
                <w:szCs w:val="18"/>
              </w:rPr>
            </w:pPr>
            <w:r w:rsidRPr="00F86B53">
              <w:rPr>
                <w:sz w:val="18"/>
                <w:szCs w:val="18"/>
              </w:rPr>
              <w:t>80 and over</w:t>
            </w:r>
          </w:p>
        </w:tc>
        <w:tc>
          <w:tcPr>
            <w:tcW w:w="0" w:type="auto"/>
            <w:hideMark/>
          </w:tcPr>
          <w:p w14:paraId="098DF429" w14:textId="77777777" w:rsidR="00413D97" w:rsidRPr="00F86B53" w:rsidRDefault="00413D97" w:rsidP="00F86B53">
            <w:pPr>
              <w:pStyle w:val="NormalWeb"/>
              <w:jc w:val="center"/>
              <w:rPr>
                <w:sz w:val="18"/>
                <w:szCs w:val="18"/>
              </w:rPr>
            </w:pPr>
            <w:r w:rsidRPr="00F86B53">
              <w:rPr>
                <w:sz w:val="18"/>
                <w:szCs w:val="18"/>
              </w:rPr>
              <w:t>75 (19.4)</w:t>
            </w:r>
          </w:p>
        </w:tc>
        <w:tc>
          <w:tcPr>
            <w:tcW w:w="0" w:type="auto"/>
            <w:hideMark/>
          </w:tcPr>
          <w:p w14:paraId="25DC7567" w14:textId="77777777" w:rsidR="00413D97" w:rsidRPr="00F86B53" w:rsidRDefault="00413D97" w:rsidP="00F86B53">
            <w:pPr>
              <w:pStyle w:val="NormalWeb"/>
              <w:jc w:val="center"/>
              <w:rPr>
                <w:sz w:val="18"/>
                <w:szCs w:val="18"/>
              </w:rPr>
            </w:pPr>
            <w:r w:rsidRPr="00F86B53">
              <w:rPr>
                <w:sz w:val="18"/>
                <w:szCs w:val="18"/>
              </w:rPr>
              <w:t>75 (12.4)</w:t>
            </w:r>
          </w:p>
        </w:tc>
        <w:tc>
          <w:tcPr>
            <w:tcW w:w="1009" w:type="dxa"/>
            <w:hideMark/>
          </w:tcPr>
          <w:p w14:paraId="1590C637" w14:textId="77777777" w:rsidR="00413D97" w:rsidRPr="00F86B53" w:rsidRDefault="00413D97" w:rsidP="00F86B53">
            <w:pPr>
              <w:pStyle w:val="NormalWeb"/>
              <w:jc w:val="center"/>
              <w:rPr>
                <w:sz w:val="18"/>
                <w:szCs w:val="18"/>
              </w:rPr>
            </w:pPr>
            <w:r w:rsidRPr="00F86B53">
              <w:rPr>
                <w:sz w:val="18"/>
                <w:szCs w:val="18"/>
              </w:rPr>
              <w:t>150 (15.1)</w:t>
            </w:r>
          </w:p>
        </w:tc>
        <w:tc>
          <w:tcPr>
            <w:tcW w:w="850" w:type="dxa"/>
            <w:hideMark/>
          </w:tcPr>
          <w:p w14:paraId="6E10DEA1" w14:textId="77777777" w:rsidR="00413D97" w:rsidRPr="00F86B53" w:rsidRDefault="00413D97" w:rsidP="00F86B53">
            <w:pPr>
              <w:pStyle w:val="NormalWeb"/>
              <w:jc w:val="center"/>
              <w:rPr>
                <w:sz w:val="18"/>
                <w:szCs w:val="18"/>
              </w:rPr>
            </w:pPr>
            <w:r w:rsidRPr="00F86B53">
              <w:rPr>
                <w:sz w:val="18"/>
                <w:szCs w:val="18"/>
              </w:rPr>
              <w:t>3 (17.7)</w:t>
            </w:r>
          </w:p>
        </w:tc>
        <w:tc>
          <w:tcPr>
            <w:tcW w:w="993" w:type="dxa"/>
            <w:hideMark/>
          </w:tcPr>
          <w:p w14:paraId="1839BE9A" w14:textId="77777777" w:rsidR="00413D97" w:rsidRPr="00F86B53" w:rsidRDefault="00413D97" w:rsidP="00F86B53">
            <w:pPr>
              <w:pStyle w:val="NormalWeb"/>
              <w:jc w:val="center"/>
              <w:rPr>
                <w:sz w:val="18"/>
                <w:szCs w:val="18"/>
              </w:rPr>
            </w:pPr>
            <w:r w:rsidRPr="00F86B53">
              <w:rPr>
                <w:sz w:val="18"/>
                <w:szCs w:val="18"/>
              </w:rPr>
              <w:t>2 (22.2)</w:t>
            </w:r>
          </w:p>
        </w:tc>
        <w:tc>
          <w:tcPr>
            <w:tcW w:w="992" w:type="dxa"/>
            <w:hideMark/>
          </w:tcPr>
          <w:p w14:paraId="7A51D403" w14:textId="77777777" w:rsidR="00413D97" w:rsidRPr="00F86B53" w:rsidRDefault="00413D97" w:rsidP="00F86B53">
            <w:pPr>
              <w:pStyle w:val="NormalWeb"/>
              <w:jc w:val="center"/>
              <w:rPr>
                <w:sz w:val="18"/>
                <w:szCs w:val="18"/>
              </w:rPr>
            </w:pPr>
            <w:r w:rsidRPr="00F86B53">
              <w:rPr>
                <w:sz w:val="18"/>
                <w:szCs w:val="18"/>
              </w:rPr>
              <w:t>5 (19.2)</w:t>
            </w:r>
          </w:p>
        </w:tc>
        <w:tc>
          <w:tcPr>
            <w:tcW w:w="1417" w:type="dxa"/>
            <w:hideMark/>
          </w:tcPr>
          <w:p w14:paraId="303F6E87" w14:textId="77777777" w:rsidR="00413D97" w:rsidRPr="00F86B53" w:rsidRDefault="00413D97" w:rsidP="00F86B53">
            <w:pPr>
              <w:pStyle w:val="NormalWeb"/>
              <w:jc w:val="center"/>
              <w:rPr>
                <w:sz w:val="18"/>
                <w:szCs w:val="18"/>
              </w:rPr>
            </w:pPr>
            <w:r w:rsidRPr="00F86B53">
              <w:rPr>
                <w:sz w:val="18"/>
                <w:szCs w:val="18"/>
              </w:rPr>
              <w:t>7 (58.3)</w:t>
            </w:r>
          </w:p>
        </w:tc>
        <w:tc>
          <w:tcPr>
            <w:tcW w:w="993" w:type="dxa"/>
            <w:hideMark/>
          </w:tcPr>
          <w:p w14:paraId="0C7FF934" w14:textId="77777777" w:rsidR="00413D97" w:rsidRPr="00F86B53" w:rsidRDefault="00413D97" w:rsidP="00F86B53">
            <w:pPr>
              <w:pStyle w:val="NormalWeb"/>
              <w:jc w:val="center"/>
              <w:rPr>
                <w:sz w:val="18"/>
                <w:szCs w:val="18"/>
              </w:rPr>
            </w:pPr>
            <w:r w:rsidRPr="00F86B53">
              <w:rPr>
                <w:sz w:val="18"/>
                <w:szCs w:val="18"/>
              </w:rPr>
              <w:t>2 (66.7)</w:t>
            </w:r>
          </w:p>
        </w:tc>
        <w:tc>
          <w:tcPr>
            <w:tcW w:w="1506" w:type="dxa"/>
            <w:hideMark/>
          </w:tcPr>
          <w:p w14:paraId="2487F04C" w14:textId="77777777" w:rsidR="00413D97" w:rsidRPr="00F86B53" w:rsidRDefault="00413D97" w:rsidP="00F86B53">
            <w:pPr>
              <w:pStyle w:val="NormalWeb"/>
              <w:jc w:val="center"/>
              <w:rPr>
                <w:sz w:val="18"/>
                <w:szCs w:val="18"/>
              </w:rPr>
            </w:pPr>
            <w:r w:rsidRPr="00F86B53">
              <w:rPr>
                <w:sz w:val="18"/>
                <w:szCs w:val="18"/>
              </w:rPr>
              <w:t>9 (56.3)</w:t>
            </w:r>
          </w:p>
        </w:tc>
      </w:tr>
    </w:tbl>
    <w:p w14:paraId="231A122A" w14:textId="77777777" w:rsidR="00413D97" w:rsidRPr="001A0EF1" w:rsidRDefault="00413D97" w:rsidP="001A0EF1">
      <w:pPr>
        <w:pStyle w:val="CDIfootnotes"/>
      </w:pPr>
      <w:r w:rsidRPr="001A0EF1">
        <w:t>a</w:t>
      </w:r>
      <w:r w:rsidRPr="001A0EF1">
        <w:tab/>
        <w:t>Source: NNDSS (Total cases = 18,353).</w:t>
      </w:r>
    </w:p>
    <w:p w14:paraId="3A379420" w14:textId="77777777" w:rsidR="00413D97" w:rsidRPr="001A0EF1" w:rsidRDefault="00413D97" w:rsidP="001A0EF1">
      <w:pPr>
        <w:pStyle w:val="CDIfootnotes"/>
      </w:pPr>
      <w:r w:rsidRPr="001A0EF1">
        <w:t>b</w:t>
      </w:r>
      <w:r w:rsidRPr="001A0EF1">
        <w:tab/>
        <w:t>Source: FluCAN, includes 21 sentinel hospitals (Total cases = 241).</w:t>
      </w:r>
    </w:p>
    <w:p w14:paraId="013A5251" w14:textId="77777777" w:rsidR="00413D97" w:rsidRPr="001A0EF1" w:rsidRDefault="00413D97" w:rsidP="001A0EF1">
      <w:pPr>
        <w:pStyle w:val="CDIfootnotes"/>
      </w:pPr>
      <w:r w:rsidRPr="001A0EF1">
        <w:t>c</w:t>
      </w:r>
      <w:r w:rsidRPr="001A0EF1">
        <w:tab/>
        <w:t>Source: SPRINT-SARI, includes 77 sentinel ICUs and high dependency units (HDU) (n = 318).</w:t>
      </w:r>
    </w:p>
    <w:p w14:paraId="357493DD" w14:textId="77777777" w:rsidR="00413D97" w:rsidRDefault="00413D97">
      <w:pPr>
        <w:pStyle w:val="Heading1"/>
        <w:rPr>
          <w:rFonts w:eastAsia="Times New Roman"/>
        </w:rPr>
      </w:pPr>
      <w:r>
        <w:rPr>
          <w:rFonts w:eastAsia="Times New Roman"/>
        </w:rPr>
        <w:t xml:space="preserve">Clusters and outbreaks </w:t>
      </w:r>
    </w:p>
    <w:p w14:paraId="54596618" w14:textId="77777777" w:rsidR="00413D97" w:rsidRDefault="00413D97">
      <w:pPr>
        <w:pStyle w:val="NormalWeb"/>
      </w:pPr>
      <w:r>
        <w:t>Residents of aged care facilities are at increased risk of COVID-19 infection due to the environment of communal living facilities and are more vulnerable to serious complications if they do become infected. As of 2 August 2020, there have been 1,436 cases of COVID-19 associated with 148 residential aged care facilities, with 127 recoveries and 136 deaths. Eight hundred of these cases occurred in aged care residents, with the remaining 636 cases occurring in care staff. The Commonwealth is actively supporting services with reported incidents and outbreaks of COVID-19 providing access to personal protective equipment and additional staffing resources where required. Advice and guidelines</w:t>
      </w:r>
      <w:r>
        <w:rPr>
          <w:vertAlign w:val="superscript"/>
        </w:rPr>
        <w:t>2</w:t>
      </w:r>
      <w:r>
        <w:t xml:space="preserve"> have been provided to aged care services, including the release of an outbreak management guide.</w:t>
      </w:r>
      <w:r>
        <w:rPr>
          <w:vertAlign w:val="superscript"/>
        </w:rPr>
        <w:t>3</w:t>
      </w:r>
      <w:r>
        <w:t xml:space="preserve"> </w:t>
      </w:r>
    </w:p>
    <w:p w14:paraId="04AE7FBD" w14:textId="77777777" w:rsidR="00413D97" w:rsidRDefault="00413D97">
      <w:pPr>
        <w:pStyle w:val="Heading1"/>
        <w:rPr>
          <w:rFonts w:eastAsia="Times New Roman"/>
        </w:rPr>
      </w:pPr>
      <w:r>
        <w:rPr>
          <w:rFonts w:eastAsia="Times New Roman"/>
        </w:rPr>
        <w:t xml:space="preserve">Testing </w:t>
      </w:r>
    </w:p>
    <w:p w14:paraId="3567210B" w14:textId="77777777" w:rsidR="00413D97" w:rsidRDefault="00413D97">
      <w:pPr>
        <w:pStyle w:val="NormalWeb"/>
      </w:pPr>
      <w:r>
        <w:t xml:space="preserve">During this reporting period 889,678 tests were conducted nationally, with an overall positivity rate of 0.68%. All states except Victoria reported a period positivity of 0.07% or lower. Victoria reported a positivity rate of 1.67% for this period, which is an increase from the previous reporting period (0.84%). </w:t>
      </w:r>
    </w:p>
    <w:p w14:paraId="506B835A" w14:textId="77777777" w:rsidR="00413D97" w:rsidRDefault="00413D97">
      <w:pPr>
        <w:pStyle w:val="NormalWeb"/>
      </w:pPr>
      <w:r>
        <w:t xml:space="preserve">A total of 4,366,141 tests have been conducted in Australia. High rates of testing have continued across the country, with the cumulative proportion of positive tests remaining low at less than 0.5% in most jurisdictions (Table 4). The low positivity rate indicates widespread testing in the community and supports the observation of low levels of disease in these areas. For the fortnight 18 to 31 July 2020, polymerase chain reaction (PCR) testing rates were highest in those aged 20 to 49 years (Figure 7). </w:t>
      </w:r>
    </w:p>
    <w:p w14:paraId="479B042A" w14:textId="77777777" w:rsidR="00413D97" w:rsidRDefault="00413D97">
      <w:pPr>
        <w:pStyle w:val="NormalWeb"/>
      </w:pPr>
      <w:r>
        <w:t xml:space="preserve">Based on FluTracking data, currently 55% of those in the community with ‘fever and cough’ and 28% of those with ‘runny nose and sore throat’ reported being tested for COVID-19 during the most recent reporting fortnight. Testing and presentations to health services continue to show a gradual increase over time. In those experiencing influenza-like illness over the last fortnight, the most frequent respiratory viruses detected were rhinoviruses. It is </w:t>
      </w:r>
      <w:r>
        <w:lastRenderedPageBreak/>
        <w:t xml:space="preserve">recommended that anyone experiencing cold- or flu-like symptoms, such as a cough, fever, sore throat, shortness of breath or runny nose, even if these are mild, get tested for COVID-19 as soon as possible. </w:t>
      </w:r>
    </w:p>
    <w:p w14:paraId="20FB8B63" w14:textId="77777777" w:rsidR="00413D97" w:rsidRDefault="00413D97">
      <w:pPr>
        <w:pStyle w:val="Heading1"/>
        <w:rPr>
          <w:rFonts w:eastAsia="Times New Roman"/>
        </w:rPr>
      </w:pPr>
      <w:r>
        <w:rPr>
          <w:rFonts w:eastAsia="Times New Roman"/>
        </w:rPr>
        <w:t xml:space="preserve">Demographics of cases </w:t>
      </w:r>
    </w:p>
    <w:p w14:paraId="6D1F1D6B" w14:textId="77777777" w:rsidR="00413D97" w:rsidRDefault="00413D97">
      <w:pPr>
        <w:pStyle w:val="NormalWeb"/>
      </w:pPr>
      <w:r>
        <w:t xml:space="preserve">Historically, cases of COVID-19 have been reported across all age groups; however, recent reporting periods have highlighted a shift to younger populations in the cumulative totals (see Appendix B, Table B.1). Cumulatively, cases show a median age of 38 years (IQR: 25 to 57). Prior to the peak of cases in April, the population diagnosed was slightly older, with a median age of 47 years (IQR: 29 to 62) reflecting the primary source of acquisition being cruise ships. In this reporting period, the median age is 35 years (IQR: 24 to 54). </w:t>
      </w:r>
    </w:p>
    <w:p w14:paraId="5DB88483" w14:textId="77777777" w:rsidR="00413D97" w:rsidRDefault="00413D97">
      <w:pPr>
        <w:pStyle w:val="NormalWeb"/>
      </w:pPr>
      <w:r>
        <w:t xml:space="preserve">Cumulatively, people aged 90 and over have the highest rate of COVID-19 infection (158.4 cases per 100,000 population), followed by the 20–29 years age group (115.1 cases per 100,000 population) and then 30–39 years (87.0 cases per 100,000 population) (Table B.1). Children aged 0–9 years continue to have the lowest rate (24.0 cases per 100,000 population), with testing rates comparable to other age groups (Figure 8). </w:t>
      </w:r>
    </w:p>
    <w:p w14:paraId="0AC06C23" w14:textId="77777777" w:rsidR="00413D97" w:rsidRDefault="00413D97">
      <w:pPr>
        <w:pStyle w:val="NormalWeb"/>
      </w:pPr>
      <w:r>
        <w:t xml:space="preserve">Across most age groups, males show a higher rate of infection than females, with the exception being in the 20–29 years age group and those aged 80 and over. The largest difference in rates between genders is observed in the 90 and over age group where females are diagnosed with COVID-19 almost 16% more per 100,000 population than are males. </w:t>
      </w:r>
    </w:p>
    <w:p w14:paraId="13012654" w14:textId="77777777" w:rsidR="00413D97" w:rsidRDefault="00413D97">
      <w:pPr>
        <w:pStyle w:val="NormalWeb"/>
      </w:pPr>
      <w:r>
        <w:t xml:space="preserve">In this reporting period, school-aged children account for 9.6% of all cases, which is a higher proportion than they comprise in cumulative cases (7.3%). This fortnight, 25% of cases were reported among people aged 20 to 29 years. The proportion of cases in this age group has been increasing in recent weeks, predominantly in Victoria. </w:t>
      </w:r>
    </w:p>
    <w:p w14:paraId="2E280D0E" w14:textId="77777777" w:rsidR="00413D97" w:rsidRDefault="00413D97">
      <w:pPr>
        <w:pStyle w:val="Heading1"/>
        <w:rPr>
          <w:rFonts w:eastAsia="Times New Roman"/>
        </w:rPr>
      </w:pPr>
      <w:r>
        <w:rPr>
          <w:rFonts w:eastAsia="Times New Roman"/>
        </w:rPr>
        <w:t xml:space="preserve">Severity </w:t>
      </w:r>
    </w:p>
    <w:p w14:paraId="51898FD3" w14:textId="77777777" w:rsidR="00413D97" w:rsidRDefault="00413D97">
      <w:pPr>
        <w:pStyle w:val="NormalWeb"/>
      </w:pPr>
      <w:r>
        <w:t>International estimates of hospitalisation rate for COVID-19 vary from 10% in Canada to 29% in Europe.</w:t>
      </w:r>
      <w:r>
        <w:rPr>
          <w:vertAlign w:val="superscript"/>
        </w:rPr>
        <w:t>4,5</w:t>
      </w:r>
      <w:r>
        <w:t xml:space="preserve"> Currently, we lack reliable data to support this estimation in Australia. Of the 241 hospitalised cases captured in the sentinel surveillance system, Influenza Complications Alert Network (FluCAN), since 16 March 2020, twenty percent (49) were admitted to an intensive care unit (ICU); this is a similar proportion to ICU admission estimates in Canada (20%) and the United Kingdom (17%).</w:t>
      </w:r>
      <w:r>
        <w:rPr>
          <w:vertAlign w:val="superscript"/>
        </w:rPr>
        <w:t>4,</w:t>
      </w:r>
      <w:proofErr w:type="gramStart"/>
      <w:r>
        <w:rPr>
          <w:vertAlign w:val="superscript"/>
        </w:rPr>
        <w:t>6</w:t>
      </w:r>
      <w:proofErr w:type="gramEnd"/>
      <w:r>
        <w:t xml:space="preserve"> </w:t>
      </w:r>
    </w:p>
    <w:p w14:paraId="255F8545" w14:textId="77777777" w:rsidR="00413D97" w:rsidRDefault="00413D97">
      <w:pPr>
        <w:pStyle w:val="NormalWeb"/>
      </w:pPr>
      <w:r>
        <w:t>The case fatality rate (CFR) was highest for those COVID-19 patients aged over 80 years and admitted to ICU (CFR &gt; 50%) (Table 5). Comparison of CFRs across levels of hospitalisation should be interpreted with caution as the sample sizes and data sources vary. Of cases hospitalised in sentinel sites, the CFR was 4.2%, which is dramatically lower than the aggregated value of 24% observed in European cases (data from 22 countries)</w:t>
      </w:r>
      <w:r>
        <w:rPr>
          <w:vertAlign w:val="superscript"/>
        </w:rPr>
        <w:t>5</w:t>
      </w:r>
      <w:r>
        <w:t xml:space="preserve"> and Canadian cases (33%).</w:t>
      </w:r>
      <w:r>
        <w:rPr>
          <w:vertAlign w:val="superscript"/>
        </w:rPr>
        <w:t>7</w:t>
      </w:r>
      <w:r>
        <w:t xml:space="preserve"> In cases with an ICU outcome (n = 247), 14% died (n = 35); this is also substantially lower than the ICU CFR reported in the United Kingdom at 52% (871/1,689).</w:t>
      </w:r>
      <w:r>
        <w:rPr>
          <w:vertAlign w:val="superscript"/>
        </w:rPr>
        <w:t>8</w:t>
      </w:r>
      <w:r>
        <w:t xml:space="preserve"> Given the large number of cases reported in the latter country, this may be influenced by the treatment options. </w:t>
      </w:r>
    </w:p>
    <w:p w14:paraId="5C8865F5" w14:textId="77777777" w:rsidR="00E343CF" w:rsidRDefault="00E343CF">
      <w:pPr>
        <w:rPr>
          <w:rFonts w:asciiTheme="majorHAnsi" w:eastAsia="Times New Roman" w:hAnsiTheme="majorHAnsi" w:cstheme="majorBidi"/>
          <w:b/>
          <w:bCs/>
          <w:sz w:val="32"/>
          <w:szCs w:val="28"/>
        </w:rPr>
      </w:pPr>
      <w:r>
        <w:rPr>
          <w:rFonts w:eastAsia="Times New Roman"/>
        </w:rPr>
        <w:br w:type="page"/>
      </w:r>
    </w:p>
    <w:p w14:paraId="77BC4330" w14:textId="77777777" w:rsidR="00413D97" w:rsidRDefault="00413D97">
      <w:pPr>
        <w:pStyle w:val="Heading1"/>
        <w:rPr>
          <w:rFonts w:eastAsia="Times New Roman"/>
        </w:rPr>
      </w:pPr>
      <w:r>
        <w:rPr>
          <w:rFonts w:eastAsia="Times New Roman"/>
        </w:rPr>
        <w:lastRenderedPageBreak/>
        <w:t xml:space="preserve">Hospital length of stay </w:t>
      </w:r>
    </w:p>
    <w:p w14:paraId="0C6A8AD1" w14:textId="77777777" w:rsidR="00413D97" w:rsidRDefault="00413D97">
      <w:pPr>
        <w:pStyle w:val="NormalWeb"/>
      </w:pPr>
      <w:r>
        <w:t>In general, the length of hospital stay for patients with confirmed COVID-19 increased with advancing age category (Table 6). Of all age groups, those aged 60–79 years stayed the longest in hospital; this was the case for both general ward and ICU admissions. Overall, the median hospital length of stay in Australia was 6 days (IQR: 2–11 days) and the mean length of stay was 8.1 days (standard deviation, SD: 8.6 days). This is slightly lower than that reported in European Countries where median length of stay was 9 days and mean 13 days (data from approximately 5,100 cases),</w:t>
      </w:r>
      <w:r>
        <w:rPr>
          <w:vertAlign w:val="superscript"/>
        </w:rPr>
        <w:t>5</w:t>
      </w:r>
      <w:r>
        <w:t xml:space="preserve"> although differences in case numbers make comparison difficult. The European data also showed that length of stay increased with age, with people aged over 60 years staying for a median time of 10–11 days (mean: 13–15 days).</w:t>
      </w:r>
      <w:r>
        <w:rPr>
          <w:vertAlign w:val="superscript"/>
        </w:rPr>
        <w:t xml:space="preserve">5 </w:t>
      </w:r>
    </w:p>
    <w:p w14:paraId="6E5C297F" w14:textId="77777777" w:rsidR="00413D97" w:rsidRDefault="00413D97" w:rsidP="00E343CF">
      <w:pPr>
        <w:pStyle w:val="CDIFigures"/>
      </w:pPr>
      <w:r>
        <w:t>Table 6: Hospital length of stay for confirmed COVID-19 cases discharged alive from sentinel sites by ICU/HDU admission status (median, IQR and mean, SD)</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summarises the reported median and mean hospital length of stay for COVID-19 cases as a function of age group and ICU/HDU admission status. In general, both increasing age and admission to an ICU/HDU tends to increase length of stay, with this increase in length of stay most substantial for older ICU/HDU-admitted patients. The median and mean lengths of stay in a general ward are 6.0 and 8.1 days respectively, while the median and mean lengths of stay for ICU/HDU-admitted patients are respectively 17.0 and 21.1 days."/>
      </w:tblPr>
      <w:tblGrid>
        <w:gridCol w:w="2410"/>
        <w:gridCol w:w="992"/>
        <w:gridCol w:w="1843"/>
        <w:gridCol w:w="1559"/>
        <w:gridCol w:w="993"/>
        <w:gridCol w:w="1417"/>
        <w:gridCol w:w="1252"/>
      </w:tblGrid>
      <w:tr w:rsidR="0052720D" w:rsidRPr="0052720D" w14:paraId="2BEF4D0D" w14:textId="77777777" w:rsidTr="00BC1641">
        <w:trPr>
          <w:cnfStyle w:val="100000000000" w:firstRow="1" w:lastRow="0" w:firstColumn="0" w:lastColumn="0" w:oddVBand="0" w:evenVBand="0" w:oddHBand="0" w:evenHBand="0" w:firstRowFirstColumn="0" w:firstRowLastColumn="0" w:lastRowFirstColumn="0" w:lastRowLastColumn="0"/>
          <w:tblHeader/>
        </w:trPr>
        <w:tc>
          <w:tcPr>
            <w:tcW w:w="2410" w:type="dxa"/>
            <w:vMerge w:val="restart"/>
            <w:tcBorders>
              <w:bottom w:val="single" w:sz="2" w:space="0" w:color="FFFFFF" w:themeColor="background1"/>
              <w:right w:val="single" w:sz="2" w:space="0" w:color="FFFFFF" w:themeColor="background1"/>
            </w:tcBorders>
            <w:hideMark/>
          </w:tcPr>
          <w:p w14:paraId="60B0E878" w14:textId="77777777" w:rsidR="00413D97" w:rsidRPr="0052720D" w:rsidRDefault="00413D97">
            <w:pPr>
              <w:pStyle w:val="NormalWeb"/>
              <w:rPr>
                <w:color w:val="FFFFFF" w:themeColor="background1"/>
                <w:sz w:val="18"/>
                <w:szCs w:val="18"/>
              </w:rPr>
            </w:pPr>
            <w:r w:rsidRPr="0052720D">
              <w:rPr>
                <w:color w:val="FFFFFF" w:themeColor="background1"/>
                <w:sz w:val="18"/>
                <w:szCs w:val="18"/>
              </w:rPr>
              <w:t>Age group (years)</w:t>
            </w:r>
          </w:p>
        </w:tc>
        <w:tc>
          <w:tcPr>
            <w:tcW w:w="4394" w:type="dxa"/>
            <w:gridSpan w:val="3"/>
            <w:tcBorders>
              <w:left w:val="single" w:sz="2" w:space="0" w:color="FFFFFF" w:themeColor="background1"/>
              <w:bottom w:val="single" w:sz="2" w:space="0" w:color="FFFFFF" w:themeColor="background1"/>
              <w:right w:val="single" w:sz="2" w:space="0" w:color="FFFFFF" w:themeColor="background1"/>
            </w:tcBorders>
            <w:hideMark/>
          </w:tcPr>
          <w:p w14:paraId="7DD31CD4" w14:textId="77777777" w:rsidR="00413D97" w:rsidRPr="0052720D" w:rsidRDefault="00413D97" w:rsidP="00D35442">
            <w:pPr>
              <w:pStyle w:val="NormalWeb"/>
              <w:jc w:val="center"/>
              <w:rPr>
                <w:color w:val="FFFFFF" w:themeColor="background1"/>
                <w:sz w:val="18"/>
                <w:szCs w:val="18"/>
              </w:rPr>
            </w:pPr>
            <w:r w:rsidRPr="0052720D">
              <w:rPr>
                <w:color w:val="FFFFFF" w:themeColor="background1"/>
                <w:sz w:val="18"/>
                <w:szCs w:val="18"/>
              </w:rPr>
              <w:t xml:space="preserve">General </w:t>
            </w:r>
            <w:proofErr w:type="spellStart"/>
            <w:r w:rsidRPr="0052720D">
              <w:rPr>
                <w:color w:val="FFFFFF" w:themeColor="background1"/>
                <w:sz w:val="18"/>
                <w:szCs w:val="18"/>
              </w:rPr>
              <w:t>ward</w:t>
            </w:r>
            <w:r w:rsidRPr="00D35442">
              <w:rPr>
                <w:color w:val="FFFFFF" w:themeColor="background1"/>
                <w:sz w:val="18"/>
                <w:szCs w:val="18"/>
                <w:vertAlign w:val="superscript"/>
              </w:rPr>
              <w:t>a</w:t>
            </w:r>
            <w:proofErr w:type="spellEnd"/>
          </w:p>
        </w:tc>
        <w:tc>
          <w:tcPr>
            <w:tcW w:w="3662" w:type="dxa"/>
            <w:gridSpan w:val="3"/>
            <w:tcBorders>
              <w:left w:val="single" w:sz="2" w:space="0" w:color="FFFFFF" w:themeColor="background1"/>
              <w:bottom w:val="single" w:sz="2" w:space="0" w:color="FFFFFF" w:themeColor="background1"/>
            </w:tcBorders>
            <w:hideMark/>
          </w:tcPr>
          <w:p w14:paraId="2705FE08" w14:textId="77777777" w:rsidR="00413D97" w:rsidRPr="0052720D" w:rsidRDefault="00413D97" w:rsidP="00D35442">
            <w:pPr>
              <w:pStyle w:val="NormalWeb"/>
              <w:jc w:val="center"/>
              <w:rPr>
                <w:color w:val="FFFFFF" w:themeColor="background1"/>
                <w:sz w:val="18"/>
                <w:szCs w:val="18"/>
              </w:rPr>
            </w:pPr>
            <w:r w:rsidRPr="0052720D">
              <w:rPr>
                <w:color w:val="FFFFFF" w:themeColor="background1"/>
                <w:sz w:val="18"/>
                <w:szCs w:val="18"/>
              </w:rPr>
              <w:t>ICU/</w:t>
            </w:r>
            <w:proofErr w:type="spellStart"/>
            <w:r w:rsidRPr="0052720D">
              <w:rPr>
                <w:color w:val="FFFFFF" w:themeColor="background1"/>
                <w:sz w:val="18"/>
                <w:szCs w:val="18"/>
              </w:rPr>
              <w:t>HDU</w:t>
            </w:r>
            <w:r w:rsidRPr="00D35442">
              <w:rPr>
                <w:color w:val="FFFFFF" w:themeColor="background1"/>
                <w:sz w:val="18"/>
                <w:szCs w:val="18"/>
                <w:vertAlign w:val="superscript"/>
              </w:rPr>
              <w:t>b</w:t>
            </w:r>
            <w:proofErr w:type="spellEnd"/>
          </w:p>
        </w:tc>
      </w:tr>
      <w:tr w:rsidR="00BC1641" w:rsidRPr="0052720D" w14:paraId="03BE91B2" w14:textId="77777777" w:rsidTr="00BC1641">
        <w:trPr>
          <w:cnfStyle w:val="100000000000" w:firstRow="1" w:lastRow="0" w:firstColumn="0" w:lastColumn="0" w:oddVBand="0" w:evenVBand="0" w:oddHBand="0" w:evenHBand="0" w:firstRowFirstColumn="0" w:firstRowLastColumn="0" w:lastRowFirstColumn="0" w:lastRowLastColumn="0"/>
          <w:tblHeader/>
        </w:trPr>
        <w:tc>
          <w:tcPr>
            <w:tcW w:w="2410" w:type="dxa"/>
            <w:vMerge/>
            <w:tcBorders>
              <w:top w:val="single" w:sz="2" w:space="0" w:color="FFFFFF" w:themeColor="background1"/>
              <w:right w:val="single" w:sz="2" w:space="0" w:color="FFFFFF" w:themeColor="background1"/>
            </w:tcBorders>
            <w:hideMark/>
          </w:tcPr>
          <w:p w14:paraId="166BC4E4" w14:textId="77777777" w:rsidR="00413D97" w:rsidRPr="0052720D" w:rsidRDefault="00413D97">
            <w:pPr>
              <w:rPr>
                <w:color w:val="FFFFFF" w:themeColor="background1"/>
                <w:sz w:val="18"/>
                <w:szCs w:val="18"/>
              </w:rPr>
            </w:pP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3F6D1826" w14:textId="77777777" w:rsidR="00413D97" w:rsidRPr="0052720D" w:rsidRDefault="00413D97" w:rsidP="00D35442">
            <w:pPr>
              <w:pStyle w:val="NormalWeb"/>
              <w:jc w:val="center"/>
              <w:rPr>
                <w:color w:val="FFFFFF" w:themeColor="background1"/>
                <w:sz w:val="18"/>
                <w:szCs w:val="18"/>
              </w:rPr>
            </w:pPr>
            <w:r w:rsidRPr="0052720D">
              <w:rPr>
                <w:color w:val="FFFFFF" w:themeColor="background1"/>
                <w:sz w:val="18"/>
                <w:szCs w:val="18"/>
              </w:rPr>
              <w:t>n</w:t>
            </w:r>
          </w:p>
        </w:tc>
        <w:tc>
          <w:tcPr>
            <w:tcW w:w="1843" w:type="dxa"/>
            <w:tcBorders>
              <w:top w:val="single" w:sz="2" w:space="0" w:color="FFFFFF" w:themeColor="background1"/>
              <w:left w:val="single" w:sz="2" w:space="0" w:color="FFFFFF" w:themeColor="background1"/>
              <w:right w:val="single" w:sz="2" w:space="0" w:color="FFFFFF" w:themeColor="background1"/>
            </w:tcBorders>
            <w:hideMark/>
          </w:tcPr>
          <w:p w14:paraId="574441EB" w14:textId="77777777" w:rsidR="00413D97" w:rsidRPr="0052720D" w:rsidRDefault="00413D97" w:rsidP="00D35442">
            <w:pPr>
              <w:pStyle w:val="NormalWeb"/>
              <w:jc w:val="center"/>
              <w:rPr>
                <w:color w:val="FFFFFF" w:themeColor="background1"/>
                <w:sz w:val="18"/>
                <w:szCs w:val="18"/>
              </w:rPr>
            </w:pPr>
            <w:r w:rsidRPr="0052720D">
              <w:rPr>
                <w:color w:val="FFFFFF" w:themeColor="background1"/>
                <w:sz w:val="18"/>
                <w:szCs w:val="18"/>
              </w:rPr>
              <w:t>Median (IQR)</w:t>
            </w:r>
          </w:p>
        </w:tc>
        <w:tc>
          <w:tcPr>
            <w:tcW w:w="1559" w:type="dxa"/>
            <w:tcBorders>
              <w:top w:val="single" w:sz="2" w:space="0" w:color="FFFFFF" w:themeColor="background1"/>
              <w:left w:val="single" w:sz="2" w:space="0" w:color="FFFFFF" w:themeColor="background1"/>
              <w:right w:val="single" w:sz="2" w:space="0" w:color="FFFFFF" w:themeColor="background1"/>
            </w:tcBorders>
            <w:hideMark/>
          </w:tcPr>
          <w:p w14:paraId="70A1C596" w14:textId="77777777" w:rsidR="00413D97" w:rsidRPr="0052720D" w:rsidRDefault="00413D97" w:rsidP="00D35442">
            <w:pPr>
              <w:pStyle w:val="NormalWeb"/>
              <w:jc w:val="center"/>
              <w:rPr>
                <w:color w:val="FFFFFF" w:themeColor="background1"/>
                <w:sz w:val="18"/>
                <w:szCs w:val="18"/>
              </w:rPr>
            </w:pPr>
            <w:r w:rsidRPr="0052720D">
              <w:rPr>
                <w:color w:val="FFFFFF" w:themeColor="background1"/>
                <w:sz w:val="18"/>
                <w:szCs w:val="18"/>
              </w:rPr>
              <w:t>Mean (SD)</w:t>
            </w:r>
          </w:p>
        </w:tc>
        <w:tc>
          <w:tcPr>
            <w:tcW w:w="993" w:type="dxa"/>
            <w:tcBorders>
              <w:top w:val="single" w:sz="2" w:space="0" w:color="FFFFFF" w:themeColor="background1"/>
              <w:left w:val="single" w:sz="2" w:space="0" w:color="FFFFFF" w:themeColor="background1"/>
              <w:right w:val="single" w:sz="2" w:space="0" w:color="FFFFFF" w:themeColor="background1"/>
            </w:tcBorders>
            <w:hideMark/>
          </w:tcPr>
          <w:p w14:paraId="0925F6F1" w14:textId="77777777" w:rsidR="00413D97" w:rsidRPr="0052720D" w:rsidRDefault="00413D97" w:rsidP="00D35442">
            <w:pPr>
              <w:pStyle w:val="NormalWeb"/>
              <w:jc w:val="center"/>
              <w:rPr>
                <w:color w:val="FFFFFF" w:themeColor="background1"/>
                <w:sz w:val="18"/>
                <w:szCs w:val="18"/>
              </w:rPr>
            </w:pPr>
            <w:r w:rsidRPr="0052720D">
              <w:rPr>
                <w:color w:val="FFFFFF" w:themeColor="background1"/>
                <w:sz w:val="18"/>
                <w:szCs w:val="18"/>
              </w:rPr>
              <w:t>n</w:t>
            </w:r>
          </w:p>
        </w:tc>
        <w:tc>
          <w:tcPr>
            <w:tcW w:w="1417" w:type="dxa"/>
            <w:tcBorders>
              <w:top w:val="single" w:sz="2" w:space="0" w:color="FFFFFF" w:themeColor="background1"/>
              <w:left w:val="single" w:sz="2" w:space="0" w:color="FFFFFF" w:themeColor="background1"/>
              <w:right w:val="single" w:sz="2" w:space="0" w:color="FFFFFF" w:themeColor="background1"/>
            </w:tcBorders>
            <w:hideMark/>
          </w:tcPr>
          <w:p w14:paraId="107F4150" w14:textId="77777777" w:rsidR="00413D97" w:rsidRPr="0052720D" w:rsidRDefault="00413D97" w:rsidP="00D35442">
            <w:pPr>
              <w:pStyle w:val="NormalWeb"/>
              <w:jc w:val="center"/>
              <w:rPr>
                <w:color w:val="FFFFFF" w:themeColor="background1"/>
                <w:sz w:val="18"/>
                <w:szCs w:val="18"/>
              </w:rPr>
            </w:pPr>
            <w:r w:rsidRPr="0052720D">
              <w:rPr>
                <w:color w:val="FFFFFF" w:themeColor="background1"/>
                <w:sz w:val="18"/>
                <w:szCs w:val="18"/>
              </w:rPr>
              <w:t>Median (IQR)</w:t>
            </w:r>
          </w:p>
        </w:tc>
        <w:tc>
          <w:tcPr>
            <w:tcW w:w="1252" w:type="dxa"/>
            <w:tcBorders>
              <w:top w:val="single" w:sz="2" w:space="0" w:color="FFFFFF" w:themeColor="background1"/>
              <w:left w:val="single" w:sz="2" w:space="0" w:color="FFFFFF" w:themeColor="background1"/>
            </w:tcBorders>
            <w:hideMark/>
          </w:tcPr>
          <w:p w14:paraId="7CF951A8" w14:textId="77777777" w:rsidR="00413D97" w:rsidRPr="0052720D" w:rsidRDefault="00413D97" w:rsidP="00D35442">
            <w:pPr>
              <w:pStyle w:val="NormalWeb"/>
              <w:jc w:val="center"/>
              <w:rPr>
                <w:color w:val="FFFFFF" w:themeColor="background1"/>
                <w:sz w:val="18"/>
                <w:szCs w:val="18"/>
              </w:rPr>
            </w:pPr>
            <w:r w:rsidRPr="0052720D">
              <w:rPr>
                <w:color w:val="FFFFFF" w:themeColor="background1"/>
                <w:sz w:val="18"/>
                <w:szCs w:val="18"/>
              </w:rPr>
              <w:t>Mean (SD)</w:t>
            </w:r>
          </w:p>
        </w:tc>
      </w:tr>
      <w:tr w:rsidR="00D35442" w:rsidRPr="0052720D" w14:paraId="5DE02605" w14:textId="77777777" w:rsidTr="00D35442">
        <w:tc>
          <w:tcPr>
            <w:tcW w:w="2410" w:type="dxa"/>
            <w:hideMark/>
          </w:tcPr>
          <w:p w14:paraId="40E81049" w14:textId="77777777" w:rsidR="00413D97" w:rsidRPr="0052720D" w:rsidRDefault="00413D97">
            <w:pPr>
              <w:pStyle w:val="NormalWeb"/>
              <w:rPr>
                <w:sz w:val="18"/>
                <w:szCs w:val="18"/>
              </w:rPr>
            </w:pPr>
            <w:r w:rsidRPr="0052720D">
              <w:rPr>
                <w:sz w:val="18"/>
                <w:szCs w:val="18"/>
              </w:rPr>
              <w:t>Under 5</w:t>
            </w:r>
          </w:p>
        </w:tc>
        <w:tc>
          <w:tcPr>
            <w:tcW w:w="992" w:type="dxa"/>
            <w:hideMark/>
          </w:tcPr>
          <w:p w14:paraId="21C5AA52" w14:textId="77777777" w:rsidR="00413D97" w:rsidRPr="0052720D" w:rsidRDefault="00413D97" w:rsidP="00D35442">
            <w:pPr>
              <w:pStyle w:val="NormalWeb"/>
              <w:jc w:val="center"/>
              <w:rPr>
                <w:sz w:val="18"/>
                <w:szCs w:val="18"/>
              </w:rPr>
            </w:pPr>
            <w:r w:rsidRPr="0052720D">
              <w:rPr>
                <w:sz w:val="18"/>
                <w:szCs w:val="18"/>
              </w:rPr>
              <w:t>13</w:t>
            </w:r>
          </w:p>
        </w:tc>
        <w:tc>
          <w:tcPr>
            <w:tcW w:w="1843" w:type="dxa"/>
            <w:hideMark/>
          </w:tcPr>
          <w:p w14:paraId="3723D18C" w14:textId="77777777" w:rsidR="00413D97" w:rsidRPr="0052720D" w:rsidRDefault="00413D97" w:rsidP="00D35442">
            <w:pPr>
              <w:pStyle w:val="NormalWeb"/>
              <w:jc w:val="center"/>
              <w:rPr>
                <w:sz w:val="18"/>
                <w:szCs w:val="18"/>
              </w:rPr>
            </w:pPr>
            <w:r w:rsidRPr="0052720D">
              <w:rPr>
                <w:sz w:val="18"/>
                <w:szCs w:val="18"/>
              </w:rPr>
              <w:t>3.0 (1.0–7.0)</w:t>
            </w:r>
          </w:p>
        </w:tc>
        <w:tc>
          <w:tcPr>
            <w:tcW w:w="1559" w:type="dxa"/>
            <w:hideMark/>
          </w:tcPr>
          <w:p w14:paraId="742AC5D1" w14:textId="77777777" w:rsidR="00413D97" w:rsidRPr="0052720D" w:rsidRDefault="00413D97" w:rsidP="00D35442">
            <w:pPr>
              <w:pStyle w:val="NormalWeb"/>
              <w:jc w:val="center"/>
              <w:rPr>
                <w:sz w:val="18"/>
                <w:szCs w:val="18"/>
              </w:rPr>
            </w:pPr>
            <w:r w:rsidRPr="0052720D">
              <w:rPr>
                <w:sz w:val="18"/>
                <w:szCs w:val="18"/>
              </w:rPr>
              <w:t>5.3 (5.9)</w:t>
            </w:r>
          </w:p>
        </w:tc>
        <w:tc>
          <w:tcPr>
            <w:tcW w:w="993" w:type="dxa"/>
            <w:hideMark/>
          </w:tcPr>
          <w:p w14:paraId="27F3DA97" w14:textId="77777777" w:rsidR="00413D97" w:rsidRPr="0052720D" w:rsidRDefault="00413D97" w:rsidP="00D35442">
            <w:pPr>
              <w:pStyle w:val="NormalWeb"/>
              <w:jc w:val="center"/>
              <w:rPr>
                <w:sz w:val="18"/>
                <w:szCs w:val="18"/>
              </w:rPr>
            </w:pPr>
            <w:r w:rsidRPr="0052720D">
              <w:rPr>
                <w:sz w:val="18"/>
                <w:szCs w:val="18"/>
              </w:rPr>
              <w:t>0</w:t>
            </w:r>
          </w:p>
        </w:tc>
        <w:tc>
          <w:tcPr>
            <w:tcW w:w="1417" w:type="dxa"/>
            <w:hideMark/>
          </w:tcPr>
          <w:p w14:paraId="5115897A" w14:textId="77777777" w:rsidR="00413D97" w:rsidRPr="0052720D" w:rsidRDefault="00413D97" w:rsidP="00D35442">
            <w:pPr>
              <w:pStyle w:val="NormalWeb"/>
              <w:jc w:val="center"/>
              <w:rPr>
                <w:sz w:val="18"/>
                <w:szCs w:val="18"/>
              </w:rPr>
            </w:pPr>
            <w:r w:rsidRPr="0052720D">
              <w:rPr>
                <w:sz w:val="18"/>
                <w:szCs w:val="18"/>
              </w:rPr>
              <w:t>0(0)</w:t>
            </w:r>
          </w:p>
        </w:tc>
        <w:tc>
          <w:tcPr>
            <w:tcW w:w="1252" w:type="dxa"/>
            <w:hideMark/>
          </w:tcPr>
          <w:p w14:paraId="4247F71F" w14:textId="77777777" w:rsidR="00413D97" w:rsidRPr="0052720D" w:rsidRDefault="00413D97" w:rsidP="00D35442">
            <w:pPr>
              <w:pStyle w:val="NormalWeb"/>
              <w:jc w:val="center"/>
              <w:rPr>
                <w:sz w:val="18"/>
                <w:szCs w:val="18"/>
              </w:rPr>
            </w:pPr>
            <w:r w:rsidRPr="0052720D">
              <w:rPr>
                <w:sz w:val="18"/>
                <w:szCs w:val="18"/>
              </w:rPr>
              <w:t>0(0)</w:t>
            </w:r>
          </w:p>
        </w:tc>
      </w:tr>
      <w:tr w:rsidR="00D35442" w:rsidRPr="0052720D" w14:paraId="37FB1081" w14:textId="77777777" w:rsidTr="00D35442">
        <w:trPr>
          <w:cnfStyle w:val="000000010000" w:firstRow="0" w:lastRow="0" w:firstColumn="0" w:lastColumn="0" w:oddVBand="0" w:evenVBand="0" w:oddHBand="0" w:evenHBand="1" w:firstRowFirstColumn="0" w:firstRowLastColumn="0" w:lastRowFirstColumn="0" w:lastRowLastColumn="0"/>
        </w:trPr>
        <w:tc>
          <w:tcPr>
            <w:tcW w:w="2410" w:type="dxa"/>
            <w:hideMark/>
          </w:tcPr>
          <w:p w14:paraId="7B1F6BC6" w14:textId="77777777" w:rsidR="00413D97" w:rsidRPr="0052720D" w:rsidRDefault="00413D97">
            <w:pPr>
              <w:pStyle w:val="NormalWeb"/>
              <w:rPr>
                <w:sz w:val="18"/>
                <w:szCs w:val="18"/>
              </w:rPr>
            </w:pPr>
            <w:r w:rsidRPr="0052720D">
              <w:rPr>
                <w:sz w:val="18"/>
                <w:szCs w:val="18"/>
              </w:rPr>
              <w:t>5–17</w:t>
            </w:r>
          </w:p>
        </w:tc>
        <w:tc>
          <w:tcPr>
            <w:tcW w:w="992" w:type="dxa"/>
            <w:hideMark/>
          </w:tcPr>
          <w:p w14:paraId="7F768296" w14:textId="77777777" w:rsidR="00413D97" w:rsidRPr="0052720D" w:rsidRDefault="00413D97" w:rsidP="00D35442">
            <w:pPr>
              <w:pStyle w:val="NormalWeb"/>
              <w:jc w:val="center"/>
              <w:rPr>
                <w:sz w:val="18"/>
                <w:szCs w:val="18"/>
              </w:rPr>
            </w:pPr>
            <w:r w:rsidRPr="0052720D">
              <w:rPr>
                <w:sz w:val="18"/>
                <w:szCs w:val="18"/>
              </w:rPr>
              <w:t>9</w:t>
            </w:r>
          </w:p>
        </w:tc>
        <w:tc>
          <w:tcPr>
            <w:tcW w:w="1843" w:type="dxa"/>
            <w:hideMark/>
          </w:tcPr>
          <w:p w14:paraId="007CB7D8" w14:textId="77777777" w:rsidR="00413D97" w:rsidRPr="0052720D" w:rsidRDefault="00413D97" w:rsidP="00D35442">
            <w:pPr>
              <w:pStyle w:val="NormalWeb"/>
              <w:jc w:val="center"/>
              <w:rPr>
                <w:sz w:val="18"/>
                <w:szCs w:val="18"/>
              </w:rPr>
            </w:pPr>
            <w:r w:rsidRPr="0052720D">
              <w:rPr>
                <w:sz w:val="18"/>
                <w:szCs w:val="18"/>
              </w:rPr>
              <w:t>5.0 (2.0–7.0)</w:t>
            </w:r>
          </w:p>
        </w:tc>
        <w:tc>
          <w:tcPr>
            <w:tcW w:w="1559" w:type="dxa"/>
            <w:hideMark/>
          </w:tcPr>
          <w:p w14:paraId="4BA59CFB" w14:textId="77777777" w:rsidR="00413D97" w:rsidRPr="0052720D" w:rsidRDefault="00413D97" w:rsidP="00D35442">
            <w:pPr>
              <w:pStyle w:val="NormalWeb"/>
              <w:jc w:val="center"/>
              <w:rPr>
                <w:sz w:val="18"/>
                <w:szCs w:val="18"/>
              </w:rPr>
            </w:pPr>
            <w:r w:rsidRPr="0052720D">
              <w:rPr>
                <w:sz w:val="18"/>
                <w:szCs w:val="18"/>
              </w:rPr>
              <w:t>5.1 (4.1)</w:t>
            </w:r>
          </w:p>
        </w:tc>
        <w:tc>
          <w:tcPr>
            <w:tcW w:w="993" w:type="dxa"/>
            <w:hideMark/>
          </w:tcPr>
          <w:p w14:paraId="2B8415EA" w14:textId="77777777" w:rsidR="00413D97" w:rsidRPr="0052720D" w:rsidRDefault="00413D97" w:rsidP="00D35442">
            <w:pPr>
              <w:pStyle w:val="NormalWeb"/>
              <w:jc w:val="center"/>
              <w:rPr>
                <w:sz w:val="18"/>
                <w:szCs w:val="18"/>
              </w:rPr>
            </w:pPr>
            <w:r w:rsidRPr="0052720D">
              <w:rPr>
                <w:sz w:val="18"/>
                <w:szCs w:val="18"/>
              </w:rPr>
              <w:t>3</w:t>
            </w:r>
          </w:p>
        </w:tc>
        <w:tc>
          <w:tcPr>
            <w:tcW w:w="1417" w:type="dxa"/>
            <w:hideMark/>
          </w:tcPr>
          <w:p w14:paraId="054970F4" w14:textId="77777777" w:rsidR="00413D97" w:rsidRPr="0052720D" w:rsidRDefault="00413D97" w:rsidP="00D35442">
            <w:pPr>
              <w:pStyle w:val="NormalWeb"/>
              <w:jc w:val="center"/>
              <w:rPr>
                <w:sz w:val="18"/>
                <w:szCs w:val="18"/>
              </w:rPr>
            </w:pPr>
            <w:r w:rsidRPr="0052720D">
              <w:rPr>
                <w:sz w:val="18"/>
                <w:szCs w:val="18"/>
              </w:rPr>
              <w:t>5.0 (1.0–25.0)</w:t>
            </w:r>
          </w:p>
        </w:tc>
        <w:tc>
          <w:tcPr>
            <w:tcW w:w="1252" w:type="dxa"/>
            <w:hideMark/>
          </w:tcPr>
          <w:p w14:paraId="6D7EE3EE" w14:textId="77777777" w:rsidR="00413D97" w:rsidRPr="0052720D" w:rsidRDefault="00413D97" w:rsidP="00D35442">
            <w:pPr>
              <w:pStyle w:val="NormalWeb"/>
              <w:jc w:val="center"/>
              <w:rPr>
                <w:sz w:val="18"/>
                <w:szCs w:val="18"/>
              </w:rPr>
            </w:pPr>
            <w:r w:rsidRPr="0052720D">
              <w:rPr>
                <w:sz w:val="18"/>
                <w:szCs w:val="18"/>
              </w:rPr>
              <w:t>10.3 (12.9)</w:t>
            </w:r>
          </w:p>
        </w:tc>
      </w:tr>
      <w:tr w:rsidR="00D35442" w:rsidRPr="0052720D" w14:paraId="2325E1B9" w14:textId="77777777" w:rsidTr="00D35442">
        <w:tc>
          <w:tcPr>
            <w:tcW w:w="2410" w:type="dxa"/>
            <w:hideMark/>
          </w:tcPr>
          <w:p w14:paraId="35B50632" w14:textId="77777777" w:rsidR="00413D97" w:rsidRPr="0052720D" w:rsidRDefault="00413D97">
            <w:pPr>
              <w:pStyle w:val="NormalWeb"/>
              <w:rPr>
                <w:sz w:val="18"/>
                <w:szCs w:val="18"/>
              </w:rPr>
            </w:pPr>
            <w:r w:rsidRPr="0052720D">
              <w:rPr>
                <w:sz w:val="18"/>
                <w:szCs w:val="18"/>
              </w:rPr>
              <w:t>18–39</w:t>
            </w:r>
          </w:p>
        </w:tc>
        <w:tc>
          <w:tcPr>
            <w:tcW w:w="992" w:type="dxa"/>
            <w:hideMark/>
          </w:tcPr>
          <w:p w14:paraId="7CBB8420" w14:textId="77777777" w:rsidR="00413D97" w:rsidRPr="0052720D" w:rsidRDefault="00413D97" w:rsidP="00D35442">
            <w:pPr>
              <w:pStyle w:val="NormalWeb"/>
              <w:jc w:val="center"/>
              <w:rPr>
                <w:sz w:val="18"/>
                <w:szCs w:val="18"/>
              </w:rPr>
            </w:pPr>
            <w:r w:rsidRPr="0052720D">
              <w:rPr>
                <w:sz w:val="18"/>
                <w:szCs w:val="18"/>
              </w:rPr>
              <w:t>18</w:t>
            </w:r>
          </w:p>
        </w:tc>
        <w:tc>
          <w:tcPr>
            <w:tcW w:w="1843" w:type="dxa"/>
            <w:hideMark/>
          </w:tcPr>
          <w:p w14:paraId="40C8C945" w14:textId="77777777" w:rsidR="00413D97" w:rsidRPr="0052720D" w:rsidRDefault="00413D97" w:rsidP="00D35442">
            <w:pPr>
              <w:pStyle w:val="NormalWeb"/>
              <w:jc w:val="center"/>
              <w:rPr>
                <w:sz w:val="18"/>
                <w:szCs w:val="18"/>
              </w:rPr>
            </w:pPr>
            <w:r w:rsidRPr="0052720D">
              <w:rPr>
                <w:sz w:val="18"/>
                <w:szCs w:val="18"/>
              </w:rPr>
              <w:t>5.0 (2.0–10.0)</w:t>
            </w:r>
          </w:p>
        </w:tc>
        <w:tc>
          <w:tcPr>
            <w:tcW w:w="1559" w:type="dxa"/>
            <w:hideMark/>
          </w:tcPr>
          <w:p w14:paraId="71DE2977" w14:textId="77777777" w:rsidR="00413D97" w:rsidRPr="0052720D" w:rsidRDefault="00413D97" w:rsidP="00D35442">
            <w:pPr>
              <w:pStyle w:val="NormalWeb"/>
              <w:jc w:val="center"/>
              <w:rPr>
                <w:sz w:val="18"/>
                <w:szCs w:val="18"/>
              </w:rPr>
            </w:pPr>
            <w:r w:rsidRPr="0052720D">
              <w:rPr>
                <w:sz w:val="18"/>
                <w:szCs w:val="18"/>
              </w:rPr>
              <w:t>6.7 (6.4)</w:t>
            </w:r>
          </w:p>
        </w:tc>
        <w:tc>
          <w:tcPr>
            <w:tcW w:w="993" w:type="dxa"/>
            <w:hideMark/>
          </w:tcPr>
          <w:p w14:paraId="72E9AC6B" w14:textId="77777777" w:rsidR="00413D97" w:rsidRPr="0052720D" w:rsidRDefault="00413D97" w:rsidP="00D35442">
            <w:pPr>
              <w:pStyle w:val="NormalWeb"/>
              <w:jc w:val="center"/>
              <w:rPr>
                <w:sz w:val="18"/>
                <w:szCs w:val="18"/>
              </w:rPr>
            </w:pPr>
            <w:r w:rsidRPr="0052720D">
              <w:rPr>
                <w:sz w:val="18"/>
                <w:szCs w:val="18"/>
              </w:rPr>
              <w:t>25</w:t>
            </w:r>
          </w:p>
        </w:tc>
        <w:tc>
          <w:tcPr>
            <w:tcW w:w="1417" w:type="dxa"/>
            <w:hideMark/>
          </w:tcPr>
          <w:p w14:paraId="09887E2F" w14:textId="77777777" w:rsidR="00413D97" w:rsidRPr="0052720D" w:rsidRDefault="00413D97" w:rsidP="00D35442">
            <w:pPr>
              <w:pStyle w:val="NormalWeb"/>
              <w:jc w:val="center"/>
              <w:rPr>
                <w:sz w:val="18"/>
                <w:szCs w:val="18"/>
              </w:rPr>
            </w:pPr>
            <w:r w:rsidRPr="0052720D">
              <w:rPr>
                <w:sz w:val="18"/>
                <w:szCs w:val="18"/>
              </w:rPr>
              <w:t>6.0 (5.0–11.0)</w:t>
            </w:r>
          </w:p>
        </w:tc>
        <w:tc>
          <w:tcPr>
            <w:tcW w:w="1252" w:type="dxa"/>
            <w:hideMark/>
          </w:tcPr>
          <w:p w14:paraId="545D878C" w14:textId="77777777" w:rsidR="00413D97" w:rsidRPr="0052720D" w:rsidRDefault="00413D97" w:rsidP="00D35442">
            <w:pPr>
              <w:pStyle w:val="NormalWeb"/>
              <w:jc w:val="center"/>
              <w:rPr>
                <w:sz w:val="18"/>
                <w:szCs w:val="18"/>
              </w:rPr>
            </w:pPr>
            <w:r w:rsidRPr="0052720D">
              <w:rPr>
                <w:sz w:val="18"/>
                <w:szCs w:val="18"/>
              </w:rPr>
              <w:t>11.4 (12.6)</w:t>
            </w:r>
          </w:p>
        </w:tc>
      </w:tr>
      <w:tr w:rsidR="00D35442" w:rsidRPr="0052720D" w14:paraId="08438FEA" w14:textId="77777777" w:rsidTr="00D35442">
        <w:trPr>
          <w:cnfStyle w:val="000000010000" w:firstRow="0" w:lastRow="0" w:firstColumn="0" w:lastColumn="0" w:oddVBand="0" w:evenVBand="0" w:oddHBand="0" w:evenHBand="1" w:firstRowFirstColumn="0" w:firstRowLastColumn="0" w:lastRowFirstColumn="0" w:lastRowLastColumn="0"/>
        </w:trPr>
        <w:tc>
          <w:tcPr>
            <w:tcW w:w="2410" w:type="dxa"/>
            <w:hideMark/>
          </w:tcPr>
          <w:p w14:paraId="7F514434" w14:textId="77777777" w:rsidR="00413D97" w:rsidRPr="0052720D" w:rsidRDefault="00413D97">
            <w:pPr>
              <w:pStyle w:val="NormalWeb"/>
              <w:rPr>
                <w:sz w:val="18"/>
                <w:szCs w:val="18"/>
              </w:rPr>
            </w:pPr>
            <w:r w:rsidRPr="0052720D">
              <w:rPr>
                <w:sz w:val="18"/>
                <w:szCs w:val="18"/>
              </w:rPr>
              <w:t>40–59</w:t>
            </w:r>
          </w:p>
        </w:tc>
        <w:tc>
          <w:tcPr>
            <w:tcW w:w="992" w:type="dxa"/>
            <w:hideMark/>
          </w:tcPr>
          <w:p w14:paraId="6BB28276" w14:textId="77777777" w:rsidR="00413D97" w:rsidRPr="0052720D" w:rsidRDefault="00413D97" w:rsidP="00D35442">
            <w:pPr>
              <w:pStyle w:val="NormalWeb"/>
              <w:jc w:val="center"/>
              <w:rPr>
                <w:sz w:val="18"/>
                <w:szCs w:val="18"/>
              </w:rPr>
            </w:pPr>
            <w:r w:rsidRPr="0052720D">
              <w:rPr>
                <w:sz w:val="18"/>
                <w:szCs w:val="18"/>
              </w:rPr>
              <w:t>38</w:t>
            </w:r>
          </w:p>
        </w:tc>
        <w:tc>
          <w:tcPr>
            <w:tcW w:w="1843" w:type="dxa"/>
            <w:hideMark/>
          </w:tcPr>
          <w:p w14:paraId="3A43E792" w14:textId="77777777" w:rsidR="00413D97" w:rsidRPr="0052720D" w:rsidRDefault="00413D97" w:rsidP="00D35442">
            <w:pPr>
              <w:pStyle w:val="NormalWeb"/>
              <w:jc w:val="center"/>
              <w:rPr>
                <w:sz w:val="18"/>
                <w:szCs w:val="18"/>
              </w:rPr>
            </w:pPr>
            <w:r w:rsidRPr="0052720D">
              <w:rPr>
                <w:sz w:val="18"/>
                <w:szCs w:val="18"/>
              </w:rPr>
              <w:t>5.0 (3.0–10.0)</w:t>
            </w:r>
          </w:p>
        </w:tc>
        <w:tc>
          <w:tcPr>
            <w:tcW w:w="1559" w:type="dxa"/>
            <w:hideMark/>
          </w:tcPr>
          <w:p w14:paraId="5A17ABDF" w14:textId="77777777" w:rsidR="00413D97" w:rsidRPr="0052720D" w:rsidRDefault="00413D97" w:rsidP="00D35442">
            <w:pPr>
              <w:pStyle w:val="NormalWeb"/>
              <w:jc w:val="center"/>
              <w:rPr>
                <w:sz w:val="18"/>
                <w:szCs w:val="18"/>
              </w:rPr>
            </w:pPr>
            <w:r w:rsidRPr="0052720D">
              <w:rPr>
                <w:sz w:val="18"/>
                <w:szCs w:val="18"/>
              </w:rPr>
              <w:t>8.1 (10.5)</w:t>
            </w:r>
          </w:p>
        </w:tc>
        <w:tc>
          <w:tcPr>
            <w:tcW w:w="993" w:type="dxa"/>
            <w:hideMark/>
          </w:tcPr>
          <w:p w14:paraId="59297010" w14:textId="77777777" w:rsidR="00413D97" w:rsidRPr="0052720D" w:rsidRDefault="00413D97" w:rsidP="00D35442">
            <w:pPr>
              <w:pStyle w:val="NormalWeb"/>
              <w:jc w:val="center"/>
              <w:rPr>
                <w:sz w:val="18"/>
                <w:szCs w:val="18"/>
              </w:rPr>
            </w:pPr>
            <w:r w:rsidRPr="0052720D">
              <w:rPr>
                <w:sz w:val="18"/>
                <w:szCs w:val="18"/>
              </w:rPr>
              <w:t>58</w:t>
            </w:r>
          </w:p>
        </w:tc>
        <w:tc>
          <w:tcPr>
            <w:tcW w:w="1417" w:type="dxa"/>
            <w:hideMark/>
          </w:tcPr>
          <w:p w14:paraId="25BCFECA" w14:textId="77777777" w:rsidR="00413D97" w:rsidRPr="0052720D" w:rsidRDefault="00413D97" w:rsidP="00D35442">
            <w:pPr>
              <w:pStyle w:val="NormalWeb"/>
              <w:jc w:val="center"/>
              <w:rPr>
                <w:sz w:val="18"/>
                <w:szCs w:val="18"/>
              </w:rPr>
            </w:pPr>
            <w:r w:rsidRPr="0052720D">
              <w:rPr>
                <w:sz w:val="18"/>
                <w:szCs w:val="18"/>
              </w:rPr>
              <w:t>12.5 (9.0–25.0)</w:t>
            </w:r>
          </w:p>
        </w:tc>
        <w:tc>
          <w:tcPr>
            <w:tcW w:w="1252" w:type="dxa"/>
            <w:hideMark/>
          </w:tcPr>
          <w:p w14:paraId="5E875137" w14:textId="77777777" w:rsidR="00413D97" w:rsidRPr="0052720D" w:rsidRDefault="00413D97" w:rsidP="00D35442">
            <w:pPr>
              <w:pStyle w:val="NormalWeb"/>
              <w:jc w:val="center"/>
              <w:rPr>
                <w:sz w:val="18"/>
                <w:szCs w:val="18"/>
              </w:rPr>
            </w:pPr>
            <w:r w:rsidRPr="0052720D">
              <w:rPr>
                <w:sz w:val="18"/>
                <w:szCs w:val="18"/>
              </w:rPr>
              <w:t>20.1 (17.6)</w:t>
            </w:r>
          </w:p>
        </w:tc>
      </w:tr>
      <w:tr w:rsidR="00D35442" w:rsidRPr="0052720D" w14:paraId="4C95A6C7" w14:textId="77777777" w:rsidTr="00D35442">
        <w:tc>
          <w:tcPr>
            <w:tcW w:w="2410" w:type="dxa"/>
            <w:hideMark/>
          </w:tcPr>
          <w:p w14:paraId="22F4AAD3" w14:textId="77777777" w:rsidR="00413D97" w:rsidRPr="0052720D" w:rsidRDefault="00413D97">
            <w:pPr>
              <w:pStyle w:val="NormalWeb"/>
              <w:rPr>
                <w:sz w:val="18"/>
                <w:szCs w:val="18"/>
              </w:rPr>
            </w:pPr>
            <w:r w:rsidRPr="0052720D">
              <w:rPr>
                <w:sz w:val="18"/>
                <w:szCs w:val="18"/>
              </w:rPr>
              <w:t>60–79</w:t>
            </w:r>
          </w:p>
        </w:tc>
        <w:tc>
          <w:tcPr>
            <w:tcW w:w="992" w:type="dxa"/>
            <w:hideMark/>
          </w:tcPr>
          <w:p w14:paraId="1F4A1794" w14:textId="77777777" w:rsidR="00413D97" w:rsidRPr="0052720D" w:rsidRDefault="00413D97" w:rsidP="00D35442">
            <w:pPr>
              <w:pStyle w:val="NormalWeb"/>
              <w:jc w:val="center"/>
              <w:rPr>
                <w:sz w:val="18"/>
                <w:szCs w:val="18"/>
              </w:rPr>
            </w:pPr>
            <w:r w:rsidRPr="0052720D">
              <w:rPr>
                <w:sz w:val="18"/>
                <w:szCs w:val="18"/>
              </w:rPr>
              <w:t>38</w:t>
            </w:r>
          </w:p>
        </w:tc>
        <w:tc>
          <w:tcPr>
            <w:tcW w:w="1843" w:type="dxa"/>
            <w:hideMark/>
          </w:tcPr>
          <w:p w14:paraId="787741B5" w14:textId="77777777" w:rsidR="00413D97" w:rsidRPr="0052720D" w:rsidRDefault="00413D97" w:rsidP="00D35442">
            <w:pPr>
              <w:pStyle w:val="NormalWeb"/>
              <w:jc w:val="center"/>
              <w:rPr>
                <w:sz w:val="18"/>
                <w:szCs w:val="18"/>
              </w:rPr>
            </w:pPr>
            <w:r w:rsidRPr="0052720D">
              <w:rPr>
                <w:sz w:val="18"/>
                <w:szCs w:val="18"/>
              </w:rPr>
              <w:t>7.5 (3.0–15.0)</w:t>
            </w:r>
          </w:p>
        </w:tc>
        <w:tc>
          <w:tcPr>
            <w:tcW w:w="1559" w:type="dxa"/>
            <w:hideMark/>
          </w:tcPr>
          <w:p w14:paraId="1220BEC2" w14:textId="77777777" w:rsidR="00413D97" w:rsidRPr="0052720D" w:rsidRDefault="00413D97" w:rsidP="00D35442">
            <w:pPr>
              <w:pStyle w:val="NormalWeb"/>
              <w:jc w:val="center"/>
              <w:rPr>
                <w:sz w:val="18"/>
                <w:szCs w:val="18"/>
              </w:rPr>
            </w:pPr>
            <w:r w:rsidRPr="0052720D">
              <w:rPr>
                <w:sz w:val="18"/>
                <w:szCs w:val="18"/>
              </w:rPr>
              <w:t>10.2 (8.7)</w:t>
            </w:r>
          </w:p>
        </w:tc>
        <w:tc>
          <w:tcPr>
            <w:tcW w:w="993" w:type="dxa"/>
            <w:hideMark/>
          </w:tcPr>
          <w:p w14:paraId="0D42D1A6" w14:textId="77777777" w:rsidR="00413D97" w:rsidRPr="0052720D" w:rsidRDefault="00413D97" w:rsidP="00D35442">
            <w:pPr>
              <w:pStyle w:val="NormalWeb"/>
              <w:jc w:val="center"/>
              <w:rPr>
                <w:sz w:val="18"/>
                <w:szCs w:val="18"/>
              </w:rPr>
            </w:pPr>
            <w:r w:rsidRPr="0052720D">
              <w:rPr>
                <w:sz w:val="18"/>
                <w:szCs w:val="18"/>
              </w:rPr>
              <w:t>100</w:t>
            </w:r>
          </w:p>
        </w:tc>
        <w:tc>
          <w:tcPr>
            <w:tcW w:w="1417" w:type="dxa"/>
            <w:hideMark/>
          </w:tcPr>
          <w:p w14:paraId="5771977C" w14:textId="77777777" w:rsidR="00413D97" w:rsidRPr="0052720D" w:rsidRDefault="00413D97" w:rsidP="00D35442">
            <w:pPr>
              <w:pStyle w:val="NormalWeb"/>
              <w:jc w:val="center"/>
              <w:rPr>
                <w:sz w:val="18"/>
                <w:szCs w:val="18"/>
              </w:rPr>
            </w:pPr>
            <w:r w:rsidRPr="0052720D">
              <w:rPr>
                <w:sz w:val="18"/>
                <w:szCs w:val="18"/>
              </w:rPr>
              <w:t>21.0 (11.5–34.0)</w:t>
            </w:r>
          </w:p>
        </w:tc>
        <w:tc>
          <w:tcPr>
            <w:tcW w:w="1252" w:type="dxa"/>
            <w:hideMark/>
          </w:tcPr>
          <w:p w14:paraId="3BCD4325" w14:textId="77777777" w:rsidR="00413D97" w:rsidRPr="0052720D" w:rsidRDefault="00413D97" w:rsidP="00D35442">
            <w:pPr>
              <w:pStyle w:val="NormalWeb"/>
              <w:jc w:val="center"/>
              <w:rPr>
                <w:sz w:val="18"/>
                <w:szCs w:val="18"/>
              </w:rPr>
            </w:pPr>
            <w:r w:rsidRPr="0052720D">
              <w:rPr>
                <w:sz w:val="18"/>
                <w:szCs w:val="18"/>
              </w:rPr>
              <w:t>24.6 (16.9)</w:t>
            </w:r>
          </w:p>
        </w:tc>
      </w:tr>
      <w:tr w:rsidR="00D35442" w:rsidRPr="0052720D" w14:paraId="4BF54DBA" w14:textId="77777777" w:rsidTr="00D35442">
        <w:trPr>
          <w:cnfStyle w:val="000000010000" w:firstRow="0" w:lastRow="0" w:firstColumn="0" w:lastColumn="0" w:oddVBand="0" w:evenVBand="0" w:oddHBand="0" w:evenHBand="1" w:firstRowFirstColumn="0" w:firstRowLastColumn="0" w:lastRowFirstColumn="0" w:lastRowLastColumn="0"/>
        </w:trPr>
        <w:tc>
          <w:tcPr>
            <w:tcW w:w="2410" w:type="dxa"/>
            <w:hideMark/>
          </w:tcPr>
          <w:p w14:paraId="242BECF2" w14:textId="77777777" w:rsidR="00413D97" w:rsidRPr="0052720D" w:rsidRDefault="00413D97">
            <w:pPr>
              <w:pStyle w:val="NormalWeb"/>
              <w:rPr>
                <w:sz w:val="18"/>
                <w:szCs w:val="18"/>
              </w:rPr>
            </w:pPr>
            <w:r w:rsidRPr="0052720D">
              <w:rPr>
                <w:sz w:val="18"/>
                <w:szCs w:val="18"/>
              </w:rPr>
              <w:t>80 and over</w:t>
            </w:r>
          </w:p>
        </w:tc>
        <w:tc>
          <w:tcPr>
            <w:tcW w:w="992" w:type="dxa"/>
            <w:hideMark/>
          </w:tcPr>
          <w:p w14:paraId="442DD2C9" w14:textId="77777777" w:rsidR="00413D97" w:rsidRPr="0052720D" w:rsidRDefault="00413D97" w:rsidP="00D35442">
            <w:pPr>
              <w:pStyle w:val="NormalWeb"/>
              <w:jc w:val="center"/>
              <w:rPr>
                <w:sz w:val="18"/>
                <w:szCs w:val="18"/>
              </w:rPr>
            </w:pPr>
            <w:r w:rsidRPr="0052720D">
              <w:rPr>
                <w:sz w:val="18"/>
                <w:szCs w:val="18"/>
              </w:rPr>
              <w:t>6</w:t>
            </w:r>
          </w:p>
        </w:tc>
        <w:tc>
          <w:tcPr>
            <w:tcW w:w="1843" w:type="dxa"/>
            <w:hideMark/>
          </w:tcPr>
          <w:p w14:paraId="2CFC3ED0" w14:textId="77777777" w:rsidR="00413D97" w:rsidRPr="0052720D" w:rsidRDefault="00413D97" w:rsidP="00D35442">
            <w:pPr>
              <w:pStyle w:val="NormalWeb"/>
              <w:jc w:val="center"/>
              <w:rPr>
                <w:sz w:val="18"/>
                <w:szCs w:val="18"/>
              </w:rPr>
            </w:pPr>
            <w:r w:rsidRPr="0052720D">
              <w:rPr>
                <w:sz w:val="18"/>
                <w:szCs w:val="18"/>
              </w:rPr>
              <w:t>8.0 (4.0–10.0)</w:t>
            </w:r>
          </w:p>
        </w:tc>
        <w:tc>
          <w:tcPr>
            <w:tcW w:w="1559" w:type="dxa"/>
            <w:hideMark/>
          </w:tcPr>
          <w:p w14:paraId="64028A93" w14:textId="77777777" w:rsidR="00413D97" w:rsidRPr="0052720D" w:rsidRDefault="00413D97" w:rsidP="00D35442">
            <w:pPr>
              <w:pStyle w:val="NormalWeb"/>
              <w:jc w:val="center"/>
              <w:rPr>
                <w:sz w:val="18"/>
                <w:szCs w:val="18"/>
              </w:rPr>
            </w:pPr>
            <w:r w:rsidRPr="0052720D">
              <w:rPr>
                <w:sz w:val="18"/>
                <w:szCs w:val="18"/>
              </w:rPr>
              <w:t>9.7 (9.1)</w:t>
            </w:r>
          </w:p>
        </w:tc>
        <w:tc>
          <w:tcPr>
            <w:tcW w:w="993" w:type="dxa"/>
            <w:hideMark/>
          </w:tcPr>
          <w:p w14:paraId="508B2183" w14:textId="77777777" w:rsidR="00413D97" w:rsidRPr="0052720D" w:rsidRDefault="00413D97" w:rsidP="00D35442">
            <w:pPr>
              <w:pStyle w:val="NormalWeb"/>
              <w:jc w:val="center"/>
              <w:rPr>
                <w:sz w:val="18"/>
                <w:szCs w:val="18"/>
              </w:rPr>
            </w:pPr>
            <w:r w:rsidRPr="0052720D">
              <w:rPr>
                <w:sz w:val="18"/>
                <w:szCs w:val="18"/>
              </w:rPr>
              <w:t>3</w:t>
            </w:r>
          </w:p>
        </w:tc>
        <w:tc>
          <w:tcPr>
            <w:tcW w:w="1417" w:type="dxa"/>
            <w:hideMark/>
          </w:tcPr>
          <w:p w14:paraId="04917EF4" w14:textId="77777777" w:rsidR="00413D97" w:rsidRPr="0052720D" w:rsidRDefault="00413D97" w:rsidP="00D35442">
            <w:pPr>
              <w:pStyle w:val="NormalWeb"/>
              <w:jc w:val="center"/>
              <w:rPr>
                <w:sz w:val="18"/>
                <w:szCs w:val="18"/>
              </w:rPr>
            </w:pPr>
            <w:r w:rsidRPr="0052720D">
              <w:rPr>
                <w:sz w:val="18"/>
                <w:szCs w:val="18"/>
              </w:rPr>
              <w:t>15.0 (13.0–18.0)</w:t>
            </w:r>
          </w:p>
        </w:tc>
        <w:tc>
          <w:tcPr>
            <w:tcW w:w="1252" w:type="dxa"/>
            <w:hideMark/>
          </w:tcPr>
          <w:p w14:paraId="5CBFFA61" w14:textId="77777777" w:rsidR="00413D97" w:rsidRPr="0052720D" w:rsidRDefault="00413D97" w:rsidP="00D35442">
            <w:pPr>
              <w:pStyle w:val="NormalWeb"/>
              <w:jc w:val="center"/>
              <w:rPr>
                <w:sz w:val="18"/>
                <w:szCs w:val="18"/>
              </w:rPr>
            </w:pPr>
            <w:r w:rsidRPr="0052720D">
              <w:rPr>
                <w:sz w:val="18"/>
                <w:szCs w:val="18"/>
              </w:rPr>
              <w:t>15.3 (2.5)</w:t>
            </w:r>
          </w:p>
        </w:tc>
      </w:tr>
      <w:tr w:rsidR="00D35442" w:rsidRPr="00D35442" w14:paraId="4767193B" w14:textId="77777777" w:rsidTr="00D35442">
        <w:tc>
          <w:tcPr>
            <w:tcW w:w="2410" w:type="dxa"/>
            <w:shd w:val="clear" w:color="auto" w:fill="FDE9D9" w:themeFill="accent6" w:themeFillTint="33"/>
            <w:hideMark/>
          </w:tcPr>
          <w:p w14:paraId="1CB3C764" w14:textId="77777777" w:rsidR="00413D97" w:rsidRPr="00D35442" w:rsidRDefault="00413D97">
            <w:pPr>
              <w:pStyle w:val="NormalWeb"/>
              <w:rPr>
                <w:b/>
                <w:sz w:val="18"/>
                <w:szCs w:val="18"/>
              </w:rPr>
            </w:pPr>
            <w:r w:rsidRPr="00D35442">
              <w:rPr>
                <w:b/>
                <w:sz w:val="18"/>
                <w:szCs w:val="18"/>
              </w:rPr>
              <w:t>Total</w:t>
            </w:r>
          </w:p>
        </w:tc>
        <w:tc>
          <w:tcPr>
            <w:tcW w:w="992" w:type="dxa"/>
            <w:shd w:val="clear" w:color="auto" w:fill="FDE9D9" w:themeFill="accent6" w:themeFillTint="33"/>
            <w:hideMark/>
          </w:tcPr>
          <w:p w14:paraId="37F5139B" w14:textId="77777777" w:rsidR="00413D97" w:rsidRPr="00D35442" w:rsidRDefault="00413D97" w:rsidP="00D35442">
            <w:pPr>
              <w:pStyle w:val="NormalWeb"/>
              <w:jc w:val="center"/>
              <w:rPr>
                <w:b/>
                <w:sz w:val="18"/>
                <w:szCs w:val="18"/>
              </w:rPr>
            </w:pPr>
            <w:r w:rsidRPr="00D35442">
              <w:rPr>
                <w:b/>
                <w:sz w:val="18"/>
                <w:szCs w:val="18"/>
              </w:rPr>
              <w:t>122</w:t>
            </w:r>
          </w:p>
        </w:tc>
        <w:tc>
          <w:tcPr>
            <w:tcW w:w="1843" w:type="dxa"/>
            <w:shd w:val="clear" w:color="auto" w:fill="FDE9D9" w:themeFill="accent6" w:themeFillTint="33"/>
            <w:hideMark/>
          </w:tcPr>
          <w:p w14:paraId="4FFDF7B3" w14:textId="77777777" w:rsidR="00413D97" w:rsidRPr="00D35442" w:rsidRDefault="00413D97" w:rsidP="00D35442">
            <w:pPr>
              <w:pStyle w:val="NormalWeb"/>
              <w:jc w:val="center"/>
              <w:rPr>
                <w:b/>
                <w:sz w:val="18"/>
                <w:szCs w:val="18"/>
              </w:rPr>
            </w:pPr>
            <w:r w:rsidRPr="00D35442">
              <w:rPr>
                <w:b/>
                <w:sz w:val="18"/>
                <w:szCs w:val="18"/>
              </w:rPr>
              <w:t>6.0 (2.0–11.0)</w:t>
            </w:r>
          </w:p>
        </w:tc>
        <w:tc>
          <w:tcPr>
            <w:tcW w:w="1559" w:type="dxa"/>
            <w:shd w:val="clear" w:color="auto" w:fill="FDE9D9" w:themeFill="accent6" w:themeFillTint="33"/>
            <w:hideMark/>
          </w:tcPr>
          <w:p w14:paraId="5D14786D" w14:textId="77777777" w:rsidR="00413D97" w:rsidRPr="00D35442" w:rsidRDefault="00413D97" w:rsidP="00D35442">
            <w:pPr>
              <w:pStyle w:val="NormalWeb"/>
              <w:jc w:val="center"/>
              <w:rPr>
                <w:b/>
                <w:sz w:val="18"/>
                <w:szCs w:val="18"/>
              </w:rPr>
            </w:pPr>
            <w:r w:rsidRPr="00D35442">
              <w:rPr>
                <w:b/>
                <w:sz w:val="18"/>
                <w:szCs w:val="18"/>
              </w:rPr>
              <w:t>8.1 (8.6)</w:t>
            </w:r>
          </w:p>
        </w:tc>
        <w:tc>
          <w:tcPr>
            <w:tcW w:w="993" w:type="dxa"/>
            <w:shd w:val="clear" w:color="auto" w:fill="FDE9D9" w:themeFill="accent6" w:themeFillTint="33"/>
            <w:hideMark/>
          </w:tcPr>
          <w:p w14:paraId="755CC4BD" w14:textId="77777777" w:rsidR="00413D97" w:rsidRPr="00D35442" w:rsidRDefault="00413D97" w:rsidP="00D35442">
            <w:pPr>
              <w:pStyle w:val="NormalWeb"/>
              <w:jc w:val="center"/>
              <w:rPr>
                <w:b/>
                <w:sz w:val="18"/>
                <w:szCs w:val="18"/>
              </w:rPr>
            </w:pPr>
            <w:r w:rsidRPr="00D35442">
              <w:rPr>
                <w:b/>
                <w:sz w:val="18"/>
                <w:szCs w:val="18"/>
              </w:rPr>
              <w:t>189</w:t>
            </w:r>
          </w:p>
        </w:tc>
        <w:tc>
          <w:tcPr>
            <w:tcW w:w="1417" w:type="dxa"/>
            <w:shd w:val="clear" w:color="auto" w:fill="FDE9D9" w:themeFill="accent6" w:themeFillTint="33"/>
            <w:hideMark/>
          </w:tcPr>
          <w:p w14:paraId="02F46A05" w14:textId="77777777" w:rsidR="00413D97" w:rsidRPr="00D35442" w:rsidRDefault="00413D97" w:rsidP="00D35442">
            <w:pPr>
              <w:pStyle w:val="NormalWeb"/>
              <w:jc w:val="center"/>
              <w:rPr>
                <w:b/>
                <w:sz w:val="18"/>
                <w:szCs w:val="18"/>
              </w:rPr>
            </w:pPr>
            <w:r w:rsidRPr="00D35442">
              <w:rPr>
                <w:b/>
                <w:sz w:val="18"/>
                <w:szCs w:val="18"/>
              </w:rPr>
              <w:t>17.0 (8.0–29.0)</w:t>
            </w:r>
          </w:p>
        </w:tc>
        <w:tc>
          <w:tcPr>
            <w:tcW w:w="1252" w:type="dxa"/>
            <w:shd w:val="clear" w:color="auto" w:fill="FDE9D9" w:themeFill="accent6" w:themeFillTint="33"/>
            <w:hideMark/>
          </w:tcPr>
          <w:p w14:paraId="7593EFE5" w14:textId="77777777" w:rsidR="00413D97" w:rsidRPr="00D35442" w:rsidRDefault="00413D97" w:rsidP="00D35442">
            <w:pPr>
              <w:pStyle w:val="NormalWeb"/>
              <w:jc w:val="center"/>
              <w:rPr>
                <w:b/>
                <w:sz w:val="18"/>
                <w:szCs w:val="18"/>
              </w:rPr>
            </w:pPr>
            <w:r w:rsidRPr="00D35442">
              <w:rPr>
                <w:b/>
                <w:sz w:val="18"/>
                <w:szCs w:val="18"/>
              </w:rPr>
              <w:t>21.1 (17.0)</w:t>
            </w:r>
          </w:p>
        </w:tc>
      </w:tr>
    </w:tbl>
    <w:p w14:paraId="593FD2B6" w14:textId="77777777" w:rsidR="00413D97" w:rsidRDefault="00413D97" w:rsidP="00202248">
      <w:pPr>
        <w:pStyle w:val="CDIfootnotes"/>
      </w:pPr>
      <w:r>
        <w:t>a</w:t>
      </w:r>
      <w:r>
        <w:tab/>
        <w:t>Source: FluCAN, excludes patients admitted to ICU.</w:t>
      </w:r>
    </w:p>
    <w:p w14:paraId="008367A3" w14:textId="77777777" w:rsidR="00413D97" w:rsidRDefault="00413D97" w:rsidP="00202248">
      <w:pPr>
        <w:pStyle w:val="CDIfootnotes"/>
      </w:pPr>
      <w:r>
        <w:t>b</w:t>
      </w:r>
      <w:r>
        <w:tab/>
        <w:t>Source: Sprint-Sari.</w:t>
      </w:r>
    </w:p>
    <w:p w14:paraId="4C2B91AF" w14:textId="77777777" w:rsidR="00413D97" w:rsidRDefault="00413D97">
      <w:pPr>
        <w:pStyle w:val="NormalWeb"/>
      </w:pPr>
      <w:r>
        <w:t>The ICU length of stay for COVID-19 patients in Australian data for survivors had a median age of 7 days (IQR: 3–17 days); non-survivors stayed for a median of 8 days (IQR: 4–13 days). This is longer than reported in the United Kingdom, for which the median values were 4 days (IQR: 2–8 days) in survivors and 6 days (IQR: 3–9 days) in non-survivors.</w:t>
      </w:r>
      <w:r>
        <w:rPr>
          <w:vertAlign w:val="superscript"/>
        </w:rPr>
        <w:t>9</w:t>
      </w:r>
      <w:r>
        <w:rPr>
          <w:rStyle w:val="Strong"/>
        </w:rPr>
        <w:t xml:space="preserve"> </w:t>
      </w:r>
    </w:p>
    <w:p w14:paraId="3E80CCA1" w14:textId="77777777" w:rsidR="00413D97" w:rsidRDefault="00413D97">
      <w:pPr>
        <w:pStyle w:val="Heading1"/>
        <w:rPr>
          <w:rFonts w:eastAsia="Times New Roman"/>
        </w:rPr>
      </w:pPr>
      <w:r>
        <w:rPr>
          <w:rFonts w:eastAsia="Times New Roman"/>
        </w:rPr>
        <w:t xml:space="preserve">Characteristics of those with severe infection </w:t>
      </w:r>
    </w:p>
    <w:p w14:paraId="6E370A90" w14:textId="77777777" w:rsidR="00413D97" w:rsidRDefault="00413D97">
      <w:pPr>
        <w:pStyle w:val="NormalWeb"/>
      </w:pPr>
      <w:r>
        <w:t>Higher disease severity, as indicated by hospitalisation, admission to ICU, and death, has been associated with increased age and comorbidities.</w:t>
      </w:r>
      <w:r>
        <w:rPr>
          <w:vertAlign w:val="superscript"/>
        </w:rPr>
        <w:t>5</w:t>
      </w:r>
      <w:r>
        <w:t xml:space="preserve"> The median age for cases who have been hospitalised in sentinel sites (57 years; IQR: 38.3–71.2), admitted to ICU (62 years; IQR: 51.0-70.5) and died (82.0 years; IQR: 76.0–89.0) are higher than for cases overall (38.0 years; IQR 25.0–57.0). The ratio of males to</w:t>
      </w:r>
      <w:r>
        <w:rPr>
          <w:rStyle w:val="Strong"/>
        </w:rPr>
        <w:t xml:space="preserve"> </w:t>
      </w:r>
      <w:r>
        <w:t>females is similar among hospitalised cases (1.1:1); however, more males than females have been admitted to ICUs (1.8:1). The sex ratio also increases as age-group increases amongst both general hospitalised and those admitted to ICU (Figure 9). The highest number of deaths have occurred in those aged &gt; 80 years for both males and females.</w:t>
      </w:r>
    </w:p>
    <w:p w14:paraId="509D1A7E" w14:textId="77777777" w:rsidR="00FC3AA0" w:rsidRDefault="00FC3AA0" w:rsidP="00FC3AA0">
      <w:pPr>
        <w:pStyle w:val="CDIFigures"/>
        <w:sectPr w:rsidR="00FC3AA0" w:rsidSect="00A30C37">
          <w:footnotePr>
            <w:numFmt w:val="lowerRoman"/>
          </w:footnotePr>
          <w:pgSz w:w="11906" w:h="16838"/>
          <w:pgMar w:top="720" w:right="720" w:bottom="1134" w:left="720" w:header="709" w:footer="284" w:gutter="0"/>
          <w:cols w:space="708"/>
          <w:titlePg/>
          <w:docGrid w:linePitch="360"/>
        </w:sectPr>
      </w:pPr>
    </w:p>
    <w:p w14:paraId="360E2812" w14:textId="77777777" w:rsidR="00413D97" w:rsidRDefault="00413D97" w:rsidP="00FC3AA0">
      <w:pPr>
        <w:pStyle w:val="CDIFigures"/>
      </w:pPr>
      <w:r>
        <w:lastRenderedPageBreak/>
        <w:t>Figure 9: Age and gender distribution for COVID-19 cases by severity: hospitalised, ICU and deaths, Australia, as at 2 August 2020</w:t>
      </w:r>
    </w:p>
    <w:p w14:paraId="5823FB47" w14:textId="77777777" w:rsidR="00413D97" w:rsidRDefault="00413D97" w:rsidP="00FC3AA0">
      <w:pPr>
        <w:pStyle w:val="NormalWeb"/>
        <w:jc w:val="center"/>
      </w:pPr>
      <w:r>
        <w:rPr>
          <w:noProof/>
        </w:rPr>
        <w:drawing>
          <wp:inline distT="0" distB="0" distL="0" distR="0" wp14:anchorId="0959D2FE" wp14:editId="1D314455">
            <wp:extent cx="4572009" cy="2880366"/>
            <wp:effectExtent l="0" t="0" r="0" b="0"/>
            <wp:docPr id="9" name="Picture 9" descr="A chart showing the age and gender distribution of hospitalised cases, cases admitted to ICU, and deaths. The largest proportions of hospitalised cases are aged 60–79, followed by 40–59, and more frequently male than female, a pattern seen also in ICU cases. Deaths are dominated by those aged 80 and over, and in this age range the numbers of males and females are almost identical, though deaths in younger age groups are dominated by males." title="Age and gender distribution for COVID-19 cases by severity: hospitalised, ICU and deaths, Australia, as at 2 August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chart showing the age and gender distribution of hospitalised cases, cases admitted to ICU, and deaths. The largest proportions of hospitalised cases are aged 60–79, followed by 40–59, and more frequently male than female, a pattern seen also in ICU cases. Deaths are dominated by those aged 80 and over, and in this age range the numbers of males and females are almost identical, though deaths in younger age groups are dominated by males."/>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572009" cy="2880366"/>
                    </a:xfrm>
                    <a:prstGeom prst="rect">
                      <a:avLst/>
                    </a:prstGeom>
                  </pic:spPr>
                </pic:pic>
              </a:graphicData>
            </a:graphic>
          </wp:inline>
        </w:drawing>
      </w:r>
      <w:r>
        <w:rPr>
          <w:noProof/>
        </w:rPr>
        <w:drawing>
          <wp:inline distT="0" distB="0" distL="0" distR="0" wp14:anchorId="560016F7" wp14:editId="1707B180">
            <wp:extent cx="4575057" cy="2971806"/>
            <wp:effectExtent l="0" t="0" r="0" b="0"/>
            <wp:docPr id="10" name="Picture 10" descr="A chart showing the age and gender distribution of hospitalised cases, cases admitted to ICU, and deaths. The largest proportions of hospitalised cases are aged 60–79, followed by 40–59, and more frequently male than female, a pattern seen also in ICU cases. Deaths are dominated by those aged 80 and over, and in this age range the numbers of males and females are almost identical, though deaths in younger age groups are dominated by m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Staging\CDESS\ZoFE\CDI\Desktopping\OpenCDI\2020\57-49-COVID-19 report 22\MS-Word output\figures_and_tables-web-resources\image\figures4.pn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4575057" cy="2971806"/>
                    </a:xfrm>
                    <a:prstGeom prst="rect">
                      <a:avLst/>
                    </a:prstGeom>
                  </pic:spPr>
                </pic:pic>
              </a:graphicData>
            </a:graphic>
          </wp:inline>
        </w:drawing>
      </w:r>
      <w:r>
        <w:rPr>
          <w:noProof/>
        </w:rPr>
        <w:drawing>
          <wp:inline distT="0" distB="0" distL="0" distR="0" wp14:anchorId="5C7DE083" wp14:editId="54713B95">
            <wp:extent cx="4568961" cy="2926086"/>
            <wp:effectExtent l="0" t="0" r="3175" b="7620"/>
            <wp:docPr id="11" name="Picture 11" descr="A chart showing the age and gender distribution of hospitalised cases, cases admitted to ICU, and deaths. The largest proportions of hospitalised cases are aged 60–79, followed by 40–59, and more frequently male than female, a pattern seen also in ICU cases. Deaths are dominated by those aged 80 and over, and in this age range the numbers of males and females are almost identical, though deaths in younger age groups are dominated by m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Staging\CDESS\ZoFE\CDI\Desktopping\OpenCDI\2020\57-49-COVID-19 report 22\MS-Word output\figures_and_tables-web-resources\image\figures5.pn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4568961" cy="2926086"/>
                    </a:xfrm>
                    <a:prstGeom prst="rect">
                      <a:avLst/>
                    </a:prstGeom>
                  </pic:spPr>
                </pic:pic>
              </a:graphicData>
            </a:graphic>
          </wp:inline>
        </w:drawing>
      </w:r>
    </w:p>
    <w:p w14:paraId="776BAA3B" w14:textId="77777777" w:rsidR="00413D97" w:rsidRDefault="00413D97" w:rsidP="009E3932">
      <w:pPr>
        <w:pStyle w:val="CDIFigures"/>
      </w:pPr>
      <w:r>
        <w:lastRenderedPageBreak/>
        <w:t xml:space="preserve">Table 7: Comorbidities amongst COVID-19 cases hospitalised, admitted to ICU and deaths (number of cases, proportion of cases), Australia, as at 2 August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7 lists the prevalence of various reported comorbidities among hospitalised cases (general ward), cases admitted to ICU and deaths. The most widely-reported comorbidities among general ward cases are chronic respiratory condition (including asthma) and diabetes, followed by cardiac disease; these comorbidities are also among the most widely-reported comorbidities among ICU cases and non-survivors. A correlation is also evident between disease severity and the number of comorbidities associated with cases."/>
      </w:tblPr>
      <w:tblGrid>
        <w:gridCol w:w="2616"/>
        <w:gridCol w:w="2617"/>
        <w:gridCol w:w="2616"/>
        <w:gridCol w:w="2617"/>
      </w:tblGrid>
      <w:tr w:rsidR="00413D97" w:rsidRPr="006B0163" w14:paraId="5F046C45" w14:textId="77777777" w:rsidTr="00A47C14">
        <w:trPr>
          <w:cnfStyle w:val="100000000000" w:firstRow="1" w:lastRow="0" w:firstColumn="0" w:lastColumn="0" w:oddVBand="0" w:evenVBand="0" w:oddHBand="0" w:evenHBand="0" w:firstRowFirstColumn="0" w:firstRowLastColumn="0" w:lastRowFirstColumn="0" w:lastRowLastColumn="0"/>
          <w:tblHeader/>
        </w:trPr>
        <w:tc>
          <w:tcPr>
            <w:tcW w:w="2616" w:type="dxa"/>
            <w:tcBorders>
              <w:right w:val="single" w:sz="2" w:space="0" w:color="FFFFFF" w:themeColor="background1"/>
            </w:tcBorders>
            <w:hideMark/>
          </w:tcPr>
          <w:p w14:paraId="786E98A9" w14:textId="77777777" w:rsidR="00413D97" w:rsidRPr="006B0163" w:rsidRDefault="00413D97">
            <w:pPr>
              <w:pStyle w:val="NormalWeb"/>
              <w:rPr>
                <w:color w:val="FFFFFF" w:themeColor="background1"/>
                <w:sz w:val="18"/>
                <w:szCs w:val="18"/>
              </w:rPr>
            </w:pPr>
            <w:r w:rsidRPr="006B0163">
              <w:rPr>
                <w:color w:val="FFFFFF" w:themeColor="background1"/>
                <w:sz w:val="18"/>
                <w:szCs w:val="18"/>
              </w:rPr>
              <w:t>Comorbidity</w:t>
            </w:r>
          </w:p>
        </w:tc>
        <w:tc>
          <w:tcPr>
            <w:tcW w:w="2617" w:type="dxa"/>
            <w:tcBorders>
              <w:left w:val="single" w:sz="2" w:space="0" w:color="FFFFFF" w:themeColor="background1"/>
              <w:right w:val="single" w:sz="2" w:space="0" w:color="FFFFFF" w:themeColor="background1"/>
            </w:tcBorders>
            <w:hideMark/>
          </w:tcPr>
          <w:p w14:paraId="45E375B8" w14:textId="77777777" w:rsidR="00413D97" w:rsidRPr="006B0163" w:rsidRDefault="00413D97" w:rsidP="006B0163">
            <w:pPr>
              <w:pStyle w:val="NormalWeb"/>
              <w:jc w:val="center"/>
              <w:rPr>
                <w:color w:val="FFFFFF" w:themeColor="background1"/>
                <w:sz w:val="18"/>
                <w:szCs w:val="18"/>
              </w:rPr>
            </w:pPr>
            <w:r w:rsidRPr="006B0163">
              <w:rPr>
                <w:color w:val="FFFFFF" w:themeColor="background1"/>
                <w:sz w:val="18"/>
                <w:szCs w:val="18"/>
              </w:rPr>
              <w:t xml:space="preserve">Hospitalised </w:t>
            </w:r>
            <w:proofErr w:type="spellStart"/>
            <w:r w:rsidRPr="006B0163">
              <w:rPr>
                <w:color w:val="FFFFFF" w:themeColor="background1"/>
                <w:sz w:val="18"/>
                <w:szCs w:val="18"/>
              </w:rPr>
              <w:t>cases</w:t>
            </w:r>
            <w:r w:rsidRPr="00A452ED">
              <w:rPr>
                <w:color w:val="FFFFFF" w:themeColor="background1"/>
                <w:sz w:val="18"/>
                <w:szCs w:val="18"/>
                <w:vertAlign w:val="superscript"/>
              </w:rPr>
              <w:t>a</w:t>
            </w:r>
            <w:proofErr w:type="spellEnd"/>
            <w:r w:rsidRPr="006B0163">
              <w:rPr>
                <w:color w:val="FFFFFF" w:themeColor="background1"/>
                <w:sz w:val="18"/>
                <w:szCs w:val="18"/>
              </w:rPr>
              <w:t xml:space="preserve"> </w:t>
            </w:r>
            <w:r w:rsidR="00A452ED">
              <w:rPr>
                <w:color w:val="FFFFFF" w:themeColor="background1"/>
                <w:sz w:val="18"/>
                <w:szCs w:val="18"/>
              </w:rPr>
              <w:br/>
            </w:r>
            <w:r w:rsidRPr="006B0163">
              <w:rPr>
                <w:color w:val="FFFFFF" w:themeColor="background1"/>
                <w:sz w:val="18"/>
                <w:szCs w:val="18"/>
              </w:rPr>
              <w:t>(general ward)</w:t>
            </w:r>
            <w:r w:rsidRPr="006B0163">
              <w:rPr>
                <w:color w:val="FFFFFF" w:themeColor="background1"/>
                <w:sz w:val="18"/>
                <w:szCs w:val="18"/>
              </w:rPr>
              <w:br/>
              <w:t>(n = 104)</w:t>
            </w:r>
            <w:r w:rsidR="00A452ED">
              <w:rPr>
                <w:color w:val="FFFFFF" w:themeColor="background1"/>
                <w:sz w:val="18"/>
                <w:szCs w:val="18"/>
              </w:rPr>
              <w:t xml:space="preserve"> </w:t>
            </w:r>
            <w:r w:rsidRPr="006B0163">
              <w:rPr>
                <w:color w:val="FFFFFF" w:themeColor="background1"/>
                <w:sz w:val="18"/>
                <w:szCs w:val="18"/>
              </w:rPr>
              <w:t>Number (%)</w:t>
            </w:r>
          </w:p>
        </w:tc>
        <w:tc>
          <w:tcPr>
            <w:tcW w:w="2616" w:type="dxa"/>
            <w:tcBorders>
              <w:left w:val="single" w:sz="2" w:space="0" w:color="FFFFFF" w:themeColor="background1"/>
              <w:right w:val="single" w:sz="2" w:space="0" w:color="FFFFFF" w:themeColor="background1"/>
            </w:tcBorders>
            <w:hideMark/>
          </w:tcPr>
          <w:p w14:paraId="4227E418" w14:textId="77777777" w:rsidR="00413D97" w:rsidRPr="006B0163" w:rsidRDefault="00413D97" w:rsidP="006B0163">
            <w:pPr>
              <w:pStyle w:val="NormalWeb"/>
              <w:jc w:val="center"/>
              <w:rPr>
                <w:color w:val="FFFFFF" w:themeColor="background1"/>
                <w:sz w:val="18"/>
                <w:szCs w:val="18"/>
              </w:rPr>
            </w:pPr>
            <w:r w:rsidRPr="006B0163">
              <w:rPr>
                <w:color w:val="FFFFFF" w:themeColor="background1"/>
                <w:sz w:val="18"/>
                <w:szCs w:val="18"/>
              </w:rPr>
              <w:t xml:space="preserve">ICU </w:t>
            </w:r>
            <w:proofErr w:type="spellStart"/>
            <w:r w:rsidRPr="006B0163">
              <w:rPr>
                <w:color w:val="FFFFFF" w:themeColor="background1"/>
                <w:sz w:val="18"/>
                <w:szCs w:val="18"/>
              </w:rPr>
              <w:t>cases</w:t>
            </w:r>
            <w:r w:rsidRPr="00A452ED">
              <w:rPr>
                <w:color w:val="FFFFFF" w:themeColor="background1"/>
                <w:sz w:val="18"/>
                <w:szCs w:val="18"/>
                <w:vertAlign w:val="superscript"/>
              </w:rPr>
              <w:t>b</w:t>
            </w:r>
            <w:proofErr w:type="spellEnd"/>
            <w:r w:rsidRPr="006B0163">
              <w:rPr>
                <w:color w:val="FFFFFF" w:themeColor="background1"/>
                <w:sz w:val="18"/>
                <w:szCs w:val="18"/>
              </w:rPr>
              <w:br/>
              <w:t>(n = 300)</w:t>
            </w:r>
            <w:r w:rsidR="00A452ED">
              <w:rPr>
                <w:color w:val="FFFFFF" w:themeColor="background1"/>
                <w:sz w:val="18"/>
                <w:szCs w:val="18"/>
              </w:rPr>
              <w:br/>
            </w:r>
            <w:r w:rsidRPr="006B0163">
              <w:rPr>
                <w:color w:val="FFFFFF" w:themeColor="background1"/>
                <w:sz w:val="18"/>
                <w:szCs w:val="18"/>
              </w:rPr>
              <w:t>Number (%)</w:t>
            </w:r>
          </w:p>
        </w:tc>
        <w:tc>
          <w:tcPr>
            <w:tcW w:w="2617" w:type="dxa"/>
            <w:tcBorders>
              <w:left w:val="single" w:sz="2" w:space="0" w:color="FFFFFF" w:themeColor="background1"/>
            </w:tcBorders>
            <w:hideMark/>
          </w:tcPr>
          <w:p w14:paraId="0F6634CE" w14:textId="77777777" w:rsidR="00413D97" w:rsidRPr="006B0163" w:rsidRDefault="00413D97" w:rsidP="006B0163">
            <w:pPr>
              <w:pStyle w:val="NormalWeb"/>
              <w:jc w:val="center"/>
              <w:rPr>
                <w:color w:val="FFFFFF" w:themeColor="background1"/>
                <w:sz w:val="18"/>
                <w:szCs w:val="18"/>
              </w:rPr>
            </w:pPr>
            <w:r w:rsidRPr="006B0163">
              <w:rPr>
                <w:color w:val="FFFFFF" w:themeColor="background1"/>
                <w:sz w:val="18"/>
                <w:szCs w:val="18"/>
              </w:rPr>
              <w:t>In-</w:t>
            </w:r>
            <w:proofErr w:type="spellStart"/>
            <w:r w:rsidRPr="006B0163">
              <w:rPr>
                <w:color w:val="FFFFFF" w:themeColor="background1"/>
                <w:sz w:val="18"/>
                <w:szCs w:val="18"/>
              </w:rPr>
              <w:t>hospital</w:t>
            </w:r>
            <w:r w:rsidRPr="00A452ED">
              <w:rPr>
                <w:color w:val="FFFFFF" w:themeColor="background1"/>
                <w:sz w:val="18"/>
                <w:szCs w:val="18"/>
                <w:vertAlign w:val="superscript"/>
              </w:rPr>
              <w:t>b</w:t>
            </w:r>
            <w:proofErr w:type="spellEnd"/>
            <w:r w:rsidRPr="006B0163">
              <w:rPr>
                <w:color w:val="FFFFFF" w:themeColor="background1"/>
                <w:sz w:val="18"/>
                <w:szCs w:val="18"/>
              </w:rPr>
              <w:t xml:space="preserve"> deaths</w:t>
            </w:r>
            <w:r w:rsidR="00A452ED">
              <w:rPr>
                <w:color w:val="FFFFFF" w:themeColor="background1"/>
                <w:sz w:val="18"/>
                <w:szCs w:val="18"/>
              </w:rPr>
              <w:br/>
            </w:r>
            <w:r w:rsidRPr="006B0163">
              <w:rPr>
                <w:color w:val="FFFFFF" w:themeColor="background1"/>
                <w:sz w:val="18"/>
                <w:szCs w:val="18"/>
              </w:rPr>
              <w:t>(n = 35)</w:t>
            </w:r>
            <w:r w:rsidR="00A452ED">
              <w:rPr>
                <w:color w:val="FFFFFF" w:themeColor="background1"/>
                <w:sz w:val="18"/>
                <w:szCs w:val="18"/>
              </w:rPr>
              <w:br/>
            </w:r>
            <w:r w:rsidRPr="006B0163">
              <w:rPr>
                <w:color w:val="FFFFFF" w:themeColor="background1"/>
                <w:sz w:val="18"/>
                <w:szCs w:val="18"/>
              </w:rPr>
              <w:t>Number (%)</w:t>
            </w:r>
          </w:p>
        </w:tc>
      </w:tr>
      <w:tr w:rsidR="00413D97" w:rsidRPr="006B0163" w14:paraId="7039379A" w14:textId="77777777" w:rsidTr="000C66D3">
        <w:tc>
          <w:tcPr>
            <w:tcW w:w="2616" w:type="dxa"/>
            <w:hideMark/>
          </w:tcPr>
          <w:p w14:paraId="47BA7E10" w14:textId="77777777" w:rsidR="00413D97" w:rsidRPr="006B0163" w:rsidRDefault="00413D97">
            <w:pPr>
              <w:pStyle w:val="NormalWeb"/>
              <w:rPr>
                <w:sz w:val="18"/>
                <w:szCs w:val="18"/>
              </w:rPr>
            </w:pPr>
            <w:r w:rsidRPr="006B0163">
              <w:rPr>
                <w:sz w:val="18"/>
                <w:szCs w:val="18"/>
              </w:rPr>
              <w:t>Cardiac disease</w:t>
            </w:r>
          </w:p>
        </w:tc>
        <w:tc>
          <w:tcPr>
            <w:tcW w:w="2617" w:type="dxa"/>
            <w:hideMark/>
          </w:tcPr>
          <w:p w14:paraId="58831456" w14:textId="77777777" w:rsidR="00413D97" w:rsidRPr="006B0163" w:rsidRDefault="00413D97" w:rsidP="006B0163">
            <w:pPr>
              <w:pStyle w:val="NormalWeb"/>
              <w:jc w:val="center"/>
              <w:rPr>
                <w:sz w:val="18"/>
                <w:szCs w:val="18"/>
              </w:rPr>
            </w:pPr>
            <w:r w:rsidRPr="006B0163">
              <w:rPr>
                <w:sz w:val="18"/>
                <w:szCs w:val="18"/>
              </w:rPr>
              <w:t>27 (26)</w:t>
            </w:r>
          </w:p>
        </w:tc>
        <w:tc>
          <w:tcPr>
            <w:tcW w:w="2616" w:type="dxa"/>
            <w:hideMark/>
          </w:tcPr>
          <w:p w14:paraId="37B00FFE" w14:textId="77777777" w:rsidR="00413D97" w:rsidRPr="006B0163" w:rsidRDefault="00413D97" w:rsidP="006B0163">
            <w:pPr>
              <w:pStyle w:val="NormalWeb"/>
              <w:jc w:val="center"/>
              <w:rPr>
                <w:sz w:val="18"/>
                <w:szCs w:val="18"/>
              </w:rPr>
            </w:pPr>
            <w:r w:rsidRPr="006B0163">
              <w:rPr>
                <w:sz w:val="18"/>
                <w:szCs w:val="18"/>
              </w:rPr>
              <w:t>51 (17)</w:t>
            </w:r>
          </w:p>
        </w:tc>
        <w:tc>
          <w:tcPr>
            <w:tcW w:w="2617" w:type="dxa"/>
            <w:hideMark/>
          </w:tcPr>
          <w:p w14:paraId="78625A90" w14:textId="77777777" w:rsidR="00413D97" w:rsidRPr="006B0163" w:rsidRDefault="00413D97" w:rsidP="006B0163">
            <w:pPr>
              <w:pStyle w:val="NormalWeb"/>
              <w:jc w:val="center"/>
              <w:rPr>
                <w:sz w:val="18"/>
                <w:szCs w:val="18"/>
              </w:rPr>
            </w:pPr>
            <w:r w:rsidRPr="006B0163">
              <w:rPr>
                <w:sz w:val="18"/>
                <w:szCs w:val="18"/>
              </w:rPr>
              <w:t>14 (40)</w:t>
            </w:r>
          </w:p>
        </w:tc>
      </w:tr>
      <w:tr w:rsidR="00413D97" w:rsidRPr="006B0163" w14:paraId="7FB17B06" w14:textId="77777777" w:rsidTr="000C66D3">
        <w:trPr>
          <w:cnfStyle w:val="000000010000" w:firstRow="0" w:lastRow="0" w:firstColumn="0" w:lastColumn="0" w:oddVBand="0" w:evenVBand="0" w:oddHBand="0" w:evenHBand="1" w:firstRowFirstColumn="0" w:firstRowLastColumn="0" w:lastRowFirstColumn="0" w:lastRowLastColumn="0"/>
        </w:trPr>
        <w:tc>
          <w:tcPr>
            <w:tcW w:w="2616" w:type="dxa"/>
            <w:hideMark/>
          </w:tcPr>
          <w:p w14:paraId="5E17015C" w14:textId="77777777" w:rsidR="00413D97" w:rsidRPr="006B0163" w:rsidRDefault="00413D97">
            <w:pPr>
              <w:pStyle w:val="NormalWeb"/>
              <w:rPr>
                <w:sz w:val="18"/>
                <w:szCs w:val="18"/>
              </w:rPr>
            </w:pPr>
            <w:r w:rsidRPr="006B0163">
              <w:rPr>
                <w:sz w:val="18"/>
                <w:szCs w:val="18"/>
              </w:rPr>
              <w:t xml:space="preserve">Chronic respiratory </w:t>
            </w:r>
            <w:proofErr w:type="spellStart"/>
            <w:r w:rsidRPr="006B0163">
              <w:rPr>
                <w:sz w:val="18"/>
                <w:szCs w:val="18"/>
              </w:rPr>
              <w:t>condition</w:t>
            </w:r>
            <w:r w:rsidRPr="00E66C12">
              <w:rPr>
                <w:sz w:val="18"/>
                <w:szCs w:val="18"/>
                <w:vertAlign w:val="superscript"/>
              </w:rPr>
              <w:t>c</w:t>
            </w:r>
            <w:proofErr w:type="spellEnd"/>
          </w:p>
        </w:tc>
        <w:tc>
          <w:tcPr>
            <w:tcW w:w="2617" w:type="dxa"/>
            <w:hideMark/>
          </w:tcPr>
          <w:p w14:paraId="339C0E59" w14:textId="77777777" w:rsidR="00413D97" w:rsidRPr="006B0163" w:rsidRDefault="00413D97" w:rsidP="006B0163">
            <w:pPr>
              <w:pStyle w:val="NormalWeb"/>
              <w:jc w:val="center"/>
              <w:rPr>
                <w:sz w:val="18"/>
                <w:szCs w:val="18"/>
              </w:rPr>
            </w:pPr>
            <w:r w:rsidRPr="006B0163">
              <w:rPr>
                <w:sz w:val="18"/>
                <w:szCs w:val="18"/>
              </w:rPr>
              <w:t>34 (33)</w:t>
            </w:r>
          </w:p>
        </w:tc>
        <w:tc>
          <w:tcPr>
            <w:tcW w:w="2616" w:type="dxa"/>
            <w:hideMark/>
          </w:tcPr>
          <w:p w14:paraId="04DF43B4" w14:textId="77777777" w:rsidR="00413D97" w:rsidRPr="006B0163" w:rsidRDefault="00413D97" w:rsidP="006B0163">
            <w:pPr>
              <w:pStyle w:val="NormalWeb"/>
              <w:jc w:val="center"/>
              <w:rPr>
                <w:sz w:val="18"/>
                <w:szCs w:val="18"/>
              </w:rPr>
            </w:pPr>
            <w:r w:rsidRPr="006B0163">
              <w:rPr>
                <w:sz w:val="18"/>
                <w:szCs w:val="18"/>
              </w:rPr>
              <w:t>61 (20)</w:t>
            </w:r>
          </w:p>
        </w:tc>
        <w:tc>
          <w:tcPr>
            <w:tcW w:w="2617" w:type="dxa"/>
            <w:hideMark/>
          </w:tcPr>
          <w:p w14:paraId="0434FBEE" w14:textId="77777777" w:rsidR="00413D97" w:rsidRPr="006B0163" w:rsidRDefault="00413D97" w:rsidP="006B0163">
            <w:pPr>
              <w:pStyle w:val="NormalWeb"/>
              <w:jc w:val="center"/>
              <w:rPr>
                <w:sz w:val="18"/>
                <w:szCs w:val="18"/>
              </w:rPr>
            </w:pPr>
            <w:r w:rsidRPr="006B0163">
              <w:rPr>
                <w:sz w:val="18"/>
                <w:szCs w:val="18"/>
              </w:rPr>
              <w:t>10 (29)</w:t>
            </w:r>
          </w:p>
        </w:tc>
      </w:tr>
      <w:tr w:rsidR="00413D97" w:rsidRPr="006B0163" w14:paraId="1F2F88C2" w14:textId="77777777" w:rsidTr="000C66D3">
        <w:tc>
          <w:tcPr>
            <w:tcW w:w="2616" w:type="dxa"/>
            <w:hideMark/>
          </w:tcPr>
          <w:p w14:paraId="56C9A3C4" w14:textId="77777777" w:rsidR="00413D97" w:rsidRPr="006B0163" w:rsidRDefault="00413D97">
            <w:pPr>
              <w:pStyle w:val="NormalWeb"/>
              <w:rPr>
                <w:sz w:val="18"/>
                <w:szCs w:val="18"/>
              </w:rPr>
            </w:pPr>
            <w:r w:rsidRPr="006B0163">
              <w:rPr>
                <w:sz w:val="18"/>
                <w:szCs w:val="18"/>
              </w:rPr>
              <w:t>Diabetes</w:t>
            </w:r>
          </w:p>
        </w:tc>
        <w:tc>
          <w:tcPr>
            <w:tcW w:w="2617" w:type="dxa"/>
            <w:hideMark/>
          </w:tcPr>
          <w:p w14:paraId="109C8985" w14:textId="77777777" w:rsidR="00413D97" w:rsidRPr="006B0163" w:rsidRDefault="00413D97" w:rsidP="006B0163">
            <w:pPr>
              <w:pStyle w:val="NormalWeb"/>
              <w:jc w:val="center"/>
              <w:rPr>
                <w:sz w:val="18"/>
                <w:szCs w:val="18"/>
              </w:rPr>
            </w:pPr>
            <w:r w:rsidRPr="006B0163">
              <w:rPr>
                <w:sz w:val="18"/>
                <w:szCs w:val="18"/>
              </w:rPr>
              <w:t>33 (32)</w:t>
            </w:r>
          </w:p>
        </w:tc>
        <w:tc>
          <w:tcPr>
            <w:tcW w:w="2616" w:type="dxa"/>
            <w:hideMark/>
          </w:tcPr>
          <w:p w14:paraId="60547BB2" w14:textId="77777777" w:rsidR="00413D97" w:rsidRPr="006B0163" w:rsidRDefault="00413D97" w:rsidP="006B0163">
            <w:pPr>
              <w:pStyle w:val="NormalWeb"/>
              <w:jc w:val="center"/>
              <w:rPr>
                <w:sz w:val="18"/>
                <w:szCs w:val="18"/>
              </w:rPr>
            </w:pPr>
            <w:r w:rsidRPr="006B0163">
              <w:rPr>
                <w:sz w:val="18"/>
                <w:szCs w:val="18"/>
              </w:rPr>
              <w:t>88 (29)</w:t>
            </w:r>
          </w:p>
        </w:tc>
        <w:tc>
          <w:tcPr>
            <w:tcW w:w="2617" w:type="dxa"/>
            <w:hideMark/>
          </w:tcPr>
          <w:p w14:paraId="241A4757" w14:textId="77777777" w:rsidR="00413D97" w:rsidRPr="006B0163" w:rsidRDefault="00413D97" w:rsidP="006B0163">
            <w:pPr>
              <w:pStyle w:val="NormalWeb"/>
              <w:jc w:val="center"/>
              <w:rPr>
                <w:sz w:val="18"/>
                <w:szCs w:val="18"/>
              </w:rPr>
            </w:pPr>
            <w:r w:rsidRPr="006B0163">
              <w:rPr>
                <w:sz w:val="18"/>
                <w:szCs w:val="18"/>
              </w:rPr>
              <w:t>13 (37)</w:t>
            </w:r>
          </w:p>
        </w:tc>
      </w:tr>
      <w:tr w:rsidR="00413D97" w:rsidRPr="006B0163" w14:paraId="5FB78A62" w14:textId="77777777" w:rsidTr="000C66D3">
        <w:trPr>
          <w:cnfStyle w:val="000000010000" w:firstRow="0" w:lastRow="0" w:firstColumn="0" w:lastColumn="0" w:oddVBand="0" w:evenVBand="0" w:oddHBand="0" w:evenHBand="1" w:firstRowFirstColumn="0" w:firstRowLastColumn="0" w:lastRowFirstColumn="0" w:lastRowLastColumn="0"/>
        </w:trPr>
        <w:tc>
          <w:tcPr>
            <w:tcW w:w="2616" w:type="dxa"/>
            <w:hideMark/>
          </w:tcPr>
          <w:p w14:paraId="7D9E3E22" w14:textId="77777777" w:rsidR="00413D97" w:rsidRPr="006B0163" w:rsidRDefault="00413D97">
            <w:pPr>
              <w:pStyle w:val="NormalWeb"/>
              <w:rPr>
                <w:sz w:val="18"/>
                <w:szCs w:val="18"/>
              </w:rPr>
            </w:pPr>
            <w:r w:rsidRPr="006B0163">
              <w:rPr>
                <w:sz w:val="18"/>
                <w:szCs w:val="18"/>
              </w:rPr>
              <w:t>Obesity</w:t>
            </w:r>
          </w:p>
        </w:tc>
        <w:tc>
          <w:tcPr>
            <w:tcW w:w="2617" w:type="dxa"/>
            <w:hideMark/>
          </w:tcPr>
          <w:p w14:paraId="3AC29F61" w14:textId="77777777" w:rsidR="00413D97" w:rsidRPr="006B0163" w:rsidRDefault="00413D97" w:rsidP="006B0163">
            <w:pPr>
              <w:pStyle w:val="NormalWeb"/>
              <w:jc w:val="center"/>
              <w:rPr>
                <w:sz w:val="18"/>
                <w:szCs w:val="18"/>
              </w:rPr>
            </w:pPr>
            <w:r w:rsidRPr="006B0163">
              <w:rPr>
                <w:sz w:val="18"/>
                <w:szCs w:val="18"/>
              </w:rPr>
              <w:t>18 (17)</w:t>
            </w:r>
          </w:p>
        </w:tc>
        <w:tc>
          <w:tcPr>
            <w:tcW w:w="2616" w:type="dxa"/>
            <w:hideMark/>
          </w:tcPr>
          <w:p w14:paraId="57691DFC" w14:textId="77777777" w:rsidR="00413D97" w:rsidRPr="006B0163" w:rsidRDefault="00413D97" w:rsidP="006B0163">
            <w:pPr>
              <w:pStyle w:val="NormalWeb"/>
              <w:jc w:val="center"/>
              <w:rPr>
                <w:sz w:val="18"/>
                <w:szCs w:val="18"/>
              </w:rPr>
            </w:pPr>
            <w:r w:rsidRPr="006B0163">
              <w:rPr>
                <w:sz w:val="18"/>
                <w:szCs w:val="18"/>
              </w:rPr>
              <w:t>75 (25)</w:t>
            </w:r>
          </w:p>
        </w:tc>
        <w:tc>
          <w:tcPr>
            <w:tcW w:w="2617" w:type="dxa"/>
            <w:hideMark/>
          </w:tcPr>
          <w:p w14:paraId="76B02CE7" w14:textId="77777777" w:rsidR="00413D97" w:rsidRPr="006B0163" w:rsidRDefault="00413D97" w:rsidP="006B0163">
            <w:pPr>
              <w:pStyle w:val="NormalWeb"/>
              <w:jc w:val="center"/>
              <w:rPr>
                <w:sz w:val="18"/>
                <w:szCs w:val="18"/>
              </w:rPr>
            </w:pPr>
            <w:r w:rsidRPr="006B0163">
              <w:rPr>
                <w:sz w:val="18"/>
                <w:szCs w:val="18"/>
              </w:rPr>
              <w:t>8 (23)</w:t>
            </w:r>
          </w:p>
        </w:tc>
      </w:tr>
      <w:tr w:rsidR="00413D97" w:rsidRPr="006B0163" w14:paraId="12545CB9" w14:textId="77777777" w:rsidTr="000C66D3">
        <w:tc>
          <w:tcPr>
            <w:tcW w:w="2616" w:type="dxa"/>
            <w:hideMark/>
          </w:tcPr>
          <w:p w14:paraId="1F44C42B" w14:textId="77777777" w:rsidR="00413D97" w:rsidRPr="006B0163" w:rsidRDefault="00413D97">
            <w:pPr>
              <w:pStyle w:val="NormalWeb"/>
              <w:rPr>
                <w:sz w:val="18"/>
                <w:szCs w:val="18"/>
              </w:rPr>
            </w:pPr>
            <w:r w:rsidRPr="006B0163">
              <w:rPr>
                <w:sz w:val="18"/>
                <w:szCs w:val="18"/>
              </w:rPr>
              <w:t>Chronic renal disease</w:t>
            </w:r>
          </w:p>
        </w:tc>
        <w:tc>
          <w:tcPr>
            <w:tcW w:w="2617" w:type="dxa"/>
            <w:hideMark/>
          </w:tcPr>
          <w:p w14:paraId="2C26750C" w14:textId="77777777" w:rsidR="00413D97" w:rsidRPr="006B0163" w:rsidRDefault="00413D97" w:rsidP="006B0163">
            <w:pPr>
              <w:pStyle w:val="NormalWeb"/>
              <w:jc w:val="center"/>
              <w:rPr>
                <w:sz w:val="18"/>
                <w:szCs w:val="18"/>
              </w:rPr>
            </w:pPr>
            <w:r w:rsidRPr="006B0163">
              <w:rPr>
                <w:sz w:val="18"/>
                <w:szCs w:val="18"/>
              </w:rPr>
              <w:t>6 (6)</w:t>
            </w:r>
          </w:p>
        </w:tc>
        <w:tc>
          <w:tcPr>
            <w:tcW w:w="2616" w:type="dxa"/>
            <w:hideMark/>
          </w:tcPr>
          <w:p w14:paraId="5A651584" w14:textId="77777777" w:rsidR="00413D97" w:rsidRPr="006B0163" w:rsidRDefault="00413D97" w:rsidP="006B0163">
            <w:pPr>
              <w:pStyle w:val="NormalWeb"/>
              <w:jc w:val="center"/>
              <w:rPr>
                <w:sz w:val="18"/>
                <w:szCs w:val="18"/>
              </w:rPr>
            </w:pPr>
            <w:r w:rsidRPr="006B0163">
              <w:rPr>
                <w:sz w:val="18"/>
                <w:szCs w:val="18"/>
              </w:rPr>
              <w:t>17 (6)</w:t>
            </w:r>
          </w:p>
        </w:tc>
        <w:tc>
          <w:tcPr>
            <w:tcW w:w="2617" w:type="dxa"/>
            <w:hideMark/>
          </w:tcPr>
          <w:p w14:paraId="72F73FB8" w14:textId="77777777" w:rsidR="00413D97" w:rsidRPr="006B0163" w:rsidRDefault="00413D97" w:rsidP="006B0163">
            <w:pPr>
              <w:pStyle w:val="NormalWeb"/>
              <w:jc w:val="center"/>
              <w:rPr>
                <w:sz w:val="18"/>
                <w:szCs w:val="18"/>
              </w:rPr>
            </w:pPr>
            <w:r w:rsidRPr="006B0163">
              <w:rPr>
                <w:sz w:val="18"/>
                <w:szCs w:val="18"/>
              </w:rPr>
              <w:t>6 (17)</w:t>
            </w:r>
          </w:p>
        </w:tc>
      </w:tr>
      <w:tr w:rsidR="00413D97" w:rsidRPr="006B0163" w14:paraId="14028F1C" w14:textId="77777777" w:rsidTr="000C66D3">
        <w:trPr>
          <w:cnfStyle w:val="000000010000" w:firstRow="0" w:lastRow="0" w:firstColumn="0" w:lastColumn="0" w:oddVBand="0" w:evenVBand="0" w:oddHBand="0" w:evenHBand="1" w:firstRowFirstColumn="0" w:firstRowLastColumn="0" w:lastRowFirstColumn="0" w:lastRowLastColumn="0"/>
        </w:trPr>
        <w:tc>
          <w:tcPr>
            <w:tcW w:w="2616" w:type="dxa"/>
            <w:hideMark/>
          </w:tcPr>
          <w:p w14:paraId="4975E7D1" w14:textId="77777777" w:rsidR="00413D97" w:rsidRPr="006B0163" w:rsidRDefault="00413D97">
            <w:pPr>
              <w:pStyle w:val="NormalWeb"/>
              <w:rPr>
                <w:sz w:val="18"/>
                <w:szCs w:val="18"/>
              </w:rPr>
            </w:pPr>
            <w:r w:rsidRPr="006B0163">
              <w:rPr>
                <w:sz w:val="18"/>
                <w:szCs w:val="18"/>
              </w:rPr>
              <w:t>Chronic neurological condition</w:t>
            </w:r>
          </w:p>
        </w:tc>
        <w:tc>
          <w:tcPr>
            <w:tcW w:w="2617" w:type="dxa"/>
            <w:hideMark/>
          </w:tcPr>
          <w:p w14:paraId="4B4B291F" w14:textId="77777777" w:rsidR="00413D97" w:rsidRPr="006B0163" w:rsidRDefault="00413D97" w:rsidP="006B0163">
            <w:pPr>
              <w:pStyle w:val="NormalWeb"/>
              <w:jc w:val="center"/>
              <w:rPr>
                <w:sz w:val="18"/>
                <w:szCs w:val="18"/>
              </w:rPr>
            </w:pPr>
            <w:r w:rsidRPr="006B0163">
              <w:rPr>
                <w:sz w:val="18"/>
                <w:szCs w:val="18"/>
              </w:rPr>
              <w:t>20 (19)</w:t>
            </w:r>
          </w:p>
        </w:tc>
        <w:tc>
          <w:tcPr>
            <w:tcW w:w="2616" w:type="dxa"/>
            <w:hideMark/>
          </w:tcPr>
          <w:p w14:paraId="1D756F31" w14:textId="77777777" w:rsidR="00413D97" w:rsidRPr="006B0163" w:rsidRDefault="00413D97" w:rsidP="006B0163">
            <w:pPr>
              <w:pStyle w:val="NormalWeb"/>
              <w:jc w:val="center"/>
              <w:rPr>
                <w:sz w:val="18"/>
                <w:szCs w:val="18"/>
              </w:rPr>
            </w:pPr>
            <w:r w:rsidRPr="006B0163">
              <w:rPr>
                <w:sz w:val="18"/>
                <w:szCs w:val="18"/>
              </w:rPr>
              <w:t>4 (1)</w:t>
            </w:r>
          </w:p>
        </w:tc>
        <w:tc>
          <w:tcPr>
            <w:tcW w:w="2617" w:type="dxa"/>
            <w:hideMark/>
          </w:tcPr>
          <w:p w14:paraId="3D3777FA" w14:textId="77777777" w:rsidR="00413D97" w:rsidRPr="006B0163" w:rsidRDefault="00413D97" w:rsidP="006B0163">
            <w:pPr>
              <w:pStyle w:val="NormalWeb"/>
              <w:jc w:val="center"/>
              <w:rPr>
                <w:sz w:val="18"/>
                <w:szCs w:val="18"/>
              </w:rPr>
            </w:pPr>
            <w:r w:rsidRPr="006B0163">
              <w:rPr>
                <w:sz w:val="18"/>
                <w:szCs w:val="18"/>
              </w:rPr>
              <w:t>0</w:t>
            </w:r>
          </w:p>
        </w:tc>
      </w:tr>
      <w:tr w:rsidR="00413D97" w:rsidRPr="006B0163" w14:paraId="1A856229" w14:textId="77777777" w:rsidTr="000C66D3">
        <w:tc>
          <w:tcPr>
            <w:tcW w:w="2616" w:type="dxa"/>
            <w:hideMark/>
          </w:tcPr>
          <w:p w14:paraId="4138DE1E" w14:textId="77777777" w:rsidR="00413D97" w:rsidRPr="006B0163" w:rsidRDefault="00413D97">
            <w:pPr>
              <w:pStyle w:val="NormalWeb"/>
              <w:rPr>
                <w:sz w:val="18"/>
                <w:szCs w:val="18"/>
              </w:rPr>
            </w:pPr>
            <w:r w:rsidRPr="006B0163">
              <w:rPr>
                <w:sz w:val="18"/>
                <w:szCs w:val="18"/>
              </w:rPr>
              <w:t>Malignancy</w:t>
            </w:r>
          </w:p>
        </w:tc>
        <w:tc>
          <w:tcPr>
            <w:tcW w:w="2617" w:type="dxa"/>
            <w:hideMark/>
          </w:tcPr>
          <w:p w14:paraId="3DAE0089" w14:textId="77777777" w:rsidR="00413D97" w:rsidRPr="006B0163" w:rsidRDefault="00413D97" w:rsidP="006B0163">
            <w:pPr>
              <w:pStyle w:val="NormalWeb"/>
              <w:jc w:val="center"/>
              <w:rPr>
                <w:sz w:val="18"/>
                <w:szCs w:val="18"/>
              </w:rPr>
            </w:pPr>
            <w:r w:rsidRPr="006B0163">
              <w:rPr>
                <w:sz w:val="18"/>
                <w:szCs w:val="18"/>
              </w:rPr>
              <w:t>11 (11)</w:t>
            </w:r>
          </w:p>
        </w:tc>
        <w:tc>
          <w:tcPr>
            <w:tcW w:w="2616" w:type="dxa"/>
            <w:hideMark/>
          </w:tcPr>
          <w:p w14:paraId="5757673A" w14:textId="77777777" w:rsidR="00413D97" w:rsidRPr="006B0163" w:rsidRDefault="00413D97" w:rsidP="006B0163">
            <w:pPr>
              <w:pStyle w:val="NormalWeb"/>
              <w:jc w:val="center"/>
              <w:rPr>
                <w:sz w:val="18"/>
                <w:szCs w:val="18"/>
              </w:rPr>
            </w:pPr>
            <w:r w:rsidRPr="006B0163">
              <w:rPr>
                <w:sz w:val="18"/>
                <w:szCs w:val="18"/>
              </w:rPr>
              <w:t>17 (6)</w:t>
            </w:r>
          </w:p>
        </w:tc>
        <w:tc>
          <w:tcPr>
            <w:tcW w:w="2617" w:type="dxa"/>
            <w:hideMark/>
          </w:tcPr>
          <w:p w14:paraId="4F2005A5" w14:textId="77777777" w:rsidR="00413D97" w:rsidRPr="006B0163" w:rsidRDefault="00413D97" w:rsidP="006B0163">
            <w:pPr>
              <w:pStyle w:val="NormalWeb"/>
              <w:jc w:val="center"/>
              <w:rPr>
                <w:sz w:val="18"/>
                <w:szCs w:val="18"/>
              </w:rPr>
            </w:pPr>
            <w:r w:rsidRPr="006B0163">
              <w:rPr>
                <w:sz w:val="18"/>
                <w:szCs w:val="18"/>
              </w:rPr>
              <w:t>6 (17)</w:t>
            </w:r>
          </w:p>
        </w:tc>
      </w:tr>
      <w:tr w:rsidR="00413D97" w:rsidRPr="006B0163" w14:paraId="42D1FC70" w14:textId="77777777" w:rsidTr="000C66D3">
        <w:trPr>
          <w:cnfStyle w:val="000000010000" w:firstRow="0" w:lastRow="0" w:firstColumn="0" w:lastColumn="0" w:oddVBand="0" w:evenVBand="0" w:oddHBand="0" w:evenHBand="1" w:firstRowFirstColumn="0" w:firstRowLastColumn="0" w:lastRowFirstColumn="0" w:lastRowLastColumn="0"/>
        </w:trPr>
        <w:tc>
          <w:tcPr>
            <w:tcW w:w="2616" w:type="dxa"/>
            <w:hideMark/>
          </w:tcPr>
          <w:p w14:paraId="0A1382DC" w14:textId="77777777" w:rsidR="00413D97" w:rsidRPr="006B0163" w:rsidRDefault="00413D97">
            <w:pPr>
              <w:pStyle w:val="NormalWeb"/>
              <w:rPr>
                <w:sz w:val="18"/>
                <w:szCs w:val="18"/>
              </w:rPr>
            </w:pPr>
            <w:r w:rsidRPr="006B0163">
              <w:rPr>
                <w:sz w:val="18"/>
                <w:szCs w:val="18"/>
              </w:rPr>
              <w:t>Chronic liver disease</w:t>
            </w:r>
          </w:p>
        </w:tc>
        <w:tc>
          <w:tcPr>
            <w:tcW w:w="2617" w:type="dxa"/>
            <w:hideMark/>
          </w:tcPr>
          <w:p w14:paraId="298FDBBC" w14:textId="77777777" w:rsidR="00413D97" w:rsidRPr="006B0163" w:rsidRDefault="00413D97" w:rsidP="006B0163">
            <w:pPr>
              <w:pStyle w:val="NormalWeb"/>
              <w:jc w:val="center"/>
              <w:rPr>
                <w:sz w:val="18"/>
                <w:szCs w:val="18"/>
              </w:rPr>
            </w:pPr>
            <w:r w:rsidRPr="006B0163">
              <w:rPr>
                <w:sz w:val="18"/>
                <w:szCs w:val="18"/>
              </w:rPr>
              <w:t>3 (3)</w:t>
            </w:r>
          </w:p>
        </w:tc>
        <w:tc>
          <w:tcPr>
            <w:tcW w:w="2616" w:type="dxa"/>
            <w:hideMark/>
          </w:tcPr>
          <w:p w14:paraId="0EED7C6A" w14:textId="77777777" w:rsidR="00413D97" w:rsidRPr="006B0163" w:rsidRDefault="00413D97" w:rsidP="006B0163">
            <w:pPr>
              <w:pStyle w:val="NormalWeb"/>
              <w:jc w:val="center"/>
              <w:rPr>
                <w:sz w:val="18"/>
                <w:szCs w:val="18"/>
              </w:rPr>
            </w:pPr>
            <w:r w:rsidRPr="006B0163">
              <w:rPr>
                <w:sz w:val="18"/>
                <w:szCs w:val="18"/>
              </w:rPr>
              <w:t>9 (3)</w:t>
            </w:r>
          </w:p>
        </w:tc>
        <w:tc>
          <w:tcPr>
            <w:tcW w:w="2617" w:type="dxa"/>
            <w:hideMark/>
          </w:tcPr>
          <w:p w14:paraId="47CA9C10" w14:textId="77777777" w:rsidR="00413D97" w:rsidRPr="006B0163" w:rsidRDefault="00413D97" w:rsidP="006B0163">
            <w:pPr>
              <w:pStyle w:val="NormalWeb"/>
              <w:jc w:val="center"/>
              <w:rPr>
                <w:sz w:val="18"/>
                <w:szCs w:val="18"/>
              </w:rPr>
            </w:pPr>
            <w:r w:rsidRPr="006B0163">
              <w:rPr>
                <w:sz w:val="18"/>
                <w:szCs w:val="18"/>
              </w:rPr>
              <w:t>3 (9)</w:t>
            </w:r>
          </w:p>
        </w:tc>
      </w:tr>
      <w:tr w:rsidR="00413D97" w:rsidRPr="006B0163" w14:paraId="4EBE4DA7" w14:textId="77777777" w:rsidTr="000C66D3">
        <w:tc>
          <w:tcPr>
            <w:tcW w:w="2616" w:type="dxa"/>
            <w:hideMark/>
          </w:tcPr>
          <w:p w14:paraId="0CCE1A60" w14:textId="77777777" w:rsidR="00413D97" w:rsidRPr="006B0163" w:rsidRDefault="00413D97">
            <w:pPr>
              <w:pStyle w:val="NormalWeb"/>
              <w:rPr>
                <w:sz w:val="18"/>
                <w:szCs w:val="18"/>
              </w:rPr>
            </w:pPr>
            <w:r w:rsidRPr="006B0163">
              <w:rPr>
                <w:sz w:val="18"/>
                <w:szCs w:val="18"/>
              </w:rPr>
              <w:t>Immunosuppression</w:t>
            </w:r>
          </w:p>
        </w:tc>
        <w:tc>
          <w:tcPr>
            <w:tcW w:w="2617" w:type="dxa"/>
            <w:hideMark/>
          </w:tcPr>
          <w:p w14:paraId="59D68581" w14:textId="77777777" w:rsidR="00413D97" w:rsidRPr="006B0163" w:rsidRDefault="00413D97" w:rsidP="006B0163">
            <w:pPr>
              <w:pStyle w:val="NormalWeb"/>
              <w:jc w:val="center"/>
              <w:rPr>
                <w:sz w:val="18"/>
                <w:szCs w:val="18"/>
              </w:rPr>
            </w:pPr>
            <w:r w:rsidRPr="006B0163">
              <w:rPr>
                <w:sz w:val="18"/>
                <w:szCs w:val="18"/>
              </w:rPr>
              <w:t>19 (18)</w:t>
            </w:r>
          </w:p>
        </w:tc>
        <w:tc>
          <w:tcPr>
            <w:tcW w:w="2616" w:type="dxa"/>
            <w:hideMark/>
          </w:tcPr>
          <w:p w14:paraId="15CC7B49" w14:textId="77777777" w:rsidR="00413D97" w:rsidRPr="006B0163" w:rsidRDefault="00413D97" w:rsidP="006B0163">
            <w:pPr>
              <w:pStyle w:val="NormalWeb"/>
              <w:jc w:val="center"/>
              <w:rPr>
                <w:sz w:val="18"/>
                <w:szCs w:val="18"/>
              </w:rPr>
            </w:pPr>
            <w:r w:rsidRPr="006B0163">
              <w:rPr>
                <w:sz w:val="18"/>
                <w:szCs w:val="18"/>
              </w:rPr>
              <w:t>20 (7)</w:t>
            </w:r>
          </w:p>
        </w:tc>
        <w:tc>
          <w:tcPr>
            <w:tcW w:w="2617" w:type="dxa"/>
            <w:hideMark/>
          </w:tcPr>
          <w:p w14:paraId="60A255B1" w14:textId="77777777" w:rsidR="00413D97" w:rsidRPr="006B0163" w:rsidRDefault="00413D97" w:rsidP="006B0163">
            <w:pPr>
              <w:pStyle w:val="NormalWeb"/>
              <w:jc w:val="center"/>
              <w:rPr>
                <w:sz w:val="18"/>
                <w:szCs w:val="18"/>
              </w:rPr>
            </w:pPr>
            <w:r w:rsidRPr="006B0163">
              <w:rPr>
                <w:sz w:val="18"/>
                <w:szCs w:val="18"/>
              </w:rPr>
              <w:t>6 (17)</w:t>
            </w:r>
          </w:p>
        </w:tc>
      </w:tr>
      <w:tr w:rsidR="006B0163" w:rsidRPr="006B0163" w14:paraId="5D1859E1" w14:textId="77777777" w:rsidTr="000C66D3">
        <w:trPr>
          <w:cnfStyle w:val="000000010000" w:firstRow="0" w:lastRow="0" w:firstColumn="0" w:lastColumn="0" w:oddVBand="0" w:evenVBand="0" w:oddHBand="0" w:evenHBand="1" w:firstRowFirstColumn="0" w:firstRowLastColumn="0" w:lastRowFirstColumn="0" w:lastRowLastColumn="0"/>
        </w:trPr>
        <w:tc>
          <w:tcPr>
            <w:tcW w:w="10466" w:type="dxa"/>
            <w:gridSpan w:val="4"/>
            <w:shd w:val="clear" w:color="auto" w:fill="808080" w:themeFill="background1" w:themeFillShade="80"/>
            <w:hideMark/>
          </w:tcPr>
          <w:p w14:paraId="75B5DE26" w14:textId="77777777" w:rsidR="00413D97" w:rsidRPr="006B0163" w:rsidRDefault="00413D97" w:rsidP="006B0163">
            <w:pPr>
              <w:pStyle w:val="NormalWeb"/>
              <w:rPr>
                <w:b/>
                <w:color w:val="FFFFFF" w:themeColor="background1"/>
                <w:sz w:val="18"/>
                <w:szCs w:val="18"/>
              </w:rPr>
            </w:pPr>
            <w:r w:rsidRPr="006B0163">
              <w:rPr>
                <w:b/>
                <w:color w:val="FFFFFF" w:themeColor="background1"/>
                <w:sz w:val="18"/>
                <w:szCs w:val="18"/>
              </w:rPr>
              <w:t xml:space="preserve">Number of specified </w:t>
            </w:r>
            <w:proofErr w:type="spellStart"/>
            <w:r w:rsidRPr="006B0163">
              <w:rPr>
                <w:b/>
                <w:color w:val="FFFFFF" w:themeColor="background1"/>
                <w:sz w:val="18"/>
                <w:szCs w:val="18"/>
              </w:rPr>
              <w:t>comorbidities</w:t>
            </w:r>
            <w:r w:rsidRPr="00E66C12">
              <w:rPr>
                <w:b/>
                <w:color w:val="FFFFFF" w:themeColor="background1"/>
                <w:sz w:val="18"/>
                <w:szCs w:val="18"/>
                <w:vertAlign w:val="superscript"/>
              </w:rPr>
              <w:t>d</w:t>
            </w:r>
            <w:proofErr w:type="spellEnd"/>
          </w:p>
        </w:tc>
      </w:tr>
      <w:tr w:rsidR="00413D97" w:rsidRPr="006B0163" w14:paraId="52DF6F84" w14:textId="77777777" w:rsidTr="000C66D3">
        <w:tc>
          <w:tcPr>
            <w:tcW w:w="2616" w:type="dxa"/>
            <w:hideMark/>
          </w:tcPr>
          <w:p w14:paraId="0A3CF32B" w14:textId="77777777" w:rsidR="00413D97" w:rsidRPr="006B0163" w:rsidRDefault="00413D97">
            <w:pPr>
              <w:pStyle w:val="NormalWeb"/>
              <w:rPr>
                <w:sz w:val="18"/>
                <w:szCs w:val="18"/>
              </w:rPr>
            </w:pPr>
            <w:r w:rsidRPr="006B0163">
              <w:rPr>
                <w:sz w:val="18"/>
                <w:szCs w:val="18"/>
              </w:rPr>
              <w:t>One or more</w:t>
            </w:r>
          </w:p>
        </w:tc>
        <w:tc>
          <w:tcPr>
            <w:tcW w:w="2617" w:type="dxa"/>
            <w:hideMark/>
          </w:tcPr>
          <w:p w14:paraId="5F4977B6" w14:textId="77777777" w:rsidR="00413D97" w:rsidRPr="006B0163" w:rsidRDefault="00413D97" w:rsidP="006B0163">
            <w:pPr>
              <w:pStyle w:val="NormalWeb"/>
              <w:jc w:val="center"/>
              <w:rPr>
                <w:sz w:val="18"/>
                <w:szCs w:val="18"/>
              </w:rPr>
            </w:pPr>
            <w:r w:rsidRPr="006B0163">
              <w:rPr>
                <w:sz w:val="18"/>
                <w:szCs w:val="18"/>
              </w:rPr>
              <w:t>85 (82)</w:t>
            </w:r>
          </w:p>
        </w:tc>
        <w:tc>
          <w:tcPr>
            <w:tcW w:w="2616" w:type="dxa"/>
            <w:hideMark/>
          </w:tcPr>
          <w:p w14:paraId="208258B6" w14:textId="77777777" w:rsidR="00413D97" w:rsidRPr="006B0163" w:rsidRDefault="00413D97" w:rsidP="006B0163">
            <w:pPr>
              <w:pStyle w:val="NormalWeb"/>
              <w:jc w:val="center"/>
              <w:rPr>
                <w:sz w:val="18"/>
                <w:szCs w:val="18"/>
              </w:rPr>
            </w:pPr>
            <w:r w:rsidRPr="006B0163">
              <w:rPr>
                <w:sz w:val="18"/>
                <w:szCs w:val="18"/>
              </w:rPr>
              <w:t>189 (63)</w:t>
            </w:r>
          </w:p>
        </w:tc>
        <w:tc>
          <w:tcPr>
            <w:tcW w:w="2617" w:type="dxa"/>
            <w:hideMark/>
          </w:tcPr>
          <w:p w14:paraId="4391FE8E" w14:textId="77777777" w:rsidR="00413D97" w:rsidRPr="006B0163" w:rsidRDefault="00413D97" w:rsidP="006B0163">
            <w:pPr>
              <w:pStyle w:val="NormalWeb"/>
              <w:jc w:val="center"/>
              <w:rPr>
                <w:sz w:val="18"/>
                <w:szCs w:val="18"/>
              </w:rPr>
            </w:pPr>
            <w:r w:rsidRPr="006B0163">
              <w:rPr>
                <w:sz w:val="18"/>
                <w:szCs w:val="18"/>
              </w:rPr>
              <w:t>28 (80)</w:t>
            </w:r>
          </w:p>
        </w:tc>
      </w:tr>
      <w:tr w:rsidR="00413D97" w:rsidRPr="006B0163" w14:paraId="2A5CFAD0" w14:textId="77777777" w:rsidTr="000C66D3">
        <w:trPr>
          <w:cnfStyle w:val="000000010000" w:firstRow="0" w:lastRow="0" w:firstColumn="0" w:lastColumn="0" w:oddVBand="0" w:evenVBand="0" w:oddHBand="0" w:evenHBand="1" w:firstRowFirstColumn="0" w:firstRowLastColumn="0" w:lastRowFirstColumn="0" w:lastRowLastColumn="0"/>
        </w:trPr>
        <w:tc>
          <w:tcPr>
            <w:tcW w:w="2616" w:type="dxa"/>
            <w:hideMark/>
          </w:tcPr>
          <w:p w14:paraId="60C6044D" w14:textId="77777777" w:rsidR="00413D97" w:rsidRPr="006B0163" w:rsidRDefault="00413D97">
            <w:pPr>
              <w:pStyle w:val="NormalWeb"/>
              <w:rPr>
                <w:sz w:val="18"/>
                <w:szCs w:val="18"/>
              </w:rPr>
            </w:pPr>
            <w:r w:rsidRPr="006B0163">
              <w:rPr>
                <w:sz w:val="18"/>
                <w:szCs w:val="18"/>
              </w:rPr>
              <w:t>Two or more</w:t>
            </w:r>
          </w:p>
        </w:tc>
        <w:tc>
          <w:tcPr>
            <w:tcW w:w="2617" w:type="dxa"/>
            <w:hideMark/>
          </w:tcPr>
          <w:p w14:paraId="279FE6A6" w14:textId="77777777" w:rsidR="00413D97" w:rsidRPr="006B0163" w:rsidRDefault="00413D97" w:rsidP="006B0163">
            <w:pPr>
              <w:pStyle w:val="NormalWeb"/>
              <w:jc w:val="center"/>
              <w:rPr>
                <w:sz w:val="18"/>
                <w:szCs w:val="18"/>
              </w:rPr>
            </w:pPr>
            <w:r w:rsidRPr="006B0163">
              <w:rPr>
                <w:sz w:val="18"/>
                <w:szCs w:val="18"/>
              </w:rPr>
              <w:t>44 (42)</w:t>
            </w:r>
          </w:p>
        </w:tc>
        <w:tc>
          <w:tcPr>
            <w:tcW w:w="2616" w:type="dxa"/>
            <w:hideMark/>
          </w:tcPr>
          <w:p w14:paraId="3C603EA1" w14:textId="77777777" w:rsidR="00413D97" w:rsidRPr="006B0163" w:rsidRDefault="00413D97" w:rsidP="006B0163">
            <w:pPr>
              <w:pStyle w:val="NormalWeb"/>
              <w:jc w:val="center"/>
              <w:rPr>
                <w:sz w:val="18"/>
                <w:szCs w:val="18"/>
              </w:rPr>
            </w:pPr>
            <w:r w:rsidRPr="006B0163">
              <w:rPr>
                <w:sz w:val="18"/>
                <w:szCs w:val="18"/>
              </w:rPr>
              <w:t>99 (33)</w:t>
            </w:r>
          </w:p>
        </w:tc>
        <w:tc>
          <w:tcPr>
            <w:tcW w:w="2617" w:type="dxa"/>
            <w:hideMark/>
          </w:tcPr>
          <w:p w14:paraId="534F7589" w14:textId="77777777" w:rsidR="00413D97" w:rsidRPr="006B0163" w:rsidRDefault="00413D97" w:rsidP="006B0163">
            <w:pPr>
              <w:pStyle w:val="NormalWeb"/>
              <w:jc w:val="center"/>
              <w:rPr>
                <w:sz w:val="18"/>
                <w:szCs w:val="18"/>
              </w:rPr>
            </w:pPr>
            <w:r w:rsidRPr="006B0163">
              <w:rPr>
                <w:sz w:val="18"/>
                <w:szCs w:val="18"/>
              </w:rPr>
              <w:t>20 (57)</w:t>
            </w:r>
          </w:p>
        </w:tc>
      </w:tr>
      <w:tr w:rsidR="00413D97" w:rsidRPr="006B0163" w14:paraId="46D59A27" w14:textId="77777777" w:rsidTr="000C66D3">
        <w:tc>
          <w:tcPr>
            <w:tcW w:w="2616" w:type="dxa"/>
            <w:hideMark/>
          </w:tcPr>
          <w:p w14:paraId="4C0EC292" w14:textId="77777777" w:rsidR="00413D97" w:rsidRPr="006B0163" w:rsidRDefault="00413D97">
            <w:pPr>
              <w:pStyle w:val="NormalWeb"/>
              <w:rPr>
                <w:sz w:val="18"/>
                <w:szCs w:val="18"/>
              </w:rPr>
            </w:pPr>
            <w:r w:rsidRPr="006B0163">
              <w:rPr>
                <w:sz w:val="18"/>
                <w:szCs w:val="18"/>
              </w:rPr>
              <w:t>Three or more</w:t>
            </w:r>
          </w:p>
        </w:tc>
        <w:tc>
          <w:tcPr>
            <w:tcW w:w="2617" w:type="dxa"/>
            <w:hideMark/>
          </w:tcPr>
          <w:p w14:paraId="6D4B400A" w14:textId="77777777" w:rsidR="00413D97" w:rsidRPr="006B0163" w:rsidRDefault="00413D97" w:rsidP="006B0163">
            <w:pPr>
              <w:pStyle w:val="NormalWeb"/>
              <w:jc w:val="center"/>
              <w:rPr>
                <w:sz w:val="18"/>
                <w:szCs w:val="18"/>
              </w:rPr>
            </w:pPr>
            <w:r w:rsidRPr="006B0163">
              <w:rPr>
                <w:sz w:val="18"/>
                <w:szCs w:val="18"/>
              </w:rPr>
              <w:t>17 (16)</w:t>
            </w:r>
          </w:p>
        </w:tc>
        <w:tc>
          <w:tcPr>
            <w:tcW w:w="2616" w:type="dxa"/>
            <w:hideMark/>
          </w:tcPr>
          <w:p w14:paraId="7AE4BA23" w14:textId="77777777" w:rsidR="00413D97" w:rsidRPr="006B0163" w:rsidRDefault="00413D97" w:rsidP="006B0163">
            <w:pPr>
              <w:pStyle w:val="NormalWeb"/>
              <w:jc w:val="center"/>
              <w:rPr>
                <w:sz w:val="18"/>
                <w:szCs w:val="18"/>
              </w:rPr>
            </w:pPr>
            <w:r w:rsidRPr="006B0163">
              <w:rPr>
                <w:sz w:val="18"/>
                <w:szCs w:val="18"/>
              </w:rPr>
              <w:t>39 (13)</w:t>
            </w:r>
          </w:p>
        </w:tc>
        <w:tc>
          <w:tcPr>
            <w:tcW w:w="2617" w:type="dxa"/>
            <w:hideMark/>
          </w:tcPr>
          <w:p w14:paraId="33C5D052" w14:textId="77777777" w:rsidR="00413D97" w:rsidRPr="006B0163" w:rsidRDefault="00413D97" w:rsidP="006B0163">
            <w:pPr>
              <w:pStyle w:val="NormalWeb"/>
              <w:jc w:val="center"/>
              <w:rPr>
                <w:sz w:val="18"/>
                <w:szCs w:val="18"/>
              </w:rPr>
            </w:pPr>
            <w:r w:rsidRPr="006B0163">
              <w:rPr>
                <w:sz w:val="18"/>
                <w:szCs w:val="18"/>
              </w:rPr>
              <w:t>12 (34)</w:t>
            </w:r>
          </w:p>
        </w:tc>
      </w:tr>
      <w:tr w:rsidR="00413D97" w:rsidRPr="006B0163" w14:paraId="31BAA0DE" w14:textId="77777777" w:rsidTr="000C66D3">
        <w:trPr>
          <w:cnfStyle w:val="000000010000" w:firstRow="0" w:lastRow="0" w:firstColumn="0" w:lastColumn="0" w:oddVBand="0" w:evenVBand="0" w:oddHBand="0" w:evenHBand="1" w:firstRowFirstColumn="0" w:firstRowLastColumn="0" w:lastRowFirstColumn="0" w:lastRowLastColumn="0"/>
        </w:trPr>
        <w:tc>
          <w:tcPr>
            <w:tcW w:w="2616" w:type="dxa"/>
            <w:hideMark/>
          </w:tcPr>
          <w:p w14:paraId="0B87A522" w14:textId="77777777" w:rsidR="00413D97" w:rsidRPr="006B0163" w:rsidRDefault="00413D97">
            <w:pPr>
              <w:pStyle w:val="NormalWeb"/>
              <w:rPr>
                <w:sz w:val="18"/>
                <w:szCs w:val="18"/>
              </w:rPr>
            </w:pPr>
            <w:r w:rsidRPr="006B0163">
              <w:rPr>
                <w:sz w:val="18"/>
                <w:szCs w:val="18"/>
              </w:rPr>
              <w:t>No comorbidities</w:t>
            </w:r>
          </w:p>
        </w:tc>
        <w:tc>
          <w:tcPr>
            <w:tcW w:w="2617" w:type="dxa"/>
            <w:hideMark/>
          </w:tcPr>
          <w:p w14:paraId="6DD6D075" w14:textId="77777777" w:rsidR="00413D97" w:rsidRPr="006B0163" w:rsidRDefault="00413D97" w:rsidP="006B0163">
            <w:pPr>
              <w:pStyle w:val="NormalWeb"/>
              <w:jc w:val="center"/>
              <w:rPr>
                <w:sz w:val="18"/>
                <w:szCs w:val="18"/>
              </w:rPr>
            </w:pPr>
            <w:r w:rsidRPr="006B0163">
              <w:rPr>
                <w:sz w:val="18"/>
                <w:szCs w:val="18"/>
              </w:rPr>
              <w:t>19 (18)</w:t>
            </w:r>
          </w:p>
        </w:tc>
        <w:tc>
          <w:tcPr>
            <w:tcW w:w="2616" w:type="dxa"/>
            <w:hideMark/>
          </w:tcPr>
          <w:p w14:paraId="650800CD" w14:textId="77777777" w:rsidR="00413D97" w:rsidRPr="006B0163" w:rsidRDefault="00413D97" w:rsidP="006B0163">
            <w:pPr>
              <w:pStyle w:val="NormalWeb"/>
              <w:jc w:val="center"/>
              <w:rPr>
                <w:sz w:val="18"/>
                <w:szCs w:val="18"/>
              </w:rPr>
            </w:pPr>
            <w:r w:rsidRPr="006B0163">
              <w:rPr>
                <w:sz w:val="18"/>
                <w:szCs w:val="18"/>
              </w:rPr>
              <w:t>111 (37)</w:t>
            </w:r>
          </w:p>
        </w:tc>
        <w:tc>
          <w:tcPr>
            <w:tcW w:w="2617" w:type="dxa"/>
            <w:hideMark/>
          </w:tcPr>
          <w:p w14:paraId="7F13B2AD" w14:textId="77777777" w:rsidR="00413D97" w:rsidRPr="006B0163" w:rsidRDefault="00413D97" w:rsidP="006B0163">
            <w:pPr>
              <w:pStyle w:val="NormalWeb"/>
              <w:jc w:val="center"/>
              <w:rPr>
                <w:sz w:val="18"/>
                <w:szCs w:val="18"/>
              </w:rPr>
            </w:pPr>
            <w:r w:rsidRPr="006B0163">
              <w:rPr>
                <w:sz w:val="18"/>
                <w:szCs w:val="18"/>
              </w:rPr>
              <w:t>7 (20)</w:t>
            </w:r>
          </w:p>
        </w:tc>
      </w:tr>
    </w:tbl>
    <w:p w14:paraId="5FBA2E9A" w14:textId="77777777" w:rsidR="00413D97" w:rsidRDefault="00413D97" w:rsidP="002466C8">
      <w:pPr>
        <w:pStyle w:val="CDIfootnotes"/>
      </w:pPr>
      <w:r>
        <w:t>a</w:t>
      </w:r>
      <w:r>
        <w:tab/>
        <w:t>Source: FluCAN; excludes those with missing data on comorbidities or where comorbidity is unknown.</w:t>
      </w:r>
    </w:p>
    <w:p w14:paraId="049AAE81" w14:textId="77777777" w:rsidR="00413D97" w:rsidRDefault="00413D97" w:rsidP="002466C8">
      <w:pPr>
        <w:pStyle w:val="CDIfootnotes"/>
      </w:pPr>
      <w:r>
        <w:t>b</w:t>
      </w:r>
      <w:r>
        <w:tab/>
        <w:t>Source: SPRINT-SARI; excludes those with missing data on comorbidities or where comorbidity is unknown.</w:t>
      </w:r>
    </w:p>
    <w:p w14:paraId="3D253533" w14:textId="77777777" w:rsidR="00413D97" w:rsidRDefault="00413D97" w:rsidP="002466C8">
      <w:pPr>
        <w:pStyle w:val="CDIfootnotes"/>
      </w:pPr>
      <w:r>
        <w:t>c</w:t>
      </w:r>
      <w:r>
        <w:tab/>
        <w:t>Includes asthma.</w:t>
      </w:r>
    </w:p>
    <w:p w14:paraId="5776B10E" w14:textId="77777777" w:rsidR="00413D97" w:rsidRDefault="00413D97" w:rsidP="002466C8">
      <w:pPr>
        <w:pStyle w:val="CDIfootnotes"/>
      </w:pPr>
      <w:r>
        <w:t>d</w:t>
      </w:r>
      <w:r>
        <w:tab/>
        <w:t xml:space="preserve">Includes chronic respiratory conditions, cardiac disease (excluding hypertension), immunosuppressive condition/therapy, diabetes, obesity, liver disease, renal </w:t>
      </w:r>
      <w:proofErr w:type="gramStart"/>
      <w:r>
        <w:t>disease</w:t>
      </w:r>
      <w:proofErr w:type="gramEnd"/>
      <w:r>
        <w:t xml:space="preserve"> and neurological disorder. </w:t>
      </w:r>
    </w:p>
    <w:p w14:paraId="7F734385" w14:textId="77777777" w:rsidR="00413D97" w:rsidRDefault="00413D97">
      <w:pPr>
        <w:pStyle w:val="Heading1"/>
        <w:rPr>
          <w:rFonts w:eastAsia="Times New Roman"/>
        </w:rPr>
      </w:pPr>
      <w:r>
        <w:rPr>
          <w:rFonts w:eastAsia="Times New Roman"/>
        </w:rPr>
        <w:t xml:space="preserve">Comorbidities </w:t>
      </w:r>
    </w:p>
    <w:p w14:paraId="03F23291" w14:textId="77777777" w:rsidR="00413D97" w:rsidRDefault="00413D97">
      <w:pPr>
        <w:pStyle w:val="NormalWeb"/>
      </w:pPr>
      <w:r>
        <w:t>Comorbidities were common in those COVID-19 cases admitted to Australian sentinel hospitals (general ward or ICU), with 78% recording at least one of the specified comorbidities; only 9% recorded no comorbidity. The proportion of hospitalised cases with no known comorbidity recorded in U.S hospital surveillance system COVID-NET was also reportedly 9%</w:t>
      </w:r>
      <w:r w:rsidR="00E70E48">
        <w:t>.</w:t>
      </w:r>
      <w:r>
        <w:rPr>
          <w:vertAlign w:val="superscript"/>
        </w:rPr>
        <w:t>10</w:t>
      </w:r>
      <w:r>
        <w:t xml:space="preserve"> By contrast, in the UK, 22.5% of 20,133 hospitalised COVID-19 cases had no recorded comorbidities.</w:t>
      </w:r>
      <w:r>
        <w:rPr>
          <w:vertAlign w:val="superscript"/>
        </w:rPr>
        <w:t>6,9</w:t>
      </w:r>
      <w:r>
        <w:t xml:space="preserve"> This UK study reports similar prevalence estimates for key comorbidities amongst hospitalised COVID-19 patients as found in Australian data. In sentinel Australian sites, chronic cardiac disease occurred in 29% of hospitalised cases (30.9% in the UK), diabetes in 32% (20.7% UK) and chronic respiratory disease (including asthma) in 31% of hospitalised cases (32% UK study). </w:t>
      </w:r>
    </w:p>
    <w:p w14:paraId="7D8A91DB" w14:textId="77777777" w:rsidR="00413D97" w:rsidRDefault="00413D97">
      <w:pPr>
        <w:pStyle w:val="NormalWeb"/>
      </w:pPr>
      <w:r>
        <w:t xml:space="preserve">Compared to ward-admitted patients, we observed higher prevalence rates amongst those admitted to ICU for almost all specified comorbidities (Table 7). A history of smoking (current or past smoker) was identified in 31% of those hospitalised (52/166) and 14% those admitted to ICU (41/292). </w:t>
      </w:r>
    </w:p>
    <w:p w14:paraId="480A6CB4" w14:textId="77777777" w:rsidR="0064616F" w:rsidRDefault="0064616F">
      <w:pPr>
        <w:rPr>
          <w:rFonts w:asciiTheme="majorHAnsi" w:eastAsia="Times New Roman" w:hAnsiTheme="majorHAnsi" w:cstheme="majorBidi"/>
          <w:b/>
          <w:bCs/>
          <w:sz w:val="32"/>
          <w:szCs w:val="28"/>
        </w:rPr>
      </w:pPr>
      <w:r>
        <w:rPr>
          <w:rFonts w:eastAsia="Times New Roman"/>
        </w:rPr>
        <w:br w:type="page"/>
      </w:r>
    </w:p>
    <w:p w14:paraId="52F90FD4" w14:textId="77777777" w:rsidR="00413D97" w:rsidRDefault="00413D97">
      <w:pPr>
        <w:pStyle w:val="Heading1"/>
        <w:rPr>
          <w:rFonts w:eastAsia="Times New Roman"/>
        </w:rPr>
      </w:pPr>
      <w:r>
        <w:rPr>
          <w:rFonts w:eastAsia="Times New Roman"/>
        </w:rPr>
        <w:lastRenderedPageBreak/>
        <w:t xml:space="preserve">Symptom profile </w:t>
      </w:r>
    </w:p>
    <w:p w14:paraId="37E11B12" w14:textId="77777777" w:rsidR="00413D97" w:rsidRDefault="00413D97">
      <w:pPr>
        <w:pStyle w:val="NormalWeb"/>
      </w:pPr>
      <w:r>
        <w:t xml:space="preserve">The symptoms reported by COVID-19 cases in Australia are consistent with a mild respiratory infection in the majority of cases. The principal symptoms reported in cases (Figure B.1) were cough (42%), fever (30%), sore throat (27%) and headache (20%). Other symptoms reported include malaise, lethargy or fatigue (20%) and loss of taste or smell (10%). These are currently not standard fields in NNDSS, and are likely to under-represent those presenting with these symptoms. A small number of cases reported more severe symptoms, with pneumonia and/or acute respiratory disease (ARD) reported in 2% of cases and in 15% of deaths. </w:t>
      </w:r>
    </w:p>
    <w:p w14:paraId="51D86053" w14:textId="77777777" w:rsidR="00413D97" w:rsidRDefault="00413D97">
      <w:pPr>
        <w:pStyle w:val="NormalWeb"/>
      </w:pPr>
      <w:r>
        <w:t xml:space="preserve">In more severe cases cough, fever and shortness of breath were the most common symptoms reported, as well as an increasing proportion reporting malaise/lethargy/fatigue or acute respiratory syndrome/pneumonia with increasing severity. The proportion reporting a loss or taste or smell dropped with increasing severity. The completeness of the symptom field in the NNDSS was 99%, with 73% of records indicating known symptoms. </w:t>
      </w:r>
    </w:p>
    <w:p w14:paraId="74F4215F" w14:textId="77777777" w:rsidR="00413D97" w:rsidRDefault="00413D97">
      <w:pPr>
        <w:pStyle w:val="NormalWeb"/>
      </w:pPr>
      <w:r>
        <w:t>The symptom profile of Australian cases is broadly similar to the symptoms reported by COVID-19 cases internationally. Among EU/EEA countries and the UK, a dry or productive cough and fever/chills were the most commonly reported symptoms.</w:t>
      </w:r>
      <w:r>
        <w:rPr>
          <w:vertAlign w:val="superscript"/>
        </w:rPr>
        <w:t>5</w:t>
      </w:r>
      <w:r>
        <w:t xml:space="preserve"> Differences in reported symptoms will be influenced by differences in surveillance strategies and symptom reporting across countries. </w:t>
      </w:r>
    </w:p>
    <w:p w14:paraId="54B135D1" w14:textId="77777777" w:rsidR="00413D97" w:rsidRDefault="00413D97">
      <w:pPr>
        <w:pStyle w:val="Heading1"/>
        <w:rPr>
          <w:rFonts w:eastAsia="Times New Roman"/>
        </w:rPr>
      </w:pPr>
      <w:r>
        <w:rPr>
          <w:rFonts w:eastAsia="Times New Roman"/>
        </w:rPr>
        <w:t xml:space="preserve">Aboriginal and Torres Strait Islander persons </w:t>
      </w:r>
    </w:p>
    <w:p w14:paraId="2D6A79F4" w14:textId="77777777" w:rsidR="00413D97" w:rsidRDefault="00413D97">
      <w:pPr>
        <w:pStyle w:val="NormalWeb"/>
      </w:pPr>
      <w:r>
        <w:t xml:space="preserve">There have been 107 cases of COVID-19 notified in Aboriginal and Torres Strait Islander persons. This represents approximately 0.6% of all confirmed cases. Table 8 compares the remoteness of cases in Aboriginal and Torres Strait Islander persons with those in the non-Indigenous population. Approximately 28% (30) of all cases notified in Aboriginal and Torres Strait Islander persons are reported as being acquired overseas with almost half of these (13 cases) associated with cruise ships. </w:t>
      </w:r>
    </w:p>
    <w:p w14:paraId="68D5561D" w14:textId="77777777" w:rsidR="00413D97" w:rsidRDefault="00413D97">
      <w:pPr>
        <w:pStyle w:val="NormalWeb"/>
      </w:pPr>
      <w:r>
        <w:t xml:space="preserve">By gender, there is a higher proportion of cases in Aboriginal and Torres Strait Islander females (56%, 60 cases) than in non-Indigenous females (49%, 9,026 cases). The differences observed in gender for Aboriginal and Torres Strait Islander people likely reflect the small number of cases rather than any specific transmission pattern. </w:t>
      </w:r>
    </w:p>
    <w:p w14:paraId="5B557385" w14:textId="77777777" w:rsidR="00413D97" w:rsidRDefault="00413D97">
      <w:pPr>
        <w:pStyle w:val="NormalWeb"/>
      </w:pPr>
      <w:r>
        <w:t>The median age of COVID-19 cases in Aboriginal and Torres Strait Islander persons is 34 years (IQR: 22.5–52.0), which is younger than for non-Indigenous cases where the median age is 38 years (IQR: 25.0–57.0). Overall, Aboriginal and Torres Strait Islander males are reporting a slightly higher proportion of cases in the 20–29 year age group (28%) compared to non-Indigenous cases (22%) and Aboriginal and Torres Strait Islander females are reporting a higher proportion of cases in the 10–19 year and 50–59 year age groups (13% and 18% respectively) than is seen among non-Indigenous cases (7% and 13% respectively) (Figure 10).</w:t>
      </w:r>
    </w:p>
    <w:p w14:paraId="783D9F1D" w14:textId="77777777" w:rsidR="00AF6F29" w:rsidRDefault="00AF6F29">
      <w:pPr>
        <w:rPr>
          <w:b/>
        </w:rPr>
      </w:pPr>
      <w:r>
        <w:br w:type="page"/>
      </w:r>
    </w:p>
    <w:p w14:paraId="6F0E07A7" w14:textId="77777777" w:rsidR="00413D97" w:rsidRDefault="00413D97" w:rsidP="00556630">
      <w:pPr>
        <w:pStyle w:val="CDIFigures"/>
      </w:pPr>
      <w:r>
        <w:lastRenderedPageBreak/>
        <w:t xml:space="preserve">Figure 10: National COVID-19 notifications by age group and sex, Aboriginal and Torres Strait Islander persons and non-Indigenous </w:t>
      </w:r>
      <w:proofErr w:type="spellStart"/>
      <w:r>
        <w:t>Australians</w:t>
      </w:r>
      <w:r w:rsidRPr="00556630">
        <w:rPr>
          <w:vertAlign w:val="superscript"/>
        </w:rPr>
        <w:t>a</w:t>
      </w:r>
      <w:proofErr w:type="spellEnd"/>
    </w:p>
    <w:p w14:paraId="08489612" w14:textId="77777777" w:rsidR="00413D97" w:rsidRDefault="00413D97" w:rsidP="00AF6F29">
      <w:pPr>
        <w:pStyle w:val="NormalWeb"/>
        <w:jc w:val="center"/>
      </w:pPr>
      <w:r>
        <w:rPr>
          <w:noProof/>
        </w:rPr>
        <w:drawing>
          <wp:inline distT="0" distB="0" distL="0" distR="0" wp14:anchorId="641AF92C" wp14:editId="3330065F">
            <wp:extent cx="4696445" cy="8140700"/>
            <wp:effectExtent l="0" t="0" r="9525" b="0"/>
            <wp:docPr id="12" name="Picture 12" descr="A bar chart showing the dependence, of confirmed COVID-19 cases, on age group, Aboriginal and Torres Strait Islander status, and sex. Notifications are highest in the 20 to 29 age group for both males and females, with cases among males predominating in this age group among Aboriginal and Torres Strait Islander persons while there is a higher percentage of cases in this age group among non-Indigenous fem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bar chart showing the dependence, of confirmed COVID-19 cases, on age group, Aboriginal and Torres Strait Islander status, and sex. Notifications are highest in the 20 to 29 age group for both males and females, with cases among males predominating in this age group among Aboriginal and Torres Strait Islander persons while there is a higher percentage of cases in this age group among non-Indigenous females."/>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4698465" cy="8144202"/>
                    </a:xfrm>
                    <a:prstGeom prst="rect">
                      <a:avLst/>
                    </a:prstGeom>
                  </pic:spPr>
                </pic:pic>
              </a:graphicData>
            </a:graphic>
          </wp:inline>
        </w:drawing>
      </w:r>
    </w:p>
    <w:p w14:paraId="63B1E284" w14:textId="77777777" w:rsidR="00413D97" w:rsidRDefault="00413D97" w:rsidP="00EA412B">
      <w:pPr>
        <w:pStyle w:val="CDIfootnotes"/>
      </w:pPr>
      <w:r>
        <w:t>a</w:t>
      </w:r>
      <w:r>
        <w:tab/>
        <w:t>‘</w:t>
      </w:r>
      <w:proofErr w:type="gramStart"/>
      <w:r>
        <w:t>Non-Indigenous’</w:t>
      </w:r>
      <w:proofErr w:type="gramEnd"/>
      <w:r>
        <w:t xml:space="preserve"> includes one person identified as gender X, and 88 non-Indigenous Australians with unknown gender.</w:t>
      </w:r>
    </w:p>
    <w:p w14:paraId="3A4BC1B6" w14:textId="77777777" w:rsidR="00413D97" w:rsidRDefault="00413D97" w:rsidP="00EA412B">
      <w:r>
        <w:lastRenderedPageBreak/>
        <w:t>For NNDSS, completeness of reporting in the Aboriginal and Torres Strait Islander field remains steady at 88%.</w:t>
      </w:r>
    </w:p>
    <w:p w14:paraId="07534234" w14:textId="77777777" w:rsidR="00413D97" w:rsidRDefault="00413D97" w:rsidP="00EA412B">
      <w:pPr>
        <w:pStyle w:val="CDIFigures"/>
      </w:pPr>
      <w:r>
        <w:t>Table 8: COVID-19 notifications by Aboriginal and Torres Strait Islander status by jurisdiction, source of acquisition and remoteness classification as at 2 August 2020</w:t>
      </w:r>
      <w:r w:rsidRPr="000953C0">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8 shows the notifications among Aboriginal and Torres Strait Islander people, and for all Australian cases, by place of acquisition and, for locally-acquired cases, by remoteness classification. There have been 107 notifications in Aboriginal and Torres Strait Islander people, with 30 of these cases overseas-acquired. Nationwide, notifications of locally-acquired cases among Aboriginal and Torres Strait Islander people have occurred predominantly within major cities of Australia (55 cases) rather than in inner regional Australia (11 cases) or outer regional Australia (7 cases). The trend across all locally-acquired Australian cases is broadly similar. Of 24 cases to date reported in remote or very remote Australia, 3 are in an Aboriginal or Torres Strait Islander person."/>
      </w:tblPr>
      <w:tblGrid>
        <w:gridCol w:w="1904"/>
        <w:gridCol w:w="1397"/>
        <w:gridCol w:w="1391"/>
        <w:gridCol w:w="1412"/>
        <w:gridCol w:w="1734"/>
        <w:gridCol w:w="1173"/>
        <w:gridCol w:w="839"/>
        <w:gridCol w:w="616"/>
      </w:tblGrid>
      <w:tr w:rsidR="00EA412B" w:rsidRPr="00EA412B" w14:paraId="6FFD6AE9" w14:textId="77777777" w:rsidTr="00706E6D">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hideMark/>
          </w:tcPr>
          <w:p w14:paraId="201F8BA0" w14:textId="77777777" w:rsidR="00413D97" w:rsidRPr="00EA412B" w:rsidRDefault="00413D97">
            <w:pPr>
              <w:rPr>
                <w:color w:val="FFFFFF" w:themeColor="background1"/>
                <w:sz w:val="18"/>
                <w:szCs w:val="18"/>
              </w:rPr>
            </w:pPr>
          </w:p>
        </w:tc>
        <w:tc>
          <w:tcPr>
            <w:tcW w:w="0" w:type="auto"/>
            <w:gridSpan w:val="4"/>
            <w:tcBorders>
              <w:left w:val="single" w:sz="2" w:space="0" w:color="FFFFFF" w:themeColor="background1"/>
              <w:bottom w:val="single" w:sz="2" w:space="0" w:color="FFFFFF" w:themeColor="background1"/>
              <w:right w:val="single" w:sz="2" w:space="0" w:color="FFFFFF" w:themeColor="background1"/>
            </w:tcBorders>
            <w:hideMark/>
          </w:tcPr>
          <w:p w14:paraId="753C3E95" w14:textId="77777777" w:rsidR="00413D97" w:rsidRPr="00EA412B" w:rsidRDefault="00413D97" w:rsidP="00EA412B">
            <w:pPr>
              <w:pStyle w:val="NormalWeb"/>
              <w:jc w:val="center"/>
              <w:rPr>
                <w:color w:val="FFFFFF" w:themeColor="background1"/>
                <w:sz w:val="18"/>
                <w:szCs w:val="18"/>
              </w:rPr>
            </w:pPr>
            <w:r w:rsidRPr="00EA412B">
              <w:rPr>
                <w:color w:val="FFFFFF" w:themeColor="background1"/>
                <w:sz w:val="18"/>
                <w:szCs w:val="18"/>
              </w:rPr>
              <w:t xml:space="preserve">Locally </w:t>
            </w:r>
            <w:proofErr w:type="spellStart"/>
            <w:r w:rsidRPr="00EA412B">
              <w:rPr>
                <w:color w:val="FFFFFF" w:themeColor="background1"/>
                <w:sz w:val="18"/>
                <w:szCs w:val="18"/>
              </w:rPr>
              <w:t>acquired</w:t>
            </w:r>
            <w:r w:rsidRPr="00EA412B">
              <w:rPr>
                <w:color w:val="FFFFFF" w:themeColor="background1"/>
                <w:sz w:val="18"/>
                <w:szCs w:val="18"/>
                <w:vertAlign w:val="superscript"/>
              </w:rPr>
              <w:t>b</w:t>
            </w:r>
            <w:proofErr w:type="spellEnd"/>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2339C295" w14:textId="77777777" w:rsidR="00413D97" w:rsidRPr="00EA412B" w:rsidRDefault="00413D97" w:rsidP="00EA412B">
            <w:pPr>
              <w:pStyle w:val="NormalWeb"/>
              <w:jc w:val="center"/>
              <w:rPr>
                <w:color w:val="FFFFFF" w:themeColor="background1"/>
                <w:sz w:val="18"/>
                <w:szCs w:val="18"/>
              </w:rPr>
            </w:pPr>
            <w:r w:rsidRPr="00EA412B">
              <w:rPr>
                <w:color w:val="FFFFFF" w:themeColor="background1"/>
                <w:sz w:val="18"/>
                <w:szCs w:val="18"/>
              </w:rPr>
              <w:t>Overseas 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79EA89B2" w14:textId="77777777" w:rsidR="00413D97" w:rsidRPr="00EA412B" w:rsidRDefault="00413D97" w:rsidP="00EA412B">
            <w:pPr>
              <w:pStyle w:val="NormalWeb"/>
              <w:jc w:val="center"/>
              <w:rPr>
                <w:color w:val="FFFFFF" w:themeColor="background1"/>
                <w:sz w:val="18"/>
                <w:szCs w:val="18"/>
              </w:rPr>
            </w:pPr>
            <w:r w:rsidRPr="00EA412B">
              <w:rPr>
                <w:color w:val="FFFFFF" w:themeColor="background1"/>
                <w:sz w:val="18"/>
                <w:szCs w:val="18"/>
              </w:rPr>
              <w:t>Unknown</w:t>
            </w:r>
          </w:p>
        </w:tc>
        <w:tc>
          <w:tcPr>
            <w:tcW w:w="0" w:type="auto"/>
            <w:vMerge w:val="restart"/>
            <w:tcBorders>
              <w:left w:val="single" w:sz="2" w:space="0" w:color="FFFFFF" w:themeColor="background1"/>
              <w:bottom w:val="single" w:sz="2" w:space="0" w:color="FFFFFF" w:themeColor="background1"/>
            </w:tcBorders>
            <w:hideMark/>
          </w:tcPr>
          <w:p w14:paraId="35B15B04" w14:textId="77777777" w:rsidR="00413D97" w:rsidRPr="00EA412B" w:rsidRDefault="00413D97" w:rsidP="00EA412B">
            <w:pPr>
              <w:pStyle w:val="NormalWeb"/>
              <w:jc w:val="center"/>
              <w:rPr>
                <w:color w:val="FFFFFF" w:themeColor="background1"/>
                <w:sz w:val="18"/>
                <w:szCs w:val="18"/>
              </w:rPr>
            </w:pPr>
            <w:r w:rsidRPr="00EA412B">
              <w:rPr>
                <w:color w:val="FFFFFF" w:themeColor="background1"/>
                <w:sz w:val="18"/>
                <w:szCs w:val="18"/>
              </w:rPr>
              <w:t>Total</w:t>
            </w:r>
          </w:p>
        </w:tc>
      </w:tr>
      <w:tr w:rsidR="00EA412B" w:rsidRPr="00EA412B" w14:paraId="4F9B7855" w14:textId="77777777" w:rsidTr="00706E6D">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14:paraId="67FB7144" w14:textId="77777777" w:rsidR="00413D97" w:rsidRPr="00EA412B" w:rsidRDefault="00413D97">
            <w:pP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4352B06" w14:textId="77777777" w:rsidR="00413D97" w:rsidRPr="00EA412B" w:rsidRDefault="00413D97" w:rsidP="00EA412B">
            <w:pPr>
              <w:pStyle w:val="NormalWeb"/>
              <w:jc w:val="center"/>
              <w:rPr>
                <w:color w:val="FFFFFF" w:themeColor="background1"/>
                <w:sz w:val="18"/>
                <w:szCs w:val="18"/>
              </w:rPr>
            </w:pPr>
            <w:r w:rsidRPr="00EA412B">
              <w:rPr>
                <w:color w:val="FFFFFF" w:themeColor="background1"/>
                <w:sz w:val="18"/>
                <w:szCs w:val="18"/>
              </w:rPr>
              <w:t>Major Cities of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6C05F8A" w14:textId="77777777" w:rsidR="00413D97" w:rsidRPr="00EA412B" w:rsidRDefault="00413D97" w:rsidP="00EA412B">
            <w:pPr>
              <w:pStyle w:val="NormalWeb"/>
              <w:jc w:val="center"/>
              <w:rPr>
                <w:color w:val="FFFFFF" w:themeColor="background1"/>
                <w:sz w:val="18"/>
                <w:szCs w:val="18"/>
              </w:rPr>
            </w:pPr>
            <w:r w:rsidRPr="00EA412B">
              <w:rPr>
                <w:color w:val="FFFFFF" w:themeColor="background1"/>
                <w:sz w:val="18"/>
                <w:szCs w:val="18"/>
              </w:rPr>
              <w:t>Inner Regional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D1E3395" w14:textId="77777777" w:rsidR="00413D97" w:rsidRPr="00EA412B" w:rsidRDefault="00413D97" w:rsidP="00EA412B">
            <w:pPr>
              <w:pStyle w:val="NormalWeb"/>
              <w:jc w:val="center"/>
              <w:rPr>
                <w:color w:val="FFFFFF" w:themeColor="background1"/>
                <w:sz w:val="18"/>
                <w:szCs w:val="18"/>
              </w:rPr>
            </w:pPr>
            <w:r w:rsidRPr="00EA412B">
              <w:rPr>
                <w:color w:val="FFFFFF" w:themeColor="background1"/>
                <w:sz w:val="18"/>
                <w:szCs w:val="18"/>
              </w:rPr>
              <w:t>Outer Regional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AADBE1D" w14:textId="77777777" w:rsidR="00413D97" w:rsidRPr="00EA412B" w:rsidRDefault="00413D97" w:rsidP="00EA412B">
            <w:pPr>
              <w:pStyle w:val="NormalWeb"/>
              <w:jc w:val="center"/>
              <w:rPr>
                <w:color w:val="FFFFFF" w:themeColor="background1"/>
                <w:sz w:val="18"/>
                <w:szCs w:val="18"/>
              </w:rPr>
            </w:pPr>
            <w:r w:rsidRPr="00EA412B">
              <w:rPr>
                <w:color w:val="FFFFFF" w:themeColor="background1"/>
                <w:sz w:val="18"/>
                <w:szCs w:val="18"/>
              </w:rPr>
              <w:t>Remote / Very Remote Australia</w:t>
            </w: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16630FFE" w14:textId="77777777" w:rsidR="00413D97" w:rsidRPr="00EA412B" w:rsidRDefault="00413D97" w:rsidP="00EA412B">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71693240" w14:textId="77777777" w:rsidR="00413D97" w:rsidRPr="00EA412B" w:rsidRDefault="00413D97" w:rsidP="00EA412B">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tcBorders>
            <w:hideMark/>
          </w:tcPr>
          <w:p w14:paraId="6BB9BD2E" w14:textId="77777777" w:rsidR="00413D97" w:rsidRPr="00EA412B" w:rsidRDefault="00413D97" w:rsidP="00EA412B">
            <w:pPr>
              <w:jc w:val="center"/>
              <w:rPr>
                <w:color w:val="FFFFFF" w:themeColor="background1"/>
                <w:sz w:val="18"/>
                <w:szCs w:val="18"/>
              </w:rPr>
            </w:pPr>
          </w:p>
        </w:tc>
      </w:tr>
      <w:tr w:rsidR="00413D97" w:rsidRPr="00EA412B" w14:paraId="4CFA6CD0" w14:textId="77777777" w:rsidTr="00D41F7C">
        <w:tc>
          <w:tcPr>
            <w:tcW w:w="0" w:type="auto"/>
            <w:hideMark/>
          </w:tcPr>
          <w:p w14:paraId="1A644101" w14:textId="77777777" w:rsidR="00413D97" w:rsidRPr="00EA412B" w:rsidRDefault="00413D97">
            <w:pPr>
              <w:pStyle w:val="NormalWeb"/>
              <w:rPr>
                <w:sz w:val="18"/>
                <w:szCs w:val="18"/>
              </w:rPr>
            </w:pPr>
            <w:r w:rsidRPr="00EA412B">
              <w:rPr>
                <w:sz w:val="18"/>
                <w:szCs w:val="18"/>
              </w:rPr>
              <w:t>Aboriginal and Torres Strait Islander</w:t>
            </w:r>
          </w:p>
        </w:tc>
        <w:tc>
          <w:tcPr>
            <w:tcW w:w="0" w:type="auto"/>
            <w:hideMark/>
          </w:tcPr>
          <w:p w14:paraId="131E7AF7" w14:textId="77777777" w:rsidR="00413D97" w:rsidRPr="00EA412B" w:rsidRDefault="00413D97" w:rsidP="00EA412B">
            <w:pPr>
              <w:pStyle w:val="NormalWeb"/>
              <w:jc w:val="center"/>
              <w:rPr>
                <w:sz w:val="18"/>
                <w:szCs w:val="18"/>
              </w:rPr>
            </w:pPr>
            <w:r w:rsidRPr="00EA412B">
              <w:rPr>
                <w:sz w:val="18"/>
                <w:szCs w:val="18"/>
              </w:rPr>
              <w:t>55</w:t>
            </w:r>
          </w:p>
        </w:tc>
        <w:tc>
          <w:tcPr>
            <w:tcW w:w="0" w:type="auto"/>
            <w:hideMark/>
          </w:tcPr>
          <w:p w14:paraId="136000AB" w14:textId="77777777" w:rsidR="00413D97" w:rsidRPr="00EA412B" w:rsidRDefault="00413D97" w:rsidP="00EA412B">
            <w:pPr>
              <w:pStyle w:val="NormalWeb"/>
              <w:jc w:val="center"/>
              <w:rPr>
                <w:sz w:val="18"/>
                <w:szCs w:val="18"/>
              </w:rPr>
            </w:pPr>
            <w:r w:rsidRPr="00EA412B">
              <w:rPr>
                <w:sz w:val="18"/>
                <w:szCs w:val="18"/>
              </w:rPr>
              <w:t>11</w:t>
            </w:r>
          </w:p>
        </w:tc>
        <w:tc>
          <w:tcPr>
            <w:tcW w:w="0" w:type="auto"/>
            <w:hideMark/>
          </w:tcPr>
          <w:p w14:paraId="650656AB" w14:textId="77777777" w:rsidR="00413D97" w:rsidRPr="00EA412B" w:rsidRDefault="00413D97" w:rsidP="00EA412B">
            <w:pPr>
              <w:pStyle w:val="NormalWeb"/>
              <w:jc w:val="center"/>
              <w:rPr>
                <w:sz w:val="18"/>
                <w:szCs w:val="18"/>
              </w:rPr>
            </w:pPr>
            <w:r w:rsidRPr="00EA412B">
              <w:rPr>
                <w:sz w:val="18"/>
                <w:szCs w:val="18"/>
              </w:rPr>
              <w:t>7</w:t>
            </w:r>
          </w:p>
        </w:tc>
        <w:tc>
          <w:tcPr>
            <w:tcW w:w="0" w:type="auto"/>
            <w:hideMark/>
          </w:tcPr>
          <w:p w14:paraId="3F37C0F4" w14:textId="77777777" w:rsidR="00413D97" w:rsidRPr="00EA412B" w:rsidRDefault="00413D97" w:rsidP="00EA412B">
            <w:pPr>
              <w:pStyle w:val="NormalWeb"/>
              <w:jc w:val="center"/>
              <w:rPr>
                <w:sz w:val="18"/>
                <w:szCs w:val="18"/>
              </w:rPr>
            </w:pPr>
            <w:r w:rsidRPr="00EA412B">
              <w:rPr>
                <w:sz w:val="18"/>
                <w:szCs w:val="18"/>
              </w:rPr>
              <w:t>3</w:t>
            </w:r>
          </w:p>
        </w:tc>
        <w:tc>
          <w:tcPr>
            <w:tcW w:w="0" w:type="auto"/>
            <w:hideMark/>
          </w:tcPr>
          <w:p w14:paraId="58F21A85" w14:textId="77777777" w:rsidR="00413D97" w:rsidRPr="00EA412B" w:rsidRDefault="00413D97" w:rsidP="00EA412B">
            <w:pPr>
              <w:pStyle w:val="NormalWeb"/>
              <w:jc w:val="center"/>
              <w:rPr>
                <w:sz w:val="18"/>
                <w:szCs w:val="18"/>
              </w:rPr>
            </w:pPr>
            <w:r w:rsidRPr="00EA412B">
              <w:rPr>
                <w:sz w:val="18"/>
                <w:szCs w:val="18"/>
              </w:rPr>
              <w:t>30</w:t>
            </w:r>
          </w:p>
        </w:tc>
        <w:tc>
          <w:tcPr>
            <w:tcW w:w="0" w:type="auto"/>
            <w:hideMark/>
          </w:tcPr>
          <w:p w14:paraId="5AF03DE7" w14:textId="77777777" w:rsidR="00413D97" w:rsidRPr="00EA412B" w:rsidRDefault="00413D97" w:rsidP="00EA412B">
            <w:pPr>
              <w:pStyle w:val="NormalWeb"/>
              <w:jc w:val="center"/>
              <w:rPr>
                <w:sz w:val="18"/>
                <w:szCs w:val="18"/>
              </w:rPr>
            </w:pPr>
            <w:r w:rsidRPr="00EA412B">
              <w:rPr>
                <w:sz w:val="18"/>
                <w:szCs w:val="18"/>
              </w:rPr>
              <w:t>1</w:t>
            </w:r>
          </w:p>
        </w:tc>
        <w:tc>
          <w:tcPr>
            <w:tcW w:w="0" w:type="auto"/>
            <w:hideMark/>
          </w:tcPr>
          <w:p w14:paraId="4D839BBC" w14:textId="77777777" w:rsidR="00413D97" w:rsidRPr="00EA412B" w:rsidRDefault="00413D97" w:rsidP="00EA412B">
            <w:pPr>
              <w:pStyle w:val="NormalWeb"/>
              <w:jc w:val="center"/>
              <w:rPr>
                <w:sz w:val="18"/>
                <w:szCs w:val="18"/>
              </w:rPr>
            </w:pPr>
            <w:r w:rsidRPr="00EA412B">
              <w:rPr>
                <w:sz w:val="18"/>
                <w:szCs w:val="18"/>
              </w:rPr>
              <w:t>107</w:t>
            </w:r>
          </w:p>
        </w:tc>
      </w:tr>
      <w:tr w:rsidR="00413D97" w:rsidRPr="00EA412B" w14:paraId="77F814FE" w14:textId="77777777" w:rsidTr="00D41F7C">
        <w:trPr>
          <w:cnfStyle w:val="000000010000" w:firstRow="0" w:lastRow="0" w:firstColumn="0" w:lastColumn="0" w:oddVBand="0" w:evenVBand="0" w:oddHBand="0" w:evenHBand="1" w:firstRowFirstColumn="0" w:firstRowLastColumn="0" w:lastRowFirstColumn="0" w:lastRowLastColumn="0"/>
        </w:trPr>
        <w:tc>
          <w:tcPr>
            <w:tcW w:w="0" w:type="auto"/>
            <w:hideMark/>
          </w:tcPr>
          <w:p w14:paraId="3E2D4885" w14:textId="77777777" w:rsidR="00413D97" w:rsidRPr="00EA412B" w:rsidRDefault="00413D97">
            <w:pPr>
              <w:pStyle w:val="NormalWeb"/>
              <w:rPr>
                <w:sz w:val="18"/>
                <w:szCs w:val="18"/>
              </w:rPr>
            </w:pPr>
            <w:r w:rsidRPr="00EA412B">
              <w:rPr>
                <w:sz w:val="18"/>
                <w:szCs w:val="18"/>
              </w:rPr>
              <w:t>Non-Indigenous</w:t>
            </w:r>
          </w:p>
        </w:tc>
        <w:tc>
          <w:tcPr>
            <w:tcW w:w="0" w:type="auto"/>
            <w:hideMark/>
          </w:tcPr>
          <w:p w14:paraId="6A43F1CD" w14:textId="77777777" w:rsidR="00413D97" w:rsidRPr="00EA412B" w:rsidRDefault="00413D97" w:rsidP="00EA412B">
            <w:pPr>
              <w:pStyle w:val="NormalWeb"/>
              <w:jc w:val="center"/>
              <w:rPr>
                <w:sz w:val="18"/>
                <w:szCs w:val="18"/>
              </w:rPr>
            </w:pPr>
            <w:r w:rsidRPr="00EA412B">
              <w:rPr>
                <w:sz w:val="18"/>
                <w:szCs w:val="18"/>
              </w:rPr>
              <w:t>12,140</w:t>
            </w:r>
          </w:p>
        </w:tc>
        <w:tc>
          <w:tcPr>
            <w:tcW w:w="0" w:type="auto"/>
            <w:hideMark/>
          </w:tcPr>
          <w:p w14:paraId="4BA03D5C" w14:textId="77777777" w:rsidR="00413D97" w:rsidRPr="00EA412B" w:rsidRDefault="00413D97" w:rsidP="00EA412B">
            <w:pPr>
              <w:pStyle w:val="NormalWeb"/>
              <w:jc w:val="center"/>
              <w:rPr>
                <w:sz w:val="18"/>
                <w:szCs w:val="18"/>
              </w:rPr>
            </w:pPr>
            <w:r w:rsidRPr="00EA412B">
              <w:rPr>
                <w:sz w:val="18"/>
                <w:szCs w:val="18"/>
              </w:rPr>
              <w:t>568</w:t>
            </w:r>
          </w:p>
        </w:tc>
        <w:tc>
          <w:tcPr>
            <w:tcW w:w="0" w:type="auto"/>
            <w:hideMark/>
          </w:tcPr>
          <w:p w14:paraId="5D5EBDE0" w14:textId="77777777" w:rsidR="00413D97" w:rsidRPr="00EA412B" w:rsidRDefault="00413D97" w:rsidP="00EA412B">
            <w:pPr>
              <w:pStyle w:val="NormalWeb"/>
              <w:jc w:val="center"/>
              <w:rPr>
                <w:sz w:val="18"/>
                <w:szCs w:val="18"/>
              </w:rPr>
            </w:pPr>
            <w:r w:rsidRPr="00EA412B">
              <w:rPr>
                <w:sz w:val="18"/>
                <w:szCs w:val="18"/>
              </w:rPr>
              <w:t>218</w:t>
            </w:r>
          </w:p>
        </w:tc>
        <w:tc>
          <w:tcPr>
            <w:tcW w:w="0" w:type="auto"/>
            <w:hideMark/>
          </w:tcPr>
          <w:p w14:paraId="16A710D8" w14:textId="77777777" w:rsidR="00413D97" w:rsidRPr="00EA412B" w:rsidRDefault="00413D97" w:rsidP="00EA412B">
            <w:pPr>
              <w:pStyle w:val="NormalWeb"/>
              <w:jc w:val="center"/>
              <w:rPr>
                <w:sz w:val="18"/>
                <w:szCs w:val="18"/>
              </w:rPr>
            </w:pPr>
            <w:r w:rsidRPr="00EA412B">
              <w:rPr>
                <w:sz w:val="18"/>
                <w:szCs w:val="18"/>
              </w:rPr>
              <w:t>21</w:t>
            </w:r>
          </w:p>
        </w:tc>
        <w:tc>
          <w:tcPr>
            <w:tcW w:w="0" w:type="auto"/>
            <w:hideMark/>
          </w:tcPr>
          <w:p w14:paraId="223DF979" w14:textId="77777777" w:rsidR="00413D97" w:rsidRPr="00EA412B" w:rsidRDefault="00413D97" w:rsidP="00EA412B">
            <w:pPr>
              <w:pStyle w:val="NormalWeb"/>
              <w:jc w:val="center"/>
              <w:rPr>
                <w:sz w:val="18"/>
                <w:szCs w:val="18"/>
              </w:rPr>
            </w:pPr>
            <w:r w:rsidRPr="00EA412B">
              <w:rPr>
                <w:sz w:val="18"/>
                <w:szCs w:val="18"/>
              </w:rPr>
              <w:t>5,027</w:t>
            </w:r>
          </w:p>
        </w:tc>
        <w:tc>
          <w:tcPr>
            <w:tcW w:w="0" w:type="auto"/>
            <w:hideMark/>
          </w:tcPr>
          <w:p w14:paraId="3E9869FA" w14:textId="77777777" w:rsidR="00413D97" w:rsidRPr="00EA412B" w:rsidRDefault="00413D97" w:rsidP="00EA412B">
            <w:pPr>
              <w:pStyle w:val="NormalWeb"/>
              <w:jc w:val="center"/>
              <w:rPr>
                <w:sz w:val="18"/>
                <w:szCs w:val="18"/>
              </w:rPr>
            </w:pPr>
            <w:r w:rsidRPr="00EA412B">
              <w:rPr>
                <w:sz w:val="18"/>
                <w:szCs w:val="18"/>
              </w:rPr>
              <w:t>257</w:t>
            </w:r>
          </w:p>
        </w:tc>
        <w:tc>
          <w:tcPr>
            <w:tcW w:w="0" w:type="auto"/>
            <w:hideMark/>
          </w:tcPr>
          <w:p w14:paraId="78267F8C" w14:textId="77777777" w:rsidR="00413D97" w:rsidRPr="00EA412B" w:rsidRDefault="00413D97" w:rsidP="00EA412B">
            <w:pPr>
              <w:pStyle w:val="NormalWeb"/>
              <w:jc w:val="center"/>
              <w:rPr>
                <w:sz w:val="18"/>
                <w:szCs w:val="18"/>
              </w:rPr>
            </w:pPr>
            <w:r w:rsidRPr="00EA412B">
              <w:rPr>
                <w:sz w:val="18"/>
                <w:szCs w:val="18"/>
              </w:rPr>
              <w:t>18,231</w:t>
            </w:r>
          </w:p>
        </w:tc>
      </w:tr>
    </w:tbl>
    <w:p w14:paraId="034A4D49" w14:textId="77777777" w:rsidR="00413D97" w:rsidRDefault="00413D97" w:rsidP="00D41F7C">
      <w:pPr>
        <w:pStyle w:val="CDIfootnotes"/>
      </w:pPr>
      <w:r>
        <w:t>a</w:t>
      </w:r>
      <w:r>
        <w:tab/>
        <w:t>Excludes 1 probable Aboriginal and Torres Strait Islander case.</w:t>
      </w:r>
    </w:p>
    <w:p w14:paraId="5483AA7B" w14:textId="77777777" w:rsidR="00413D97" w:rsidRDefault="00413D97" w:rsidP="00D41F7C">
      <w:pPr>
        <w:pStyle w:val="CDIfootnotes"/>
      </w:pPr>
      <w:r>
        <w:t>b</w:t>
      </w:r>
      <w:r>
        <w:tab/>
        <w:t>Excludes 28 cases classified as overseas residents who were diagnosed in Australia.</w:t>
      </w:r>
    </w:p>
    <w:p w14:paraId="5A301D08" w14:textId="77777777" w:rsidR="00413D97" w:rsidRDefault="00413D97">
      <w:pPr>
        <w:pStyle w:val="Heading1"/>
        <w:rPr>
          <w:rFonts w:eastAsia="Times New Roman"/>
        </w:rPr>
      </w:pPr>
      <w:r>
        <w:rPr>
          <w:rFonts w:eastAsia="Times New Roman"/>
        </w:rPr>
        <w:t xml:space="preserve">Public health response measures </w:t>
      </w:r>
    </w:p>
    <w:p w14:paraId="02D69F6A" w14:textId="77777777" w:rsidR="00413D97" w:rsidRDefault="00413D97">
      <w:pPr>
        <w:pStyle w:val="NormalWeb"/>
      </w:pPr>
      <w:r>
        <w:t>Since COVID-19 first emerged internationally, Australia has implemented public health measures informed by the disease’s epidemiology (Figure 11). Key aspects of Australia’s evolving public health response are summarised in previous reports. On Friday 8 May, the Australian Government announced a three-step framework for easing COVID-19 restrictions, with states and territories easing restrictions at their own pace depending on the current public health situation and local epidemiology.</w:t>
      </w:r>
    </w:p>
    <w:p w14:paraId="7EAE615F" w14:textId="77777777" w:rsidR="00834708" w:rsidRDefault="00834708" w:rsidP="00834708">
      <w:pPr>
        <w:pStyle w:val="CDIFigures"/>
        <w:sectPr w:rsidR="00834708" w:rsidSect="00A30C37">
          <w:footnotePr>
            <w:numFmt w:val="lowerRoman"/>
          </w:footnotePr>
          <w:pgSz w:w="11906" w:h="16838"/>
          <w:pgMar w:top="720" w:right="720" w:bottom="1134" w:left="720" w:header="709" w:footer="284" w:gutter="0"/>
          <w:cols w:space="708"/>
          <w:titlePg/>
          <w:docGrid w:linePitch="360"/>
        </w:sectPr>
      </w:pPr>
    </w:p>
    <w:p w14:paraId="02DA7EBE" w14:textId="77777777" w:rsidR="00413D97" w:rsidRDefault="00413D97" w:rsidP="00834708">
      <w:pPr>
        <w:pStyle w:val="CDIFigures"/>
      </w:pPr>
      <w:r>
        <w:lastRenderedPageBreak/>
        <w:t>Figure 11: COVID-19 notifications in Australia by date of illness onset to 2 August 2020</w:t>
      </w:r>
      <w:r w:rsidRPr="00265CFE">
        <w:rPr>
          <w:vertAlign w:val="superscript"/>
        </w:rPr>
        <w:t>a</w:t>
      </w:r>
      <w:r>
        <w:t xml:space="preserve"> with timing of key public health measures</w:t>
      </w:r>
    </w:p>
    <w:p w14:paraId="133CE192" w14:textId="77777777" w:rsidR="00413D97" w:rsidRDefault="00413D97" w:rsidP="00834708">
      <w:pPr>
        <w:jc w:val="center"/>
        <w:rPr>
          <w:rFonts w:eastAsia="Times New Roman"/>
        </w:rPr>
      </w:pPr>
      <w:r>
        <w:rPr>
          <w:rFonts w:eastAsia="Times New Roman"/>
          <w:noProof/>
        </w:rPr>
        <w:drawing>
          <wp:inline distT="0" distB="0" distL="0" distR="0" wp14:anchorId="79D6094A" wp14:editId="19537EB1">
            <wp:extent cx="9616997" cy="5575300"/>
            <wp:effectExtent l="0" t="0" r="3810" b="0"/>
            <wp:docPr id="13" name="Picture 13" descr="Bar chart showing COVID-19 notifications by date of illness onset and jurisdiction, for cases reported to NNDSS. Notifications for the cases shown have onset dates ranging from 13 January 2020 to 2 August 2020. The chart also highlights the timing of key public health measures such as quarantine and self-isolation advice and restrictions on gatherings and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r chart showing COVID-19 notifications by date of illness onset and jurisdiction, for cases reported to NNDSS. Notifications for the cases shown have onset dates ranging from 13 January 2020 to 2 August 2020. The chart also highlights the timing of key public health measures such as quarantine and self-isolation advice and restrictions on gatherings and travel."/>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633654" cy="5584957"/>
                    </a:xfrm>
                    <a:prstGeom prst="rect">
                      <a:avLst/>
                    </a:prstGeom>
                  </pic:spPr>
                </pic:pic>
              </a:graphicData>
            </a:graphic>
          </wp:inline>
        </w:drawing>
      </w:r>
    </w:p>
    <w:p w14:paraId="21A64767" w14:textId="77777777" w:rsidR="00834708" w:rsidRDefault="00834708">
      <w:pPr>
        <w:pStyle w:val="NormalWeb"/>
        <w:sectPr w:rsidR="00834708" w:rsidSect="00834708">
          <w:footnotePr>
            <w:numFmt w:val="lowerRoman"/>
          </w:footnotePr>
          <w:pgSz w:w="16838" w:h="11906" w:orient="landscape"/>
          <w:pgMar w:top="720" w:right="720" w:bottom="720" w:left="1134" w:header="709" w:footer="284" w:gutter="0"/>
          <w:cols w:space="708"/>
          <w:titlePg/>
          <w:docGrid w:linePitch="360"/>
        </w:sectPr>
      </w:pPr>
    </w:p>
    <w:p w14:paraId="030E0F17" w14:textId="77777777" w:rsidR="00413D97" w:rsidRDefault="00413D97">
      <w:pPr>
        <w:pStyle w:val="NormalWeb"/>
      </w:pPr>
      <w:r>
        <w:lastRenderedPageBreak/>
        <w:t>During the current reporting period, due to the evolving epidemiological and public health situation, several states and territories have re-implemented previously eased restrictions and/or implemented new restrictions (see Table 9). In Victoria, residents in metropolitan Melbourne have been placed under stage 4 restrictions, and residents in regional Victoria have been placed under stage 3 restrictions. Residents in Victoria are required to wear facemasks when leaving their home, and residents in New South Wales are strongly encouraged to wear facemasks in indoor settings with a high risk of transmission. Queensland, South Australia and Tasmania have adjusted domestic border restrictions. New South Wales and South Australia have also adjusted some restrictions on public gatherings.</w:t>
      </w:r>
    </w:p>
    <w:p w14:paraId="4D65A292" w14:textId="77777777" w:rsidR="003E022B" w:rsidRDefault="003E022B">
      <w:pPr>
        <w:rPr>
          <w:b/>
        </w:rPr>
      </w:pPr>
      <w:r>
        <w:br w:type="page"/>
      </w:r>
    </w:p>
    <w:p w14:paraId="4F1AA43D" w14:textId="77777777" w:rsidR="00413D97" w:rsidRDefault="00413D97" w:rsidP="00F274A9">
      <w:pPr>
        <w:pStyle w:val="CDIFigures"/>
      </w:pPr>
      <w:r>
        <w:lastRenderedPageBreak/>
        <w:t>Table 9: State and territory changes to COVID-19 restrictions, from 20 July to 2 August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9 summarises measures for easing COVID-19 restrictions, applied during the current reporting fortnight, for Australian states and territories."/>
      </w:tblPr>
      <w:tblGrid>
        <w:gridCol w:w="1679"/>
        <w:gridCol w:w="8787"/>
      </w:tblGrid>
      <w:tr w:rsidR="00B7088D" w:rsidRPr="009D7B5C" w14:paraId="4A0221FF" w14:textId="77777777" w:rsidTr="00A47C14">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C1BA9E7" w14:textId="77777777" w:rsidR="00413D97" w:rsidRPr="009D7B5C" w:rsidRDefault="00413D97">
            <w:pPr>
              <w:pStyle w:val="NormalWeb"/>
              <w:rPr>
                <w:color w:val="FFFFFF" w:themeColor="background1"/>
                <w:sz w:val="18"/>
                <w:szCs w:val="18"/>
              </w:rPr>
            </w:pPr>
            <w:r w:rsidRPr="009D7B5C">
              <w:rPr>
                <w:color w:val="FFFFFF" w:themeColor="background1"/>
                <w:sz w:val="18"/>
                <w:szCs w:val="18"/>
              </w:rPr>
              <w:t>Jurisdiction</w:t>
            </w:r>
          </w:p>
        </w:tc>
        <w:tc>
          <w:tcPr>
            <w:tcW w:w="0" w:type="auto"/>
            <w:hideMark/>
          </w:tcPr>
          <w:p w14:paraId="5C51D26A" w14:textId="77777777" w:rsidR="00413D97" w:rsidRPr="009D7B5C" w:rsidRDefault="00413D97">
            <w:pPr>
              <w:pStyle w:val="NormalWeb"/>
              <w:rPr>
                <w:color w:val="FFFFFF" w:themeColor="background1"/>
                <w:sz w:val="18"/>
                <w:szCs w:val="18"/>
              </w:rPr>
            </w:pPr>
            <w:r w:rsidRPr="009D7B5C">
              <w:rPr>
                <w:color w:val="FFFFFF" w:themeColor="background1"/>
                <w:sz w:val="18"/>
                <w:szCs w:val="18"/>
              </w:rPr>
              <w:t>Summary of changes to COVID-19 restrictions</w:t>
            </w:r>
          </w:p>
        </w:tc>
      </w:tr>
      <w:tr w:rsidR="00413D97" w:rsidRPr="009D7B5C" w14:paraId="2B286A55" w14:textId="77777777" w:rsidTr="00B7088D">
        <w:tc>
          <w:tcPr>
            <w:tcW w:w="0" w:type="auto"/>
            <w:hideMark/>
          </w:tcPr>
          <w:p w14:paraId="4EDF0648" w14:textId="77777777" w:rsidR="00413D97" w:rsidRPr="009D7B5C" w:rsidRDefault="00413D97">
            <w:pPr>
              <w:pStyle w:val="NormalWeb"/>
              <w:rPr>
                <w:sz w:val="18"/>
                <w:szCs w:val="18"/>
              </w:rPr>
            </w:pPr>
            <w:r w:rsidRPr="009D7B5C">
              <w:rPr>
                <w:sz w:val="18"/>
                <w:szCs w:val="18"/>
              </w:rPr>
              <w:t>New South Wales</w:t>
            </w:r>
          </w:p>
        </w:tc>
        <w:tc>
          <w:tcPr>
            <w:tcW w:w="0" w:type="auto"/>
            <w:hideMark/>
          </w:tcPr>
          <w:p w14:paraId="5D00DF68" w14:textId="77777777" w:rsidR="00413D97" w:rsidRPr="009D7B5C" w:rsidRDefault="00413D97">
            <w:pPr>
              <w:pStyle w:val="NormalWeb"/>
              <w:rPr>
                <w:sz w:val="18"/>
                <w:szCs w:val="18"/>
              </w:rPr>
            </w:pPr>
            <w:r w:rsidRPr="009D7B5C">
              <w:rPr>
                <w:sz w:val="18"/>
                <w:szCs w:val="18"/>
              </w:rPr>
              <w:t>From 31 July, the following restrictions on gatherings and movement were implemented:</w:t>
            </w:r>
            <w:r w:rsidRPr="00F44352">
              <w:rPr>
                <w:sz w:val="18"/>
                <w:szCs w:val="18"/>
                <w:vertAlign w:val="superscript"/>
              </w:rPr>
              <w:t>11</w:t>
            </w:r>
          </w:p>
          <w:p w14:paraId="05877E2A" w14:textId="77777777" w:rsidR="00413D97" w:rsidRPr="009D7B5C" w:rsidRDefault="00413D97" w:rsidP="00413D97">
            <w:pPr>
              <w:numPr>
                <w:ilvl w:val="0"/>
                <w:numId w:val="8"/>
              </w:numPr>
              <w:spacing w:before="100" w:beforeAutospacing="1" w:after="100" w:afterAutospacing="1"/>
              <w:rPr>
                <w:rFonts w:eastAsia="Times New Roman"/>
                <w:sz w:val="18"/>
                <w:szCs w:val="18"/>
              </w:rPr>
            </w:pPr>
            <w:r w:rsidRPr="009D7B5C">
              <w:rPr>
                <w:rFonts w:eastAsia="Times New Roman"/>
                <w:sz w:val="18"/>
                <w:szCs w:val="18"/>
              </w:rPr>
              <w:t>Gyms required to have a COVID-19 Safety Hygiene Marshal present at all times and registered as COVID Safe</w:t>
            </w:r>
          </w:p>
          <w:p w14:paraId="39FFBB85" w14:textId="77777777" w:rsidR="00413D97" w:rsidRPr="009D7B5C" w:rsidRDefault="00413D97" w:rsidP="00413D97">
            <w:pPr>
              <w:numPr>
                <w:ilvl w:val="0"/>
                <w:numId w:val="8"/>
              </w:numPr>
              <w:spacing w:before="100" w:beforeAutospacing="1" w:after="100" w:afterAutospacing="1"/>
              <w:rPr>
                <w:rFonts w:eastAsia="Times New Roman"/>
                <w:sz w:val="18"/>
                <w:szCs w:val="18"/>
              </w:rPr>
            </w:pPr>
            <w:r w:rsidRPr="009D7B5C">
              <w:rPr>
                <w:rFonts w:eastAsia="Times New Roman"/>
                <w:sz w:val="18"/>
                <w:szCs w:val="18"/>
              </w:rPr>
              <w:t>Up to 20 people permitted in households or outdoor public gatherings</w:t>
            </w:r>
          </w:p>
          <w:p w14:paraId="22C9A1E1" w14:textId="77777777" w:rsidR="00413D97" w:rsidRPr="009D7B5C" w:rsidRDefault="00413D97" w:rsidP="00413D97">
            <w:pPr>
              <w:numPr>
                <w:ilvl w:val="0"/>
                <w:numId w:val="8"/>
              </w:numPr>
              <w:spacing w:before="100" w:beforeAutospacing="1" w:after="100" w:afterAutospacing="1"/>
              <w:rPr>
                <w:rFonts w:eastAsia="Times New Roman"/>
                <w:sz w:val="18"/>
                <w:szCs w:val="18"/>
              </w:rPr>
            </w:pPr>
            <w:r w:rsidRPr="009D7B5C">
              <w:rPr>
                <w:rFonts w:eastAsia="Times New Roman"/>
                <w:sz w:val="18"/>
                <w:szCs w:val="18"/>
              </w:rPr>
              <w:t>Funerals permitted up to 100 mourners and weddings permitted up to 150 attendees subject to the 4 square metre rule</w:t>
            </w:r>
          </w:p>
          <w:p w14:paraId="2C53EFEF" w14:textId="77777777" w:rsidR="00413D97" w:rsidRPr="009D7B5C" w:rsidRDefault="00413D97">
            <w:pPr>
              <w:pStyle w:val="NormalWeb"/>
              <w:rPr>
                <w:sz w:val="18"/>
                <w:szCs w:val="18"/>
              </w:rPr>
            </w:pPr>
            <w:r w:rsidRPr="009D7B5C">
              <w:rPr>
                <w:sz w:val="18"/>
                <w:szCs w:val="18"/>
              </w:rPr>
              <w:t>From 2 August, it was recommended that facemasks be used in indoor settings with high risk of transmission (e.g. places of worship, supermarkets).</w:t>
            </w:r>
            <w:r w:rsidRPr="00F44352">
              <w:rPr>
                <w:sz w:val="18"/>
                <w:szCs w:val="18"/>
                <w:vertAlign w:val="superscript"/>
              </w:rPr>
              <w:t>12</w:t>
            </w:r>
          </w:p>
        </w:tc>
      </w:tr>
      <w:tr w:rsidR="00413D97" w:rsidRPr="009D7B5C" w14:paraId="7D4453E8" w14:textId="77777777" w:rsidTr="00B7088D">
        <w:trPr>
          <w:cnfStyle w:val="000000010000" w:firstRow="0" w:lastRow="0" w:firstColumn="0" w:lastColumn="0" w:oddVBand="0" w:evenVBand="0" w:oddHBand="0" w:evenHBand="1" w:firstRowFirstColumn="0" w:firstRowLastColumn="0" w:lastRowFirstColumn="0" w:lastRowLastColumn="0"/>
        </w:trPr>
        <w:tc>
          <w:tcPr>
            <w:tcW w:w="0" w:type="auto"/>
            <w:hideMark/>
          </w:tcPr>
          <w:p w14:paraId="488415CC" w14:textId="77777777" w:rsidR="00413D97" w:rsidRPr="009D7B5C" w:rsidRDefault="00413D97">
            <w:pPr>
              <w:pStyle w:val="NormalWeb"/>
              <w:rPr>
                <w:sz w:val="18"/>
                <w:szCs w:val="18"/>
              </w:rPr>
            </w:pPr>
            <w:r w:rsidRPr="009D7B5C">
              <w:rPr>
                <w:sz w:val="18"/>
                <w:szCs w:val="18"/>
              </w:rPr>
              <w:t>Victoria</w:t>
            </w:r>
          </w:p>
        </w:tc>
        <w:tc>
          <w:tcPr>
            <w:tcW w:w="0" w:type="auto"/>
            <w:hideMark/>
          </w:tcPr>
          <w:p w14:paraId="0E450190" w14:textId="77777777" w:rsidR="00413D97" w:rsidRPr="009D7B5C" w:rsidRDefault="00413D97">
            <w:pPr>
              <w:pStyle w:val="NormalWeb"/>
              <w:rPr>
                <w:sz w:val="18"/>
                <w:szCs w:val="18"/>
              </w:rPr>
            </w:pPr>
            <w:r w:rsidRPr="009D7B5C">
              <w:rPr>
                <w:sz w:val="18"/>
                <w:szCs w:val="18"/>
              </w:rPr>
              <w:t>From 2 August, the following restrictions were implemented:</w:t>
            </w:r>
            <w:r w:rsidRPr="00F44352">
              <w:rPr>
                <w:sz w:val="18"/>
                <w:szCs w:val="18"/>
                <w:vertAlign w:val="superscript"/>
              </w:rPr>
              <w:t>13</w:t>
            </w:r>
          </w:p>
          <w:p w14:paraId="0859AB9C" w14:textId="77777777" w:rsidR="00413D97" w:rsidRPr="009D7B5C" w:rsidRDefault="00413D97" w:rsidP="00413D97">
            <w:pPr>
              <w:numPr>
                <w:ilvl w:val="0"/>
                <w:numId w:val="9"/>
              </w:numPr>
              <w:spacing w:before="100" w:beforeAutospacing="1" w:after="100" w:afterAutospacing="1"/>
              <w:rPr>
                <w:rFonts w:eastAsia="Times New Roman"/>
                <w:sz w:val="18"/>
                <w:szCs w:val="18"/>
              </w:rPr>
            </w:pPr>
            <w:r w:rsidRPr="009D7B5C">
              <w:rPr>
                <w:rFonts w:eastAsia="Times New Roman"/>
                <w:sz w:val="18"/>
                <w:szCs w:val="18"/>
              </w:rPr>
              <w:t xml:space="preserve">Stage 4 restrictions in place for metropolitan Melbourne </w:t>
            </w:r>
          </w:p>
          <w:p w14:paraId="73193F49" w14:textId="77777777" w:rsidR="00413D97" w:rsidRPr="009D7B5C" w:rsidRDefault="00413D97" w:rsidP="00413D97">
            <w:pPr>
              <w:numPr>
                <w:ilvl w:val="1"/>
                <w:numId w:val="9"/>
              </w:numPr>
              <w:spacing w:before="100" w:beforeAutospacing="1" w:after="100" w:afterAutospacing="1"/>
              <w:rPr>
                <w:rFonts w:eastAsia="Times New Roman"/>
                <w:sz w:val="18"/>
                <w:szCs w:val="18"/>
              </w:rPr>
            </w:pPr>
            <w:r w:rsidRPr="009D7B5C">
              <w:rPr>
                <w:rFonts w:eastAsia="Times New Roman"/>
                <w:sz w:val="18"/>
                <w:szCs w:val="18"/>
              </w:rPr>
              <w:t>Curfew from 8 pm to 5 am</w:t>
            </w:r>
          </w:p>
          <w:p w14:paraId="2A9DB587" w14:textId="77777777" w:rsidR="00413D97" w:rsidRPr="009D7B5C" w:rsidRDefault="00413D97" w:rsidP="00413D97">
            <w:pPr>
              <w:numPr>
                <w:ilvl w:val="1"/>
                <w:numId w:val="9"/>
              </w:numPr>
              <w:spacing w:before="100" w:beforeAutospacing="1" w:after="100" w:afterAutospacing="1"/>
              <w:rPr>
                <w:rFonts w:eastAsia="Times New Roman"/>
                <w:sz w:val="18"/>
                <w:szCs w:val="18"/>
              </w:rPr>
            </w:pPr>
            <w:r w:rsidRPr="009D7B5C">
              <w:rPr>
                <w:rFonts w:eastAsia="Times New Roman"/>
                <w:sz w:val="18"/>
                <w:szCs w:val="18"/>
              </w:rPr>
              <w:t>Only permitted to leave house for work, essential health, care or safety reasons, and to shop for essential goods and services</w:t>
            </w:r>
          </w:p>
          <w:p w14:paraId="7F49C5FE" w14:textId="77777777" w:rsidR="00413D97" w:rsidRPr="009D7B5C" w:rsidRDefault="00413D97" w:rsidP="00413D97">
            <w:pPr>
              <w:numPr>
                <w:ilvl w:val="1"/>
                <w:numId w:val="9"/>
              </w:numPr>
              <w:spacing w:before="100" w:beforeAutospacing="1" w:after="100" w:afterAutospacing="1"/>
              <w:rPr>
                <w:rFonts w:eastAsia="Times New Roman"/>
                <w:sz w:val="18"/>
                <w:szCs w:val="18"/>
              </w:rPr>
            </w:pPr>
            <w:r w:rsidRPr="009D7B5C">
              <w:rPr>
                <w:rFonts w:eastAsia="Times New Roman"/>
                <w:sz w:val="18"/>
                <w:szCs w:val="18"/>
              </w:rPr>
              <w:t>Only permitted to travel within 5 km of home residence</w:t>
            </w:r>
          </w:p>
          <w:p w14:paraId="4C3DAC31" w14:textId="77777777" w:rsidR="00413D97" w:rsidRPr="009D7B5C" w:rsidRDefault="00413D97" w:rsidP="00413D97">
            <w:pPr>
              <w:numPr>
                <w:ilvl w:val="0"/>
                <w:numId w:val="9"/>
              </w:numPr>
              <w:spacing w:before="100" w:beforeAutospacing="1" w:after="100" w:afterAutospacing="1"/>
              <w:rPr>
                <w:rFonts w:eastAsia="Times New Roman"/>
                <w:sz w:val="18"/>
                <w:szCs w:val="18"/>
              </w:rPr>
            </w:pPr>
            <w:r w:rsidRPr="009D7B5C">
              <w:rPr>
                <w:rFonts w:eastAsia="Times New Roman"/>
                <w:sz w:val="18"/>
                <w:szCs w:val="18"/>
              </w:rPr>
              <w:t xml:space="preserve">Stage 3 restrictions in place for regional Victoria </w:t>
            </w:r>
          </w:p>
          <w:p w14:paraId="7503A4A5" w14:textId="77777777" w:rsidR="00413D97" w:rsidRPr="009D7B5C" w:rsidRDefault="00413D97" w:rsidP="00413D97">
            <w:pPr>
              <w:numPr>
                <w:ilvl w:val="1"/>
                <w:numId w:val="9"/>
              </w:numPr>
              <w:spacing w:before="100" w:beforeAutospacing="1" w:after="100" w:afterAutospacing="1"/>
              <w:rPr>
                <w:rFonts w:eastAsia="Times New Roman"/>
                <w:sz w:val="18"/>
                <w:szCs w:val="18"/>
              </w:rPr>
            </w:pPr>
            <w:r w:rsidRPr="009D7B5C">
              <w:rPr>
                <w:rFonts w:eastAsia="Times New Roman"/>
                <w:sz w:val="18"/>
                <w:szCs w:val="18"/>
              </w:rPr>
              <w:t>Only permitted to leave home to shop for essential goods, provide care, seek medical treatment, exercise, work or study (if this can’t be done at home)</w:t>
            </w:r>
          </w:p>
          <w:p w14:paraId="27D04DC5" w14:textId="77777777" w:rsidR="00413D97" w:rsidRPr="009D7B5C" w:rsidRDefault="00413D97" w:rsidP="00413D97">
            <w:pPr>
              <w:numPr>
                <w:ilvl w:val="0"/>
                <w:numId w:val="9"/>
              </w:numPr>
              <w:spacing w:before="100" w:beforeAutospacing="1" w:after="100" w:afterAutospacing="1"/>
              <w:rPr>
                <w:rFonts w:eastAsia="Times New Roman"/>
                <w:sz w:val="18"/>
                <w:szCs w:val="18"/>
              </w:rPr>
            </w:pPr>
            <w:r w:rsidRPr="009D7B5C">
              <w:rPr>
                <w:rFonts w:eastAsia="Times New Roman"/>
                <w:sz w:val="18"/>
                <w:szCs w:val="18"/>
              </w:rPr>
              <w:t>All Victorians required to wear a facemask when leaving home</w:t>
            </w:r>
          </w:p>
        </w:tc>
      </w:tr>
      <w:tr w:rsidR="00413D97" w:rsidRPr="009D7B5C" w14:paraId="71C0CFDF" w14:textId="77777777" w:rsidTr="00B7088D">
        <w:tc>
          <w:tcPr>
            <w:tcW w:w="0" w:type="auto"/>
            <w:hideMark/>
          </w:tcPr>
          <w:p w14:paraId="4153E737" w14:textId="77777777" w:rsidR="00413D97" w:rsidRPr="009D7B5C" w:rsidRDefault="00413D97">
            <w:pPr>
              <w:pStyle w:val="NormalWeb"/>
              <w:rPr>
                <w:sz w:val="18"/>
                <w:szCs w:val="18"/>
              </w:rPr>
            </w:pPr>
            <w:r w:rsidRPr="009D7B5C">
              <w:rPr>
                <w:sz w:val="18"/>
                <w:szCs w:val="18"/>
              </w:rPr>
              <w:t>Queensland</w:t>
            </w:r>
          </w:p>
        </w:tc>
        <w:tc>
          <w:tcPr>
            <w:tcW w:w="0" w:type="auto"/>
            <w:hideMark/>
          </w:tcPr>
          <w:p w14:paraId="4AD9ED3D" w14:textId="77777777" w:rsidR="00413D97" w:rsidRPr="009D7B5C" w:rsidRDefault="00413D97">
            <w:pPr>
              <w:pStyle w:val="NormalWeb"/>
              <w:rPr>
                <w:sz w:val="18"/>
                <w:szCs w:val="18"/>
              </w:rPr>
            </w:pPr>
            <w:r w:rsidRPr="009D7B5C">
              <w:rPr>
                <w:sz w:val="18"/>
                <w:szCs w:val="18"/>
              </w:rPr>
              <w:t>From 24 July, the following restrictions were implemented:</w:t>
            </w:r>
          </w:p>
          <w:p w14:paraId="256F2935" w14:textId="77777777" w:rsidR="00413D97" w:rsidRPr="009D7B5C" w:rsidRDefault="00413D97" w:rsidP="00413D97">
            <w:pPr>
              <w:numPr>
                <w:ilvl w:val="0"/>
                <w:numId w:val="10"/>
              </w:numPr>
              <w:spacing w:before="100" w:beforeAutospacing="1" w:after="100" w:afterAutospacing="1"/>
              <w:rPr>
                <w:rFonts w:eastAsia="Times New Roman"/>
                <w:sz w:val="18"/>
                <w:szCs w:val="18"/>
              </w:rPr>
            </w:pPr>
            <w:r w:rsidRPr="009D7B5C">
              <w:rPr>
                <w:rFonts w:eastAsia="Times New Roman"/>
                <w:sz w:val="18"/>
                <w:szCs w:val="18"/>
              </w:rPr>
              <w:t>All patrons in food and drink venues must be seated when eating and drinking</w:t>
            </w:r>
          </w:p>
          <w:p w14:paraId="348CAD3F" w14:textId="77777777" w:rsidR="00413D97" w:rsidRPr="009D7B5C" w:rsidRDefault="00413D97" w:rsidP="00413D97">
            <w:pPr>
              <w:numPr>
                <w:ilvl w:val="0"/>
                <w:numId w:val="10"/>
              </w:numPr>
              <w:spacing w:before="100" w:beforeAutospacing="1" w:after="100" w:afterAutospacing="1"/>
              <w:rPr>
                <w:rFonts w:eastAsia="Times New Roman"/>
                <w:sz w:val="18"/>
                <w:szCs w:val="18"/>
              </w:rPr>
            </w:pPr>
            <w:r w:rsidRPr="009D7B5C">
              <w:rPr>
                <w:rFonts w:eastAsia="Times New Roman"/>
                <w:sz w:val="18"/>
                <w:szCs w:val="18"/>
              </w:rPr>
              <w:t>COVID SAFE Event Plans required for events with more than 500 people</w:t>
            </w:r>
          </w:p>
          <w:p w14:paraId="13DF1F4F" w14:textId="77777777" w:rsidR="00413D97" w:rsidRPr="009D7B5C" w:rsidRDefault="00413D97">
            <w:pPr>
              <w:pStyle w:val="NormalWeb"/>
              <w:rPr>
                <w:sz w:val="18"/>
                <w:szCs w:val="18"/>
              </w:rPr>
            </w:pPr>
            <w:r w:rsidRPr="009D7B5C">
              <w:rPr>
                <w:sz w:val="18"/>
                <w:szCs w:val="18"/>
              </w:rPr>
              <w:t>From 31 July, travellers from other States and Territories are not required to quarantine if they pass through a hotspot, provided they adhere to restrictions.</w:t>
            </w:r>
            <w:r w:rsidRPr="00F44352">
              <w:rPr>
                <w:sz w:val="18"/>
                <w:szCs w:val="18"/>
                <w:vertAlign w:val="superscript"/>
              </w:rPr>
              <w:t>14</w:t>
            </w:r>
          </w:p>
        </w:tc>
      </w:tr>
      <w:tr w:rsidR="00413D97" w:rsidRPr="009D7B5C" w14:paraId="5E146C85" w14:textId="77777777" w:rsidTr="00B7088D">
        <w:trPr>
          <w:cnfStyle w:val="000000010000" w:firstRow="0" w:lastRow="0" w:firstColumn="0" w:lastColumn="0" w:oddVBand="0" w:evenVBand="0" w:oddHBand="0" w:evenHBand="1" w:firstRowFirstColumn="0" w:firstRowLastColumn="0" w:lastRowFirstColumn="0" w:lastRowLastColumn="0"/>
        </w:trPr>
        <w:tc>
          <w:tcPr>
            <w:tcW w:w="0" w:type="auto"/>
            <w:hideMark/>
          </w:tcPr>
          <w:p w14:paraId="0CF3845E" w14:textId="77777777" w:rsidR="00413D97" w:rsidRPr="009D7B5C" w:rsidRDefault="00413D97">
            <w:pPr>
              <w:pStyle w:val="NormalWeb"/>
              <w:rPr>
                <w:sz w:val="18"/>
                <w:szCs w:val="18"/>
              </w:rPr>
            </w:pPr>
            <w:r w:rsidRPr="009D7B5C">
              <w:rPr>
                <w:sz w:val="18"/>
                <w:szCs w:val="18"/>
              </w:rPr>
              <w:t>Western Australia</w:t>
            </w:r>
          </w:p>
        </w:tc>
        <w:tc>
          <w:tcPr>
            <w:tcW w:w="0" w:type="auto"/>
            <w:hideMark/>
          </w:tcPr>
          <w:p w14:paraId="7529C26B" w14:textId="77777777" w:rsidR="00413D97" w:rsidRPr="009D7B5C" w:rsidRDefault="00413D97">
            <w:pPr>
              <w:pStyle w:val="NormalWeb"/>
              <w:rPr>
                <w:sz w:val="18"/>
                <w:szCs w:val="18"/>
              </w:rPr>
            </w:pPr>
            <w:r w:rsidRPr="009D7B5C">
              <w:rPr>
                <w:sz w:val="18"/>
                <w:szCs w:val="18"/>
              </w:rPr>
              <w:t>No further easing of restrictions has occurred during this reporting period.</w:t>
            </w:r>
            <w:r w:rsidRPr="00F44352">
              <w:rPr>
                <w:sz w:val="18"/>
                <w:szCs w:val="18"/>
                <w:vertAlign w:val="superscript"/>
              </w:rPr>
              <w:t>15</w:t>
            </w:r>
          </w:p>
        </w:tc>
      </w:tr>
      <w:tr w:rsidR="00413D97" w:rsidRPr="009D7B5C" w14:paraId="2F4CF96C" w14:textId="77777777" w:rsidTr="00B7088D">
        <w:tc>
          <w:tcPr>
            <w:tcW w:w="0" w:type="auto"/>
            <w:hideMark/>
          </w:tcPr>
          <w:p w14:paraId="509408A7" w14:textId="77777777" w:rsidR="00413D97" w:rsidRPr="009D7B5C" w:rsidRDefault="00413D97">
            <w:pPr>
              <w:pStyle w:val="NormalWeb"/>
              <w:rPr>
                <w:sz w:val="18"/>
                <w:szCs w:val="18"/>
              </w:rPr>
            </w:pPr>
            <w:r w:rsidRPr="009D7B5C">
              <w:rPr>
                <w:sz w:val="18"/>
                <w:szCs w:val="18"/>
              </w:rPr>
              <w:t>South Australia</w:t>
            </w:r>
          </w:p>
        </w:tc>
        <w:tc>
          <w:tcPr>
            <w:tcW w:w="0" w:type="auto"/>
            <w:hideMark/>
          </w:tcPr>
          <w:p w14:paraId="5A1CBC71" w14:textId="77777777" w:rsidR="00413D97" w:rsidRPr="009D7B5C" w:rsidRDefault="00413D97">
            <w:pPr>
              <w:pStyle w:val="NormalWeb"/>
              <w:rPr>
                <w:sz w:val="18"/>
                <w:szCs w:val="18"/>
              </w:rPr>
            </w:pPr>
            <w:r w:rsidRPr="009D7B5C">
              <w:rPr>
                <w:sz w:val="18"/>
                <w:szCs w:val="18"/>
              </w:rPr>
              <w:t>From 29 July, the following restrictions were implemented:</w:t>
            </w:r>
            <w:r w:rsidRPr="00F44352">
              <w:rPr>
                <w:sz w:val="18"/>
                <w:szCs w:val="18"/>
                <w:vertAlign w:val="superscript"/>
              </w:rPr>
              <w:t>16</w:t>
            </w:r>
          </w:p>
          <w:p w14:paraId="1B7629B9" w14:textId="77777777" w:rsidR="00413D97" w:rsidRPr="009D7B5C" w:rsidRDefault="00413D97" w:rsidP="00413D97">
            <w:pPr>
              <w:numPr>
                <w:ilvl w:val="0"/>
                <w:numId w:val="11"/>
              </w:numPr>
              <w:spacing w:before="100" w:beforeAutospacing="1" w:after="100" w:afterAutospacing="1"/>
              <w:rPr>
                <w:rFonts w:eastAsia="Times New Roman"/>
                <w:sz w:val="18"/>
                <w:szCs w:val="18"/>
              </w:rPr>
            </w:pPr>
            <w:r w:rsidRPr="009D7B5C">
              <w:rPr>
                <w:rFonts w:eastAsia="Times New Roman"/>
                <w:sz w:val="18"/>
                <w:szCs w:val="18"/>
              </w:rPr>
              <w:t>South Australians no longer able to return from Victoria, unless essential traveller</w:t>
            </w:r>
          </w:p>
          <w:p w14:paraId="1F2B5C8D" w14:textId="77777777" w:rsidR="00413D97" w:rsidRPr="009D7B5C" w:rsidRDefault="00413D97" w:rsidP="00413D97">
            <w:pPr>
              <w:numPr>
                <w:ilvl w:val="0"/>
                <w:numId w:val="11"/>
              </w:numPr>
              <w:spacing w:before="100" w:beforeAutospacing="1" w:after="100" w:afterAutospacing="1"/>
              <w:rPr>
                <w:rFonts w:eastAsia="Times New Roman"/>
                <w:sz w:val="18"/>
                <w:szCs w:val="18"/>
              </w:rPr>
            </w:pPr>
            <w:r w:rsidRPr="009D7B5C">
              <w:rPr>
                <w:rFonts w:eastAsia="Times New Roman"/>
                <w:sz w:val="18"/>
                <w:szCs w:val="18"/>
              </w:rPr>
              <w:t>A cap of 100 people for funerals and weddings</w:t>
            </w:r>
          </w:p>
          <w:p w14:paraId="5D8A457E" w14:textId="77777777" w:rsidR="00413D97" w:rsidRPr="009D7B5C" w:rsidRDefault="00413D97" w:rsidP="00413D97">
            <w:pPr>
              <w:numPr>
                <w:ilvl w:val="0"/>
                <w:numId w:val="11"/>
              </w:numPr>
              <w:spacing w:before="100" w:beforeAutospacing="1" w:after="100" w:afterAutospacing="1"/>
              <w:rPr>
                <w:rFonts w:eastAsia="Times New Roman"/>
                <w:sz w:val="18"/>
                <w:szCs w:val="18"/>
              </w:rPr>
            </w:pPr>
            <w:r w:rsidRPr="009D7B5C">
              <w:rPr>
                <w:rFonts w:eastAsia="Times New Roman"/>
                <w:sz w:val="18"/>
                <w:szCs w:val="18"/>
              </w:rPr>
              <w:t>A cap of 50 for gatherings in private homes</w:t>
            </w:r>
          </w:p>
          <w:p w14:paraId="1C98DC6D" w14:textId="77777777" w:rsidR="00413D97" w:rsidRPr="009D7B5C" w:rsidRDefault="00413D97" w:rsidP="00413D97">
            <w:pPr>
              <w:numPr>
                <w:ilvl w:val="0"/>
                <w:numId w:val="11"/>
              </w:numPr>
              <w:spacing w:before="100" w:beforeAutospacing="1" w:after="100" w:afterAutospacing="1"/>
              <w:rPr>
                <w:rFonts w:eastAsia="Times New Roman"/>
                <w:sz w:val="18"/>
                <w:szCs w:val="18"/>
              </w:rPr>
            </w:pPr>
            <w:r w:rsidRPr="009D7B5C">
              <w:rPr>
                <w:rFonts w:eastAsia="Times New Roman"/>
                <w:sz w:val="18"/>
                <w:szCs w:val="18"/>
              </w:rPr>
              <w:t>Cross border communities must reside within 40 km of border (previously 50 km)</w:t>
            </w:r>
          </w:p>
        </w:tc>
      </w:tr>
      <w:tr w:rsidR="00413D97" w:rsidRPr="009D7B5C" w14:paraId="78AFB3E8" w14:textId="77777777" w:rsidTr="00B7088D">
        <w:trPr>
          <w:cnfStyle w:val="000000010000" w:firstRow="0" w:lastRow="0" w:firstColumn="0" w:lastColumn="0" w:oddVBand="0" w:evenVBand="0" w:oddHBand="0" w:evenHBand="1" w:firstRowFirstColumn="0" w:firstRowLastColumn="0" w:lastRowFirstColumn="0" w:lastRowLastColumn="0"/>
        </w:trPr>
        <w:tc>
          <w:tcPr>
            <w:tcW w:w="0" w:type="auto"/>
            <w:hideMark/>
          </w:tcPr>
          <w:p w14:paraId="37096413" w14:textId="77777777" w:rsidR="00413D97" w:rsidRPr="009D7B5C" w:rsidRDefault="00413D97">
            <w:pPr>
              <w:pStyle w:val="NormalWeb"/>
              <w:rPr>
                <w:sz w:val="18"/>
                <w:szCs w:val="18"/>
              </w:rPr>
            </w:pPr>
            <w:r w:rsidRPr="009D7B5C">
              <w:rPr>
                <w:sz w:val="18"/>
                <w:szCs w:val="18"/>
              </w:rPr>
              <w:t>Tasmania</w:t>
            </w:r>
          </w:p>
        </w:tc>
        <w:tc>
          <w:tcPr>
            <w:tcW w:w="0" w:type="auto"/>
            <w:hideMark/>
          </w:tcPr>
          <w:p w14:paraId="7E50FD72" w14:textId="77777777" w:rsidR="00413D97" w:rsidRPr="009D7B5C" w:rsidRDefault="00413D97">
            <w:pPr>
              <w:pStyle w:val="NormalWeb"/>
              <w:rPr>
                <w:sz w:val="18"/>
                <w:szCs w:val="18"/>
              </w:rPr>
            </w:pPr>
            <w:r w:rsidRPr="009D7B5C">
              <w:rPr>
                <w:sz w:val="18"/>
                <w:szCs w:val="18"/>
              </w:rPr>
              <w:t>From 31 July, the following amendments to border restrictions were implemented:</w:t>
            </w:r>
            <w:r w:rsidRPr="00F44352">
              <w:rPr>
                <w:sz w:val="18"/>
                <w:szCs w:val="18"/>
                <w:vertAlign w:val="superscript"/>
              </w:rPr>
              <w:t>17</w:t>
            </w:r>
          </w:p>
          <w:p w14:paraId="041808BC" w14:textId="77777777" w:rsidR="00413D97" w:rsidRPr="009D7B5C" w:rsidRDefault="00413D97" w:rsidP="00413D97">
            <w:pPr>
              <w:numPr>
                <w:ilvl w:val="0"/>
                <w:numId w:val="12"/>
              </w:numPr>
              <w:spacing w:before="100" w:beforeAutospacing="1" w:after="100" w:afterAutospacing="1"/>
              <w:rPr>
                <w:rFonts w:eastAsia="Times New Roman"/>
                <w:sz w:val="18"/>
                <w:szCs w:val="18"/>
              </w:rPr>
            </w:pPr>
            <w:r w:rsidRPr="009D7B5C">
              <w:rPr>
                <w:rFonts w:eastAsia="Times New Roman"/>
                <w:sz w:val="18"/>
                <w:szCs w:val="18"/>
              </w:rPr>
              <w:t>Essential travellers from affected regions (currently Victoria) required to undertake a COVID-19 test and screening on arrival</w:t>
            </w:r>
          </w:p>
          <w:p w14:paraId="2913D3C3" w14:textId="77777777" w:rsidR="00413D97" w:rsidRPr="009D7B5C" w:rsidRDefault="00413D97" w:rsidP="00413D97">
            <w:pPr>
              <w:numPr>
                <w:ilvl w:val="0"/>
                <w:numId w:val="12"/>
              </w:numPr>
              <w:spacing w:before="100" w:beforeAutospacing="1" w:after="100" w:afterAutospacing="1"/>
              <w:rPr>
                <w:rFonts w:eastAsia="Times New Roman"/>
                <w:sz w:val="18"/>
                <w:szCs w:val="18"/>
              </w:rPr>
            </w:pPr>
            <w:r w:rsidRPr="009D7B5C">
              <w:rPr>
                <w:rFonts w:eastAsia="Times New Roman"/>
                <w:sz w:val="18"/>
                <w:szCs w:val="18"/>
              </w:rPr>
              <w:t>Individuals entering mandatory government-designated accommodation required to pay a fee</w:t>
            </w:r>
          </w:p>
        </w:tc>
      </w:tr>
      <w:tr w:rsidR="00413D97" w:rsidRPr="009D7B5C" w14:paraId="2F248C42" w14:textId="77777777" w:rsidTr="00B7088D">
        <w:tc>
          <w:tcPr>
            <w:tcW w:w="0" w:type="auto"/>
            <w:hideMark/>
          </w:tcPr>
          <w:p w14:paraId="0795C3D8" w14:textId="77777777" w:rsidR="00413D97" w:rsidRPr="009D7B5C" w:rsidRDefault="00413D97">
            <w:pPr>
              <w:pStyle w:val="NormalWeb"/>
              <w:rPr>
                <w:sz w:val="18"/>
                <w:szCs w:val="18"/>
              </w:rPr>
            </w:pPr>
            <w:r w:rsidRPr="009D7B5C">
              <w:rPr>
                <w:sz w:val="18"/>
                <w:szCs w:val="18"/>
              </w:rPr>
              <w:t>Australian Capital Territory</w:t>
            </w:r>
          </w:p>
        </w:tc>
        <w:tc>
          <w:tcPr>
            <w:tcW w:w="0" w:type="auto"/>
            <w:hideMark/>
          </w:tcPr>
          <w:p w14:paraId="1786F2FD" w14:textId="77777777" w:rsidR="00413D97" w:rsidRPr="009D7B5C" w:rsidRDefault="00413D97">
            <w:pPr>
              <w:pStyle w:val="NormalWeb"/>
              <w:rPr>
                <w:sz w:val="18"/>
                <w:szCs w:val="18"/>
              </w:rPr>
            </w:pPr>
            <w:r w:rsidRPr="009D7B5C">
              <w:rPr>
                <w:sz w:val="18"/>
                <w:szCs w:val="18"/>
              </w:rPr>
              <w:t>No changes during this reporting period.</w:t>
            </w:r>
            <w:r w:rsidRPr="00F44352">
              <w:rPr>
                <w:sz w:val="18"/>
                <w:szCs w:val="18"/>
                <w:vertAlign w:val="superscript"/>
              </w:rPr>
              <w:t>18</w:t>
            </w:r>
          </w:p>
        </w:tc>
      </w:tr>
      <w:tr w:rsidR="00413D97" w:rsidRPr="009D7B5C" w14:paraId="5CA295B6" w14:textId="77777777" w:rsidTr="00B7088D">
        <w:trPr>
          <w:cnfStyle w:val="000000010000" w:firstRow="0" w:lastRow="0" w:firstColumn="0" w:lastColumn="0" w:oddVBand="0" w:evenVBand="0" w:oddHBand="0" w:evenHBand="1" w:firstRowFirstColumn="0" w:firstRowLastColumn="0" w:lastRowFirstColumn="0" w:lastRowLastColumn="0"/>
        </w:trPr>
        <w:tc>
          <w:tcPr>
            <w:tcW w:w="0" w:type="auto"/>
            <w:hideMark/>
          </w:tcPr>
          <w:p w14:paraId="28258A3B" w14:textId="77777777" w:rsidR="00413D97" w:rsidRPr="009D7B5C" w:rsidRDefault="00413D97">
            <w:pPr>
              <w:pStyle w:val="NormalWeb"/>
              <w:rPr>
                <w:sz w:val="18"/>
                <w:szCs w:val="18"/>
              </w:rPr>
            </w:pPr>
            <w:r w:rsidRPr="009D7B5C">
              <w:rPr>
                <w:sz w:val="18"/>
                <w:szCs w:val="18"/>
              </w:rPr>
              <w:t>Northern Territory</w:t>
            </w:r>
          </w:p>
        </w:tc>
        <w:tc>
          <w:tcPr>
            <w:tcW w:w="0" w:type="auto"/>
            <w:hideMark/>
          </w:tcPr>
          <w:p w14:paraId="4334D37F" w14:textId="77777777" w:rsidR="00413D97" w:rsidRPr="009D7B5C" w:rsidRDefault="00413D97">
            <w:pPr>
              <w:pStyle w:val="NormalWeb"/>
              <w:rPr>
                <w:sz w:val="18"/>
                <w:szCs w:val="18"/>
              </w:rPr>
            </w:pPr>
            <w:r w:rsidRPr="009D7B5C">
              <w:rPr>
                <w:sz w:val="18"/>
                <w:szCs w:val="18"/>
              </w:rPr>
              <w:t>No changes during this reporting period.</w:t>
            </w:r>
            <w:r w:rsidRPr="00F44352">
              <w:rPr>
                <w:sz w:val="18"/>
                <w:szCs w:val="18"/>
                <w:vertAlign w:val="superscript"/>
              </w:rPr>
              <w:t>19</w:t>
            </w:r>
          </w:p>
        </w:tc>
      </w:tr>
    </w:tbl>
    <w:p w14:paraId="64565A81" w14:textId="77777777" w:rsidR="003E022B" w:rsidRDefault="003E022B">
      <w:pPr>
        <w:pStyle w:val="Heading1"/>
        <w:rPr>
          <w:rFonts w:eastAsia="Times New Roman"/>
        </w:rPr>
      </w:pPr>
    </w:p>
    <w:p w14:paraId="5FDAFC93" w14:textId="77777777" w:rsidR="003E022B" w:rsidRDefault="003E022B" w:rsidP="003E022B">
      <w:pPr>
        <w:rPr>
          <w:rFonts w:asciiTheme="majorHAnsi" w:eastAsia="Times New Roman" w:hAnsiTheme="majorHAnsi" w:cstheme="majorBidi"/>
          <w:sz w:val="32"/>
          <w:szCs w:val="28"/>
        </w:rPr>
      </w:pPr>
      <w:r>
        <w:rPr>
          <w:rFonts w:eastAsia="Times New Roman"/>
        </w:rPr>
        <w:br w:type="page"/>
      </w:r>
    </w:p>
    <w:p w14:paraId="6F187AF3" w14:textId="77777777" w:rsidR="00413D97" w:rsidRDefault="00413D97">
      <w:pPr>
        <w:pStyle w:val="Heading1"/>
        <w:rPr>
          <w:rFonts w:eastAsia="Times New Roman"/>
        </w:rPr>
      </w:pPr>
      <w:r>
        <w:rPr>
          <w:rFonts w:eastAsia="Times New Roman"/>
        </w:rPr>
        <w:lastRenderedPageBreak/>
        <w:t xml:space="preserve">International situation </w:t>
      </w:r>
    </w:p>
    <w:p w14:paraId="1931BD88" w14:textId="77777777" w:rsidR="00413D97" w:rsidRDefault="00413D97">
      <w:pPr>
        <w:pStyle w:val="NormalWeb"/>
      </w:pPr>
      <w:r>
        <w:t>On 2 August 2020, more than 216 countries, regions and areas had reported 17,660,523 COVID-19 cases and 680,894 deaths to WHO.</w:t>
      </w:r>
      <w:r>
        <w:rPr>
          <w:vertAlign w:val="superscript"/>
        </w:rPr>
        <w:t xml:space="preserve">20 </w:t>
      </w:r>
      <w:r>
        <w:t xml:space="preserve">All data reported below are drawn from the WHO Dashboard extracted on 5 August unless otherwise specified. The Americas and Europe continue to be the epicentres of the pandemic with the former representing approximately 54% of cumulative cases and 53% of cumulative deaths, and the latter representing 19% of cases and 32% of deaths. The global case fatality rate (CFR) is approximately 3.9% and is decreasing as case identification improves. The global cumulative per capita rates are 226.5 cases and 8.8 deaths per 100,000 population. </w:t>
      </w:r>
    </w:p>
    <w:p w14:paraId="2440CA9F" w14:textId="77777777" w:rsidR="00413D97" w:rsidRPr="0085602B" w:rsidRDefault="00413D97" w:rsidP="0085602B">
      <w:pPr>
        <w:pStyle w:val="ListParagraph"/>
        <w:numPr>
          <w:ilvl w:val="0"/>
          <w:numId w:val="18"/>
        </w:numPr>
        <w:rPr>
          <w:rFonts w:eastAsia="Times New Roman"/>
        </w:rPr>
      </w:pPr>
      <w:r w:rsidRPr="0085602B">
        <w:rPr>
          <w:rFonts w:eastAsia="Times New Roman"/>
        </w:rPr>
        <w:t xml:space="preserve">By country, the largest numbers of cases are from: the United States of America (4,456,389); Brazil (2,610,102); and India (1,695,988). </w:t>
      </w:r>
    </w:p>
    <w:p w14:paraId="64AA02C9" w14:textId="77777777" w:rsidR="00413D97" w:rsidRPr="0085602B" w:rsidRDefault="00413D97" w:rsidP="0085602B">
      <w:pPr>
        <w:pStyle w:val="ListParagraph"/>
        <w:numPr>
          <w:ilvl w:val="0"/>
          <w:numId w:val="18"/>
        </w:numPr>
        <w:rPr>
          <w:rFonts w:eastAsia="Times New Roman"/>
        </w:rPr>
      </w:pPr>
      <w:r w:rsidRPr="0085602B">
        <w:rPr>
          <w:rFonts w:eastAsia="Times New Roman"/>
        </w:rPr>
        <w:t xml:space="preserve">By country, the largest numbers of deaths are from: the United States of America (151,265); Brazil (91,263); and the United Kingdom (46,119). </w:t>
      </w:r>
    </w:p>
    <w:p w14:paraId="6939CEBB" w14:textId="77777777" w:rsidR="00413D97" w:rsidRDefault="00413D97">
      <w:pPr>
        <w:pStyle w:val="NormalWeb"/>
      </w:pPr>
      <w:r>
        <w:t xml:space="preserve">In the previous fortnight the largest number of cases were reported by the Americas (57%) and the South East Asian (21%) regions, led predominantly by the countries highlighted above. </w:t>
      </w:r>
    </w:p>
    <w:p w14:paraId="69BCC37B" w14:textId="77777777" w:rsidR="00413D97" w:rsidRDefault="00413D97">
      <w:pPr>
        <w:pStyle w:val="Heading2"/>
        <w:rPr>
          <w:rFonts w:eastAsia="Times New Roman"/>
        </w:rPr>
      </w:pPr>
      <w:r>
        <w:rPr>
          <w:rFonts w:eastAsia="Times New Roman"/>
        </w:rPr>
        <w:t xml:space="preserve">Western Pacific Region </w:t>
      </w:r>
    </w:p>
    <w:p w14:paraId="09A446F0" w14:textId="77777777" w:rsidR="00413D97" w:rsidRDefault="00413D97">
      <w:pPr>
        <w:pStyle w:val="NormalWeb"/>
      </w:pPr>
      <w:r>
        <w:t>To date, the Western Pacific Region is the least affected region on the globe, reporting the lowest number of COVID-19 cases and deaths. The cumulative number of cases in this region stands at approximately 313,000, with approximately 56,000 new cases reported in the previous fortnight (22% increase). This represents 1.6% of the global total number of new cases reported in the period. Cumulatively, the Western Pacific region accounts for 1.8% of all cases globally and 1.2% of all deaths. This region has so far reported a cumulative rate of 16.5 cases per 100,000 people and a mortality rate of 0.4 deaths per 100,000 population, which is low when compared to the global</w:t>
      </w:r>
      <w:r w:rsidR="00246EC4">
        <w:t> </w:t>
      </w:r>
      <w:r>
        <w:t xml:space="preserve">rates. </w:t>
      </w:r>
    </w:p>
    <w:p w14:paraId="7E422553" w14:textId="77777777" w:rsidR="00413D97" w:rsidRDefault="00413D97">
      <w:pPr>
        <w:pStyle w:val="NormalWeb"/>
      </w:pPr>
      <w:r>
        <w:t>The highest numbers of cases in the region have been observed in the Philippines, China and Singapore. Their epidemic trajectories are shown in Figure 12. However, in the past fortnight the greatest numbers of new cases have been observed in the Philippines (54%) and Japan (21%). There were three countries/territories that did not report any new cases in the previous fortnight (Brunei Darussalam, New Caledonia and French Polynesia).</w:t>
      </w:r>
    </w:p>
    <w:p w14:paraId="4A9ECD93" w14:textId="77777777" w:rsidR="009C7381" w:rsidRDefault="009C7381" w:rsidP="009C7381">
      <w:pPr>
        <w:pStyle w:val="CDIFigures"/>
        <w:sectPr w:rsidR="009C7381" w:rsidSect="00A30C37">
          <w:footnotePr>
            <w:numFmt w:val="lowerRoman"/>
          </w:footnotePr>
          <w:pgSz w:w="11906" w:h="16838"/>
          <w:pgMar w:top="720" w:right="720" w:bottom="1134" w:left="720" w:header="709" w:footer="284" w:gutter="0"/>
          <w:cols w:space="708"/>
          <w:titlePg/>
          <w:docGrid w:linePitch="360"/>
        </w:sectPr>
      </w:pPr>
    </w:p>
    <w:p w14:paraId="494153F2" w14:textId="77777777" w:rsidR="00413D97" w:rsidRDefault="00413D97" w:rsidP="009C7381">
      <w:pPr>
        <w:pStyle w:val="CDIFigures"/>
      </w:pPr>
      <w:r>
        <w:lastRenderedPageBreak/>
        <w:t>Figure 12: Number of COVID-19 cases (logarithmic scale) by selected country and days since passing 100 cases, up to 2 August 2020</w:t>
      </w:r>
    </w:p>
    <w:p w14:paraId="6A3E590E" w14:textId="77777777" w:rsidR="00413D97" w:rsidRDefault="00413D97">
      <w:pPr>
        <w:pStyle w:val="NormalWeb"/>
      </w:pPr>
      <w:r>
        <w:rPr>
          <w:noProof/>
        </w:rPr>
        <w:drawing>
          <wp:inline distT="0" distB="0" distL="0" distR="0" wp14:anchorId="232F42D6">
            <wp:extent cx="6629400" cy="4912813"/>
            <wp:effectExtent l="0" t="0" r="0" b="2540"/>
            <wp:docPr id="14" name="Picture 14" descr="Line graph comparing the growth in number of COVID-19 cases, from the ‘starting point’ of 100 cases in each country, for Australia and several other countries in the Western Pacific and South East Asia Regions (China, Singapore, the Philippines, India, Bangladesh, and Indonesia). The highest sustained growth in cases among these countries has occurred in India, though recent growth in Bangladesh and Indonesia is also high. While case numbers in Australia are currently increasing, the extent of the outbreak remains substantially less than that seen in the other countries surveyed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ne graph comparing the growth in number of COVID-19 cases, from the ‘starting point’ of 100 cases in each country, for Australia and several other countries in the Western Pacific and South East Asia Regions (China, Singapore, the Philippines, India, Bangladesh, and Indonesia). The highest sustained growth in cases among these countries has occurred in India, though recent growth in Bangladesh and Indonesia is also high. While case numbers in Australia are currently increasing, the extent of the outbreak remains substantially less than that seen in the other countries surveyed her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6636299" cy="4917925"/>
                    </a:xfrm>
                    <a:prstGeom prst="rect">
                      <a:avLst/>
                    </a:prstGeom>
                  </pic:spPr>
                </pic:pic>
              </a:graphicData>
            </a:graphic>
          </wp:inline>
        </w:drawing>
      </w:r>
    </w:p>
    <w:p w14:paraId="74EB6EBC" w14:textId="77777777" w:rsidR="00413D97" w:rsidRDefault="00413D97" w:rsidP="00102E28">
      <w:pPr>
        <w:pStyle w:val="NormalWeb"/>
      </w:pPr>
      <w:r>
        <w:t>In the past fortnight Papua New Guinea has reported a large growth in case numbers, growing by 730% over the fortnight with a cumulative total of 110 cases.</w:t>
      </w:r>
      <w:r>
        <w:rPr>
          <w:vertAlign w:val="superscript"/>
        </w:rPr>
        <w:t>21</w:t>
      </w:r>
      <w:r>
        <w:t xml:space="preserve"> The new cases have predominantly been identified in Port Moresby, with the exception of two cases in Lae, and the national pandemic response controller indicates that community transmission is occurring. Port Moresby has been placed into a 14-day lockdown and community-based testing has commenced. An Australian Medical Assistance Team has been enacted to assist the COVID-19 response in the country. Vietnam has reported community transmission of a more infectious strain of the virus, with 144 new cases since 25 July, predominantly in the Da Nang area.</w:t>
      </w:r>
      <w:r>
        <w:rPr>
          <w:vertAlign w:val="superscript"/>
        </w:rPr>
        <w:t>22</w:t>
      </w:r>
      <w:r>
        <w:t xml:space="preserve"> Three deaths have also been reported, the country’s first. These occurred in older people with comorbidities. </w:t>
      </w:r>
    </w:p>
    <w:p w14:paraId="07041DC8" w14:textId="77777777" w:rsidR="00413D97" w:rsidRDefault="00413D97">
      <w:pPr>
        <w:pStyle w:val="Heading2"/>
        <w:rPr>
          <w:rFonts w:eastAsia="Times New Roman"/>
        </w:rPr>
      </w:pPr>
      <w:r>
        <w:rPr>
          <w:rFonts w:eastAsia="Times New Roman"/>
        </w:rPr>
        <w:t xml:space="preserve">South East Asia Region </w:t>
      </w:r>
    </w:p>
    <w:p w14:paraId="43F74252" w14:textId="77777777" w:rsidR="00413D97" w:rsidRDefault="00413D97">
      <w:pPr>
        <w:pStyle w:val="NormalWeb"/>
      </w:pPr>
      <w:r>
        <w:t>In this fortnight, the South East Asia region has seen a large growth in new case numbers. Cumulatively the region has reported approximately 2.07 million cases and 44,900 deaths, with approximately 724,000 cases reported in the last fortnight (a 54% increase). Cumulatively, the region accounts for 11.9% of global cumulative cases and 6.7% of global cumulative deaths. Regionally, the per capita burden of disease is relatively low, compared to the global rates, at 103.8 cases and 2.2 deaths per 100,000 population, though the case rate has increased sharply in this reporting</w:t>
      </w:r>
      <w:r w:rsidR="00BC0C6E">
        <w:t> </w:t>
      </w:r>
      <w:r>
        <w:t xml:space="preserve">period. </w:t>
      </w:r>
    </w:p>
    <w:p w14:paraId="7FB81442" w14:textId="77777777" w:rsidR="00413D97" w:rsidRDefault="00413D97">
      <w:pPr>
        <w:pStyle w:val="NormalWeb"/>
      </w:pPr>
      <w:r>
        <w:lastRenderedPageBreak/>
        <w:t xml:space="preserve">The majority of the cases in the region have been observed almost exclusively in India, Bangladesh and Indonesia, which also comprise the greatest proportion of new cases in the previous fortnight, at 91%, 5% and 4% respectively. Their epidemic trajectories are shown in Figure 11. The remaining countries combined have reported only 3,418 cases. India reported the greatest rise in case count, increasing by 63% over the reporting period. The Maldives is the most affected country in the region per capita, reporting 701.1 cases per 100,000 people. Only Timor-Leste did not report a case in the previous fortnight. </w:t>
      </w:r>
    </w:p>
    <w:p w14:paraId="53EE2B53" w14:textId="77777777" w:rsidR="00413D97" w:rsidRDefault="00413D97">
      <w:pPr>
        <w:pStyle w:val="Heading1"/>
        <w:rPr>
          <w:rFonts w:eastAsia="Times New Roman"/>
        </w:rPr>
      </w:pPr>
      <w:r>
        <w:rPr>
          <w:rFonts w:eastAsia="Times New Roman"/>
        </w:rPr>
        <w:t xml:space="preserve">Data considerations </w:t>
      </w:r>
    </w:p>
    <w:p w14:paraId="7300F906" w14:textId="77777777" w:rsidR="00413D97" w:rsidRDefault="00413D97">
      <w:pPr>
        <w:pStyle w:val="NormalWeb"/>
      </w:pPr>
      <w:r>
        <w:t xml:space="preserve">Data were extracted from the NNDSS on 5 August 2020 for notifications received up to 2 August. Due to the dynamic nature of the NNDSS, numbers presented in this report are subject to revision and may vary from numbers previously reported and from case notifications released by states and territories. </w:t>
      </w:r>
    </w:p>
    <w:p w14:paraId="075E4E46" w14:textId="77777777" w:rsidR="00413D97" w:rsidRDefault="00413D97">
      <w:pPr>
        <w:pStyle w:val="NormalWeb"/>
      </w:pPr>
      <w:r>
        <w:t xml:space="preserve">Data were extracted from the FluCAN and SPRINT-SARI (Short Period Incidence Study of Severe Acute Respiratory Infection) databases on 8 August for data up to 7 August 2020. </w:t>
      </w:r>
    </w:p>
    <w:p w14:paraId="47ED86E8" w14:textId="77777777" w:rsidR="00413D97" w:rsidRDefault="00413D97">
      <w:pPr>
        <w:pStyle w:val="NormalWeb"/>
      </w:pPr>
      <w:r>
        <w:t>FluCAN is a sentinel passive surveillance system which captures COVID-19 cases confirmed by nucleic acid testing admitted to participating hospitals.</w:t>
      </w:r>
      <w:r>
        <w:rPr>
          <w:vertAlign w:val="superscript"/>
        </w:rPr>
        <w:t>23</w:t>
      </w:r>
      <w:r>
        <w:t xml:space="preserve"> Case fatality is based on currently available data at the time of reporting and is likely to underestimate the true mortality. </w:t>
      </w:r>
    </w:p>
    <w:p w14:paraId="7E5D43F3" w14:textId="77777777" w:rsidR="00413D97" w:rsidRDefault="00413D97">
      <w:pPr>
        <w:pStyle w:val="NormalWeb"/>
      </w:pPr>
      <w:r>
        <w:t>SPRINT SARI is a hospital-based surveillance database that enables real time tracking and reporting of the sickest patients with COVID-19 in Australian hospitals and Intensive Care Units.</w:t>
      </w:r>
      <w:r>
        <w:rPr>
          <w:vertAlign w:val="superscript"/>
        </w:rPr>
        <w:t xml:space="preserve">24 </w:t>
      </w:r>
    </w:p>
    <w:p w14:paraId="5B04C107" w14:textId="77777777" w:rsidR="00413D97" w:rsidRDefault="00413D97">
      <w:pPr>
        <w:pStyle w:val="Heading2"/>
        <w:rPr>
          <w:rFonts w:eastAsia="Times New Roman"/>
        </w:rPr>
      </w:pPr>
      <w:r>
        <w:rPr>
          <w:rFonts w:eastAsia="Times New Roman"/>
        </w:rPr>
        <w:t xml:space="preserve">Definitions </w:t>
      </w:r>
    </w:p>
    <w:p w14:paraId="606E1E34" w14:textId="77777777" w:rsidR="00413D97" w:rsidRDefault="00413D97">
      <w:pPr>
        <w:pStyle w:val="NormalWeb"/>
      </w:pPr>
      <w:r>
        <w:t>‘</w:t>
      </w:r>
      <w:r>
        <w:rPr>
          <w:rStyle w:val="Strong"/>
        </w:rPr>
        <w:t>Date of illness onset’</w:t>
      </w:r>
      <w:r>
        <w:t xml:space="preserve"> is derived from data collected by the NNDSS and represents the diagnosis date, or reported true onset of disease date. If unknown, the earliest of specimen collection date, notification date or notification receive date is used. </w:t>
      </w:r>
    </w:p>
    <w:p w14:paraId="7B89A9F9" w14:textId="77777777" w:rsidR="00413D97" w:rsidRDefault="00413D97">
      <w:pPr>
        <w:pStyle w:val="NormalWeb"/>
      </w:pPr>
      <w:r>
        <w:t>‘</w:t>
      </w:r>
      <w:r>
        <w:rPr>
          <w:rStyle w:val="Strong"/>
        </w:rPr>
        <w:t>Notification received date’</w:t>
      </w:r>
      <w:r>
        <w:t xml:space="preserve"> is reported in the NNDSS and represents the date the case is first notified on the NNDSS. As notification can only occur after testing is completed and information processed, counts for a defined period will vary according to the date type used. </w:t>
      </w:r>
    </w:p>
    <w:p w14:paraId="6B4AA3AD" w14:textId="77777777" w:rsidR="00413D97" w:rsidRDefault="00413D97">
      <w:pPr>
        <w:pStyle w:val="NormalWeb"/>
      </w:pPr>
      <w:r>
        <w:rPr>
          <w:rStyle w:val="Strong"/>
        </w:rPr>
        <w:t>‘Cluster’</w:t>
      </w:r>
      <w:r>
        <w:t xml:space="preserve"> in relation to COVID-19 refers to two or more cases (who do not reside in the same household) that are epidemiologically related in time, place or person where a common source (such as an event or within a community) of infection is suspected but not yet established. </w:t>
      </w:r>
    </w:p>
    <w:p w14:paraId="2976052E" w14:textId="77777777" w:rsidR="00413D97" w:rsidRDefault="00413D97">
      <w:pPr>
        <w:pStyle w:val="NormalWeb"/>
      </w:pPr>
      <w:r>
        <w:t>‘</w:t>
      </w:r>
      <w:r>
        <w:rPr>
          <w:rStyle w:val="Strong"/>
        </w:rPr>
        <w:t>Outbreak’</w:t>
      </w:r>
      <w:r>
        <w:t xml:space="preserve"> in relation to COVID-19 refers to two or more cases (who do not reside in the same household) among a specific group of people and/or over a specific period of time where illness is associated with a common source (such as an event or within a community). Some states and territories may report a single case associated with a residential aged care facility as an outbreak. </w:t>
      </w:r>
    </w:p>
    <w:p w14:paraId="2FB18DC1" w14:textId="77777777" w:rsidR="00636276" w:rsidRDefault="00636276">
      <w:pPr>
        <w:rPr>
          <w:rFonts w:asciiTheme="majorHAnsi" w:eastAsia="Times New Roman" w:hAnsiTheme="majorHAnsi" w:cstheme="majorBidi"/>
          <w:b/>
          <w:bCs/>
          <w:sz w:val="32"/>
          <w:szCs w:val="28"/>
        </w:rPr>
      </w:pPr>
      <w:r>
        <w:rPr>
          <w:rFonts w:eastAsia="Times New Roman"/>
        </w:rPr>
        <w:br w:type="page"/>
      </w:r>
    </w:p>
    <w:p w14:paraId="4997E900" w14:textId="77777777" w:rsidR="00413D97" w:rsidRDefault="00413D97">
      <w:pPr>
        <w:pStyle w:val="Heading1"/>
        <w:rPr>
          <w:rFonts w:eastAsia="Times New Roman"/>
        </w:rPr>
      </w:pPr>
      <w:r>
        <w:rPr>
          <w:rFonts w:eastAsia="Times New Roman"/>
        </w:rPr>
        <w:lastRenderedPageBreak/>
        <w:t xml:space="preserve">Acknowledgements </w:t>
      </w:r>
    </w:p>
    <w:p w14:paraId="63D26E34" w14:textId="77777777" w:rsidR="00413D97" w:rsidRDefault="00413D97">
      <w:pPr>
        <w:pStyle w:val="NormalWeb"/>
      </w:pPr>
      <w:r>
        <w:t xml:space="preserve">This report represents surveillance data reported through CDNA as part of the nationally-coordinated response to COVID-19. We thank public health staff from incident emergency operations centres in state and territory health departments, and the Australian Government Department of Health, along with state and territory public health laboratories. </w:t>
      </w:r>
    </w:p>
    <w:p w14:paraId="1ADAAC7E" w14:textId="77777777" w:rsidR="00413D97" w:rsidRDefault="00413D97">
      <w:pPr>
        <w:pStyle w:val="Heading1"/>
        <w:rPr>
          <w:rFonts w:eastAsia="Times New Roman"/>
        </w:rPr>
      </w:pPr>
      <w:r>
        <w:rPr>
          <w:rFonts w:eastAsia="Times New Roman"/>
        </w:rPr>
        <w:t xml:space="preserve">Author details </w:t>
      </w:r>
    </w:p>
    <w:p w14:paraId="52180AF4" w14:textId="77777777" w:rsidR="00413D97" w:rsidRDefault="00413D97">
      <w:pPr>
        <w:pStyle w:val="Heading2"/>
        <w:rPr>
          <w:rFonts w:eastAsia="Times New Roman"/>
        </w:rPr>
      </w:pPr>
      <w:r>
        <w:rPr>
          <w:rFonts w:eastAsia="Times New Roman"/>
        </w:rPr>
        <w:t xml:space="preserve">Corresponding author </w:t>
      </w:r>
    </w:p>
    <w:p w14:paraId="7F6920C8" w14:textId="77777777" w:rsidR="00413D97" w:rsidRDefault="00413D97">
      <w:pPr>
        <w:pStyle w:val="NormalWeb"/>
      </w:pPr>
      <w:r>
        <w:t xml:space="preserve">COVID-19 National Incident Room Surveillance Team, Australian Government Department of Health, GPO Box 9484, MDP 14, Canberra, ACT 2601. Email: epi.coronavirus@health.gov.au </w:t>
      </w:r>
    </w:p>
    <w:p w14:paraId="7F1B994E" w14:textId="77777777" w:rsidR="00413D97" w:rsidRDefault="00413D97">
      <w:pPr>
        <w:pStyle w:val="Heading1"/>
        <w:rPr>
          <w:rFonts w:eastAsia="Times New Roman"/>
        </w:rPr>
      </w:pPr>
      <w:r>
        <w:rPr>
          <w:rFonts w:eastAsia="Times New Roman"/>
        </w:rPr>
        <w:t xml:space="preserve">References </w:t>
      </w:r>
    </w:p>
    <w:p w14:paraId="60D540E4"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Dalton C, Durrheim D, Fejsa J, Francis L, Carlson S, d’Espaignet ET </w:t>
      </w:r>
      <w:proofErr w:type="spellStart"/>
      <w:r>
        <w:rPr>
          <w:rFonts w:eastAsia="Times New Roman"/>
        </w:rPr>
        <w:t>et</w:t>
      </w:r>
      <w:proofErr w:type="spellEnd"/>
      <w:r>
        <w:rPr>
          <w:rFonts w:eastAsia="Times New Roman"/>
        </w:rPr>
        <w:t xml:space="preserve"> </w:t>
      </w:r>
      <w:proofErr w:type="spellStart"/>
      <w:r>
        <w:rPr>
          <w:rFonts w:eastAsia="Times New Roman"/>
        </w:rPr>
        <w:t>al.Flutracking</w:t>
      </w:r>
      <w:proofErr w:type="spellEnd"/>
      <w:r>
        <w:rPr>
          <w:rFonts w:eastAsia="Times New Roman"/>
        </w:rPr>
        <w:t xml:space="preserve">: a weekly Australian community online survey of influenza-like illness in 2006, 2007 and 2008. </w:t>
      </w:r>
      <w:r w:rsidRPr="0002461E">
        <w:rPr>
          <w:rStyle w:val="Emphasis"/>
          <w:rFonts w:eastAsia="Times New Roman"/>
          <w:b w:val="0"/>
        </w:rPr>
        <w:t>Commun Dis Intell Q Rep</w:t>
      </w:r>
      <w:r>
        <w:rPr>
          <w:rFonts w:eastAsia="Times New Roman"/>
        </w:rPr>
        <w:t xml:space="preserve">. 2009;33(3):316-22. </w:t>
      </w:r>
    </w:p>
    <w:p w14:paraId="702758E5"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Australian Government Department of Health. Coronavirus (COVID-19) advice for the health and aged care sector. [Internet.] Canberra: Australian Government Department of Health; 2020. [Accessed 13 August 2020.] Available from: https://www.health.gov.au/news/health-alerts/novel-coronavirus-2019-ncov-health-alert/coronavirus-covid-19-advice-for-the-health-and-aged-care-sector. </w:t>
      </w:r>
    </w:p>
    <w:p w14:paraId="308A42E0"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Communicable Diseases Network Australia (CDNA). Coronavirus disease 2019 (COVID-19) outbreaks in residential care facilities: CDNA national guidelines for the prevention, control and public health management of COVID-19 outbreaks in residential care facilities in Australia. Canberra: Australian Government Department of Health, CDNA; 13 March 2020. [Accessed on 13 August 2020.] Available from: https://www.health.gov.au/sites/default/files/documents/2020/03/coronavirus-covid-19-guidelines-for-outbreaks-in-residential-care-facilities.pdf. </w:t>
      </w:r>
    </w:p>
    <w:p w14:paraId="4334649D"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Public Health Agency of Canada (PHAC). Coronavirus disease 2019 (COVID-19). Epidemiology update. Updated: June 22, 2020, 7 pm EDT. [Internet.] Ottawa: Government of Canada, PHAC; 2020. [Accessed on 30 July 2020.] Available from: https://health-infobase.canada.ca/covid-19/epidemiological-summary-covid-19-cases.html. </w:t>
      </w:r>
    </w:p>
    <w:p w14:paraId="4C04C1B0"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European Centre for Disease Prevention and Control (ECDC). Weekly COVID-19 country overview: Week 30, 2020. [Internet.] Solna: ECDC; 31 July 2020. [Accessed on 4 August 2020.] Available from: https://www.ecdc.europa.eu/en/covid-19/country-overviews. </w:t>
      </w:r>
    </w:p>
    <w:p w14:paraId="6D8750EE"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Docherty AB, Harrison EM, Green CA, Hardwick HE, Pius R, Norman L et al. Features of 20 133 UK patients in hospital with covid-19 using the ISARIC WHO Clinical Characterisation Protocol: prospective observational cohort study. </w:t>
      </w:r>
      <w:r w:rsidRPr="0002461E">
        <w:rPr>
          <w:rStyle w:val="Emphasis"/>
          <w:rFonts w:eastAsia="Times New Roman"/>
          <w:b w:val="0"/>
        </w:rPr>
        <w:t>BMJ</w:t>
      </w:r>
      <w:r>
        <w:rPr>
          <w:rFonts w:eastAsia="Times New Roman"/>
        </w:rPr>
        <w:t xml:space="preserve">. 2020;369:m1985. doi: http://dx.doi.org/10.1136/bmj.m1985. </w:t>
      </w:r>
    </w:p>
    <w:p w14:paraId="7B38AC0D"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Statistics Canada. Table 13-10-0775-01. Detailed preliminary information on cases of COVID-19: 6 Dimensions (Aggregated data), Public Health Agency of Canada. [Internet.] Ottawa: Statistics Canada; 2020. [Accessed on 10 July 2020.] Available from: https://www150.statcan.gc.ca/t1/tbl1/en/tv.action?pid=1310077401. </w:t>
      </w:r>
    </w:p>
    <w:p w14:paraId="482D56A6"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Intensive Care National Audit and Research Centre (ICNARC). </w:t>
      </w:r>
      <w:r w:rsidRPr="0002461E">
        <w:rPr>
          <w:rStyle w:val="Emphasis"/>
          <w:rFonts w:eastAsia="Times New Roman"/>
          <w:b w:val="0"/>
        </w:rPr>
        <w:t xml:space="preserve">ICNARC report on COVID-19 in critical care </w:t>
      </w:r>
      <w:r>
        <w:rPr>
          <w:rFonts w:eastAsia="Times New Roman"/>
        </w:rPr>
        <w:t>24 July</w:t>
      </w:r>
      <w:r w:rsidRPr="0002461E">
        <w:rPr>
          <w:rStyle w:val="Emphasis"/>
          <w:rFonts w:eastAsia="Times New Roman"/>
          <w:b w:val="0"/>
        </w:rPr>
        <w:t xml:space="preserve"> 2020</w:t>
      </w:r>
      <w:r>
        <w:rPr>
          <w:rFonts w:eastAsia="Times New Roman"/>
        </w:rPr>
        <w:t xml:space="preserve">. London: ICNARC; 2020. [Accessed on 4 August 2020.] Available from: https://www.icnarc.org/Our-Audit/Audits/Cmp/Reports. </w:t>
      </w:r>
    </w:p>
    <w:p w14:paraId="0E61F5C0"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ICNARC. Table Appendix 2020-07-31.xlsx. [Downloadable resource.] London: ICNARC; 2020. [Accessed on 4 August 2020.] Available from: https://www.icnarc.org/DataServices/Attachments/Download/c31dd38d-d77b-ea11-9124-00505601089b. </w:t>
      </w:r>
    </w:p>
    <w:p w14:paraId="5F1D7940" w14:textId="77777777" w:rsidR="00413D97" w:rsidRDefault="00413D97" w:rsidP="00413D97">
      <w:pPr>
        <w:numPr>
          <w:ilvl w:val="0"/>
          <w:numId w:val="14"/>
        </w:numPr>
        <w:spacing w:before="100" w:beforeAutospacing="1" w:after="100" w:afterAutospacing="1" w:line="240" w:lineRule="auto"/>
        <w:rPr>
          <w:rFonts w:eastAsia="Times New Roman"/>
        </w:rPr>
      </w:pPr>
      <w:proofErr w:type="spellStart"/>
      <w:r>
        <w:rPr>
          <w:rFonts w:eastAsia="Times New Roman"/>
        </w:rPr>
        <w:lastRenderedPageBreak/>
        <w:t>Centers</w:t>
      </w:r>
      <w:proofErr w:type="spellEnd"/>
      <w:r>
        <w:rPr>
          <w:rFonts w:eastAsia="Times New Roman"/>
        </w:rPr>
        <w:t xml:space="preserve"> for Disease Control and Prevention (CDC). COVID-Net: a weekly summary of U.S. COVID-19 hospitalization data. COVID-19 laboratory-confirmed hospitalizations: preliminary data as of May 23, 2020. [Internet.] Atlanta: United States Government Department of Health and Human Services, CDC; 2020. [Accessed on 3 June 2020.] Available from: https://gis.cdc.gov/grasp/COVIDNet/COVID19_5.html. </w:t>
      </w:r>
    </w:p>
    <w:p w14:paraId="08C1766D"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Government of New South Wales. What you can and can’t do under the rules: outdoor public gatherings. [Internet.] Sydney: Government of New South Wales; 2020. [Accessed on 4 August 2020.] Available from: https://www.nsw.gov.au/covid-19/what-you-can-and-cant-do-under-rules#outdoor-public-gatherings. </w:t>
      </w:r>
    </w:p>
    <w:p w14:paraId="00E8F5D7"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Government of New South Wales. Health advice update on masks. [Internet.] Sydney: Government of New South Wales; 2 August 2020. [Accessed on 4 August 2020.] Available from: https://www.nsw.gov.au/media-releases/health-advice-update-on-masks. </w:t>
      </w:r>
    </w:p>
    <w:p w14:paraId="042BDC1A"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Department of Health and Human Services (DHHS). Stage 4 restrictions. [Internet.] Melbourne: Victoria State Government, DHHS; 2020. [Accessed on 4 August 2020.] Available from: https://www.nsw.gov.au/media-releases/health-advice-update-on-masks. </w:t>
      </w:r>
    </w:p>
    <w:p w14:paraId="21A77E41"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Queensland Government. Border restrictions. [Internet.] Brisbane: Queensland Government; 2020. [Accessed on 4 August 2020.] Available from: https://www.qld.gov.au/health/conditions/health-alerts/coronavirus-covid-19/current-status/public-health-directions/border-restrictions. </w:t>
      </w:r>
    </w:p>
    <w:p w14:paraId="31A35A6A"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Government of Western Australia. COVID-19 coronavirus: WA Roadmap. [Internet.] Perth: Government of Western Australia; 2020. [Accessed on 4 August 2020.] Available from: https://www.wa.gov.au/organisation/department-of-the-premier-and-cabinet/covid-19-coronavirus-wa-roadmap. </w:t>
      </w:r>
    </w:p>
    <w:p w14:paraId="62D0640B"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Government of South Australia. Recovery from COVID-19. [Internet.] Adelaide: Government of South Australia; 2020. [Accessed on 4 August 2020.] Available from: https://www.covid-19.sa.gov.au/recovery. </w:t>
      </w:r>
    </w:p>
    <w:p w14:paraId="6F9ADFC9"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Tasmanian Government. Roadmap to recovery. [Internet.] Hobart: Tasmanian Government; 2020. [Accessed on 4 August 2020.] Available from: https://coronavirus.tas.gov.au/families-community/roadmap-to-recovery. </w:t>
      </w:r>
    </w:p>
    <w:p w14:paraId="238805D3"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Australian Capital Territory Government. Canberra’s recovery plan: easing of restrictions. [Internet.] Canberra: Australian Capital Territory Government; 2020. [Accessed on 4 August 2020.] Available from: https://www.covid19.act.gov.au/community/canberra-recovery. </w:t>
      </w:r>
    </w:p>
    <w:p w14:paraId="34544765"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Northern Territory Government. Roadmap to the new normal: other information. [Internet.] Darwin: Northern Territory Government; 2020. [Accessed on 4 August 2020.] Available from: https://coronavirus.nt.gov.au/roadmap-new-normal#section2. </w:t>
      </w:r>
    </w:p>
    <w:p w14:paraId="2043BC12"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World Health Organization (WHO). Coronavirus disease 2019 (COVID-19) situation report – 195. [Internet.] Geneva: WHO; 2020. [Accessed on 5 August 2020.] Available from: https://www.who.int/docs/default-source/coronaviruse/situation-reports/20200802-covid-19-sitrep-195.pdf. </w:t>
      </w:r>
    </w:p>
    <w:p w14:paraId="6192B1DD"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Papua New Guinea National Department of Health, World Health Organization (WHO) Representative Office for Papua New Guinea. </w:t>
      </w:r>
      <w:r w:rsidRPr="0002461E">
        <w:rPr>
          <w:rStyle w:val="Emphasis"/>
          <w:rFonts w:eastAsia="Times New Roman"/>
          <w:b w:val="0"/>
        </w:rPr>
        <w:t xml:space="preserve">Papua New Guinea Coronavirus Disease 2019 (COVID-19) Health Situation Report #32: </w:t>
      </w:r>
      <w:r>
        <w:rPr>
          <w:rFonts w:eastAsia="Times New Roman"/>
        </w:rPr>
        <w:t>02 August</w:t>
      </w:r>
      <w:r w:rsidRPr="0002461E">
        <w:rPr>
          <w:rStyle w:val="Emphasis"/>
          <w:rFonts w:eastAsia="Times New Roman"/>
          <w:b w:val="0"/>
        </w:rPr>
        <w:t xml:space="preserve"> 2020</w:t>
      </w:r>
      <w:r>
        <w:rPr>
          <w:rFonts w:eastAsia="Times New Roman"/>
        </w:rPr>
        <w:t xml:space="preserve">. Port Moresby: Papua New Guinea National Department of Health; 2020. [Accessed on 5 August 2020.] Available from: https://www.who.int/docs/default-source/wpro---documents/countries/papua-new-guinea/covid-19/png-covid-19-health-situation-report-32.pdf. </w:t>
      </w:r>
    </w:p>
    <w:p w14:paraId="53BE5562"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Government of Vietnam Ministry of Health. Tightening the entire system, putting forces in Da Nang, 2 Aug 2020. Viet Nam Ministry of Health Press Release. [Internet.] Hanoi: Government of Vietnam Ministry of Health; 2020. [Accessed on 5 August 2020.] Available from: https://ncov.moh.gov.vn/web/guest/-/siet-chat-toan-bo-he-thong-don-luc-dap-dich-o-a-nang. </w:t>
      </w:r>
    </w:p>
    <w:p w14:paraId="47DE723C"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Monash Health. FluCAN (Influenza surveillance): FluCAN (The Influenza Complications Alert Network) [Internet.] Melbourne: Monash Health; 2020. Available from: https://monashhealth.org/services/monash-infectious-diseases/research/influenza-research/flucan-influenza-surveillance-2/. </w:t>
      </w:r>
    </w:p>
    <w:p w14:paraId="3BD13546"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Australian and New Zealand Intensive Care Society (ANZICS). SPRINT-SARI: Short period incidence study of severe acute respiratory infection. [Internet.] Camberwell: ANZICS; 19 March 2020. [Accessed on 9 July 2020.] Available from: https://www.anzics.com.au/current-active-endorsed-research/sprint-sari/. </w:t>
      </w:r>
    </w:p>
    <w:p w14:paraId="63F59139"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WHO. Report of the WHO-China joint mission on coronavirus disease 2019 (COVID-19). [Internet.] Geneva: WHO; 2020. [Accessed 1 Mar 2020.] Available from: https://www.who.int/docs/default-source/coronaviruse/who-china-joint-mission-on-covid-19-final-report.pdf. </w:t>
      </w:r>
    </w:p>
    <w:p w14:paraId="5ED12CE5"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lastRenderedPageBreak/>
        <w:t xml:space="preserve">Harding H, Broom A, Broom J. Aerosol-generating </w:t>
      </w:r>
      <w:proofErr w:type="gramStart"/>
      <w:r>
        <w:rPr>
          <w:rFonts w:eastAsia="Times New Roman"/>
        </w:rPr>
        <w:t>procedures</w:t>
      </w:r>
      <w:proofErr w:type="gramEnd"/>
      <w:r>
        <w:rPr>
          <w:rFonts w:eastAsia="Times New Roman"/>
        </w:rPr>
        <w:t xml:space="preserve"> and infective risk to healthcare workers from SARS-CoV-2: the limits of the evidence. </w:t>
      </w:r>
      <w:r w:rsidRPr="0002461E">
        <w:rPr>
          <w:rStyle w:val="Emphasis"/>
          <w:rFonts w:eastAsia="Times New Roman"/>
          <w:b w:val="0"/>
        </w:rPr>
        <w:t>J Hosp Infect</w:t>
      </w:r>
      <w:r>
        <w:rPr>
          <w:rFonts w:eastAsia="Times New Roman"/>
        </w:rPr>
        <w:t xml:space="preserve">. 2020;105(4):717–25. </w:t>
      </w:r>
    </w:p>
    <w:p w14:paraId="19B42A54" w14:textId="77777777" w:rsidR="00413D97" w:rsidRDefault="00413D97" w:rsidP="00413D97">
      <w:pPr>
        <w:numPr>
          <w:ilvl w:val="0"/>
          <w:numId w:val="14"/>
        </w:numPr>
        <w:spacing w:before="100" w:beforeAutospacing="1" w:after="100" w:afterAutospacing="1" w:line="240" w:lineRule="auto"/>
        <w:rPr>
          <w:rFonts w:eastAsia="Times New Roman"/>
        </w:rPr>
      </w:pPr>
      <w:proofErr w:type="spellStart"/>
      <w:r>
        <w:rPr>
          <w:rFonts w:eastAsia="Times New Roman"/>
        </w:rPr>
        <w:t>Morawska</w:t>
      </w:r>
      <w:proofErr w:type="spellEnd"/>
      <w:r>
        <w:rPr>
          <w:rFonts w:eastAsia="Times New Roman"/>
        </w:rPr>
        <w:t xml:space="preserve"> L, Milton DK. It is time to address airborne transmission of COVID-19. </w:t>
      </w:r>
      <w:r w:rsidRPr="0002461E">
        <w:rPr>
          <w:rStyle w:val="Emphasis"/>
          <w:rFonts w:eastAsia="Times New Roman"/>
          <w:b w:val="0"/>
        </w:rPr>
        <w:t>Clin Infect Dis</w:t>
      </w:r>
      <w:r>
        <w:rPr>
          <w:rFonts w:eastAsia="Times New Roman"/>
        </w:rPr>
        <w:t xml:space="preserve">. 2020;ciaa939. doi: https://doi.org/10.1093/cid/ciaa939. </w:t>
      </w:r>
    </w:p>
    <w:p w14:paraId="2FC8A9E4"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WHO. Transmission of SARS-CoV-2: implications for infection prevention precautions. [Internet.] Geneva: WHO; 9 July 2020. [Accessed on 28 July 2020.] Available from: https://www.who.int/news-room/commentaries/detail/transmission-of-sars-cov-2-implications-for-infection-prevention-precautions. </w:t>
      </w:r>
    </w:p>
    <w:p w14:paraId="402A4D58" w14:textId="77777777" w:rsidR="00413D97" w:rsidRDefault="00413D97" w:rsidP="00413D97">
      <w:pPr>
        <w:numPr>
          <w:ilvl w:val="0"/>
          <w:numId w:val="14"/>
        </w:numPr>
        <w:spacing w:before="100" w:beforeAutospacing="1" w:after="100" w:afterAutospacing="1" w:line="240" w:lineRule="auto"/>
        <w:rPr>
          <w:rFonts w:eastAsia="Times New Roman"/>
        </w:rPr>
      </w:pPr>
      <w:proofErr w:type="spellStart"/>
      <w:r>
        <w:rPr>
          <w:rFonts w:eastAsia="Times New Roman"/>
        </w:rPr>
        <w:t>Pulinx</w:t>
      </w:r>
      <w:proofErr w:type="spellEnd"/>
      <w:r>
        <w:rPr>
          <w:rFonts w:eastAsia="Times New Roman"/>
        </w:rPr>
        <w:t xml:space="preserve"> B, Kieffer D, Michiels I, </w:t>
      </w:r>
      <w:proofErr w:type="spellStart"/>
      <w:r>
        <w:rPr>
          <w:rFonts w:eastAsia="Times New Roman"/>
        </w:rPr>
        <w:t>Petermans</w:t>
      </w:r>
      <w:proofErr w:type="spellEnd"/>
      <w:r>
        <w:rPr>
          <w:rFonts w:eastAsia="Times New Roman"/>
        </w:rPr>
        <w:t xml:space="preserve"> S, </w:t>
      </w:r>
      <w:proofErr w:type="spellStart"/>
      <w:r>
        <w:rPr>
          <w:rFonts w:eastAsia="Times New Roman"/>
        </w:rPr>
        <w:t>Strybol</w:t>
      </w:r>
      <w:proofErr w:type="spellEnd"/>
      <w:r>
        <w:rPr>
          <w:rFonts w:eastAsia="Times New Roman"/>
        </w:rPr>
        <w:t xml:space="preserve"> D, </w:t>
      </w:r>
      <w:proofErr w:type="spellStart"/>
      <w:r>
        <w:rPr>
          <w:rFonts w:eastAsia="Times New Roman"/>
        </w:rPr>
        <w:t>Delvaux</w:t>
      </w:r>
      <w:proofErr w:type="spellEnd"/>
      <w:r>
        <w:rPr>
          <w:rFonts w:eastAsia="Times New Roman"/>
        </w:rPr>
        <w:t xml:space="preserve"> S et al. Vertical transmission of SARS-CoV-2 infection and preterm birth. </w:t>
      </w:r>
      <w:proofErr w:type="spellStart"/>
      <w:r w:rsidRPr="0002461E">
        <w:rPr>
          <w:rStyle w:val="Emphasis"/>
          <w:rFonts w:eastAsia="Times New Roman"/>
          <w:b w:val="0"/>
        </w:rPr>
        <w:t>Eur</w:t>
      </w:r>
      <w:proofErr w:type="spellEnd"/>
      <w:r w:rsidRPr="0002461E">
        <w:rPr>
          <w:rStyle w:val="Emphasis"/>
          <w:rFonts w:eastAsia="Times New Roman"/>
          <w:b w:val="0"/>
        </w:rPr>
        <w:t xml:space="preserve"> J Clin Microbiol Infect Dis</w:t>
      </w:r>
      <w:r>
        <w:rPr>
          <w:rFonts w:eastAsia="Times New Roman"/>
        </w:rPr>
        <w:t xml:space="preserve">. 2020. doi: https://doi.org/10.1007/s10096-020-03964-y. </w:t>
      </w:r>
    </w:p>
    <w:p w14:paraId="31E607AE"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ECDC. Rapid risk assessment: Paediatric inflammatory multisystem syndrome and SARS-CoV-2 infection in children – 15 May 2020. Solna: ECDC; 2020. [Accessed on 19 May 2020.] Available from: https://www.ecdc.europa.eu/sites/default/files/documents/covid-19-risk-assessment-paediatric-inflammatory-multisystem-syndrome-15-May-2020.pdf. </w:t>
      </w:r>
    </w:p>
    <w:p w14:paraId="60C16877"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WHO. Coronavirus disease 2019 (COVID-19) situation report – 29. [Internet.] Geneva: WHO; 2020. [Accessed 22 Feb 2020.] Available from: https://www.who.int/docs/default-source/coronaviruse/situation-reports/20200218-sitrep-29-covid-19.pdf. </w:t>
      </w:r>
    </w:p>
    <w:p w14:paraId="76D1774B" w14:textId="77777777" w:rsidR="00413D97" w:rsidRDefault="00413D97" w:rsidP="00413D97">
      <w:pPr>
        <w:numPr>
          <w:ilvl w:val="0"/>
          <w:numId w:val="14"/>
        </w:numPr>
        <w:spacing w:before="100" w:beforeAutospacing="1" w:after="100" w:afterAutospacing="1" w:line="240" w:lineRule="auto"/>
        <w:rPr>
          <w:rFonts w:eastAsia="Times New Roman"/>
        </w:rPr>
      </w:pPr>
      <w:proofErr w:type="spellStart"/>
      <w:r>
        <w:rPr>
          <w:rFonts w:eastAsia="Times New Roman"/>
        </w:rPr>
        <w:t>Pung</w:t>
      </w:r>
      <w:proofErr w:type="spellEnd"/>
      <w:r>
        <w:rPr>
          <w:rFonts w:eastAsia="Times New Roman"/>
        </w:rPr>
        <w:t xml:space="preserve"> R, </w:t>
      </w:r>
      <w:proofErr w:type="spellStart"/>
      <w:r>
        <w:rPr>
          <w:rFonts w:eastAsia="Times New Roman"/>
        </w:rPr>
        <w:t>Chiew</w:t>
      </w:r>
      <w:proofErr w:type="spellEnd"/>
      <w:r>
        <w:rPr>
          <w:rFonts w:eastAsia="Times New Roman"/>
        </w:rPr>
        <w:t xml:space="preserve"> CJ, Young BE, Chin S, Chen M, Clapham HE. Investigation of three clusters of COVID-19 in Singapore: implications for surveillance and response measures. </w:t>
      </w:r>
      <w:r w:rsidRPr="0002461E">
        <w:rPr>
          <w:rStyle w:val="Emphasis"/>
          <w:rFonts w:eastAsia="Times New Roman"/>
          <w:b w:val="0"/>
        </w:rPr>
        <w:t>Lancet</w:t>
      </w:r>
      <w:r>
        <w:rPr>
          <w:rFonts w:eastAsia="Times New Roman"/>
        </w:rPr>
        <w:t xml:space="preserve">. 2020;395(10229):1039–46. </w:t>
      </w:r>
    </w:p>
    <w:p w14:paraId="5CDA5ED2"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Park M, Cook AR, Lim JT, Sun Y, Dickens BL. A systematic review of COVID-19 epidemiology based on current evidence. </w:t>
      </w:r>
      <w:r w:rsidRPr="0002461E">
        <w:rPr>
          <w:rStyle w:val="Emphasis"/>
          <w:rFonts w:eastAsia="Times New Roman"/>
          <w:b w:val="0"/>
        </w:rPr>
        <w:t>J Clin Med</w:t>
      </w:r>
      <w:r>
        <w:rPr>
          <w:rFonts w:eastAsia="Times New Roman"/>
        </w:rPr>
        <w:t xml:space="preserve">. 2020;9(4):967. </w:t>
      </w:r>
    </w:p>
    <w:p w14:paraId="407491C1"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WHO. Coronavirus disease 2019 (COVID-19) situation report – 73. [Internet.] Geneva: WHO; 2020. [Accessed on 4 August 2020.] Available from: https://www.who.int/docs/default-source/coronaviruse/situation-reports/20200402-sitrep-73-Covid-19.pdf. </w:t>
      </w:r>
    </w:p>
    <w:p w14:paraId="53086F6E"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WHO. Criteria for releasing COVID-19 patients from isolation: scientific brief. [Internet.] Geneva: WHO; 17 June 2020. [Accessed on 4 August 2020.] Available from: https://www.who.int/news-room/commentaries/detail/criteria-for-releasing-covid-19-patients-from-isolation. </w:t>
      </w:r>
    </w:p>
    <w:p w14:paraId="05A7B265" w14:textId="77777777" w:rsidR="00413D97" w:rsidRDefault="00413D97" w:rsidP="00413D97">
      <w:pPr>
        <w:numPr>
          <w:ilvl w:val="0"/>
          <w:numId w:val="14"/>
        </w:numPr>
        <w:spacing w:before="100" w:beforeAutospacing="1" w:after="100" w:afterAutospacing="1" w:line="240" w:lineRule="auto"/>
        <w:rPr>
          <w:rFonts w:eastAsia="Times New Roman"/>
        </w:rPr>
      </w:pPr>
      <w:proofErr w:type="spellStart"/>
      <w:r>
        <w:rPr>
          <w:rFonts w:eastAsia="Times New Roman"/>
        </w:rPr>
        <w:t>Wölfel</w:t>
      </w:r>
      <w:proofErr w:type="spellEnd"/>
      <w:r>
        <w:rPr>
          <w:rFonts w:eastAsia="Times New Roman"/>
        </w:rPr>
        <w:t xml:space="preserve"> R, Corman VM, </w:t>
      </w:r>
      <w:proofErr w:type="spellStart"/>
      <w:r>
        <w:rPr>
          <w:rFonts w:eastAsia="Times New Roman"/>
        </w:rPr>
        <w:t>Guggemos</w:t>
      </w:r>
      <w:proofErr w:type="spellEnd"/>
      <w:r>
        <w:rPr>
          <w:rFonts w:eastAsia="Times New Roman"/>
        </w:rPr>
        <w:t xml:space="preserve"> W, </w:t>
      </w:r>
      <w:proofErr w:type="spellStart"/>
      <w:r>
        <w:rPr>
          <w:rFonts w:eastAsia="Times New Roman"/>
        </w:rPr>
        <w:t>Seilmaier</w:t>
      </w:r>
      <w:proofErr w:type="spellEnd"/>
      <w:r>
        <w:rPr>
          <w:rFonts w:eastAsia="Times New Roman"/>
        </w:rPr>
        <w:t xml:space="preserve"> M, </w:t>
      </w:r>
      <w:proofErr w:type="spellStart"/>
      <w:r>
        <w:rPr>
          <w:rFonts w:eastAsia="Times New Roman"/>
        </w:rPr>
        <w:t>Zange</w:t>
      </w:r>
      <w:proofErr w:type="spellEnd"/>
      <w:r>
        <w:rPr>
          <w:rFonts w:eastAsia="Times New Roman"/>
        </w:rPr>
        <w:t xml:space="preserve"> S, Müller MA et al. Virological assessment of hospitalized patients with COVID-2019. </w:t>
      </w:r>
      <w:r w:rsidRPr="0002461E">
        <w:rPr>
          <w:rStyle w:val="Emphasis"/>
          <w:rFonts w:eastAsia="Times New Roman"/>
          <w:b w:val="0"/>
        </w:rPr>
        <w:t>Nature</w:t>
      </w:r>
      <w:r>
        <w:rPr>
          <w:rFonts w:eastAsia="Times New Roman"/>
        </w:rPr>
        <w:t xml:space="preserve">. 2020. doi: https://doi.org/10.1038/s41586-020-2196-x. </w:t>
      </w:r>
    </w:p>
    <w:p w14:paraId="0D738198"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He X, Lau EHY, Wu P, Deng X, Wang J, Hao X. Temporal dynamics in viral shedding and transmissibility of COVID-19. </w:t>
      </w:r>
      <w:r w:rsidRPr="0002461E">
        <w:rPr>
          <w:rStyle w:val="Emphasis"/>
          <w:rFonts w:eastAsia="Times New Roman"/>
          <w:b w:val="0"/>
        </w:rPr>
        <w:t>Nat Med</w:t>
      </w:r>
      <w:r>
        <w:rPr>
          <w:rFonts w:eastAsia="Times New Roman"/>
        </w:rPr>
        <w:t xml:space="preserve">. 2020;26(5):672-675. </w:t>
      </w:r>
    </w:p>
    <w:p w14:paraId="233F60D6"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WHO Regional Office for the Eastern Mediterranean. Transmission of COVID-19 by asymptomatic cases. [Internet.] Geneva: WHO; 11 June 2020. [Accessed on 4 August 2020.] Available from: http://www.emro.who.int/health-topics/corona-virus/transmission-of-covid-19-by-asymptomatic-cases.html. </w:t>
      </w:r>
    </w:p>
    <w:p w14:paraId="5172C98F"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Lennon NJ, Bhattacharyya RP, Mina MJ, Rehm HL, Hung DT, </w:t>
      </w:r>
      <w:proofErr w:type="spellStart"/>
      <w:r>
        <w:rPr>
          <w:rFonts w:eastAsia="Times New Roman"/>
        </w:rPr>
        <w:t>Smole</w:t>
      </w:r>
      <w:proofErr w:type="spellEnd"/>
      <w:r>
        <w:rPr>
          <w:rFonts w:eastAsia="Times New Roman"/>
        </w:rPr>
        <w:t xml:space="preserve"> S et al. Comparison of viral levels in individuals with or without symptoms at time of COVID-19 testing among 32,480 residents and staff of nursing homes and assisted living facilities in Massachusetts. </w:t>
      </w:r>
      <w:proofErr w:type="spellStart"/>
      <w:r w:rsidRPr="0002461E">
        <w:rPr>
          <w:rStyle w:val="Emphasis"/>
          <w:rFonts w:eastAsia="Times New Roman"/>
          <w:b w:val="0"/>
        </w:rPr>
        <w:t>medRxiv</w:t>
      </w:r>
      <w:proofErr w:type="spellEnd"/>
      <w:r>
        <w:rPr>
          <w:rFonts w:eastAsia="Times New Roman"/>
        </w:rPr>
        <w:t xml:space="preserve">. 2020. doi: https://doi.org/10.1101/2020.07.20.20157792. </w:t>
      </w:r>
    </w:p>
    <w:p w14:paraId="3BAB484B"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Cheng HY, Jian SW, Liu DP, Ng TC, Huang WT, Lin HH. Contact tracing assessment of COVID-19 transmission dynamics in Taiwan and risk at different exposure periods before and after symptom onset. </w:t>
      </w:r>
      <w:r w:rsidRPr="0002461E">
        <w:rPr>
          <w:rStyle w:val="Emphasis"/>
          <w:rFonts w:eastAsia="Times New Roman"/>
          <w:b w:val="0"/>
        </w:rPr>
        <w:t>JAMA Intern Med</w:t>
      </w:r>
      <w:r>
        <w:rPr>
          <w:rFonts w:eastAsia="Times New Roman"/>
        </w:rPr>
        <w:t xml:space="preserve">. 2020. doi: https://doi.org/10.1001/jamainternmed.2020.2020. </w:t>
      </w:r>
    </w:p>
    <w:p w14:paraId="35013AD1"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Chandrashekar A, Liu J, </w:t>
      </w:r>
      <w:proofErr w:type="spellStart"/>
      <w:r>
        <w:rPr>
          <w:rFonts w:eastAsia="Times New Roman"/>
        </w:rPr>
        <w:t>Martinot</w:t>
      </w:r>
      <w:proofErr w:type="spellEnd"/>
      <w:r>
        <w:rPr>
          <w:rFonts w:eastAsia="Times New Roman"/>
        </w:rPr>
        <w:t xml:space="preserve"> AJ, McMahan K, Mercado NB, Peter L et al. Deng W, Bao L, Liu J, Xiao C, Liu J, Xue J et al. SARS-CoV-2 infection protects against rechallenge in rhesus macaques. </w:t>
      </w:r>
      <w:r w:rsidRPr="0002461E">
        <w:rPr>
          <w:rStyle w:val="Emphasis"/>
          <w:rFonts w:eastAsia="Times New Roman"/>
          <w:b w:val="0"/>
        </w:rPr>
        <w:t>Science</w:t>
      </w:r>
      <w:r>
        <w:rPr>
          <w:rFonts w:eastAsia="Times New Roman"/>
        </w:rPr>
        <w:t xml:space="preserve">. 2020;eabc4776. doi: https://doi.org/10.1126/science.abc4776. </w:t>
      </w:r>
    </w:p>
    <w:p w14:paraId="0B3A280A"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Deng W, Bao L, Liu J, Xiao C, Liu J, Xue J et al. Primary exposure to SARS-CoV-2 protects against reinfection in rhesus macaques. </w:t>
      </w:r>
      <w:r w:rsidRPr="0002461E">
        <w:rPr>
          <w:rStyle w:val="Emphasis"/>
          <w:rFonts w:eastAsia="Times New Roman"/>
          <w:b w:val="0"/>
        </w:rPr>
        <w:t>Science</w:t>
      </w:r>
      <w:r>
        <w:rPr>
          <w:rFonts w:eastAsia="Times New Roman"/>
        </w:rPr>
        <w:t xml:space="preserve">. 2020;eabc5343. doi: https://doi.org/10.1126/science.abc5343. </w:t>
      </w:r>
    </w:p>
    <w:p w14:paraId="511EBF61" w14:textId="77777777" w:rsidR="00413D97" w:rsidRDefault="00413D97" w:rsidP="00413D97">
      <w:pPr>
        <w:numPr>
          <w:ilvl w:val="0"/>
          <w:numId w:val="14"/>
        </w:numPr>
        <w:spacing w:before="100" w:beforeAutospacing="1" w:after="100" w:afterAutospacing="1" w:line="240" w:lineRule="auto"/>
        <w:rPr>
          <w:rFonts w:eastAsia="Times New Roman"/>
        </w:rPr>
      </w:pPr>
      <w:proofErr w:type="spellStart"/>
      <w:r>
        <w:rPr>
          <w:rFonts w:eastAsia="Times New Roman"/>
        </w:rPr>
        <w:t>Seow</w:t>
      </w:r>
      <w:proofErr w:type="spellEnd"/>
      <w:r>
        <w:rPr>
          <w:rFonts w:eastAsia="Times New Roman"/>
        </w:rPr>
        <w:t xml:space="preserve"> J, Graham C, Merrick B, </w:t>
      </w:r>
      <w:proofErr w:type="spellStart"/>
      <w:r>
        <w:rPr>
          <w:rFonts w:eastAsia="Times New Roman"/>
        </w:rPr>
        <w:t>Acors</w:t>
      </w:r>
      <w:proofErr w:type="spellEnd"/>
      <w:r>
        <w:rPr>
          <w:rFonts w:eastAsia="Times New Roman"/>
        </w:rPr>
        <w:t xml:space="preserve"> S, Steel KJA, Hemmings O et al. Longitudinal evaluation and decline of antibody responses in SARS-CoV-2 infection. </w:t>
      </w:r>
      <w:proofErr w:type="spellStart"/>
      <w:r w:rsidRPr="0002461E">
        <w:rPr>
          <w:rStyle w:val="Emphasis"/>
          <w:rFonts w:eastAsia="Times New Roman"/>
          <w:b w:val="0"/>
        </w:rPr>
        <w:t>medRxiv</w:t>
      </w:r>
      <w:proofErr w:type="spellEnd"/>
      <w:r>
        <w:rPr>
          <w:rFonts w:eastAsia="Times New Roman"/>
        </w:rPr>
        <w:t xml:space="preserve">. 2020. doi: https://doi.org/10.1101/2020.07.09.20148429. </w:t>
      </w:r>
    </w:p>
    <w:p w14:paraId="23A0CB79"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Korea </w:t>
      </w:r>
      <w:proofErr w:type="spellStart"/>
      <w:r>
        <w:rPr>
          <w:rFonts w:eastAsia="Times New Roman"/>
        </w:rPr>
        <w:t>Centers</w:t>
      </w:r>
      <w:proofErr w:type="spellEnd"/>
      <w:r>
        <w:rPr>
          <w:rFonts w:eastAsia="Times New Roman"/>
        </w:rPr>
        <w:t xml:space="preserve"> for Disease Control and Prevention (KCDC). Division of risk assessment and international cooperation. Findings from investigation and analysis of re-positive cases. [Internet.] Cheongju: Government of South Korea, KCDC; 2020. [Accessed on 24 May 2020.] Available from: </w:t>
      </w:r>
      <w:r>
        <w:rPr>
          <w:rFonts w:eastAsia="Times New Roman"/>
        </w:rPr>
        <w:lastRenderedPageBreak/>
        <w:t xml:space="preserve">https://www.cdc.go.kr/board/board.es?mid=a30402000000&amp;bid=0030&amp;act=view&amp;list_no=367267&amp;nPage=1. </w:t>
      </w:r>
    </w:p>
    <w:p w14:paraId="6AAAB5A0" w14:textId="77777777" w:rsidR="00413D97" w:rsidRDefault="00413D97" w:rsidP="00413D97">
      <w:pPr>
        <w:numPr>
          <w:ilvl w:val="0"/>
          <w:numId w:val="14"/>
        </w:numPr>
        <w:spacing w:before="100" w:beforeAutospacing="1" w:after="100" w:afterAutospacing="1" w:line="240" w:lineRule="auto"/>
        <w:rPr>
          <w:rFonts w:eastAsia="Times New Roman"/>
        </w:rPr>
      </w:pPr>
      <w:proofErr w:type="spellStart"/>
      <w:r>
        <w:rPr>
          <w:rFonts w:eastAsia="Times New Roman"/>
        </w:rPr>
        <w:t>Rockett</w:t>
      </w:r>
      <w:proofErr w:type="spellEnd"/>
      <w:r>
        <w:rPr>
          <w:rFonts w:eastAsia="Times New Roman"/>
        </w:rPr>
        <w:t xml:space="preserve"> RJ, Arnott A, Lam C, </w:t>
      </w:r>
      <w:proofErr w:type="spellStart"/>
      <w:r>
        <w:rPr>
          <w:rFonts w:eastAsia="Times New Roman"/>
        </w:rPr>
        <w:t>Sadsad</w:t>
      </w:r>
      <w:proofErr w:type="spellEnd"/>
      <w:r>
        <w:rPr>
          <w:rFonts w:eastAsia="Times New Roman"/>
        </w:rPr>
        <w:t xml:space="preserve"> R, Timms V, Gray KA et al. Revealing COVID-19 transmission in Australia by SARS-CoV-2 genome sequencing and agent-based </w:t>
      </w:r>
      <w:proofErr w:type="spellStart"/>
      <w:r>
        <w:rPr>
          <w:rFonts w:eastAsia="Times New Roman"/>
        </w:rPr>
        <w:t>modeling</w:t>
      </w:r>
      <w:proofErr w:type="spellEnd"/>
      <w:r>
        <w:rPr>
          <w:rFonts w:eastAsia="Times New Roman"/>
        </w:rPr>
        <w:t xml:space="preserve">. </w:t>
      </w:r>
      <w:r w:rsidRPr="0002461E">
        <w:rPr>
          <w:rStyle w:val="Emphasis"/>
          <w:rFonts w:eastAsia="Times New Roman"/>
          <w:b w:val="0"/>
        </w:rPr>
        <w:t>Nat Med</w:t>
      </w:r>
      <w:r>
        <w:rPr>
          <w:rFonts w:eastAsia="Times New Roman"/>
        </w:rPr>
        <w:t xml:space="preserve">. 2020. doi: https://doi.org/10.1038/s41591-020-1000-7. </w:t>
      </w:r>
    </w:p>
    <w:p w14:paraId="32069EB5"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Seemann T, Lane C, Sherry N, Duchene S, Goncalves da Silva A, </w:t>
      </w:r>
      <w:proofErr w:type="spellStart"/>
      <w:r>
        <w:rPr>
          <w:rFonts w:eastAsia="Times New Roman"/>
        </w:rPr>
        <w:t>Caly</w:t>
      </w:r>
      <w:proofErr w:type="spellEnd"/>
      <w:r>
        <w:rPr>
          <w:rFonts w:eastAsia="Times New Roman"/>
        </w:rPr>
        <w:t xml:space="preserve"> L et al. Tracking the COVID-19 pandemic in Australia using genomics. </w:t>
      </w:r>
      <w:proofErr w:type="spellStart"/>
      <w:r w:rsidRPr="0002461E">
        <w:rPr>
          <w:rStyle w:val="Emphasis"/>
          <w:rFonts w:eastAsia="Times New Roman"/>
          <w:b w:val="0"/>
        </w:rPr>
        <w:t>medRxiv</w:t>
      </w:r>
      <w:proofErr w:type="spellEnd"/>
      <w:r>
        <w:rPr>
          <w:rFonts w:eastAsia="Times New Roman"/>
        </w:rPr>
        <w:t xml:space="preserve">. 2020 doi: https://doi.org/10.1101/2020.05.12.20099929. </w:t>
      </w:r>
    </w:p>
    <w:p w14:paraId="43034897"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Eden JS, </w:t>
      </w:r>
      <w:proofErr w:type="spellStart"/>
      <w:r>
        <w:rPr>
          <w:rFonts w:eastAsia="Times New Roman"/>
        </w:rPr>
        <w:t>Rockett</w:t>
      </w:r>
      <w:proofErr w:type="spellEnd"/>
      <w:r>
        <w:rPr>
          <w:rFonts w:eastAsia="Times New Roman"/>
        </w:rPr>
        <w:t xml:space="preserve"> R, Carter I, Rahman H, de </w:t>
      </w:r>
      <w:proofErr w:type="spellStart"/>
      <w:r>
        <w:rPr>
          <w:rFonts w:eastAsia="Times New Roman"/>
        </w:rPr>
        <w:t>Ligt</w:t>
      </w:r>
      <w:proofErr w:type="spellEnd"/>
      <w:r>
        <w:rPr>
          <w:rFonts w:eastAsia="Times New Roman"/>
        </w:rPr>
        <w:t xml:space="preserve"> J, Hadfield J et al. An emergent clade of SARS-CoV-2 linked to returned travellers from Iran. </w:t>
      </w:r>
      <w:r w:rsidRPr="0002461E">
        <w:rPr>
          <w:rStyle w:val="Emphasis"/>
          <w:rFonts w:eastAsia="Times New Roman"/>
          <w:b w:val="0"/>
        </w:rPr>
        <w:t xml:space="preserve">Virus </w:t>
      </w:r>
      <w:proofErr w:type="spellStart"/>
      <w:r w:rsidRPr="0002461E">
        <w:rPr>
          <w:rStyle w:val="Emphasis"/>
          <w:rFonts w:eastAsia="Times New Roman"/>
          <w:b w:val="0"/>
        </w:rPr>
        <w:t>Evol</w:t>
      </w:r>
      <w:proofErr w:type="spellEnd"/>
      <w:r>
        <w:rPr>
          <w:rFonts w:eastAsia="Times New Roman"/>
        </w:rPr>
        <w:t xml:space="preserve">. 2020;6(1):veaa027. doi: https://doi.org/10.1093/ve/veaa027. </w:t>
      </w:r>
    </w:p>
    <w:p w14:paraId="7004A397"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Sun P, </w:t>
      </w:r>
      <w:proofErr w:type="spellStart"/>
      <w:r>
        <w:rPr>
          <w:rFonts w:eastAsia="Times New Roman"/>
        </w:rPr>
        <w:t>Qie</w:t>
      </w:r>
      <w:proofErr w:type="spellEnd"/>
      <w:r>
        <w:rPr>
          <w:rFonts w:eastAsia="Times New Roman"/>
        </w:rPr>
        <w:t xml:space="preserve"> S, Liu Z, Ren J, Li K, Xi JJ. Clinical characteristics of hospitalized patients with SARS-CoV-2 infection: A single arm meta-analysis. </w:t>
      </w:r>
      <w:r w:rsidRPr="0002461E">
        <w:rPr>
          <w:rStyle w:val="Emphasis"/>
          <w:rFonts w:eastAsia="Times New Roman"/>
          <w:b w:val="0"/>
        </w:rPr>
        <w:t xml:space="preserve">J Med </w:t>
      </w:r>
      <w:proofErr w:type="spellStart"/>
      <w:r w:rsidRPr="0002461E">
        <w:rPr>
          <w:rStyle w:val="Emphasis"/>
          <w:rFonts w:eastAsia="Times New Roman"/>
          <w:b w:val="0"/>
        </w:rPr>
        <w:t>Virol</w:t>
      </w:r>
      <w:proofErr w:type="spellEnd"/>
      <w:r>
        <w:rPr>
          <w:rFonts w:eastAsia="Times New Roman"/>
        </w:rPr>
        <w:t xml:space="preserve">. 2020;92(6):612–7. doi: https://doi.org/10.1002/jmv.25735. </w:t>
      </w:r>
    </w:p>
    <w:p w14:paraId="7D04D6C8"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Li B, Bai W, </w:t>
      </w:r>
      <w:proofErr w:type="spellStart"/>
      <w:r>
        <w:rPr>
          <w:rFonts w:eastAsia="Times New Roman"/>
        </w:rPr>
        <w:t>Hashikawa</w:t>
      </w:r>
      <w:proofErr w:type="spellEnd"/>
      <w:r>
        <w:rPr>
          <w:rFonts w:eastAsia="Times New Roman"/>
        </w:rPr>
        <w:t xml:space="preserve"> T. The neuroinvasive potential of SARS-CoV-2 may be at least partially responsible for the respiratory failure of COVID-19 patients. </w:t>
      </w:r>
      <w:r w:rsidRPr="0002461E">
        <w:rPr>
          <w:rStyle w:val="Emphasis"/>
          <w:rFonts w:eastAsia="Times New Roman"/>
          <w:b w:val="0"/>
        </w:rPr>
        <w:t xml:space="preserve">J Med </w:t>
      </w:r>
      <w:proofErr w:type="spellStart"/>
      <w:r w:rsidRPr="0002461E">
        <w:rPr>
          <w:rStyle w:val="Emphasis"/>
          <w:rFonts w:eastAsia="Times New Roman"/>
          <w:b w:val="0"/>
        </w:rPr>
        <w:t>Virol</w:t>
      </w:r>
      <w:proofErr w:type="spellEnd"/>
      <w:r>
        <w:rPr>
          <w:rFonts w:eastAsia="Times New Roman"/>
        </w:rPr>
        <w:t xml:space="preserve">. 2020. doi: https://doi.org/10.1002/jmv.25728. </w:t>
      </w:r>
    </w:p>
    <w:p w14:paraId="3DB0AB78"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Mao L, Jin H, Wang M, Hu Y, Chen S, He Q et al. Neurological manifestations of hospitalized patients with coronavirus disease 2019 in Wuhan, China. </w:t>
      </w:r>
      <w:r w:rsidRPr="0002461E">
        <w:rPr>
          <w:rStyle w:val="Emphasis"/>
          <w:rFonts w:eastAsia="Times New Roman"/>
          <w:b w:val="0"/>
        </w:rPr>
        <w:t>JAMA Neurol</w:t>
      </w:r>
      <w:r>
        <w:rPr>
          <w:rFonts w:eastAsia="Times New Roman"/>
        </w:rPr>
        <w:t xml:space="preserve">. 2020;e201127. doi: https://doi.org/10.1001/jamaneurol.2020.1127. </w:t>
      </w:r>
    </w:p>
    <w:p w14:paraId="3DAEFB54"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Drew DA, Nguyen LH, </w:t>
      </w:r>
      <w:proofErr w:type="spellStart"/>
      <w:r>
        <w:rPr>
          <w:rFonts w:eastAsia="Times New Roman"/>
        </w:rPr>
        <w:t>Steves</w:t>
      </w:r>
      <w:proofErr w:type="spellEnd"/>
      <w:r>
        <w:rPr>
          <w:rFonts w:eastAsia="Times New Roman"/>
        </w:rPr>
        <w:t xml:space="preserve"> CJ, </w:t>
      </w:r>
      <w:proofErr w:type="spellStart"/>
      <w:r>
        <w:rPr>
          <w:rFonts w:eastAsia="Times New Roman"/>
        </w:rPr>
        <w:t>Menni</w:t>
      </w:r>
      <w:proofErr w:type="spellEnd"/>
      <w:r>
        <w:rPr>
          <w:rFonts w:eastAsia="Times New Roman"/>
        </w:rPr>
        <w:t xml:space="preserve"> C, </w:t>
      </w:r>
      <w:proofErr w:type="spellStart"/>
      <w:r>
        <w:rPr>
          <w:rFonts w:eastAsia="Times New Roman"/>
        </w:rPr>
        <w:t>Freydin</w:t>
      </w:r>
      <w:proofErr w:type="spellEnd"/>
      <w:r>
        <w:rPr>
          <w:rFonts w:eastAsia="Times New Roman"/>
        </w:rPr>
        <w:t xml:space="preserve"> M, </w:t>
      </w:r>
      <w:proofErr w:type="spellStart"/>
      <w:r>
        <w:rPr>
          <w:rFonts w:eastAsia="Times New Roman"/>
        </w:rPr>
        <w:t>Varsavsky</w:t>
      </w:r>
      <w:proofErr w:type="spellEnd"/>
      <w:r>
        <w:rPr>
          <w:rFonts w:eastAsia="Times New Roman"/>
        </w:rPr>
        <w:t xml:space="preserve"> T et al. Rapid implementation of mobile technology for real-time epidemiology of COVID-19. </w:t>
      </w:r>
      <w:r w:rsidRPr="0002461E">
        <w:rPr>
          <w:rStyle w:val="Emphasis"/>
          <w:rFonts w:eastAsia="Times New Roman"/>
          <w:b w:val="0"/>
        </w:rPr>
        <w:t>Science</w:t>
      </w:r>
      <w:r>
        <w:rPr>
          <w:rFonts w:eastAsia="Times New Roman"/>
        </w:rPr>
        <w:t xml:space="preserve">. 2020;368(6497):1362–7. doi: https://doi.org/10.1126/science.abc0473. </w:t>
      </w:r>
    </w:p>
    <w:p w14:paraId="7CEC8C18"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Ellul MA, Benjamin L, Singh </w:t>
      </w:r>
      <w:proofErr w:type="spellStart"/>
      <w:r>
        <w:rPr>
          <w:rFonts w:eastAsia="Times New Roman"/>
        </w:rPr>
        <w:t>B,Lant</w:t>
      </w:r>
      <w:proofErr w:type="spellEnd"/>
      <w:r>
        <w:rPr>
          <w:rFonts w:eastAsia="Times New Roman"/>
        </w:rPr>
        <w:t xml:space="preserve"> S, Michael BD, Easton A et al. Neurological associations of COVID-19. </w:t>
      </w:r>
      <w:r w:rsidRPr="0002461E">
        <w:rPr>
          <w:rStyle w:val="Emphasis"/>
          <w:rFonts w:eastAsia="Times New Roman"/>
          <w:b w:val="0"/>
        </w:rPr>
        <w:t>Lancet Neurol</w:t>
      </w:r>
      <w:r>
        <w:rPr>
          <w:rFonts w:eastAsia="Times New Roman"/>
        </w:rPr>
        <w:t xml:space="preserve">. 2020. doi: https://doi.org/10.1016/S1474-4422(20)30221-0. </w:t>
      </w:r>
    </w:p>
    <w:p w14:paraId="19C778F8"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Venkatakrishnan AJ, </w:t>
      </w:r>
      <w:proofErr w:type="spellStart"/>
      <w:r>
        <w:rPr>
          <w:rFonts w:eastAsia="Times New Roman"/>
        </w:rPr>
        <w:t>Puranik</w:t>
      </w:r>
      <w:proofErr w:type="spellEnd"/>
      <w:r>
        <w:rPr>
          <w:rFonts w:eastAsia="Times New Roman"/>
        </w:rPr>
        <w:t xml:space="preserve"> A, Anand A, </w:t>
      </w:r>
      <w:proofErr w:type="spellStart"/>
      <w:r>
        <w:rPr>
          <w:rFonts w:eastAsia="Times New Roman"/>
        </w:rPr>
        <w:t>Zemmour</w:t>
      </w:r>
      <w:proofErr w:type="spellEnd"/>
      <w:r>
        <w:rPr>
          <w:rFonts w:eastAsia="Times New Roman"/>
        </w:rPr>
        <w:t xml:space="preserve"> D, Yao X, Wu X et al. Knowledge synthesis of 100 million biomedical documents augments the deep expression profiling of coronavirus receptors. </w:t>
      </w:r>
      <w:proofErr w:type="spellStart"/>
      <w:r w:rsidRPr="0002461E">
        <w:rPr>
          <w:rStyle w:val="Emphasis"/>
          <w:rFonts w:eastAsia="Times New Roman"/>
          <w:b w:val="0"/>
        </w:rPr>
        <w:t>Elife</w:t>
      </w:r>
      <w:proofErr w:type="spellEnd"/>
      <w:r>
        <w:rPr>
          <w:rFonts w:eastAsia="Times New Roman"/>
        </w:rPr>
        <w:t xml:space="preserve">. 2020;9:e58040. doi: https://doi.org/10.7554/eLife.58040. </w:t>
      </w:r>
    </w:p>
    <w:p w14:paraId="14788C80"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Brann DH, Tsukahara T, </w:t>
      </w:r>
      <w:proofErr w:type="spellStart"/>
      <w:r>
        <w:rPr>
          <w:rFonts w:eastAsia="Times New Roman"/>
        </w:rPr>
        <w:t>Weinreb</w:t>
      </w:r>
      <w:proofErr w:type="spellEnd"/>
      <w:r>
        <w:rPr>
          <w:rFonts w:eastAsia="Times New Roman"/>
        </w:rPr>
        <w:t xml:space="preserve"> C, </w:t>
      </w:r>
      <w:proofErr w:type="spellStart"/>
      <w:r>
        <w:rPr>
          <w:rFonts w:eastAsia="Times New Roman"/>
        </w:rPr>
        <w:t>Lipovsek</w:t>
      </w:r>
      <w:proofErr w:type="spellEnd"/>
      <w:r>
        <w:rPr>
          <w:rFonts w:eastAsia="Times New Roman"/>
        </w:rPr>
        <w:t xml:space="preserve"> M, Van den Berge K, Gong B et al. Non-neural expression of SARS-CoV-2 entry genes in the olfactory epithelium suggests mechanisms underlying anosmia in COVID-19 patients. </w:t>
      </w:r>
      <w:r w:rsidRPr="0002461E">
        <w:rPr>
          <w:rStyle w:val="Emphasis"/>
          <w:rFonts w:eastAsia="Times New Roman"/>
          <w:b w:val="0"/>
        </w:rPr>
        <w:t>Sci Adv</w:t>
      </w:r>
      <w:r>
        <w:rPr>
          <w:rFonts w:eastAsia="Times New Roman"/>
        </w:rPr>
        <w:t xml:space="preserve">. 2020;6(31):eabc5801. doi: https://doi.org/10.1126/sciadv.abc5801. </w:t>
      </w:r>
    </w:p>
    <w:p w14:paraId="6FB2CC22" w14:textId="77777777" w:rsidR="00413D97" w:rsidRDefault="00413D97" w:rsidP="00413D97">
      <w:pPr>
        <w:numPr>
          <w:ilvl w:val="0"/>
          <w:numId w:val="14"/>
        </w:numPr>
        <w:spacing w:before="100" w:beforeAutospacing="1" w:after="100" w:afterAutospacing="1" w:line="240" w:lineRule="auto"/>
        <w:rPr>
          <w:rFonts w:eastAsia="Times New Roman"/>
        </w:rPr>
      </w:pPr>
      <w:proofErr w:type="spellStart"/>
      <w:r>
        <w:rPr>
          <w:rFonts w:eastAsia="Times New Roman"/>
        </w:rPr>
        <w:t>Inciardi</w:t>
      </w:r>
      <w:proofErr w:type="spellEnd"/>
      <w:r>
        <w:rPr>
          <w:rFonts w:eastAsia="Times New Roman"/>
        </w:rPr>
        <w:t xml:space="preserve"> RM, </w:t>
      </w:r>
      <w:proofErr w:type="spellStart"/>
      <w:r>
        <w:rPr>
          <w:rFonts w:eastAsia="Times New Roman"/>
        </w:rPr>
        <w:t>Lupi</w:t>
      </w:r>
      <w:proofErr w:type="spellEnd"/>
      <w:r>
        <w:rPr>
          <w:rFonts w:eastAsia="Times New Roman"/>
        </w:rPr>
        <w:t xml:space="preserve"> L, Zaccone G, Italia L, </w:t>
      </w:r>
      <w:proofErr w:type="spellStart"/>
      <w:r>
        <w:rPr>
          <w:rFonts w:eastAsia="Times New Roman"/>
        </w:rPr>
        <w:t>Raffo</w:t>
      </w:r>
      <w:proofErr w:type="spellEnd"/>
      <w:r>
        <w:rPr>
          <w:rFonts w:eastAsia="Times New Roman"/>
        </w:rPr>
        <w:t xml:space="preserve"> M, </w:t>
      </w:r>
      <w:proofErr w:type="spellStart"/>
      <w:r>
        <w:rPr>
          <w:rFonts w:eastAsia="Times New Roman"/>
        </w:rPr>
        <w:t>Tomasoni</w:t>
      </w:r>
      <w:proofErr w:type="spellEnd"/>
      <w:r>
        <w:rPr>
          <w:rFonts w:eastAsia="Times New Roman"/>
        </w:rPr>
        <w:t xml:space="preserve"> D et al. Cardiac involvement in a patient with coronavirus disease 2019 (COVID-19). </w:t>
      </w:r>
      <w:r w:rsidRPr="0002461E">
        <w:rPr>
          <w:rStyle w:val="Emphasis"/>
          <w:rFonts w:eastAsia="Times New Roman"/>
          <w:b w:val="0"/>
        </w:rPr>
        <w:t xml:space="preserve">JAMA </w:t>
      </w:r>
      <w:proofErr w:type="spellStart"/>
      <w:r w:rsidRPr="0002461E">
        <w:rPr>
          <w:rStyle w:val="Emphasis"/>
          <w:rFonts w:eastAsia="Times New Roman"/>
          <w:b w:val="0"/>
        </w:rPr>
        <w:t>Cardiol</w:t>
      </w:r>
      <w:proofErr w:type="spellEnd"/>
      <w:r>
        <w:rPr>
          <w:rFonts w:eastAsia="Times New Roman"/>
        </w:rPr>
        <w:t xml:space="preserve">. 2020. doi: https://doi.org/10.1001/jamacardio.2020.1096. </w:t>
      </w:r>
    </w:p>
    <w:p w14:paraId="394E390D"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Guo T, Fan Y, Chen M, Wu X, Zhang L, He T et al. Cardiovascular implications of fatal outcomes of patients with coronavirus disease 2019 (COVID-19). </w:t>
      </w:r>
      <w:r w:rsidRPr="0002461E">
        <w:rPr>
          <w:rStyle w:val="Emphasis"/>
          <w:rFonts w:eastAsia="Times New Roman"/>
          <w:b w:val="0"/>
        </w:rPr>
        <w:t xml:space="preserve">JAMA </w:t>
      </w:r>
      <w:proofErr w:type="spellStart"/>
      <w:r w:rsidRPr="0002461E">
        <w:rPr>
          <w:rStyle w:val="Emphasis"/>
          <w:rFonts w:eastAsia="Times New Roman"/>
          <w:b w:val="0"/>
        </w:rPr>
        <w:t>Cardiol</w:t>
      </w:r>
      <w:proofErr w:type="spellEnd"/>
      <w:r>
        <w:rPr>
          <w:rFonts w:eastAsia="Times New Roman"/>
        </w:rPr>
        <w:t xml:space="preserve">. 2020. doi: https://doi.org/10.1001/jamacardio.2020.1017. </w:t>
      </w:r>
    </w:p>
    <w:p w14:paraId="08EF7594" w14:textId="77777777" w:rsidR="00413D97" w:rsidRDefault="00413D97" w:rsidP="00413D97">
      <w:pPr>
        <w:numPr>
          <w:ilvl w:val="0"/>
          <w:numId w:val="14"/>
        </w:numPr>
        <w:spacing w:before="100" w:beforeAutospacing="1" w:after="100" w:afterAutospacing="1" w:line="240" w:lineRule="auto"/>
        <w:rPr>
          <w:rFonts w:eastAsia="Times New Roman"/>
        </w:rPr>
      </w:pPr>
      <w:proofErr w:type="spellStart"/>
      <w:r>
        <w:rPr>
          <w:rFonts w:eastAsia="Times New Roman"/>
        </w:rPr>
        <w:t>Madjid</w:t>
      </w:r>
      <w:proofErr w:type="spellEnd"/>
      <w:r>
        <w:rPr>
          <w:rFonts w:eastAsia="Times New Roman"/>
        </w:rPr>
        <w:t xml:space="preserve"> M, </w:t>
      </w:r>
      <w:proofErr w:type="spellStart"/>
      <w:r>
        <w:rPr>
          <w:rFonts w:eastAsia="Times New Roman"/>
        </w:rPr>
        <w:t>Safavi-Naeini</w:t>
      </w:r>
      <w:proofErr w:type="spellEnd"/>
      <w:r>
        <w:rPr>
          <w:rFonts w:eastAsia="Times New Roman"/>
        </w:rPr>
        <w:t xml:space="preserve"> P, Solomon SD, </w:t>
      </w:r>
      <w:proofErr w:type="spellStart"/>
      <w:r>
        <w:rPr>
          <w:rFonts w:eastAsia="Times New Roman"/>
        </w:rPr>
        <w:t>Vardeny</w:t>
      </w:r>
      <w:proofErr w:type="spellEnd"/>
      <w:r>
        <w:rPr>
          <w:rFonts w:eastAsia="Times New Roman"/>
        </w:rPr>
        <w:t xml:space="preserve"> O. Potential effects of coronaviruses on the cardiovascular system: a review. </w:t>
      </w:r>
      <w:r w:rsidRPr="0002461E">
        <w:rPr>
          <w:rStyle w:val="Emphasis"/>
          <w:rFonts w:eastAsia="Times New Roman"/>
          <w:b w:val="0"/>
        </w:rPr>
        <w:t xml:space="preserve">JAMA </w:t>
      </w:r>
      <w:proofErr w:type="spellStart"/>
      <w:r w:rsidRPr="0002461E">
        <w:rPr>
          <w:rStyle w:val="Emphasis"/>
          <w:rFonts w:eastAsia="Times New Roman"/>
          <w:b w:val="0"/>
        </w:rPr>
        <w:t>Cardiol</w:t>
      </w:r>
      <w:proofErr w:type="spellEnd"/>
      <w:r>
        <w:rPr>
          <w:rFonts w:eastAsia="Times New Roman"/>
        </w:rPr>
        <w:t xml:space="preserve">. 2020. doi: https://doi.org/10.1001/jamacardio.2020.1286. </w:t>
      </w:r>
    </w:p>
    <w:p w14:paraId="657E57AD" w14:textId="77777777" w:rsidR="00413D97" w:rsidRDefault="00413D97" w:rsidP="00413D97">
      <w:pPr>
        <w:numPr>
          <w:ilvl w:val="0"/>
          <w:numId w:val="14"/>
        </w:numPr>
        <w:spacing w:before="100" w:beforeAutospacing="1" w:after="100" w:afterAutospacing="1" w:line="240" w:lineRule="auto"/>
        <w:rPr>
          <w:rFonts w:eastAsia="Times New Roman"/>
        </w:rPr>
      </w:pPr>
      <w:proofErr w:type="spellStart"/>
      <w:r>
        <w:rPr>
          <w:rFonts w:eastAsia="Times New Roman"/>
        </w:rPr>
        <w:t>Riphagen</w:t>
      </w:r>
      <w:proofErr w:type="spellEnd"/>
      <w:r>
        <w:rPr>
          <w:rFonts w:eastAsia="Times New Roman"/>
        </w:rPr>
        <w:t xml:space="preserve"> S, Gomez X, Gonzalez-Martinez C, Wilkinson N, </w:t>
      </w:r>
      <w:proofErr w:type="spellStart"/>
      <w:r>
        <w:rPr>
          <w:rFonts w:eastAsia="Times New Roman"/>
        </w:rPr>
        <w:t>Theocharis</w:t>
      </w:r>
      <w:proofErr w:type="spellEnd"/>
      <w:r>
        <w:rPr>
          <w:rFonts w:eastAsia="Times New Roman"/>
        </w:rPr>
        <w:t xml:space="preserve"> P. Hyperinflammatory shock in children during COVID-19 pandemic. </w:t>
      </w:r>
      <w:r w:rsidRPr="0002461E">
        <w:rPr>
          <w:rStyle w:val="Emphasis"/>
          <w:rFonts w:eastAsia="Times New Roman"/>
          <w:b w:val="0"/>
        </w:rPr>
        <w:t>Lancet</w:t>
      </w:r>
      <w:r>
        <w:rPr>
          <w:rFonts w:eastAsia="Times New Roman"/>
        </w:rPr>
        <w:t xml:space="preserve">. 2020. doi: https://doi.org/10.1016/S0140-6736(20)31094-1. </w:t>
      </w:r>
    </w:p>
    <w:p w14:paraId="3AF6686E" w14:textId="77777777" w:rsidR="00413D97" w:rsidRDefault="00413D97" w:rsidP="00413D97">
      <w:pPr>
        <w:numPr>
          <w:ilvl w:val="0"/>
          <w:numId w:val="14"/>
        </w:numPr>
        <w:spacing w:before="100" w:beforeAutospacing="1" w:after="100" w:afterAutospacing="1" w:line="240" w:lineRule="auto"/>
        <w:rPr>
          <w:rFonts w:eastAsia="Times New Roman"/>
        </w:rPr>
      </w:pPr>
      <w:proofErr w:type="spellStart"/>
      <w:r>
        <w:rPr>
          <w:rFonts w:eastAsia="Times New Roman"/>
        </w:rPr>
        <w:t>Morand</w:t>
      </w:r>
      <w:proofErr w:type="spellEnd"/>
      <w:r>
        <w:rPr>
          <w:rFonts w:eastAsia="Times New Roman"/>
        </w:rPr>
        <w:t xml:space="preserve"> A, Urbina D, Fabre A. COVID-19 and Kawasaki like disease: the known-known, the unknown-known and the unknown-unknown. </w:t>
      </w:r>
      <w:r w:rsidRPr="0002461E">
        <w:rPr>
          <w:rStyle w:val="Emphasis"/>
          <w:rFonts w:eastAsia="Times New Roman"/>
          <w:b w:val="0"/>
        </w:rPr>
        <w:t>Preprints</w:t>
      </w:r>
      <w:r>
        <w:rPr>
          <w:rFonts w:eastAsia="Times New Roman"/>
        </w:rPr>
        <w:t xml:space="preserve">. 2020;2020050160. doi: https://doi.org/10.20944/preprints202005.0160.v1. </w:t>
      </w:r>
    </w:p>
    <w:p w14:paraId="1A1122F9"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WHO. Clinical management of severe acute respiratory infection when novel coronavirus (</w:t>
      </w:r>
      <w:proofErr w:type="spellStart"/>
      <w:r>
        <w:rPr>
          <w:rFonts w:eastAsia="Times New Roman"/>
        </w:rPr>
        <w:t>nCoV</w:t>
      </w:r>
      <w:proofErr w:type="spellEnd"/>
      <w:r>
        <w:rPr>
          <w:rFonts w:eastAsia="Times New Roman"/>
        </w:rPr>
        <w:t xml:space="preserve">) infection is suspected. [Internet.] Geneva: WHO; 2020. [Accessed 23 Feb 2020.] Available from: https://www.who.int/publications-detail/clinical-management-of-severe-acute-respiratory-infection-when-novel-coronavirus-(ncov)-infection-is-suspected. </w:t>
      </w:r>
    </w:p>
    <w:p w14:paraId="1E776A39"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Harrison C. Coronavirus puts drug re-purposing on the fast track. </w:t>
      </w:r>
      <w:r w:rsidRPr="0002461E">
        <w:rPr>
          <w:rStyle w:val="Emphasis"/>
          <w:rFonts w:eastAsia="Times New Roman"/>
          <w:b w:val="0"/>
        </w:rPr>
        <w:t xml:space="preserve">Nat </w:t>
      </w:r>
      <w:proofErr w:type="spellStart"/>
      <w:r w:rsidRPr="0002461E">
        <w:rPr>
          <w:rStyle w:val="Emphasis"/>
          <w:rFonts w:eastAsia="Times New Roman"/>
          <w:b w:val="0"/>
        </w:rPr>
        <w:t>Biotechnol</w:t>
      </w:r>
      <w:proofErr w:type="spellEnd"/>
      <w:r>
        <w:rPr>
          <w:rFonts w:eastAsia="Times New Roman"/>
        </w:rPr>
        <w:t xml:space="preserve">. 2020. doi: https://doi.org/10.1038/d41587-020-00003-1. </w:t>
      </w:r>
    </w:p>
    <w:p w14:paraId="6632D649"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Wang M, Cao R, Zhang L, Yang X, Liu J, Xu M et al. Remdesivir and chloroquine effectively inhibit the recently emerged novel coronavirus (2019-nCoV) in vitro. </w:t>
      </w:r>
      <w:r w:rsidRPr="0002461E">
        <w:rPr>
          <w:rStyle w:val="Emphasis"/>
          <w:rFonts w:eastAsia="Times New Roman"/>
          <w:b w:val="0"/>
        </w:rPr>
        <w:t>Cell Research</w:t>
      </w:r>
      <w:r>
        <w:rPr>
          <w:rFonts w:eastAsia="Times New Roman"/>
        </w:rPr>
        <w:t xml:space="preserve">. 2020;30;269–71. </w:t>
      </w:r>
    </w:p>
    <w:p w14:paraId="47539698"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Tang W, Cao Z, Han M, Wang Z, Chen W, Sun W et al. Hydroxychloroquine in patients with mainly mild to moderate coronavirus disease 2019: open label, randomised controlled trial. </w:t>
      </w:r>
      <w:r w:rsidRPr="0002461E">
        <w:rPr>
          <w:rStyle w:val="Emphasis"/>
          <w:rFonts w:eastAsia="Times New Roman"/>
          <w:b w:val="0"/>
        </w:rPr>
        <w:t>BMJ</w:t>
      </w:r>
      <w:r>
        <w:rPr>
          <w:rFonts w:eastAsia="Times New Roman"/>
        </w:rPr>
        <w:t xml:space="preserve">. 2020. doi: https://doi.org/10.1136/bmj.m1849. </w:t>
      </w:r>
    </w:p>
    <w:p w14:paraId="6CC52A85"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Cao B, Wang Y, Wen D, Liu W, Wang J, Fan G et al. A trial of lopinavir–ritonavir in adults hospitalized with severe Covid-19.</w:t>
      </w:r>
      <w:r w:rsidRPr="0002461E">
        <w:rPr>
          <w:rStyle w:val="Emphasis"/>
          <w:rFonts w:eastAsia="Times New Roman"/>
          <w:b w:val="0"/>
        </w:rPr>
        <w:t xml:space="preserve"> N Engl J Med</w:t>
      </w:r>
      <w:r>
        <w:rPr>
          <w:rFonts w:eastAsia="Times New Roman"/>
        </w:rPr>
        <w:t xml:space="preserve">. 2020;382:1787–99. </w:t>
      </w:r>
    </w:p>
    <w:p w14:paraId="62FD2055"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lastRenderedPageBreak/>
        <w:t xml:space="preserve">WHO. “Solidarity” clinical trial for COVID-19 treatments. [Internet.] Geneva: WHO; 2020. [Accessed on 4 August 2020.] Available from: https://www.who.int/emergencies/diseases/novel-coronavirus-2019/global-research-on-novel-coronavirus-2019-ncov/solidarity-clinical-trial-for-covid-19-treatments. </w:t>
      </w:r>
    </w:p>
    <w:p w14:paraId="23CE4C00"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National Institute of Allergy and Infectious Diseases (NIAID). NIH Clinical Trial Shows Remdesivir Accelerates Recovery from Advanced COVID-19. [Internet.] Bethesda: Government of the United States of America, National Institutes of </w:t>
      </w:r>
      <w:proofErr w:type="spellStart"/>
      <w:r>
        <w:rPr>
          <w:rFonts w:eastAsia="Times New Roman"/>
        </w:rPr>
        <w:t>Heath</w:t>
      </w:r>
      <w:proofErr w:type="spellEnd"/>
      <w:r>
        <w:rPr>
          <w:rFonts w:eastAsia="Times New Roman"/>
        </w:rPr>
        <w:t xml:space="preserve">, NIAID; 2020. [Accessed on 19 May 2020.] Available from: https://www.niaid.nih.gov/news-events/nih-clinical-trial-shows-remdesivir-accelerates-recovery-advanced-covid-19. </w:t>
      </w:r>
    </w:p>
    <w:p w14:paraId="3C465DCA"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Wang Y, Zhang D, Du G, Du R, Zhao J, Jin Y et al. Remdesivir in adults with severe COVID-19: a randomised, double-blind, placebo-controlled, multicentre trial. </w:t>
      </w:r>
      <w:r w:rsidRPr="0002461E">
        <w:rPr>
          <w:rStyle w:val="Emphasis"/>
          <w:rFonts w:eastAsia="Times New Roman"/>
          <w:b w:val="0"/>
        </w:rPr>
        <w:t>Lancet</w:t>
      </w:r>
      <w:r>
        <w:rPr>
          <w:rFonts w:eastAsia="Times New Roman"/>
        </w:rPr>
        <w:t xml:space="preserve">. 2020;395(10236);1569–78. </w:t>
      </w:r>
    </w:p>
    <w:p w14:paraId="7288D44A"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Therapeutic Goods Administration (TGA). Australia’s first COVID treatment approved. [Internet.] Canberra: Australian Government Department of Health, TGA; 10 July 2020. [Accessed on 4 August 2020.] https://www.tga.gov.au/media-release/australias-first-covid-treatment-approved. </w:t>
      </w:r>
    </w:p>
    <w:p w14:paraId="064506C9"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WHO. Draft landscape of COVID-19 candidate vaccines. [Internet.] Geneva: WHO; 2020. [Accessed on 4 August 2020.] Available from: https://www.who.int/publications/m/item/draft-landscape-of-covid-19-candidate-vaccines. </w:t>
      </w:r>
    </w:p>
    <w:p w14:paraId="2121EFB7" w14:textId="77777777" w:rsidR="00413D97" w:rsidRDefault="00413D97" w:rsidP="00413D97">
      <w:pPr>
        <w:numPr>
          <w:ilvl w:val="0"/>
          <w:numId w:val="14"/>
        </w:numPr>
        <w:spacing w:before="100" w:beforeAutospacing="1" w:after="100" w:afterAutospacing="1" w:line="240" w:lineRule="auto"/>
        <w:rPr>
          <w:rFonts w:eastAsia="Times New Roman"/>
        </w:rPr>
      </w:pPr>
      <w:r>
        <w:rPr>
          <w:rFonts w:eastAsia="Times New Roman"/>
        </w:rPr>
        <w:t xml:space="preserve">University of Oxford. Low-cost dexamethasone reduces death by up to one third in hospitalised patients with severe respiratory complications of COVID-19. [News release.] Oxford: University of Oxford; 16 June 2020. [Accessed on 24 June 2020.] Available from: https://www.recoverytrial.net/files/recovery_dexamethasone_statement_160620_final.pdf. </w:t>
      </w:r>
    </w:p>
    <w:p w14:paraId="2DF5F6C7" w14:textId="77777777" w:rsidR="00382FE6" w:rsidRDefault="00382FE6">
      <w:pPr>
        <w:rPr>
          <w:rFonts w:asciiTheme="majorHAnsi" w:eastAsia="Times New Roman" w:hAnsiTheme="majorHAnsi" w:cstheme="majorBidi"/>
          <w:b/>
          <w:bCs/>
          <w:sz w:val="32"/>
          <w:szCs w:val="28"/>
        </w:rPr>
      </w:pPr>
      <w:r>
        <w:rPr>
          <w:rFonts w:eastAsia="Times New Roman"/>
        </w:rPr>
        <w:br w:type="page"/>
      </w:r>
    </w:p>
    <w:p w14:paraId="50090C14" w14:textId="77777777" w:rsidR="00413D97" w:rsidRDefault="00413D97">
      <w:pPr>
        <w:pStyle w:val="Heading1"/>
        <w:rPr>
          <w:rFonts w:eastAsia="Times New Roman"/>
        </w:rPr>
      </w:pPr>
      <w:r>
        <w:rPr>
          <w:rFonts w:eastAsia="Times New Roman"/>
        </w:rPr>
        <w:lastRenderedPageBreak/>
        <w:t xml:space="preserve">Appendix A: Background </w:t>
      </w:r>
    </w:p>
    <w:p w14:paraId="062148AA" w14:textId="77777777" w:rsidR="00413D97" w:rsidRDefault="00413D97">
      <w:pPr>
        <w:pStyle w:val="NormalWeb"/>
      </w:pPr>
      <w:r w:rsidRPr="0002461E">
        <w:rPr>
          <w:rStyle w:val="Emphasis"/>
          <w:b w:val="0"/>
        </w:rPr>
        <w:t xml:space="preserve">Last updated 4 August 2020 </w:t>
      </w:r>
    </w:p>
    <w:p w14:paraId="45ED5CBA" w14:textId="77777777" w:rsidR="00413D97" w:rsidRDefault="00413D97">
      <w:pPr>
        <w:pStyle w:val="NormalWeb"/>
      </w:pPr>
      <w:r>
        <w:t xml:space="preserve">Epidemiological parameters of SARS-CoV-2 infection and COVID-19 disease are under investigation and are likely to change as more information becomes available. The information provided in this Appendix comes from peer-reviewed and official sources. Pre-prints that have not been peer reviewed have been referenced and are identified in the text. </w:t>
      </w:r>
    </w:p>
    <w:p w14:paraId="3E0B2389" w14:textId="77777777" w:rsidR="00413D97" w:rsidRDefault="00413D97">
      <w:pPr>
        <w:pStyle w:val="Heading2"/>
        <w:rPr>
          <w:rFonts w:eastAsia="Times New Roman"/>
        </w:rPr>
      </w:pPr>
      <w:r>
        <w:rPr>
          <w:rFonts w:eastAsia="Times New Roman"/>
        </w:rPr>
        <w:t xml:space="preserve">Modes of transmission </w:t>
      </w:r>
    </w:p>
    <w:p w14:paraId="4C5F220D" w14:textId="77777777" w:rsidR="00413D97" w:rsidRDefault="00413D97">
      <w:pPr>
        <w:pStyle w:val="NormalWeb"/>
      </w:pPr>
      <w:r>
        <w:t>Human-to-human transmission of SARS-CoV-2 is primarily via droplets and fomites from an infected person to a close contact.</w:t>
      </w:r>
      <w:r>
        <w:rPr>
          <w:vertAlign w:val="superscript"/>
        </w:rPr>
        <w:t>25</w:t>
      </w:r>
      <w:r>
        <w:t xml:space="preserve"> </w:t>
      </w:r>
    </w:p>
    <w:p w14:paraId="78AA1A0C" w14:textId="77777777" w:rsidR="00413D97" w:rsidRDefault="00413D97">
      <w:pPr>
        <w:pStyle w:val="NormalWeb"/>
      </w:pPr>
      <w:r>
        <w:t>Airborne transmission may occur through medical aerosol generating procedures, and although there are limited studies in the literature to evaluate the risk of specific procedures, it is prudent for health care workers to continue to undertake appropriate precautions.</w:t>
      </w:r>
      <w:r>
        <w:rPr>
          <w:vertAlign w:val="superscript"/>
        </w:rPr>
        <w:t>26</w:t>
      </w:r>
      <w:r>
        <w:t xml:space="preserve"> The potential for transmission by aerosols in other settings is the subject of discussion.</w:t>
      </w:r>
      <w:r>
        <w:rPr>
          <w:vertAlign w:val="superscript"/>
        </w:rPr>
        <w:t>27</w:t>
      </w:r>
      <w:r>
        <w:t xml:space="preserve"> </w:t>
      </w:r>
    </w:p>
    <w:p w14:paraId="30B62995" w14:textId="77777777" w:rsidR="00413D97" w:rsidRDefault="00413D97">
      <w:pPr>
        <w:pStyle w:val="NormalWeb"/>
      </w:pPr>
      <w:r>
        <w:t>SARS-CoV-2 may cause intestinal infection and viral shedding in faeces has been reported, but there are no reports of faecal-oral transmission.</w:t>
      </w:r>
      <w:r>
        <w:rPr>
          <w:vertAlign w:val="superscript"/>
        </w:rPr>
        <w:t>28</w:t>
      </w:r>
      <w:r>
        <w:t xml:space="preserve"> </w:t>
      </w:r>
    </w:p>
    <w:p w14:paraId="57661045" w14:textId="77777777" w:rsidR="00413D97" w:rsidRDefault="00413D97">
      <w:pPr>
        <w:pStyle w:val="NormalWeb"/>
      </w:pPr>
      <w:r>
        <w:t>There is limited information about the potential for vertical transmission; however, SARS-CoV-2 RNA has been detected in placental tissue and amniotic fluid associated with a stillbirth in Belgium,</w:t>
      </w:r>
      <w:r>
        <w:rPr>
          <w:vertAlign w:val="superscript"/>
        </w:rPr>
        <w:t>29</w:t>
      </w:r>
      <w:r>
        <w:t xml:space="preserve"> suggesting it may be possible under some circumstances. </w:t>
      </w:r>
    </w:p>
    <w:p w14:paraId="018B0A6D" w14:textId="77777777" w:rsidR="00413D97" w:rsidRDefault="00413D97">
      <w:pPr>
        <w:pStyle w:val="NormalWeb"/>
      </w:pPr>
      <w:r>
        <w:t>Several studies suggest that children do not play a key role in transmission and are unlikely to be the primary source of infections.</w:t>
      </w:r>
      <w:r>
        <w:rPr>
          <w:vertAlign w:val="superscript"/>
        </w:rPr>
        <w:t>30</w:t>
      </w:r>
      <w:r>
        <w:t xml:space="preserve"> Studies from the EU have suggested that child-to-adult transmission is uncommon.</w:t>
      </w:r>
      <w:r>
        <w:rPr>
          <w:vertAlign w:val="superscript"/>
        </w:rPr>
        <w:t>31,32</w:t>
      </w:r>
      <w:r>
        <w:t xml:space="preserve"> </w:t>
      </w:r>
    </w:p>
    <w:p w14:paraId="4E1BA587" w14:textId="77777777" w:rsidR="00413D97" w:rsidRDefault="00413D97">
      <w:pPr>
        <w:pStyle w:val="Heading2"/>
        <w:rPr>
          <w:rFonts w:eastAsia="Times New Roman"/>
        </w:rPr>
      </w:pPr>
      <w:r>
        <w:rPr>
          <w:rFonts w:eastAsia="Times New Roman"/>
        </w:rPr>
        <w:t xml:space="preserve">Incubation period </w:t>
      </w:r>
    </w:p>
    <w:p w14:paraId="15AA1326" w14:textId="77777777" w:rsidR="00413D97" w:rsidRDefault="00413D97">
      <w:pPr>
        <w:pStyle w:val="NormalWeb"/>
      </w:pPr>
      <w:r>
        <w:t>A systematic review of published and preprint studies has estimated the median incubation period of COVID-19 as between 5 and 6 days (ranging from 1 to 14 days).</w:t>
      </w:r>
      <w:r>
        <w:rPr>
          <w:vertAlign w:val="superscript"/>
        </w:rPr>
        <w:t>33,</w:t>
      </w:r>
      <w:proofErr w:type="gramStart"/>
      <w:r>
        <w:rPr>
          <w:vertAlign w:val="superscript"/>
        </w:rPr>
        <w:t>34</w:t>
      </w:r>
      <w:proofErr w:type="gramEnd"/>
      <w:r>
        <w:t xml:space="preserve"> </w:t>
      </w:r>
    </w:p>
    <w:p w14:paraId="38AD5559" w14:textId="77777777" w:rsidR="00413D97" w:rsidRDefault="00413D97">
      <w:pPr>
        <w:pStyle w:val="Heading2"/>
        <w:rPr>
          <w:rFonts w:eastAsia="Times New Roman"/>
        </w:rPr>
      </w:pPr>
      <w:r>
        <w:rPr>
          <w:rFonts w:eastAsia="Times New Roman"/>
        </w:rPr>
        <w:t xml:space="preserve">Infectious period </w:t>
      </w:r>
    </w:p>
    <w:p w14:paraId="6CB0082D" w14:textId="77777777" w:rsidR="00413D97" w:rsidRDefault="00413D97">
      <w:pPr>
        <w:pStyle w:val="NormalWeb"/>
      </w:pPr>
      <w:r>
        <w:t>The infectious period is not well described due to a lack of studies using virus isolation to assess the presence of viable SARS-CoV-2 over time following infection.</w:t>
      </w:r>
      <w:r>
        <w:rPr>
          <w:vertAlign w:val="superscript"/>
        </w:rPr>
        <w:t>35</w:t>
      </w:r>
      <w:r>
        <w:t xml:space="preserve"> </w:t>
      </w:r>
    </w:p>
    <w:p w14:paraId="3836A62D" w14:textId="77777777" w:rsidR="00413D97" w:rsidRDefault="00413D97">
      <w:pPr>
        <w:pStyle w:val="NormalWeb"/>
      </w:pPr>
      <w:r>
        <w:t>Viral RNA has been identified in respiratory tract specimens 1–2 days prior to symptom onset, and has been observed after symptom cessation.</w:t>
      </w:r>
      <w:r>
        <w:rPr>
          <w:vertAlign w:val="superscript"/>
        </w:rPr>
        <w:t>36</w:t>
      </w:r>
      <w:r>
        <w:t xml:space="preserve"> A retrospective analysis of 77 pairs of primary and secondary cases suggested that infectiousness may commence from 2.3 days before symptom onset, peaking at 0.7 days before symptom onset. It also suggested 44% of secondary cases may have been infected before the primary case was symptomatic.</w:t>
      </w:r>
      <w:r>
        <w:rPr>
          <w:vertAlign w:val="superscript"/>
        </w:rPr>
        <w:t xml:space="preserve">37 </w:t>
      </w:r>
    </w:p>
    <w:p w14:paraId="2391E1B1" w14:textId="77777777" w:rsidR="00413D97" w:rsidRDefault="00413D97">
      <w:pPr>
        <w:pStyle w:val="NormalWeb"/>
      </w:pPr>
      <w:r>
        <w:t>Cases can be infectious while not displaying symptoms, although it is not clear whether these individuals are pre-symptomatic or truly asymptomatic. Current World Health Organization (WHO) advice is that asymptomatic individuals are less infectious than people who display symptoms.</w:t>
      </w:r>
      <w:r>
        <w:rPr>
          <w:vertAlign w:val="superscript"/>
        </w:rPr>
        <w:t>38</w:t>
      </w:r>
      <w:r>
        <w:t xml:space="preserve"> However, a cross-sectional study in </w:t>
      </w:r>
      <w:r>
        <w:lastRenderedPageBreak/>
        <w:t>Massachusetts USA of residents and staff in aged care settings demonstrated that viral shedding was similar between people who were symptomatic and not symptomatic at the time of sampling.</w:t>
      </w:r>
      <w:r>
        <w:rPr>
          <w:vertAlign w:val="superscript"/>
        </w:rPr>
        <w:t>39</w:t>
      </w:r>
      <w:r>
        <w:t xml:space="preserve"> This study has not yet been peer reviewed. </w:t>
      </w:r>
    </w:p>
    <w:p w14:paraId="2E8C18DF" w14:textId="77777777" w:rsidR="00413D97" w:rsidRDefault="00413D97">
      <w:pPr>
        <w:pStyle w:val="NormalWeb"/>
      </w:pPr>
      <w:r>
        <w:t>Viral RNA levels peak in the first week of illness, suggesting transmission is most likely to occur early with infectivity gradually decreasing over time.</w:t>
      </w:r>
      <w:r>
        <w:rPr>
          <w:vertAlign w:val="superscript"/>
        </w:rPr>
        <w:t>36</w:t>
      </w:r>
      <w:r>
        <w:t xml:space="preserve"> In a Taiwanese study examining over 2,500 close contacts of 100 patients with COVID-19, all 22 secondary cases had their first exposure to the index case within six days of symptom onset. No infections were documented in the 850 contacts whose exposure was after six days.</w:t>
      </w:r>
      <w:r>
        <w:rPr>
          <w:vertAlign w:val="superscript"/>
        </w:rPr>
        <w:t>40</w:t>
      </w:r>
      <w:r>
        <w:t xml:space="preserve"> </w:t>
      </w:r>
    </w:p>
    <w:p w14:paraId="4FA2E71F" w14:textId="77777777" w:rsidR="00413D97" w:rsidRDefault="00413D97">
      <w:pPr>
        <w:pStyle w:val="Heading2"/>
        <w:rPr>
          <w:rFonts w:eastAsia="Times New Roman"/>
        </w:rPr>
      </w:pPr>
      <w:r>
        <w:rPr>
          <w:rFonts w:eastAsia="Times New Roman"/>
        </w:rPr>
        <w:t xml:space="preserve">Immunology </w:t>
      </w:r>
    </w:p>
    <w:p w14:paraId="37896E5F" w14:textId="77777777" w:rsidR="00413D97" w:rsidRDefault="00413D97">
      <w:pPr>
        <w:pStyle w:val="NormalWeb"/>
      </w:pPr>
      <w:r>
        <w:t>No correlates of immunity have been established but two challenge trials of rhesus macaques suggest that individuals with neutralising antibody titres between 8 and 200 were protected from clinical signs of disease (but not viral shedding) when exposed to SARS-CoV-2 at 28 and 35 days after initial challenge.</w:t>
      </w:r>
      <w:r>
        <w:rPr>
          <w:vertAlign w:val="superscript"/>
        </w:rPr>
        <w:t>41,42</w:t>
      </w:r>
      <w:r>
        <w:t xml:space="preserve"> Cell-mediated immunity has also been demonstrated in recovered people, but the importance of cell-mediated and humoral immunity in clinical recovery and protection against infection and disease requires further study. </w:t>
      </w:r>
    </w:p>
    <w:p w14:paraId="2E5C11BF" w14:textId="77777777" w:rsidR="00413D97" w:rsidRDefault="00413D97">
      <w:pPr>
        <w:pStyle w:val="NormalWeb"/>
      </w:pPr>
      <w:r>
        <w:t xml:space="preserve">In a study of nine cases in Germany, around 50% of the patients seroconverted occurred seven days after symptom onset, and all patients had seroconverted by 14 days. Infectious virus was not able to be isolated from </w:t>
      </w:r>
      <w:proofErr w:type="spellStart"/>
      <w:r>
        <w:t>naso</w:t>
      </w:r>
      <w:proofErr w:type="spellEnd"/>
      <w:r>
        <w:t>/oropharyngeal and sputum samples after the first 8 days of illness.</w:t>
      </w:r>
      <w:r>
        <w:rPr>
          <w:vertAlign w:val="superscript"/>
        </w:rPr>
        <w:t>36</w:t>
      </w:r>
      <w:r>
        <w:t xml:space="preserve"> </w:t>
      </w:r>
    </w:p>
    <w:p w14:paraId="1D21A10F" w14:textId="77777777" w:rsidR="00413D97" w:rsidRDefault="00413D97">
      <w:pPr>
        <w:pStyle w:val="NormalWeb"/>
      </w:pPr>
      <w:r>
        <w:t>The duration of humoral antibody response is not well characterised. A cohort study of 96 SARS-CoV-2 infected people in the United Kingdom demonstrated that serum neutralising antibody responses waned after 40 days post infection, and individuals who had experienced milder symptoms had no neutralisation response at around 60 days post infection.</w:t>
      </w:r>
      <w:r>
        <w:rPr>
          <w:vertAlign w:val="superscript"/>
        </w:rPr>
        <w:t>43</w:t>
      </w:r>
      <w:r>
        <w:t xml:space="preserve"> This study has not been peer reviewed. </w:t>
      </w:r>
    </w:p>
    <w:p w14:paraId="2E2C79AB" w14:textId="77777777" w:rsidR="00413D97" w:rsidRDefault="00413D97">
      <w:pPr>
        <w:pStyle w:val="NormalWeb"/>
      </w:pPr>
      <w:r>
        <w:t>The potential for reinfection or recrudescence of infection is also unclear. However, analysis from the Korea Centres for Disease Control and Prevention, of 108 cases who tested positive after previously being cleared from isolation, found live virus was unable to be cultured from any cases selected for testing.</w:t>
      </w:r>
      <w:r>
        <w:rPr>
          <w:vertAlign w:val="superscript"/>
        </w:rPr>
        <w:t>44</w:t>
      </w:r>
      <w:r>
        <w:t xml:space="preserve"> </w:t>
      </w:r>
    </w:p>
    <w:p w14:paraId="7B4457F4" w14:textId="77777777" w:rsidR="00413D97" w:rsidRDefault="00413D97">
      <w:pPr>
        <w:pStyle w:val="Heading2"/>
        <w:rPr>
          <w:rFonts w:eastAsia="Times New Roman"/>
        </w:rPr>
      </w:pPr>
      <w:r>
        <w:rPr>
          <w:rFonts w:eastAsia="Times New Roman"/>
        </w:rPr>
        <w:t xml:space="preserve">Viral genomics </w:t>
      </w:r>
    </w:p>
    <w:p w14:paraId="07EF2CBF" w14:textId="77777777" w:rsidR="00413D97" w:rsidRDefault="00413D97">
      <w:pPr>
        <w:pStyle w:val="NormalWeb"/>
      </w:pPr>
      <w:r>
        <w:t>Since December 2019, the virus has diversified into multiple lineages as it has spread globally, with some degree of geographical clustering. There are currently 2,728 SARS-CoV-2 genome sequences available from Australian cases on the global sequence repository, GISAID. These sequences are dispersed throughout the global lineages, reflecting multiple concurrent introductions into Australia.</w:t>
      </w:r>
      <w:r>
        <w:rPr>
          <w:vertAlign w:val="superscript"/>
        </w:rPr>
        <w:t>45–47</w:t>
      </w:r>
      <w:r>
        <w:t xml:space="preserve"> Recent Australian SARS-CoV-2 sequences from the last month include 31 collected from NSW and 7 from South Australia. Most of these sequences belong to the B.1.1.25 lineage, reflecting ongoing local transmission of this lineage. Genomic epidemiology continues to be used to support epidemiological investigations, particularly for confirming presumed transmission pathways. It has proven particularly useful for linking those cases classified as ‘locally-acquired – contact not identified’ to known genomic clusters, highlighting the utility of virus sequencing to informing the public health response.</w:t>
      </w:r>
      <w:r>
        <w:rPr>
          <w:vertAlign w:val="superscript"/>
        </w:rPr>
        <w:t>45,</w:t>
      </w:r>
      <w:proofErr w:type="gramStart"/>
      <w:r>
        <w:rPr>
          <w:vertAlign w:val="superscript"/>
        </w:rPr>
        <w:t>46</w:t>
      </w:r>
      <w:proofErr w:type="gramEnd"/>
      <w:r>
        <w:t xml:space="preserve"> </w:t>
      </w:r>
    </w:p>
    <w:p w14:paraId="7D944DA9" w14:textId="77777777" w:rsidR="00413D97" w:rsidRDefault="00413D97">
      <w:pPr>
        <w:pStyle w:val="Heading2"/>
        <w:rPr>
          <w:rFonts w:eastAsia="Times New Roman"/>
        </w:rPr>
      </w:pPr>
      <w:r>
        <w:rPr>
          <w:rFonts w:eastAsia="Times New Roman"/>
        </w:rPr>
        <w:t xml:space="preserve">Clinical features </w:t>
      </w:r>
    </w:p>
    <w:p w14:paraId="3D744807" w14:textId="77777777" w:rsidR="00413D97" w:rsidRDefault="00413D97">
      <w:pPr>
        <w:pStyle w:val="NormalWeb"/>
      </w:pPr>
      <w:r>
        <w:t>COVID-19 presents as mild illness in the majority of cases, with cough and fever the most commonly reported symptoms (see Appendix B). Severe or fatal outcomes are more likely to occur in the elderly or those with comorbid conditions.</w:t>
      </w:r>
      <w:r>
        <w:rPr>
          <w:vertAlign w:val="superscript"/>
        </w:rPr>
        <w:t>25,</w:t>
      </w:r>
      <w:proofErr w:type="gramStart"/>
      <w:r>
        <w:rPr>
          <w:vertAlign w:val="superscript"/>
        </w:rPr>
        <w:t>48</w:t>
      </w:r>
      <w:proofErr w:type="gramEnd"/>
      <w:r>
        <w:rPr>
          <w:vertAlign w:val="superscript"/>
        </w:rPr>
        <w:t xml:space="preserve"> </w:t>
      </w:r>
    </w:p>
    <w:p w14:paraId="30FC034B" w14:textId="77777777" w:rsidR="00413D97" w:rsidRDefault="00413D97">
      <w:pPr>
        <w:pStyle w:val="NormalWeb"/>
      </w:pPr>
      <w:r>
        <w:lastRenderedPageBreak/>
        <w:t>Some COVID-19 patients show neurological signs such as headache, nausea and vomiting. There is evidence that SARS-CoV-2 viruses are not always confined to the respiratory tract and may invade the central nervous system causing neurological signs and symptoms. As such, it is possible that invasion of the central nervous system is partially responsible for the acute respiratory failure of COVID-19 patients.</w:t>
      </w:r>
      <w:r>
        <w:rPr>
          <w:vertAlign w:val="superscript"/>
        </w:rPr>
        <w:t xml:space="preserve">49 </w:t>
      </w:r>
    </w:p>
    <w:p w14:paraId="4F172A6A" w14:textId="77777777" w:rsidR="00413D97" w:rsidRDefault="00413D97">
      <w:pPr>
        <w:pStyle w:val="NormalWeb"/>
      </w:pPr>
      <w:r>
        <w:t>Impairment or loss of the sense of smell (hyposmia/anosmia) or taste (</w:t>
      </w:r>
      <w:proofErr w:type="spellStart"/>
      <w:r>
        <w:t>hypoguesia</w:t>
      </w:r>
      <w:proofErr w:type="spellEnd"/>
      <w:r>
        <w:t>/</w:t>
      </w:r>
      <w:proofErr w:type="spellStart"/>
      <w:r>
        <w:t>aguesia</w:t>
      </w:r>
      <w:proofErr w:type="spellEnd"/>
      <w:r>
        <w:t>) is commonly associated with COVID-19.</w:t>
      </w:r>
      <w:r>
        <w:rPr>
          <w:vertAlign w:val="superscript"/>
        </w:rPr>
        <w:t>50–52</w:t>
      </w:r>
      <w:r>
        <w:t xml:space="preserve"> This is supported by research finding a biological mechanism for the SARS-CoV-2 virus to cause olfactory dysfunction.</w:t>
      </w:r>
      <w:r>
        <w:rPr>
          <w:vertAlign w:val="superscript"/>
        </w:rPr>
        <w:t xml:space="preserve">53,54 </w:t>
      </w:r>
      <w:r>
        <w:t xml:space="preserve">Case reports have also linked SARS-CoV-2 infection with less common neurological syndromes including encephalopathy, encephalitis, </w:t>
      </w:r>
      <w:proofErr w:type="spellStart"/>
      <w:r>
        <w:t>Guillian</w:t>
      </w:r>
      <w:proofErr w:type="spellEnd"/>
      <w:r>
        <w:t>-Barré syndrome and acute cerebrovascular disease.</w:t>
      </w:r>
      <w:r>
        <w:rPr>
          <w:vertAlign w:val="superscript"/>
        </w:rPr>
        <w:t>52</w:t>
      </w:r>
      <w:r>
        <w:t xml:space="preserve"> </w:t>
      </w:r>
    </w:p>
    <w:p w14:paraId="46C2FA00" w14:textId="77777777" w:rsidR="00413D97" w:rsidRDefault="00413D97">
      <w:pPr>
        <w:pStyle w:val="NormalWeb"/>
      </w:pPr>
      <w:r>
        <w:t>Several studies have also identified linked cardiovascular diseases to COVID-19.</w:t>
      </w:r>
      <w:r>
        <w:rPr>
          <w:vertAlign w:val="superscript"/>
        </w:rPr>
        <w:t>55–57</w:t>
      </w:r>
      <w:r>
        <w:t xml:space="preserve"> Vascular inflammation has been observed in a number of cases and may be a potential mechanism for myocardial injury which can result in cardiac dysfunction and arrhythmias. </w:t>
      </w:r>
    </w:p>
    <w:p w14:paraId="40FDB581" w14:textId="77777777" w:rsidR="00413D97" w:rsidRDefault="00413D97">
      <w:pPr>
        <w:pStyle w:val="NormalWeb"/>
      </w:pPr>
      <w:r>
        <w:t>COVID-19 disease in children is more likely to be mild and self-limiting, compared to adults. Internationally, children make up a small proportion of confirmed COVID-19 cases, with those shown to be infected either presenting with milder symptoms than adults or remaining asymptomatic. However, the greater likelihood of mild clinical presentation in children may result in lower testing and case detection in this cohort. Studies have also shown that hospital admission is inversely related to age. From European reporting, death associated with COVID-19 has been rare among those aged less than 15 years, with 4 deaths reported from 44,695 cases, as at 13 May 2020.</w:t>
      </w:r>
      <w:r>
        <w:rPr>
          <w:vertAlign w:val="superscript"/>
        </w:rPr>
        <w:t>30</w:t>
      </w:r>
      <w:r>
        <w:t xml:space="preserve"> </w:t>
      </w:r>
    </w:p>
    <w:p w14:paraId="6028F818" w14:textId="77777777" w:rsidR="00413D97" w:rsidRDefault="00413D97">
      <w:pPr>
        <w:pStyle w:val="NormalWeb"/>
      </w:pPr>
      <w:r>
        <w:t>There have been reports of a rare clinical presentation of paediatric inflammatory multisystem syndrome resembling Kawasaki disease temporally associated with SARS-CoV-2 infection in children. However, evidence of the association between COVID-19 and the development of a Kawasaki-like disease is currently inconclusive and further investigation is needed due to variability in clinical presentations in reported paediatric cases.</w:t>
      </w:r>
      <w:r>
        <w:rPr>
          <w:vertAlign w:val="superscript"/>
        </w:rPr>
        <w:t>58,</w:t>
      </w:r>
      <w:proofErr w:type="gramStart"/>
      <w:r>
        <w:rPr>
          <w:vertAlign w:val="superscript"/>
        </w:rPr>
        <w:t>59</w:t>
      </w:r>
      <w:proofErr w:type="gramEnd"/>
      <w:r>
        <w:rPr>
          <w:vertAlign w:val="superscript"/>
        </w:rPr>
        <w:t xml:space="preserve"> </w:t>
      </w:r>
    </w:p>
    <w:p w14:paraId="1EC28F95" w14:textId="77777777" w:rsidR="00413D97" w:rsidRDefault="00413D97">
      <w:pPr>
        <w:pStyle w:val="Heading2"/>
        <w:rPr>
          <w:rFonts w:eastAsia="Times New Roman"/>
        </w:rPr>
      </w:pPr>
      <w:r>
        <w:rPr>
          <w:rFonts w:eastAsia="Times New Roman"/>
        </w:rPr>
        <w:t xml:space="preserve">Treatment </w:t>
      </w:r>
    </w:p>
    <w:p w14:paraId="290AF8F5" w14:textId="77777777" w:rsidR="00413D97" w:rsidRDefault="00413D97">
      <w:pPr>
        <w:pStyle w:val="NormalWeb"/>
      </w:pPr>
      <w:r>
        <w:t>Current clinical management of COVID-19 cases focuses on early recognition, isolation, appropriate infection control measures and provision of supportive care.</w:t>
      </w:r>
      <w:r>
        <w:rPr>
          <w:vertAlign w:val="superscript"/>
        </w:rPr>
        <w:t>60</w:t>
      </w:r>
      <w:r>
        <w:t xml:space="preserve"> Whilst there is no specific antiviral treatment currently recommended for patients with suspected or confirmed SARS-CoV-2 infection, multiple clinical trials are underway to evaluate a number of therapeutic agents, including remdesivir, lopinavir/ritonavir, and chloroquine or hydroxychloroquine.</w:t>
      </w:r>
      <w:r>
        <w:rPr>
          <w:vertAlign w:val="superscript"/>
        </w:rPr>
        <w:t>61,62</w:t>
      </w:r>
      <w:r>
        <w:t xml:space="preserve"> </w:t>
      </w:r>
    </w:p>
    <w:p w14:paraId="24FDA0D4" w14:textId="77777777" w:rsidR="00413D97" w:rsidRDefault="00413D97">
      <w:pPr>
        <w:pStyle w:val="NormalWeb"/>
      </w:pPr>
      <w:r>
        <w:t>An open-label randomised controlled trial did not find a significant impact of hydroxychloroquine treatment on disease progression for hospitalised patients with mild to moderate COVID-19, with those receiving treatment also reporting a higher number of adverse events.</w:t>
      </w:r>
      <w:r>
        <w:rPr>
          <w:vertAlign w:val="superscript"/>
        </w:rPr>
        <w:t xml:space="preserve">63 </w:t>
      </w:r>
      <w:r>
        <w:t>Similarly, an open-label randomised controlled trial of lopinavir/ritonavir among hospitalised patients found no benefit for time to clinical improvement.</w:t>
      </w:r>
      <w:r>
        <w:rPr>
          <w:vertAlign w:val="superscript"/>
        </w:rPr>
        <w:t>64</w:t>
      </w:r>
      <w:r>
        <w:t xml:space="preserve"> WHO announced the interruption of clinical trials of hydroxychloroquine and lopinavir/ritonavir under the ‘Solidarity Trial’ on 4 July 2020.</w:t>
      </w:r>
      <w:r>
        <w:rPr>
          <w:vertAlign w:val="superscript"/>
        </w:rPr>
        <w:t>65</w:t>
      </w:r>
      <w:r>
        <w:t xml:space="preserve"> </w:t>
      </w:r>
    </w:p>
    <w:p w14:paraId="310FA5FB" w14:textId="77777777" w:rsidR="00413D97" w:rsidRDefault="00413D97">
      <w:pPr>
        <w:pStyle w:val="NormalWeb"/>
      </w:pPr>
      <w:r>
        <w:t>Results for remdesivir treatment have been mixed, with one randomised double-blind placebo-controlled trial finding patients recovered 31% faster and a lower mortality rate (8.0% compared with 11.6% among placebo patients),</w:t>
      </w:r>
      <w:r>
        <w:rPr>
          <w:vertAlign w:val="superscript"/>
        </w:rPr>
        <w:t>66</w:t>
      </w:r>
      <w:r>
        <w:t xml:space="preserve"> while another found no effect.</w:t>
      </w:r>
      <w:r>
        <w:rPr>
          <w:vertAlign w:val="superscript"/>
        </w:rPr>
        <w:t>67</w:t>
      </w:r>
      <w:r>
        <w:t xml:space="preserve"> The Therapeutic Goods Administration has granted provisional approval for use of remdesivir in hospitalised adults and adolescents with severe COVID-19 symptoms.</w:t>
      </w:r>
      <w:r>
        <w:rPr>
          <w:vertAlign w:val="superscript"/>
        </w:rPr>
        <w:t>68</w:t>
      </w:r>
      <w:r>
        <w:t xml:space="preserve"> </w:t>
      </w:r>
    </w:p>
    <w:p w14:paraId="405F542B" w14:textId="77777777" w:rsidR="00413D97" w:rsidRDefault="00413D97">
      <w:pPr>
        <w:pStyle w:val="NormalWeb"/>
      </w:pPr>
      <w:r>
        <w:t>As at 27 July 2020, the WHO reports that at least 25 candidate vaccines are in clinical trials and 139 are in preclinical evaluation.</w:t>
      </w:r>
      <w:r>
        <w:rPr>
          <w:vertAlign w:val="superscript"/>
        </w:rPr>
        <w:t>69</w:t>
      </w:r>
      <w:r>
        <w:t xml:space="preserve"> </w:t>
      </w:r>
    </w:p>
    <w:p w14:paraId="242CC220" w14:textId="77777777" w:rsidR="00413D97" w:rsidRDefault="00413D97">
      <w:pPr>
        <w:pStyle w:val="NormalWeb"/>
      </w:pPr>
      <w:r>
        <w:lastRenderedPageBreak/>
        <w:t>Research from the UK has found dexamethasone could significantly reduce death in critically ill patients.</w:t>
      </w:r>
      <w:r>
        <w:rPr>
          <w:vertAlign w:val="superscript"/>
        </w:rPr>
        <w:t>70</w:t>
      </w:r>
      <w:r>
        <w:t xml:space="preserve"> Yet to be published, the preliminary findings announcing by Oxford University reported a 30% reduction in deaths for patients with severe respiratory symptoms. Reduced mortality was observed in ventilated cases and cases requiring oxygen support. No benefit was observed for mild to moderate cases. There are no barriers to the use of dexamethasone in Australian patients who are critically ill, such as cases who require ventilation or oxygen support.</w:t>
      </w:r>
      <w:r>
        <w:rPr>
          <w:vertAlign w:val="superscript"/>
        </w:rPr>
        <w:t>70</w:t>
      </w:r>
    </w:p>
    <w:p w14:paraId="64200A8F" w14:textId="77777777" w:rsidR="00382FE6" w:rsidRDefault="00382FE6">
      <w:pPr>
        <w:rPr>
          <w:rFonts w:asciiTheme="majorHAnsi" w:eastAsia="Times New Roman" w:hAnsiTheme="majorHAnsi" w:cstheme="majorBidi"/>
          <w:b/>
          <w:bCs/>
          <w:sz w:val="32"/>
          <w:szCs w:val="28"/>
        </w:rPr>
      </w:pPr>
      <w:r>
        <w:rPr>
          <w:rFonts w:eastAsia="Times New Roman"/>
        </w:rPr>
        <w:br w:type="page"/>
      </w:r>
    </w:p>
    <w:p w14:paraId="3C41EDFC" w14:textId="77777777" w:rsidR="00413D97" w:rsidRDefault="00413D97">
      <w:pPr>
        <w:pStyle w:val="Heading1"/>
        <w:rPr>
          <w:rFonts w:eastAsia="Times New Roman"/>
        </w:rPr>
      </w:pPr>
      <w:r>
        <w:rPr>
          <w:rFonts w:eastAsia="Times New Roman"/>
        </w:rPr>
        <w:lastRenderedPageBreak/>
        <w:t>Appendix B: Supplementary figures and tables</w:t>
      </w:r>
    </w:p>
    <w:p w14:paraId="4853B4D0" w14:textId="77777777" w:rsidR="00413D97" w:rsidRDefault="00413D97" w:rsidP="00382FE6">
      <w:pPr>
        <w:pStyle w:val="CDIFigures"/>
        <w:rPr>
          <w:rFonts w:eastAsia="Times New Roman"/>
        </w:rPr>
      </w:pPr>
      <w:r>
        <w:rPr>
          <w:rFonts w:eastAsia="Times New Roman"/>
        </w:rPr>
        <w:t xml:space="preserve">Table B.1: COVID-19 case notifications and rates per 100,000 population, by age group and gender, 2 August 2020, </w:t>
      </w:r>
      <w:proofErr w:type="spellStart"/>
      <w:r>
        <w:rPr>
          <w:rFonts w:eastAsia="Times New Roman"/>
        </w:rPr>
        <w:t>Australia</w:t>
      </w:r>
      <w:r w:rsidRPr="00382FE6">
        <w:rPr>
          <w:rFonts w:eastAsia="Times New Roman"/>
          <w:vertAlign w:val="superscript"/>
        </w:rPr>
        <w:t>a</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B.1: COVID-19 case notifications and rate per 100,000 population in Australia, by age group and gender, for the current reporting period and cumulatively, 2 August 2020, Australia &#10;This table summarises cumulative confirmed cases and fortnightly rates per 100,000 population, as a function of age group and sex."/>
      </w:tblPr>
      <w:tblGrid>
        <w:gridCol w:w="909"/>
        <w:gridCol w:w="516"/>
        <w:gridCol w:w="684"/>
        <w:gridCol w:w="545"/>
        <w:gridCol w:w="675"/>
        <w:gridCol w:w="894"/>
        <w:gridCol w:w="675"/>
        <w:gridCol w:w="682"/>
        <w:gridCol w:w="900"/>
        <w:gridCol w:w="750"/>
        <w:gridCol w:w="868"/>
        <w:gridCol w:w="1085"/>
        <w:gridCol w:w="1275"/>
      </w:tblGrid>
      <w:tr w:rsidR="008B1FE6" w:rsidRPr="001707BF" w14:paraId="15BC5FC7" w14:textId="77777777" w:rsidTr="00E94E11">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4E4C685A" w14:textId="77777777" w:rsidR="00413D97" w:rsidRPr="001707BF" w:rsidRDefault="00413D97">
            <w:pPr>
              <w:pStyle w:val="NormalWeb"/>
              <w:rPr>
                <w:color w:val="FFFFFF" w:themeColor="background1"/>
                <w:sz w:val="18"/>
                <w:szCs w:val="18"/>
              </w:rPr>
            </w:pPr>
            <w:r w:rsidRPr="001707BF">
              <w:rPr>
                <w:color w:val="FFFFFF" w:themeColor="background1"/>
                <w:sz w:val="18"/>
                <w:szCs w:val="18"/>
              </w:rPr>
              <w:t>Age Group</w:t>
            </w:r>
          </w:p>
        </w:tc>
        <w:tc>
          <w:tcPr>
            <w:tcW w:w="0" w:type="auto"/>
            <w:gridSpan w:val="6"/>
            <w:tcBorders>
              <w:left w:val="single" w:sz="2" w:space="0" w:color="FFFFFF" w:themeColor="background1"/>
              <w:bottom w:val="single" w:sz="2" w:space="0" w:color="FFFFFF" w:themeColor="background1"/>
              <w:right w:val="single" w:sz="2" w:space="0" w:color="FFFFFF" w:themeColor="background1"/>
            </w:tcBorders>
            <w:hideMark/>
          </w:tcPr>
          <w:p w14:paraId="644C27E6" w14:textId="77777777" w:rsidR="00413D97" w:rsidRPr="001707BF" w:rsidRDefault="00413D97" w:rsidP="007E3CFA">
            <w:pPr>
              <w:pStyle w:val="NormalWeb"/>
              <w:jc w:val="center"/>
              <w:rPr>
                <w:color w:val="FFFFFF" w:themeColor="background1"/>
                <w:sz w:val="18"/>
                <w:szCs w:val="18"/>
              </w:rPr>
            </w:pPr>
            <w:r w:rsidRPr="001707BF">
              <w:rPr>
                <w:color w:val="FFFFFF" w:themeColor="background1"/>
                <w:sz w:val="18"/>
                <w:szCs w:val="18"/>
              </w:rPr>
              <w:t>This reporting period 20 July—2 August 2020</w:t>
            </w:r>
          </w:p>
        </w:tc>
        <w:tc>
          <w:tcPr>
            <w:tcW w:w="5560" w:type="dxa"/>
            <w:gridSpan w:val="6"/>
            <w:tcBorders>
              <w:left w:val="single" w:sz="2" w:space="0" w:color="FFFFFF" w:themeColor="background1"/>
              <w:bottom w:val="single" w:sz="2" w:space="0" w:color="FFFFFF" w:themeColor="background1"/>
            </w:tcBorders>
            <w:hideMark/>
          </w:tcPr>
          <w:p w14:paraId="58A38F46" w14:textId="77777777" w:rsidR="00413D97" w:rsidRPr="001707BF" w:rsidRDefault="00413D97" w:rsidP="007E3CFA">
            <w:pPr>
              <w:pStyle w:val="NormalWeb"/>
              <w:jc w:val="center"/>
              <w:rPr>
                <w:color w:val="FFFFFF" w:themeColor="background1"/>
                <w:sz w:val="18"/>
                <w:szCs w:val="18"/>
              </w:rPr>
            </w:pPr>
            <w:r w:rsidRPr="001707BF">
              <w:rPr>
                <w:color w:val="FFFFFF" w:themeColor="background1"/>
                <w:sz w:val="18"/>
                <w:szCs w:val="18"/>
              </w:rPr>
              <w:t>Cumulative</w:t>
            </w:r>
          </w:p>
        </w:tc>
      </w:tr>
      <w:tr w:rsidR="008B1FE6" w:rsidRPr="001707BF" w14:paraId="55AADC51" w14:textId="77777777" w:rsidTr="00AA1119">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76B3059E" w14:textId="77777777" w:rsidR="00413D97" w:rsidRPr="001707BF" w:rsidRDefault="00413D97">
            <w:pPr>
              <w:rPr>
                <w:color w:val="FFFFFF" w:themeColor="background1"/>
                <w:sz w:val="18"/>
                <w:szCs w:val="18"/>
              </w:rPr>
            </w:pP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CEB84AB" w14:textId="77777777" w:rsidR="00413D97" w:rsidRPr="001707BF" w:rsidRDefault="00413D97" w:rsidP="007E3CFA">
            <w:pPr>
              <w:pStyle w:val="NormalWeb"/>
              <w:jc w:val="center"/>
              <w:rPr>
                <w:color w:val="FFFFFF" w:themeColor="background1"/>
                <w:sz w:val="18"/>
                <w:szCs w:val="18"/>
              </w:rPr>
            </w:pPr>
            <w:r w:rsidRPr="001707BF">
              <w:rPr>
                <w:color w:val="FFFFFF" w:themeColor="background1"/>
                <w:sz w:val="18"/>
                <w:szCs w:val="18"/>
              </w:rPr>
              <w:t>Cases</w:t>
            </w: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24D8125" w14:textId="77777777" w:rsidR="00413D97" w:rsidRPr="001707BF" w:rsidRDefault="00413D97" w:rsidP="007E3CFA">
            <w:pPr>
              <w:pStyle w:val="NormalWeb"/>
              <w:jc w:val="center"/>
              <w:rPr>
                <w:color w:val="FFFFFF" w:themeColor="background1"/>
                <w:sz w:val="18"/>
                <w:szCs w:val="18"/>
              </w:rPr>
            </w:pPr>
            <w:r w:rsidRPr="001707BF">
              <w:rPr>
                <w:color w:val="FFFFFF" w:themeColor="background1"/>
                <w:sz w:val="18"/>
                <w:szCs w:val="18"/>
              </w:rPr>
              <w:t>Rate per 100,000 population</w:t>
            </w:r>
          </w:p>
        </w:tc>
        <w:tc>
          <w:tcPr>
            <w:tcW w:w="2332"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26026EE" w14:textId="77777777" w:rsidR="00413D97" w:rsidRPr="001707BF" w:rsidRDefault="00413D97" w:rsidP="007E3CFA">
            <w:pPr>
              <w:pStyle w:val="NormalWeb"/>
              <w:jc w:val="center"/>
              <w:rPr>
                <w:color w:val="FFFFFF" w:themeColor="background1"/>
                <w:sz w:val="18"/>
                <w:szCs w:val="18"/>
              </w:rPr>
            </w:pPr>
            <w:r w:rsidRPr="001707BF">
              <w:rPr>
                <w:color w:val="FFFFFF" w:themeColor="background1"/>
                <w:sz w:val="18"/>
                <w:szCs w:val="18"/>
              </w:rPr>
              <w:t>Cases</w:t>
            </w:r>
          </w:p>
        </w:tc>
        <w:tc>
          <w:tcPr>
            <w:tcW w:w="3228" w:type="dxa"/>
            <w:gridSpan w:val="3"/>
            <w:tcBorders>
              <w:top w:val="single" w:sz="2" w:space="0" w:color="FFFFFF" w:themeColor="background1"/>
              <w:left w:val="single" w:sz="2" w:space="0" w:color="FFFFFF" w:themeColor="background1"/>
              <w:bottom w:val="single" w:sz="2" w:space="0" w:color="FFFFFF" w:themeColor="background1"/>
            </w:tcBorders>
            <w:hideMark/>
          </w:tcPr>
          <w:p w14:paraId="6DC26508" w14:textId="77777777" w:rsidR="00413D97" w:rsidRPr="001707BF" w:rsidRDefault="00413D97" w:rsidP="007E3CFA">
            <w:pPr>
              <w:pStyle w:val="NormalWeb"/>
              <w:jc w:val="center"/>
              <w:rPr>
                <w:color w:val="FFFFFF" w:themeColor="background1"/>
                <w:sz w:val="18"/>
                <w:szCs w:val="18"/>
              </w:rPr>
            </w:pPr>
            <w:r w:rsidRPr="001707BF">
              <w:rPr>
                <w:color w:val="FFFFFF" w:themeColor="background1"/>
                <w:sz w:val="18"/>
                <w:szCs w:val="18"/>
              </w:rPr>
              <w:t>Rate per 100,000 population</w:t>
            </w:r>
          </w:p>
        </w:tc>
      </w:tr>
      <w:tr w:rsidR="004A3D6C" w:rsidRPr="001707BF" w14:paraId="6A3F4CF0" w14:textId="77777777" w:rsidTr="00AA1119">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16D2E55F" w14:textId="77777777" w:rsidR="00413D97" w:rsidRPr="001707BF" w:rsidRDefault="00413D97">
            <w:pP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3B62E1A" w14:textId="77777777" w:rsidR="00413D97" w:rsidRPr="001707BF" w:rsidRDefault="00413D97" w:rsidP="007E3CFA">
            <w:pPr>
              <w:pStyle w:val="NormalWeb"/>
              <w:jc w:val="center"/>
              <w:rPr>
                <w:color w:val="FFFFFF" w:themeColor="background1"/>
                <w:sz w:val="18"/>
                <w:szCs w:val="18"/>
              </w:rPr>
            </w:pPr>
            <w:r w:rsidRPr="001707BF">
              <w:rPr>
                <w:color w:val="FFFFFF" w:themeColor="background1"/>
                <w:sz w:val="18"/>
                <w:szCs w:val="18"/>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F1364F3" w14:textId="77777777" w:rsidR="00413D97" w:rsidRPr="001707BF" w:rsidRDefault="00413D97" w:rsidP="007E3CFA">
            <w:pPr>
              <w:pStyle w:val="NormalWeb"/>
              <w:jc w:val="center"/>
              <w:rPr>
                <w:color w:val="FFFFFF" w:themeColor="background1"/>
                <w:sz w:val="18"/>
                <w:szCs w:val="18"/>
              </w:rPr>
            </w:pPr>
            <w:r w:rsidRPr="001707BF">
              <w:rPr>
                <w:color w:val="FFFFFF" w:themeColor="background1"/>
                <w:sz w:val="18"/>
                <w:szCs w:val="18"/>
              </w:rPr>
              <w:t>Female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6149F62" w14:textId="77777777" w:rsidR="00413D97" w:rsidRPr="001707BF" w:rsidRDefault="00413D97" w:rsidP="007E3CFA">
            <w:pPr>
              <w:pStyle w:val="NormalWeb"/>
              <w:jc w:val="center"/>
              <w:rPr>
                <w:color w:val="FFFFFF" w:themeColor="background1"/>
                <w:sz w:val="18"/>
                <w:szCs w:val="18"/>
              </w:rPr>
            </w:pPr>
            <w:r w:rsidRPr="001707BF">
              <w:rPr>
                <w:color w:val="FFFFFF" w:themeColor="background1"/>
                <w:sz w:val="18"/>
                <w:szCs w:val="18"/>
              </w:rPr>
              <w:t>Total</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0335C06" w14:textId="77777777" w:rsidR="00413D97" w:rsidRPr="001707BF" w:rsidRDefault="00413D97" w:rsidP="007E3CFA">
            <w:pPr>
              <w:pStyle w:val="NormalWeb"/>
              <w:jc w:val="center"/>
              <w:rPr>
                <w:color w:val="FFFFFF" w:themeColor="background1"/>
                <w:sz w:val="18"/>
                <w:szCs w:val="18"/>
              </w:rPr>
            </w:pPr>
            <w:r w:rsidRPr="001707BF">
              <w:rPr>
                <w:color w:val="FFFFFF" w:themeColor="background1"/>
                <w:sz w:val="18"/>
                <w:szCs w:val="18"/>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D5E41D2" w14:textId="77777777" w:rsidR="00413D97" w:rsidRPr="001707BF" w:rsidRDefault="00413D97" w:rsidP="007E3CFA">
            <w:pPr>
              <w:pStyle w:val="NormalWeb"/>
              <w:jc w:val="center"/>
              <w:rPr>
                <w:color w:val="FFFFFF" w:themeColor="background1"/>
                <w:sz w:val="18"/>
                <w:szCs w:val="18"/>
              </w:rPr>
            </w:pPr>
            <w:r w:rsidRPr="001707BF">
              <w:rPr>
                <w:color w:val="FFFFFF" w:themeColor="background1"/>
                <w:sz w:val="18"/>
                <w:szCs w:val="18"/>
              </w:rPr>
              <w:t>Female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4100802" w14:textId="77777777" w:rsidR="00413D97" w:rsidRPr="001707BF" w:rsidRDefault="00413D97" w:rsidP="007E3CFA">
            <w:pPr>
              <w:pStyle w:val="NormalWeb"/>
              <w:jc w:val="center"/>
              <w:rPr>
                <w:color w:val="FFFFFF" w:themeColor="background1"/>
                <w:sz w:val="18"/>
                <w:szCs w:val="18"/>
              </w:rPr>
            </w:pPr>
            <w:r w:rsidRPr="001707BF">
              <w:rPr>
                <w:color w:val="FFFFFF" w:themeColor="background1"/>
                <w:sz w:val="18"/>
                <w:szCs w:val="18"/>
              </w:rPr>
              <w:t>Total</w:t>
            </w:r>
          </w:p>
        </w:tc>
        <w:tc>
          <w:tcPr>
            <w:tcW w:w="682" w:type="dxa"/>
            <w:tcBorders>
              <w:top w:val="single" w:sz="2" w:space="0" w:color="FFFFFF" w:themeColor="background1"/>
              <w:left w:val="single" w:sz="2" w:space="0" w:color="FFFFFF" w:themeColor="background1"/>
              <w:right w:val="single" w:sz="2" w:space="0" w:color="FFFFFF" w:themeColor="background1"/>
            </w:tcBorders>
            <w:hideMark/>
          </w:tcPr>
          <w:p w14:paraId="160FEBCD" w14:textId="77777777" w:rsidR="00413D97" w:rsidRPr="001707BF" w:rsidRDefault="00413D97" w:rsidP="007E3CFA">
            <w:pPr>
              <w:pStyle w:val="NormalWeb"/>
              <w:jc w:val="center"/>
              <w:rPr>
                <w:color w:val="FFFFFF" w:themeColor="background1"/>
                <w:sz w:val="18"/>
                <w:szCs w:val="18"/>
              </w:rPr>
            </w:pPr>
            <w:r w:rsidRPr="001707BF">
              <w:rPr>
                <w:color w:val="FFFFFF" w:themeColor="background1"/>
                <w:sz w:val="18"/>
                <w:szCs w:val="18"/>
              </w:rPr>
              <w:t>Male</w:t>
            </w:r>
          </w:p>
        </w:tc>
        <w:tc>
          <w:tcPr>
            <w:tcW w:w="900" w:type="dxa"/>
            <w:tcBorders>
              <w:top w:val="single" w:sz="2" w:space="0" w:color="FFFFFF" w:themeColor="background1"/>
              <w:left w:val="single" w:sz="2" w:space="0" w:color="FFFFFF" w:themeColor="background1"/>
              <w:right w:val="single" w:sz="2" w:space="0" w:color="FFFFFF" w:themeColor="background1"/>
            </w:tcBorders>
            <w:hideMark/>
          </w:tcPr>
          <w:p w14:paraId="7BD5DE5A" w14:textId="77777777" w:rsidR="00413D97" w:rsidRPr="001707BF" w:rsidRDefault="00413D97" w:rsidP="007E3CFA">
            <w:pPr>
              <w:pStyle w:val="NormalWeb"/>
              <w:jc w:val="center"/>
              <w:rPr>
                <w:color w:val="FFFFFF" w:themeColor="background1"/>
                <w:sz w:val="18"/>
                <w:szCs w:val="18"/>
              </w:rPr>
            </w:pPr>
            <w:r w:rsidRPr="001707BF">
              <w:rPr>
                <w:color w:val="FFFFFF" w:themeColor="background1"/>
                <w:sz w:val="18"/>
                <w:szCs w:val="18"/>
              </w:rPr>
              <w:t>Female</w:t>
            </w:r>
          </w:p>
        </w:tc>
        <w:tc>
          <w:tcPr>
            <w:tcW w:w="750" w:type="dxa"/>
            <w:tcBorders>
              <w:top w:val="single" w:sz="2" w:space="0" w:color="FFFFFF" w:themeColor="background1"/>
              <w:left w:val="single" w:sz="2" w:space="0" w:color="FFFFFF" w:themeColor="background1"/>
              <w:right w:val="single" w:sz="2" w:space="0" w:color="FFFFFF" w:themeColor="background1"/>
            </w:tcBorders>
            <w:hideMark/>
          </w:tcPr>
          <w:p w14:paraId="56C01C74" w14:textId="77777777" w:rsidR="00413D97" w:rsidRPr="001707BF" w:rsidRDefault="00413D97" w:rsidP="007E3CFA">
            <w:pPr>
              <w:pStyle w:val="NormalWeb"/>
              <w:jc w:val="center"/>
              <w:rPr>
                <w:color w:val="FFFFFF" w:themeColor="background1"/>
                <w:sz w:val="18"/>
                <w:szCs w:val="18"/>
              </w:rPr>
            </w:pPr>
            <w:r w:rsidRPr="001707BF">
              <w:rPr>
                <w:color w:val="FFFFFF" w:themeColor="background1"/>
                <w:sz w:val="18"/>
                <w:szCs w:val="18"/>
              </w:rPr>
              <w:t>Total</w:t>
            </w:r>
          </w:p>
        </w:tc>
        <w:tc>
          <w:tcPr>
            <w:tcW w:w="868" w:type="dxa"/>
            <w:tcBorders>
              <w:top w:val="single" w:sz="2" w:space="0" w:color="FFFFFF" w:themeColor="background1"/>
              <w:left w:val="single" w:sz="2" w:space="0" w:color="FFFFFF" w:themeColor="background1"/>
              <w:right w:val="single" w:sz="2" w:space="0" w:color="FFFFFF" w:themeColor="background1"/>
            </w:tcBorders>
            <w:hideMark/>
          </w:tcPr>
          <w:p w14:paraId="23106E6D" w14:textId="77777777" w:rsidR="00413D97" w:rsidRPr="001707BF" w:rsidRDefault="00413D97" w:rsidP="007E3CFA">
            <w:pPr>
              <w:pStyle w:val="NormalWeb"/>
              <w:jc w:val="center"/>
              <w:rPr>
                <w:color w:val="FFFFFF" w:themeColor="background1"/>
                <w:sz w:val="18"/>
                <w:szCs w:val="18"/>
              </w:rPr>
            </w:pPr>
            <w:r w:rsidRPr="001707BF">
              <w:rPr>
                <w:color w:val="FFFFFF" w:themeColor="background1"/>
                <w:sz w:val="18"/>
                <w:szCs w:val="18"/>
              </w:rPr>
              <w:t>Male</w:t>
            </w:r>
          </w:p>
        </w:tc>
        <w:tc>
          <w:tcPr>
            <w:tcW w:w="1085" w:type="dxa"/>
            <w:tcBorders>
              <w:top w:val="single" w:sz="2" w:space="0" w:color="FFFFFF" w:themeColor="background1"/>
              <w:left w:val="single" w:sz="2" w:space="0" w:color="FFFFFF" w:themeColor="background1"/>
              <w:right w:val="single" w:sz="2" w:space="0" w:color="FFFFFF" w:themeColor="background1"/>
            </w:tcBorders>
            <w:hideMark/>
          </w:tcPr>
          <w:p w14:paraId="48690EBC" w14:textId="77777777" w:rsidR="00413D97" w:rsidRPr="001707BF" w:rsidRDefault="00413D97" w:rsidP="007E3CFA">
            <w:pPr>
              <w:pStyle w:val="NormalWeb"/>
              <w:jc w:val="center"/>
              <w:rPr>
                <w:color w:val="FFFFFF" w:themeColor="background1"/>
                <w:sz w:val="18"/>
                <w:szCs w:val="18"/>
              </w:rPr>
            </w:pPr>
            <w:r w:rsidRPr="001707BF">
              <w:rPr>
                <w:color w:val="FFFFFF" w:themeColor="background1"/>
                <w:sz w:val="18"/>
                <w:szCs w:val="18"/>
              </w:rPr>
              <w:t>Female</w:t>
            </w:r>
          </w:p>
        </w:tc>
        <w:tc>
          <w:tcPr>
            <w:tcW w:w="1275" w:type="dxa"/>
            <w:tcBorders>
              <w:top w:val="single" w:sz="2" w:space="0" w:color="FFFFFF" w:themeColor="background1"/>
              <w:left w:val="single" w:sz="2" w:space="0" w:color="FFFFFF" w:themeColor="background1"/>
            </w:tcBorders>
            <w:hideMark/>
          </w:tcPr>
          <w:p w14:paraId="0167128D" w14:textId="77777777" w:rsidR="00413D97" w:rsidRPr="001707BF" w:rsidRDefault="00413D97" w:rsidP="007E3CFA">
            <w:pPr>
              <w:pStyle w:val="NormalWeb"/>
              <w:jc w:val="center"/>
              <w:rPr>
                <w:color w:val="FFFFFF" w:themeColor="background1"/>
                <w:sz w:val="18"/>
                <w:szCs w:val="18"/>
              </w:rPr>
            </w:pPr>
            <w:r w:rsidRPr="001707BF">
              <w:rPr>
                <w:color w:val="FFFFFF" w:themeColor="background1"/>
                <w:sz w:val="18"/>
                <w:szCs w:val="18"/>
              </w:rPr>
              <w:t>Total</w:t>
            </w:r>
          </w:p>
        </w:tc>
      </w:tr>
      <w:tr w:rsidR="004A3D6C" w:rsidRPr="001707BF" w14:paraId="379CED2D" w14:textId="77777777" w:rsidTr="00AA1119">
        <w:tc>
          <w:tcPr>
            <w:tcW w:w="0" w:type="auto"/>
            <w:tcBorders>
              <w:right w:val="single" w:sz="2" w:space="0" w:color="000000" w:themeColor="text1"/>
            </w:tcBorders>
            <w:hideMark/>
          </w:tcPr>
          <w:p w14:paraId="1977895A" w14:textId="77777777" w:rsidR="00413D97" w:rsidRPr="001707BF" w:rsidRDefault="00413D97">
            <w:pPr>
              <w:pStyle w:val="NormalWeb"/>
              <w:rPr>
                <w:sz w:val="18"/>
                <w:szCs w:val="18"/>
              </w:rPr>
            </w:pPr>
            <w:r w:rsidRPr="001707BF">
              <w:rPr>
                <w:sz w:val="18"/>
                <w:szCs w:val="18"/>
              </w:rPr>
              <w:t>0—10</w:t>
            </w:r>
          </w:p>
        </w:tc>
        <w:tc>
          <w:tcPr>
            <w:tcW w:w="0" w:type="auto"/>
            <w:tcBorders>
              <w:left w:val="single" w:sz="2" w:space="0" w:color="000000" w:themeColor="text1"/>
              <w:right w:val="single" w:sz="2" w:space="0" w:color="000000" w:themeColor="text1"/>
            </w:tcBorders>
            <w:hideMark/>
          </w:tcPr>
          <w:p w14:paraId="19DD11CC" w14:textId="77777777" w:rsidR="00413D97" w:rsidRPr="001707BF" w:rsidRDefault="00413D97" w:rsidP="007E3CFA">
            <w:pPr>
              <w:pStyle w:val="NormalWeb"/>
              <w:jc w:val="center"/>
              <w:rPr>
                <w:sz w:val="18"/>
                <w:szCs w:val="18"/>
              </w:rPr>
            </w:pPr>
            <w:r w:rsidRPr="001707BF">
              <w:rPr>
                <w:sz w:val="18"/>
                <w:szCs w:val="18"/>
              </w:rPr>
              <w:t>156</w:t>
            </w:r>
          </w:p>
        </w:tc>
        <w:tc>
          <w:tcPr>
            <w:tcW w:w="0" w:type="auto"/>
            <w:tcBorders>
              <w:left w:val="single" w:sz="2" w:space="0" w:color="000000" w:themeColor="text1"/>
              <w:right w:val="single" w:sz="2" w:space="0" w:color="000000" w:themeColor="text1"/>
            </w:tcBorders>
            <w:hideMark/>
          </w:tcPr>
          <w:p w14:paraId="51007941" w14:textId="77777777" w:rsidR="00413D97" w:rsidRPr="001707BF" w:rsidRDefault="00413D97" w:rsidP="007E3CFA">
            <w:pPr>
              <w:pStyle w:val="NormalWeb"/>
              <w:jc w:val="center"/>
              <w:rPr>
                <w:sz w:val="18"/>
                <w:szCs w:val="18"/>
              </w:rPr>
            </w:pPr>
            <w:r w:rsidRPr="001707BF">
              <w:rPr>
                <w:sz w:val="18"/>
                <w:szCs w:val="18"/>
              </w:rPr>
              <w:t>139</w:t>
            </w:r>
          </w:p>
        </w:tc>
        <w:tc>
          <w:tcPr>
            <w:tcW w:w="0" w:type="auto"/>
            <w:tcBorders>
              <w:left w:val="single" w:sz="2" w:space="0" w:color="000000" w:themeColor="text1"/>
              <w:right w:val="single" w:sz="2" w:space="0" w:color="000000" w:themeColor="text1"/>
            </w:tcBorders>
            <w:hideMark/>
          </w:tcPr>
          <w:p w14:paraId="1A388AA8" w14:textId="77777777" w:rsidR="00413D97" w:rsidRPr="001707BF" w:rsidRDefault="00413D97" w:rsidP="007E3CFA">
            <w:pPr>
              <w:pStyle w:val="NormalWeb"/>
              <w:jc w:val="center"/>
              <w:rPr>
                <w:sz w:val="18"/>
                <w:szCs w:val="18"/>
              </w:rPr>
            </w:pPr>
            <w:r w:rsidRPr="001707BF">
              <w:rPr>
                <w:sz w:val="18"/>
                <w:szCs w:val="18"/>
              </w:rPr>
              <w:t>301</w:t>
            </w:r>
          </w:p>
        </w:tc>
        <w:tc>
          <w:tcPr>
            <w:tcW w:w="0" w:type="auto"/>
            <w:tcBorders>
              <w:left w:val="single" w:sz="2" w:space="0" w:color="000000" w:themeColor="text1"/>
              <w:right w:val="single" w:sz="2" w:space="0" w:color="000000" w:themeColor="text1"/>
            </w:tcBorders>
            <w:hideMark/>
          </w:tcPr>
          <w:p w14:paraId="062C12EC" w14:textId="77777777" w:rsidR="00413D97" w:rsidRPr="001707BF" w:rsidRDefault="00413D97" w:rsidP="007E3CFA">
            <w:pPr>
              <w:pStyle w:val="NormalWeb"/>
              <w:jc w:val="center"/>
              <w:rPr>
                <w:sz w:val="18"/>
                <w:szCs w:val="18"/>
              </w:rPr>
            </w:pPr>
            <w:r w:rsidRPr="001707BF">
              <w:rPr>
                <w:sz w:val="18"/>
                <w:szCs w:val="18"/>
              </w:rPr>
              <w:t>9.5</w:t>
            </w:r>
          </w:p>
        </w:tc>
        <w:tc>
          <w:tcPr>
            <w:tcW w:w="0" w:type="auto"/>
            <w:tcBorders>
              <w:left w:val="single" w:sz="2" w:space="0" w:color="000000" w:themeColor="text1"/>
              <w:right w:val="single" w:sz="2" w:space="0" w:color="000000" w:themeColor="text1"/>
            </w:tcBorders>
            <w:hideMark/>
          </w:tcPr>
          <w:p w14:paraId="63DE8A93" w14:textId="77777777" w:rsidR="00413D97" w:rsidRPr="001707BF" w:rsidRDefault="00413D97" w:rsidP="007E3CFA">
            <w:pPr>
              <w:pStyle w:val="NormalWeb"/>
              <w:jc w:val="center"/>
              <w:rPr>
                <w:sz w:val="18"/>
                <w:szCs w:val="18"/>
              </w:rPr>
            </w:pPr>
            <w:r w:rsidRPr="001707BF">
              <w:rPr>
                <w:sz w:val="18"/>
                <w:szCs w:val="18"/>
              </w:rPr>
              <w:t>9.0</w:t>
            </w:r>
          </w:p>
        </w:tc>
        <w:tc>
          <w:tcPr>
            <w:tcW w:w="0" w:type="auto"/>
            <w:tcBorders>
              <w:left w:val="single" w:sz="2" w:space="0" w:color="000000" w:themeColor="text1"/>
              <w:right w:val="single" w:sz="2" w:space="0" w:color="000000" w:themeColor="text1"/>
            </w:tcBorders>
            <w:hideMark/>
          </w:tcPr>
          <w:p w14:paraId="6B7714FF" w14:textId="77777777" w:rsidR="00413D97" w:rsidRPr="001707BF" w:rsidRDefault="00413D97" w:rsidP="007E3CFA">
            <w:pPr>
              <w:pStyle w:val="NormalWeb"/>
              <w:jc w:val="center"/>
              <w:rPr>
                <w:sz w:val="18"/>
                <w:szCs w:val="18"/>
              </w:rPr>
            </w:pPr>
            <w:r w:rsidRPr="001707BF">
              <w:rPr>
                <w:sz w:val="18"/>
                <w:szCs w:val="18"/>
              </w:rPr>
              <w:t>9.4</w:t>
            </w:r>
          </w:p>
        </w:tc>
        <w:tc>
          <w:tcPr>
            <w:tcW w:w="682" w:type="dxa"/>
            <w:tcBorders>
              <w:left w:val="single" w:sz="2" w:space="0" w:color="000000" w:themeColor="text1"/>
              <w:right w:val="single" w:sz="2" w:space="0" w:color="000000" w:themeColor="text1"/>
            </w:tcBorders>
            <w:hideMark/>
          </w:tcPr>
          <w:p w14:paraId="526D748B" w14:textId="77777777" w:rsidR="00413D97" w:rsidRPr="001707BF" w:rsidRDefault="00413D97" w:rsidP="007E3CFA">
            <w:pPr>
              <w:pStyle w:val="NormalWeb"/>
              <w:jc w:val="center"/>
              <w:rPr>
                <w:sz w:val="18"/>
                <w:szCs w:val="18"/>
              </w:rPr>
            </w:pPr>
            <w:r w:rsidRPr="001707BF">
              <w:rPr>
                <w:sz w:val="18"/>
                <w:szCs w:val="18"/>
              </w:rPr>
              <w:t>399</w:t>
            </w:r>
          </w:p>
        </w:tc>
        <w:tc>
          <w:tcPr>
            <w:tcW w:w="900" w:type="dxa"/>
            <w:tcBorders>
              <w:left w:val="single" w:sz="2" w:space="0" w:color="000000" w:themeColor="text1"/>
              <w:right w:val="single" w:sz="2" w:space="0" w:color="000000" w:themeColor="text1"/>
            </w:tcBorders>
            <w:hideMark/>
          </w:tcPr>
          <w:p w14:paraId="4C1CE6B7" w14:textId="77777777" w:rsidR="00413D97" w:rsidRPr="001707BF" w:rsidRDefault="00413D97" w:rsidP="007E3CFA">
            <w:pPr>
              <w:pStyle w:val="NormalWeb"/>
              <w:jc w:val="center"/>
              <w:rPr>
                <w:sz w:val="18"/>
                <w:szCs w:val="18"/>
              </w:rPr>
            </w:pPr>
            <w:r w:rsidRPr="001707BF">
              <w:rPr>
                <w:sz w:val="18"/>
                <w:szCs w:val="18"/>
              </w:rPr>
              <w:t>359</w:t>
            </w:r>
          </w:p>
        </w:tc>
        <w:tc>
          <w:tcPr>
            <w:tcW w:w="750" w:type="dxa"/>
            <w:tcBorders>
              <w:left w:val="single" w:sz="2" w:space="0" w:color="000000" w:themeColor="text1"/>
              <w:right w:val="single" w:sz="2" w:space="0" w:color="000000" w:themeColor="text1"/>
            </w:tcBorders>
            <w:hideMark/>
          </w:tcPr>
          <w:p w14:paraId="0BCBDBBE" w14:textId="77777777" w:rsidR="00413D97" w:rsidRPr="001707BF" w:rsidRDefault="00413D97" w:rsidP="007E3CFA">
            <w:pPr>
              <w:pStyle w:val="NormalWeb"/>
              <w:jc w:val="center"/>
              <w:rPr>
                <w:sz w:val="18"/>
                <w:szCs w:val="18"/>
              </w:rPr>
            </w:pPr>
            <w:r w:rsidRPr="001707BF">
              <w:rPr>
                <w:sz w:val="18"/>
                <w:szCs w:val="18"/>
              </w:rPr>
              <w:t>764</w:t>
            </w:r>
          </w:p>
        </w:tc>
        <w:tc>
          <w:tcPr>
            <w:tcW w:w="868" w:type="dxa"/>
            <w:tcBorders>
              <w:left w:val="single" w:sz="2" w:space="0" w:color="000000" w:themeColor="text1"/>
              <w:right w:val="single" w:sz="2" w:space="0" w:color="000000" w:themeColor="text1"/>
            </w:tcBorders>
            <w:hideMark/>
          </w:tcPr>
          <w:p w14:paraId="26B9B2A9" w14:textId="77777777" w:rsidR="00413D97" w:rsidRPr="001707BF" w:rsidRDefault="00413D97" w:rsidP="007E3CFA">
            <w:pPr>
              <w:pStyle w:val="NormalWeb"/>
              <w:jc w:val="center"/>
              <w:rPr>
                <w:sz w:val="18"/>
                <w:szCs w:val="18"/>
              </w:rPr>
            </w:pPr>
            <w:r w:rsidRPr="001707BF">
              <w:rPr>
                <w:sz w:val="18"/>
                <w:szCs w:val="18"/>
              </w:rPr>
              <w:t>24.4</w:t>
            </w:r>
          </w:p>
        </w:tc>
        <w:tc>
          <w:tcPr>
            <w:tcW w:w="1085" w:type="dxa"/>
            <w:tcBorders>
              <w:left w:val="single" w:sz="2" w:space="0" w:color="000000" w:themeColor="text1"/>
              <w:right w:val="single" w:sz="2" w:space="0" w:color="000000" w:themeColor="text1"/>
            </w:tcBorders>
            <w:hideMark/>
          </w:tcPr>
          <w:p w14:paraId="3D07BE6F" w14:textId="77777777" w:rsidR="00413D97" w:rsidRPr="001707BF" w:rsidRDefault="00413D97" w:rsidP="007E3CFA">
            <w:pPr>
              <w:pStyle w:val="NormalWeb"/>
              <w:jc w:val="center"/>
              <w:rPr>
                <w:sz w:val="18"/>
                <w:szCs w:val="18"/>
              </w:rPr>
            </w:pPr>
            <w:r w:rsidRPr="001707BF">
              <w:rPr>
                <w:sz w:val="18"/>
                <w:szCs w:val="18"/>
              </w:rPr>
              <w:t>23.2</w:t>
            </w:r>
          </w:p>
        </w:tc>
        <w:tc>
          <w:tcPr>
            <w:tcW w:w="1275" w:type="dxa"/>
            <w:tcBorders>
              <w:left w:val="single" w:sz="2" w:space="0" w:color="000000" w:themeColor="text1"/>
            </w:tcBorders>
            <w:hideMark/>
          </w:tcPr>
          <w:p w14:paraId="6D217546" w14:textId="77777777" w:rsidR="00413D97" w:rsidRPr="001707BF" w:rsidRDefault="00413D97" w:rsidP="007E3CFA">
            <w:pPr>
              <w:pStyle w:val="NormalWeb"/>
              <w:jc w:val="center"/>
              <w:rPr>
                <w:sz w:val="18"/>
                <w:szCs w:val="18"/>
              </w:rPr>
            </w:pPr>
            <w:r w:rsidRPr="001707BF">
              <w:rPr>
                <w:sz w:val="18"/>
                <w:szCs w:val="18"/>
              </w:rPr>
              <w:t>24.0</w:t>
            </w:r>
          </w:p>
        </w:tc>
      </w:tr>
      <w:tr w:rsidR="004A3D6C" w:rsidRPr="001707BF" w14:paraId="1E2BDA46" w14:textId="77777777" w:rsidTr="00AA111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1A439CCF" w14:textId="77777777" w:rsidR="00413D97" w:rsidRPr="001707BF" w:rsidRDefault="00413D97">
            <w:pPr>
              <w:pStyle w:val="NormalWeb"/>
              <w:rPr>
                <w:sz w:val="18"/>
                <w:szCs w:val="18"/>
              </w:rPr>
            </w:pPr>
            <w:r w:rsidRPr="001707BF">
              <w:rPr>
                <w:sz w:val="18"/>
                <w:szCs w:val="18"/>
              </w:rPr>
              <w:t>10—20</w:t>
            </w:r>
          </w:p>
        </w:tc>
        <w:tc>
          <w:tcPr>
            <w:tcW w:w="0" w:type="auto"/>
            <w:tcBorders>
              <w:left w:val="single" w:sz="2" w:space="0" w:color="000000" w:themeColor="text1"/>
              <w:right w:val="single" w:sz="2" w:space="0" w:color="000000" w:themeColor="text1"/>
            </w:tcBorders>
            <w:hideMark/>
          </w:tcPr>
          <w:p w14:paraId="2EE3734A" w14:textId="77777777" w:rsidR="00413D97" w:rsidRPr="001707BF" w:rsidRDefault="00413D97" w:rsidP="007E3CFA">
            <w:pPr>
              <w:pStyle w:val="NormalWeb"/>
              <w:jc w:val="center"/>
              <w:rPr>
                <w:sz w:val="18"/>
                <w:szCs w:val="18"/>
              </w:rPr>
            </w:pPr>
            <w:r w:rsidRPr="001707BF">
              <w:rPr>
                <w:sz w:val="18"/>
                <w:szCs w:val="18"/>
              </w:rPr>
              <w:t>295</w:t>
            </w:r>
          </w:p>
        </w:tc>
        <w:tc>
          <w:tcPr>
            <w:tcW w:w="0" w:type="auto"/>
            <w:tcBorders>
              <w:left w:val="single" w:sz="2" w:space="0" w:color="000000" w:themeColor="text1"/>
              <w:right w:val="single" w:sz="2" w:space="0" w:color="000000" w:themeColor="text1"/>
            </w:tcBorders>
            <w:hideMark/>
          </w:tcPr>
          <w:p w14:paraId="66CA994D" w14:textId="77777777" w:rsidR="00413D97" w:rsidRPr="001707BF" w:rsidRDefault="00413D97" w:rsidP="007E3CFA">
            <w:pPr>
              <w:pStyle w:val="NormalWeb"/>
              <w:jc w:val="center"/>
              <w:rPr>
                <w:sz w:val="18"/>
                <w:szCs w:val="18"/>
              </w:rPr>
            </w:pPr>
            <w:r w:rsidRPr="001707BF">
              <w:rPr>
                <w:sz w:val="18"/>
                <w:szCs w:val="18"/>
              </w:rPr>
              <w:t>281</w:t>
            </w:r>
          </w:p>
        </w:tc>
        <w:tc>
          <w:tcPr>
            <w:tcW w:w="0" w:type="auto"/>
            <w:tcBorders>
              <w:left w:val="single" w:sz="2" w:space="0" w:color="000000" w:themeColor="text1"/>
              <w:right w:val="single" w:sz="2" w:space="0" w:color="000000" w:themeColor="text1"/>
            </w:tcBorders>
            <w:hideMark/>
          </w:tcPr>
          <w:p w14:paraId="0567FA64" w14:textId="77777777" w:rsidR="00413D97" w:rsidRPr="001707BF" w:rsidRDefault="00413D97" w:rsidP="007E3CFA">
            <w:pPr>
              <w:pStyle w:val="NormalWeb"/>
              <w:jc w:val="center"/>
              <w:rPr>
                <w:sz w:val="18"/>
                <w:szCs w:val="18"/>
              </w:rPr>
            </w:pPr>
            <w:r w:rsidRPr="001707BF">
              <w:rPr>
                <w:sz w:val="18"/>
                <w:szCs w:val="18"/>
              </w:rPr>
              <w:t>587</w:t>
            </w:r>
          </w:p>
        </w:tc>
        <w:tc>
          <w:tcPr>
            <w:tcW w:w="0" w:type="auto"/>
            <w:tcBorders>
              <w:left w:val="single" w:sz="2" w:space="0" w:color="000000" w:themeColor="text1"/>
              <w:right w:val="single" w:sz="2" w:space="0" w:color="000000" w:themeColor="text1"/>
            </w:tcBorders>
            <w:hideMark/>
          </w:tcPr>
          <w:p w14:paraId="00FD7286" w14:textId="77777777" w:rsidR="00413D97" w:rsidRPr="001707BF" w:rsidRDefault="00413D97" w:rsidP="007E3CFA">
            <w:pPr>
              <w:pStyle w:val="NormalWeb"/>
              <w:jc w:val="center"/>
              <w:rPr>
                <w:sz w:val="18"/>
                <w:szCs w:val="18"/>
              </w:rPr>
            </w:pPr>
            <w:r w:rsidRPr="001707BF">
              <w:rPr>
                <w:sz w:val="18"/>
                <w:szCs w:val="18"/>
              </w:rPr>
              <w:t>18.8</w:t>
            </w:r>
          </w:p>
        </w:tc>
        <w:tc>
          <w:tcPr>
            <w:tcW w:w="0" w:type="auto"/>
            <w:tcBorders>
              <w:left w:val="single" w:sz="2" w:space="0" w:color="000000" w:themeColor="text1"/>
              <w:right w:val="single" w:sz="2" w:space="0" w:color="000000" w:themeColor="text1"/>
            </w:tcBorders>
            <w:hideMark/>
          </w:tcPr>
          <w:p w14:paraId="161F27E5" w14:textId="77777777" w:rsidR="00413D97" w:rsidRPr="001707BF" w:rsidRDefault="00413D97" w:rsidP="007E3CFA">
            <w:pPr>
              <w:pStyle w:val="NormalWeb"/>
              <w:jc w:val="center"/>
              <w:rPr>
                <w:sz w:val="18"/>
                <w:szCs w:val="18"/>
              </w:rPr>
            </w:pPr>
            <w:r w:rsidRPr="001707BF">
              <w:rPr>
                <w:sz w:val="18"/>
                <w:szCs w:val="18"/>
              </w:rPr>
              <w:t>18.9</w:t>
            </w:r>
          </w:p>
        </w:tc>
        <w:tc>
          <w:tcPr>
            <w:tcW w:w="0" w:type="auto"/>
            <w:tcBorders>
              <w:left w:val="single" w:sz="2" w:space="0" w:color="000000" w:themeColor="text1"/>
              <w:right w:val="single" w:sz="2" w:space="0" w:color="000000" w:themeColor="text1"/>
            </w:tcBorders>
            <w:hideMark/>
          </w:tcPr>
          <w:p w14:paraId="444A2BEC" w14:textId="77777777" w:rsidR="00413D97" w:rsidRPr="001707BF" w:rsidRDefault="00413D97" w:rsidP="007E3CFA">
            <w:pPr>
              <w:pStyle w:val="NormalWeb"/>
              <w:jc w:val="center"/>
              <w:rPr>
                <w:sz w:val="18"/>
                <w:szCs w:val="18"/>
              </w:rPr>
            </w:pPr>
            <w:r w:rsidRPr="001707BF">
              <w:rPr>
                <w:sz w:val="18"/>
                <w:szCs w:val="18"/>
              </w:rPr>
              <w:t>19.2</w:t>
            </w:r>
          </w:p>
        </w:tc>
        <w:tc>
          <w:tcPr>
            <w:tcW w:w="682" w:type="dxa"/>
            <w:tcBorders>
              <w:left w:val="single" w:sz="2" w:space="0" w:color="000000" w:themeColor="text1"/>
              <w:right w:val="single" w:sz="2" w:space="0" w:color="000000" w:themeColor="text1"/>
            </w:tcBorders>
            <w:hideMark/>
          </w:tcPr>
          <w:p w14:paraId="6C83D6C2" w14:textId="77777777" w:rsidR="00413D97" w:rsidRPr="001707BF" w:rsidRDefault="00413D97" w:rsidP="007E3CFA">
            <w:pPr>
              <w:pStyle w:val="NormalWeb"/>
              <w:jc w:val="center"/>
              <w:rPr>
                <w:sz w:val="18"/>
                <w:szCs w:val="18"/>
              </w:rPr>
            </w:pPr>
            <w:r w:rsidRPr="001707BF">
              <w:rPr>
                <w:sz w:val="18"/>
                <w:szCs w:val="18"/>
              </w:rPr>
              <w:t>748</w:t>
            </w:r>
          </w:p>
        </w:tc>
        <w:tc>
          <w:tcPr>
            <w:tcW w:w="900" w:type="dxa"/>
            <w:tcBorders>
              <w:left w:val="single" w:sz="2" w:space="0" w:color="000000" w:themeColor="text1"/>
              <w:right w:val="single" w:sz="2" w:space="0" w:color="000000" w:themeColor="text1"/>
            </w:tcBorders>
            <w:hideMark/>
          </w:tcPr>
          <w:p w14:paraId="18D2C6B7" w14:textId="77777777" w:rsidR="00413D97" w:rsidRPr="001707BF" w:rsidRDefault="00413D97" w:rsidP="007E3CFA">
            <w:pPr>
              <w:pStyle w:val="NormalWeb"/>
              <w:jc w:val="center"/>
              <w:rPr>
                <w:sz w:val="18"/>
                <w:szCs w:val="18"/>
              </w:rPr>
            </w:pPr>
            <w:r w:rsidRPr="001707BF">
              <w:rPr>
                <w:sz w:val="18"/>
                <w:szCs w:val="18"/>
              </w:rPr>
              <w:t>652</w:t>
            </w:r>
          </w:p>
        </w:tc>
        <w:tc>
          <w:tcPr>
            <w:tcW w:w="750" w:type="dxa"/>
            <w:tcBorders>
              <w:left w:val="single" w:sz="2" w:space="0" w:color="000000" w:themeColor="text1"/>
              <w:right w:val="single" w:sz="2" w:space="0" w:color="000000" w:themeColor="text1"/>
            </w:tcBorders>
            <w:hideMark/>
          </w:tcPr>
          <w:p w14:paraId="691E263B" w14:textId="77777777" w:rsidR="00413D97" w:rsidRPr="001707BF" w:rsidRDefault="00413D97" w:rsidP="007E3CFA">
            <w:pPr>
              <w:pStyle w:val="NormalWeb"/>
              <w:jc w:val="center"/>
              <w:rPr>
                <w:sz w:val="18"/>
                <w:szCs w:val="18"/>
              </w:rPr>
            </w:pPr>
            <w:r w:rsidRPr="001707BF">
              <w:rPr>
                <w:sz w:val="18"/>
                <w:szCs w:val="18"/>
              </w:rPr>
              <w:t>1,413</w:t>
            </w:r>
          </w:p>
        </w:tc>
        <w:tc>
          <w:tcPr>
            <w:tcW w:w="868" w:type="dxa"/>
            <w:tcBorders>
              <w:left w:val="single" w:sz="2" w:space="0" w:color="000000" w:themeColor="text1"/>
              <w:right w:val="single" w:sz="2" w:space="0" w:color="000000" w:themeColor="text1"/>
            </w:tcBorders>
            <w:hideMark/>
          </w:tcPr>
          <w:p w14:paraId="44AD97C6" w14:textId="77777777" w:rsidR="00413D97" w:rsidRPr="001707BF" w:rsidRDefault="00413D97" w:rsidP="007E3CFA">
            <w:pPr>
              <w:pStyle w:val="NormalWeb"/>
              <w:jc w:val="center"/>
              <w:rPr>
                <w:sz w:val="18"/>
                <w:szCs w:val="18"/>
              </w:rPr>
            </w:pPr>
            <w:r w:rsidRPr="001707BF">
              <w:rPr>
                <w:sz w:val="18"/>
                <w:szCs w:val="18"/>
              </w:rPr>
              <w:t>47.6</w:t>
            </w:r>
          </w:p>
        </w:tc>
        <w:tc>
          <w:tcPr>
            <w:tcW w:w="1085" w:type="dxa"/>
            <w:tcBorders>
              <w:left w:val="single" w:sz="2" w:space="0" w:color="000000" w:themeColor="text1"/>
              <w:right w:val="single" w:sz="2" w:space="0" w:color="000000" w:themeColor="text1"/>
            </w:tcBorders>
            <w:hideMark/>
          </w:tcPr>
          <w:p w14:paraId="52A467D0" w14:textId="77777777" w:rsidR="00413D97" w:rsidRPr="001707BF" w:rsidRDefault="00413D97" w:rsidP="007E3CFA">
            <w:pPr>
              <w:pStyle w:val="NormalWeb"/>
              <w:jc w:val="center"/>
              <w:rPr>
                <w:sz w:val="18"/>
                <w:szCs w:val="18"/>
              </w:rPr>
            </w:pPr>
            <w:r w:rsidRPr="001707BF">
              <w:rPr>
                <w:sz w:val="18"/>
                <w:szCs w:val="18"/>
              </w:rPr>
              <w:t>43.8</w:t>
            </w:r>
          </w:p>
        </w:tc>
        <w:tc>
          <w:tcPr>
            <w:tcW w:w="1275" w:type="dxa"/>
            <w:tcBorders>
              <w:left w:val="single" w:sz="2" w:space="0" w:color="000000" w:themeColor="text1"/>
            </w:tcBorders>
            <w:hideMark/>
          </w:tcPr>
          <w:p w14:paraId="082F6B16" w14:textId="77777777" w:rsidR="00413D97" w:rsidRPr="001707BF" w:rsidRDefault="00413D97" w:rsidP="007E3CFA">
            <w:pPr>
              <w:pStyle w:val="NormalWeb"/>
              <w:jc w:val="center"/>
              <w:rPr>
                <w:sz w:val="18"/>
                <w:szCs w:val="18"/>
              </w:rPr>
            </w:pPr>
            <w:r w:rsidRPr="001707BF">
              <w:rPr>
                <w:sz w:val="18"/>
                <w:szCs w:val="18"/>
              </w:rPr>
              <w:t>46.2</w:t>
            </w:r>
          </w:p>
        </w:tc>
      </w:tr>
      <w:tr w:rsidR="004A3D6C" w:rsidRPr="001707BF" w14:paraId="724D9EC1" w14:textId="77777777" w:rsidTr="00AA1119">
        <w:tc>
          <w:tcPr>
            <w:tcW w:w="0" w:type="auto"/>
            <w:tcBorders>
              <w:right w:val="single" w:sz="2" w:space="0" w:color="000000" w:themeColor="text1"/>
            </w:tcBorders>
            <w:hideMark/>
          </w:tcPr>
          <w:p w14:paraId="13617A83" w14:textId="77777777" w:rsidR="00413D97" w:rsidRPr="001707BF" w:rsidRDefault="00413D97">
            <w:pPr>
              <w:pStyle w:val="NormalWeb"/>
              <w:rPr>
                <w:sz w:val="18"/>
                <w:szCs w:val="18"/>
              </w:rPr>
            </w:pPr>
            <w:r w:rsidRPr="001707BF">
              <w:rPr>
                <w:sz w:val="18"/>
                <w:szCs w:val="18"/>
              </w:rPr>
              <w:t>20—30</w:t>
            </w:r>
          </w:p>
        </w:tc>
        <w:tc>
          <w:tcPr>
            <w:tcW w:w="0" w:type="auto"/>
            <w:tcBorders>
              <w:left w:val="single" w:sz="2" w:space="0" w:color="000000" w:themeColor="text1"/>
              <w:right w:val="single" w:sz="2" w:space="0" w:color="000000" w:themeColor="text1"/>
            </w:tcBorders>
            <w:hideMark/>
          </w:tcPr>
          <w:p w14:paraId="1DA5A738" w14:textId="77777777" w:rsidR="00413D97" w:rsidRPr="001707BF" w:rsidRDefault="00413D97" w:rsidP="007E3CFA">
            <w:pPr>
              <w:pStyle w:val="NormalWeb"/>
              <w:jc w:val="center"/>
              <w:rPr>
                <w:sz w:val="18"/>
                <w:szCs w:val="18"/>
              </w:rPr>
            </w:pPr>
            <w:r w:rsidRPr="001707BF">
              <w:rPr>
                <w:sz w:val="18"/>
                <w:szCs w:val="18"/>
              </w:rPr>
              <w:t>729</w:t>
            </w:r>
          </w:p>
        </w:tc>
        <w:tc>
          <w:tcPr>
            <w:tcW w:w="0" w:type="auto"/>
            <w:tcBorders>
              <w:left w:val="single" w:sz="2" w:space="0" w:color="000000" w:themeColor="text1"/>
              <w:right w:val="single" w:sz="2" w:space="0" w:color="000000" w:themeColor="text1"/>
            </w:tcBorders>
            <w:hideMark/>
          </w:tcPr>
          <w:p w14:paraId="770CC896" w14:textId="77777777" w:rsidR="00413D97" w:rsidRPr="001707BF" w:rsidRDefault="00413D97" w:rsidP="007E3CFA">
            <w:pPr>
              <w:pStyle w:val="NormalWeb"/>
              <w:jc w:val="center"/>
              <w:rPr>
                <w:sz w:val="18"/>
                <w:szCs w:val="18"/>
              </w:rPr>
            </w:pPr>
            <w:r w:rsidRPr="001707BF">
              <w:rPr>
                <w:sz w:val="18"/>
                <w:szCs w:val="18"/>
              </w:rPr>
              <w:t>774</w:t>
            </w:r>
          </w:p>
        </w:tc>
        <w:tc>
          <w:tcPr>
            <w:tcW w:w="0" w:type="auto"/>
            <w:tcBorders>
              <w:left w:val="single" w:sz="2" w:space="0" w:color="000000" w:themeColor="text1"/>
              <w:right w:val="single" w:sz="2" w:space="0" w:color="000000" w:themeColor="text1"/>
            </w:tcBorders>
            <w:hideMark/>
          </w:tcPr>
          <w:p w14:paraId="40781A01" w14:textId="77777777" w:rsidR="00413D97" w:rsidRPr="001707BF" w:rsidRDefault="00413D97" w:rsidP="007E3CFA">
            <w:pPr>
              <w:pStyle w:val="NormalWeb"/>
              <w:jc w:val="center"/>
              <w:rPr>
                <w:sz w:val="18"/>
                <w:szCs w:val="18"/>
              </w:rPr>
            </w:pPr>
            <w:r w:rsidRPr="001707BF">
              <w:rPr>
                <w:sz w:val="18"/>
                <w:szCs w:val="18"/>
              </w:rPr>
              <w:t>1,529</w:t>
            </w:r>
          </w:p>
        </w:tc>
        <w:tc>
          <w:tcPr>
            <w:tcW w:w="0" w:type="auto"/>
            <w:tcBorders>
              <w:left w:val="single" w:sz="2" w:space="0" w:color="000000" w:themeColor="text1"/>
              <w:right w:val="single" w:sz="2" w:space="0" w:color="000000" w:themeColor="text1"/>
            </w:tcBorders>
            <w:hideMark/>
          </w:tcPr>
          <w:p w14:paraId="5A8A6769" w14:textId="77777777" w:rsidR="00413D97" w:rsidRPr="001707BF" w:rsidRDefault="00413D97" w:rsidP="007E3CFA">
            <w:pPr>
              <w:pStyle w:val="NormalWeb"/>
              <w:jc w:val="center"/>
              <w:rPr>
                <w:sz w:val="18"/>
                <w:szCs w:val="18"/>
              </w:rPr>
            </w:pPr>
            <w:r w:rsidRPr="001707BF">
              <w:rPr>
                <w:sz w:val="18"/>
                <w:szCs w:val="18"/>
              </w:rPr>
              <w:t>39.1</w:t>
            </w:r>
          </w:p>
        </w:tc>
        <w:tc>
          <w:tcPr>
            <w:tcW w:w="0" w:type="auto"/>
            <w:tcBorders>
              <w:left w:val="single" w:sz="2" w:space="0" w:color="000000" w:themeColor="text1"/>
              <w:right w:val="single" w:sz="2" w:space="0" w:color="000000" w:themeColor="text1"/>
            </w:tcBorders>
            <w:hideMark/>
          </w:tcPr>
          <w:p w14:paraId="0AAE1930" w14:textId="77777777" w:rsidR="00413D97" w:rsidRPr="001707BF" w:rsidRDefault="00413D97" w:rsidP="007E3CFA">
            <w:pPr>
              <w:pStyle w:val="NormalWeb"/>
              <w:jc w:val="center"/>
              <w:rPr>
                <w:sz w:val="18"/>
                <w:szCs w:val="18"/>
              </w:rPr>
            </w:pPr>
            <w:r w:rsidRPr="001707BF">
              <w:rPr>
                <w:sz w:val="18"/>
                <w:szCs w:val="18"/>
              </w:rPr>
              <w:t>42.9</w:t>
            </w:r>
          </w:p>
        </w:tc>
        <w:tc>
          <w:tcPr>
            <w:tcW w:w="0" w:type="auto"/>
            <w:tcBorders>
              <w:left w:val="single" w:sz="2" w:space="0" w:color="000000" w:themeColor="text1"/>
              <w:right w:val="single" w:sz="2" w:space="0" w:color="000000" w:themeColor="text1"/>
            </w:tcBorders>
            <w:hideMark/>
          </w:tcPr>
          <w:p w14:paraId="54090B72" w14:textId="77777777" w:rsidR="00413D97" w:rsidRPr="001707BF" w:rsidRDefault="00413D97" w:rsidP="007E3CFA">
            <w:pPr>
              <w:pStyle w:val="NormalWeb"/>
              <w:jc w:val="center"/>
              <w:rPr>
                <w:sz w:val="18"/>
                <w:szCs w:val="18"/>
              </w:rPr>
            </w:pPr>
            <w:r w:rsidRPr="001707BF">
              <w:rPr>
                <w:sz w:val="18"/>
                <w:szCs w:val="18"/>
              </w:rPr>
              <w:t>41.7</w:t>
            </w:r>
          </w:p>
        </w:tc>
        <w:tc>
          <w:tcPr>
            <w:tcW w:w="682" w:type="dxa"/>
            <w:tcBorders>
              <w:left w:val="single" w:sz="2" w:space="0" w:color="000000" w:themeColor="text1"/>
              <w:right w:val="single" w:sz="2" w:space="0" w:color="000000" w:themeColor="text1"/>
            </w:tcBorders>
            <w:hideMark/>
          </w:tcPr>
          <w:p w14:paraId="7A08F96A" w14:textId="77777777" w:rsidR="00413D97" w:rsidRPr="001707BF" w:rsidRDefault="00413D97" w:rsidP="007E3CFA">
            <w:pPr>
              <w:pStyle w:val="NormalWeb"/>
              <w:jc w:val="center"/>
              <w:rPr>
                <w:sz w:val="18"/>
                <w:szCs w:val="18"/>
              </w:rPr>
            </w:pPr>
            <w:r w:rsidRPr="001707BF">
              <w:rPr>
                <w:sz w:val="18"/>
                <w:szCs w:val="18"/>
              </w:rPr>
              <w:t>2,023</w:t>
            </w:r>
          </w:p>
        </w:tc>
        <w:tc>
          <w:tcPr>
            <w:tcW w:w="900" w:type="dxa"/>
            <w:tcBorders>
              <w:left w:val="single" w:sz="2" w:space="0" w:color="000000" w:themeColor="text1"/>
              <w:right w:val="single" w:sz="2" w:space="0" w:color="000000" w:themeColor="text1"/>
            </w:tcBorders>
            <w:hideMark/>
          </w:tcPr>
          <w:p w14:paraId="45555204" w14:textId="77777777" w:rsidR="00413D97" w:rsidRPr="001707BF" w:rsidRDefault="00413D97" w:rsidP="007E3CFA">
            <w:pPr>
              <w:pStyle w:val="NormalWeb"/>
              <w:jc w:val="center"/>
              <w:rPr>
                <w:sz w:val="18"/>
                <w:szCs w:val="18"/>
              </w:rPr>
            </w:pPr>
            <w:r w:rsidRPr="001707BF">
              <w:rPr>
                <w:sz w:val="18"/>
                <w:szCs w:val="18"/>
              </w:rPr>
              <w:t>2,153</w:t>
            </w:r>
          </w:p>
        </w:tc>
        <w:tc>
          <w:tcPr>
            <w:tcW w:w="750" w:type="dxa"/>
            <w:tcBorders>
              <w:left w:val="single" w:sz="2" w:space="0" w:color="000000" w:themeColor="text1"/>
              <w:right w:val="single" w:sz="2" w:space="0" w:color="000000" w:themeColor="text1"/>
            </w:tcBorders>
            <w:hideMark/>
          </w:tcPr>
          <w:p w14:paraId="75383CB1" w14:textId="77777777" w:rsidR="00413D97" w:rsidRPr="001707BF" w:rsidRDefault="00413D97" w:rsidP="007E3CFA">
            <w:pPr>
              <w:pStyle w:val="NormalWeb"/>
              <w:jc w:val="center"/>
              <w:rPr>
                <w:sz w:val="18"/>
                <w:szCs w:val="18"/>
              </w:rPr>
            </w:pPr>
            <w:r w:rsidRPr="001707BF">
              <w:rPr>
                <w:sz w:val="18"/>
                <w:szCs w:val="18"/>
              </w:rPr>
              <w:t>4,223</w:t>
            </w:r>
          </w:p>
        </w:tc>
        <w:tc>
          <w:tcPr>
            <w:tcW w:w="868" w:type="dxa"/>
            <w:tcBorders>
              <w:left w:val="single" w:sz="2" w:space="0" w:color="000000" w:themeColor="text1"/>
              <w:right w:val="single" w:sz="2" w:space="0" w:color="000000" w:themeColor="text1"/>
            </w:tcBorders>
            <w:hideMark/>
          </w:tcPr>
          <w:p w14:paraId="097D38F5" w14:textId="77777777" w:rsidR="00413D97" w:rsidRPr="001707BF" w:rsidRDefault="00413D97" w:rsidP="007E3CFA">
            <w:pPr>
              <w:pStyle w:val="NormalWeb"/>
              <w:jc w:val="center"/>
              <w:rPr>
                <w:sz w:val="18"/>
                <w:szCs w:val="18"/>
              </w:rPr>
            </w:pPr>
            <w:r w:rsidRPr="001707BF">
              <w:rPr>
                <w:sz w:val="18"/>
                <w:szCs w:val="18"/>
              </w:rPr>
              <w:t>108.6</w:t>
            </w:r>
          </w:p>
        </w:tc>
        <w:tc>
          <w:tcPr>
            <w:tcW w:w="1085" w:type="dxa"/>
            <w:tcBorders>
              <w:left w:val="single" w:sz="2" w:space="0" w:color="000000" w:themeColor="text1"/>
              <w:right w:val="single" w:sz="2" w:space="0" w:color="000000" w:themeColor="text1"/>
            </w:tcBorders>
            <w:hideMark/>
          </w:tcPr>
          <w:p w14:paraId="23FEBCCA" w14:textId="77777777" w:rsidR="00413D97" w:rsidRPr="001707BF" w:rsidRDefault="00413D97" w:rsidP="007E3CFA">
            <w:pPr>
              <w:pStyle w:val="NormalWeb"/>
              <w:jc w:val="center"/>
              <w:rPr>
                <w:sz w:val="18"/>
                <w:szCs w:val="18"/>
              </w:rPr>
            </w:pPr>
            <w:r w:rsidRPr="001707BF">
              <w:rPr>
                <w:sz w:val="18"/>
                <w:szCs w:val="18"/>
              </w:rPr>
              <w:t>119.3</w:t>
            </w:r>
          </w:p>
        </w:tc>
        <w:tc>
          <w:tcPr>
            <w:tcW w:w="1275" w:type="dxa"/>
            <w:tcBorders>
              <w:left w:val="single" w:sz="2" w:space="0" w:color="000000" w:themeColor="text1"/>
            </w:tcBorders>
            <w:hideMark/>
          </w:tcPr>
          <w:p w14:paraId="7E9D442E" w14:textId="77777777" w:rsidR="00413D97" w:rsidRPr="001707BF" w:rsidRDefault="00413D97" w:rsidP="007E3CFA">
            <w:pPr>
              <w:pStyle w:val="NormalWeb"/>
              <w:jc w:val="center"/>
              <w:rPr>
                <w:sz w:val="18"/>
                <w:szCs w:val="18"/>
              </w:rPr>
            </w:pPr>
            <w:r w:rsidRPr="001707BF">
              <w:rPr>
                <w:sz w:val="18"/>
                <w:szCs w:val="18"/>
              </w:rPr>
              <w:t>115.1</w:t>
            </w:r>
          </w:p>
        </w:tc>
      </w:tr>
      <w:tr w:rsidR="004A3D6C" w:rsidRPr="001707BF" w14:paraId="7DF6668A" w14:textId="77777777" w:rsidTr="00AA111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26D050AB" w14:textId="77777777" w:rsidR="00413D97" w:rsidRPr="001707BF" w:rsidRDefault="00413D97">
            <w:pPr>
              <w:pStyle w:val="NormalWeb"/>
              <w:rPr>
                <w:sz w:val="18"/>
                <w:szCs w:val="18"/>
              </w:rPr>
            </w:pPr>
            <w:r w:rsidRPr="001707BF">
              <w:rPr>
                <w:sz w:val="18"/>
                <w:szCs w:val="18"/>
              </w:rPr>
              <w:t>30—40</w:t>
            </w:r>
          </w:p>
        </w:tc>
        <w:tc>
          <w:tcPr>
            <w:tcW w:w="0" w:type="auto"/>
            <w:tcBorders>
              <w:left w:val="single" w:sz="2" w:space="0" w:color="000000" w:themeColor="text1"/>
              <w:right w:val="single" w:sz="2" w:space="0" w:color="000000" w:themeColor="text1"/>
            </w:tcBorders>
            <w:hideMark/>
          </w:tcPr>
          <w:p w14:paraId="20B38205" w14:textId="77777777" w:rsidR="00413D97" w:rsidRPr="001707BF" w:rsidRDefault="00413D97" w:rsidP="007E3CFA">
            <w:pPr>
              <w:pStyle w:val="NormalWeb"/>
              <w:jc w:val="center"/>
              <w:rPr>
                <w:sz w:val="18"/>
                <w:szCs w:val="18"/>
              </w:rPr>
            </w:pPr>
            <w:r w:rsidRPr="001707BF">
              <w:rPr>
                <w:sz w:val="18"/>
                <w:szCs w:val="18"/>
              </w:rPr>
              <w:t>532</w:t>
            </w:r>
          </w:p>
        </w:tc>
        <w:tc>
          <w:tcPr>
            <w:tcW w:w="0" w:type="auto"/>
            <w:tcBorders>
              <w:left w:val="single" w:sz="2" w:space="0" w:color="000000" w:themeColor="text1"/>
              <w:right w:val="single" w:sz="2" w:space="0" w:color="000000" w:themeColor="text1"/>
            </w:tcBorders>
            <w:hideMark/>
          </w:tcPr>
          <w:p w14:paraId="218FC1C0" w14:textId="77777777" w:rsidR="00413D97" w:rsidRPr="001707BF" w:rsidRDefault="00413D97" w:rsidP="007E3CFA">
            <w:pPr>
              <w:pStyle w:val="NormalWeb"/>
              <w:jc w:val="center"/>
              <w:rPr>
                <w:sz w:val="18"/>
                <w:szCs w:val="18"/>
              </w:rPr>
            </w:pPr>
            <w:r w:rsidRPr="001707BF">
              <w:rPr>
                <w:sz w:val="18"/>
                <w:szCs w:val="18"/>
              </w:rPr>
              <w:t>536</w:t>
            </w:r>
          </w:p>
        </w:tc>
        <w:tc>
          <w:tcPr>
            <w:tcW w:w="0" w:type="auto"/>
            <w:tcBorders>
              <w:left w:val="single" w:sz="2" w:space="0" w:color="000000" w:themeColor="text1"/>
              <w:right w:val="single" w:sz="2" w:space="0" w:color="000000" w:themeColor="text1"/>
            </w:tcBorders>
            <w:hideMark/>
          </w:tcPr>
          <w:p w14:paraId="2308A49D" w14:textId="77777777" w:rsidR="00413D97" w:rsidRPr="001707BF" w:rsidRDefault="00413D97" w:rsidP="007E3CFA">
            <w:pPr>
              <w:pStyle w:val="NormalWeb"/>
              <w:jc w:val="center"/>
              <w:rPr>
                <w:sz w:val="18"/>
                <w:szCs w:val="18"/>
              </w:rPr>
            </w:pPr>
            <w:r w:rsidRPr="001707BF">
              <w:rPr>
                <w:sz w:val="18"/>
                <w:szCs w:val="18"/>
              </w:rPr>
              <w:t>1,082</w:t>
            </w:r>
          </w:p>
        </w:tc>
        <w:tc>
          <w:tcPr>
            <w:tcW w:w="0" w:type="auto"/>
            <w:tcBorders>
              <w:left w:val="single" w:sz="2" w:space="0" w:color="000000" w:themeColor="text1"/>
              <w:right w:val="single" w:sz="2" w:space="0" w:color="000000" w:themeColor="text1"/>
            </w:tcBorders>
            <w:hideMark/>
          </w:tcPr>
          <w:p w14:paraId="1D9FE7EA" w14:textId="77777777" w:rsidR="00413D97" w:rsidRPr="001707BF" w:rsidRDefault="00413D97" w:rsidP="007E3CFA">
            <w:pPr>
              <w:pStyle w:val="NormalWeb"/>
              <w:jc w:val="center"/>
              <w:rPr>
                <w:sz w:val="18"/>
                <w:szCs w:val="18"/>
              </w:rPr>
            </w:pPr>
            <w:r w:rsidRPr="001707BF">
              <w:rPr>
                <w:sz w:val="18"/>
                <w:szCs w:val="18"/>
              </w:rPr>
              <w:t>29.3</w:t>
            </w:r>
          </w:p>
        </w:tc>
        <w:tc>
          <w:tcPr>
            <w:tcW w:w="0" w:type="auto"/>
            <w:tcBorders>
              <w:left w:val="single" w:sz="2" w:space="0" w:color="000000" w:themeColor="text1"/>
              <w:right w:val="single" w:sz="2" w:space="0" w:color="000000" w:themeColor="text1"/>
            </w:tcBorders>
            <w:hideMark/>
          </w:tcPr>
          <w:p w14:paraId="1A90BD6C" w14:textId="77777777" w:rsidR="00413D97" w:rsidRPr="001707BF" w:rsidRDefault="00413D97" w:rsidP="007E3CFA">
            <w:pPr>
              <w:pStyle w:val="NormalWeb"/>
              <w:jc w:val="center"/>
              <w:rPr>
                <w:sz w:val="18"/>
                <w:szCs w:val="18"/>
              </w:rPr>
            </w:pPr>
            <w:r w:rsidRPr="001707BF">
              <w:rPr>
                <w:sz w:val="18"/>
                <w:szCs w:val="18"/>
              </w:rPr>
              <w:t>28.9</w:t>
            </w:r>
          </w:p>
        </w:tc>
        <w:tc>
          <w:tcPr>
            <w:tcW w:w="0" w:type="auto"/>
            <w:tcBorders>
              <w:left w:val="single" w:sz="2" w:space="0" w:color="000000" w:themeColor="text1"/>
              <w:right w:val="single" w:sz="2" w:space="0" w:color="000000" w:themeColor="text1"/>
            </w:tcBorders>
            <w:hideMark/>
          </w:tcPr>
          <w:p w14:paraId="3DBFA1AA" w14:textId="77777777" w:rsidR="00413D97" w:rsidRPr="001707BF" w:rsidRDefault="00413D97" w:rsidP="007E3CFA">
            <w:pPr>
              <w:pStyle w:val="NormalWeb"/>
              <w:jc w:val="center"/>
              <w:rPr>
                <w:sz w:val="18"/>
                <w:szCs w:val="18"/>
              </w:rPr>
            </w:pPr>
            <w:r w:rsidRPr="001707BF">
              <w:rPr>
                <w:sz w:val="18"/>
                <w:szCs w:val="18"/>
              </w:rPr>
              <w:t>29.5</w:t>
            </w:r>
          </w:p>
        </w:tc>
        <w:tc>
          <w:tcPr>
            <w:tcW w:w="682" w:type="dxa"/>
            <w:tcBorders>
              <w:left w:val="single" w:sz="2" w:space="0" w:color="000000" w:themeColor="text1"/>
              <w:right w:val="single" w:sz="2" w:space="0" w:color="000000" w:themeColor="text1"/>
            </w:tcBorders>
            <w:hideMark/>
          </w:tcPr>
          <w:p w14:paraId="7BA9D0E5" w14:textId="77777777" w:rsidR="00413D97" w:rsidRPr="001707BF" w:rsidRDefault="00413D97" w:rsidP="007E3CFA">
            <w:pPr>
              <w:pStyle w:val="NormalWeb"/>
              <w:jc w:val="center"/>
              <w:rPr>
                <w:sz w:val="18"/>
                <w:szCs w:val="18"/>
              </w:rPr>
            </w:pPr>
            <w:r w:rsidRPr="001707BF">
              <w:rPr>
                <w:sz w:val="18"/>
                <w:szCs w:val="18"/>
              </w:rPr>
              <w:t>1,655</w:t>
            </w:r>
          </w:p>
        </w:tc>
        <w:tc>
          <w:tcPr>
            <w:tcW w:w="900" w:type="dxa"/>
            <w:tcBorders>
              <w:left w:val="single" w:sz="2" w:space="0" w:color="000000" w:themeColor="text1"/>
              <w:right w:val="single" w:sz="2" w:space="0" w:color="000000" w:themeColor="text1"/>
            </w:tcBorders>
            <w:hideMark/>
          </w:tcPr>
          <w:p w14:paraId="3CBFCEBD" w14:textId="77777777" w:rsidR="00413D97" w:rsidRPr="001707BF" w:rsidRDefault="00413D97" w:rsidP="007E3CFA">
            <w:pPr>
              <w:pStyle w:val="NormalWeb"/>
              <w:jc w:val="center"/>
              <w:rPr>
                <w:sz w:val="18"/>
                <w:szCs w:val="18"/>
              </w:rPr>
            </w:pPr>
            <w:r w:rsidRPr="001707BF">
              <w:rPr>
                <w:sz w:val="18"/>
                <w:szCs w:val="18"/>
              </w:rPr>
              <w:t>1,511</w:t>
            </w:r>
          </w:p>
        </w:tc>
        <w:tc>
          <w:tcPr>
            <w:tcW w:w="750" w:type="dxa"/>
            <w:tcBorders>
              <w:left w:val="single" w:sz="2" w:space="0" w:color="000000" w:themeColor="text1"/>
              <w:right w:val="single" w:sz="2" w:space="0" w:color="000000" w:themeColor="text1"/>
            </w:tcBorders>
            <w:hideMark/>
          </w:tcPr>
          <w:p w14:paraId="256AF1B8" w14:textId="77777777" w:rsidR="00413D97" w:rsidRPr="001707BF" w:rsidRDefault="00413D97" w:rsidP="007E3CFA">
            <w:pPr>
              <w:pStyle w:val="NormalWeb"/>
              <w:jc w:val="center"/>
              <w:rPr>
                <w:sz w:val="18"/>
                <w:szCs w:val="18"/>
              </w:rPr>
            </w:pPr>
            <w:r w:rsidRPr="001707BF">
              <w:rPr>
                <w:sz w:val="18"/>
                <w:szCs w:val="18"/>
              </w:rPr>
              <w:t>3,194</w:t>
            </w:r>
          </w:p>
        </w:tc>
        <w:tc>
          <w:tcPr>
            <w:tcW w:w="868" w:type="dxa"/>
            <w:tcBorders>
              <w:left w:val="single" w:sz="2" w:space="0" w:color="000000" w:themeColor="text1"/>
              <w:right w:val="single" w:sz="2" w:space="0" w:color="000000" w:themeColor="text1"/>
            </w:tcBorders>
            <w:hideMark/>
          </w:tcPr>
          <w:p w14:paraId="12C7D725" w14:textId="77777777" w:rsidR="00413D97" w:rsidRPr="001707BF" w:rsidRDefault="00413D97" w:rsidP="007E3CFA">
            <w:pPr>
              <w:pStyle w:val="NormalWeb"/>
              <w:jc w:val="center"/>
              <w:rPr>
                <w:sz w:val="18"/>
                <w:szCs w:val="18"/>
              </w:rPr>
            </w:pPr>
            <w:r w:rsidRPr="001707BF">
              <w:rPr>
                <w:sz w:val="18"/>
                <w:szCs w:val="18"/>
              </w:rPr>
              <w:t>91.0</w:t>
            </w:r>
          </w:p>
        </w:tc>
        <w:tc>
          <w:tcPr>
            <w:tcW w:w="1085" w:type="dxa"/>
            <w:tcBorders>
              <w:left w:val="single" w:sz="2" w:space="0" w:color="000000" w:themeColor="text1"/>
              <w:right w:val="single" w:sz="2" w:space="0" w:color="000000" w:themeColor="text1"/>
            </w:tcBorders>
            <w:hideMark/>
          </w:tcPr>
          <w:p w14:paraId="17955BDE" w14:textId="77777777" w:rsidR="00413D97" w:rsidRPr="001707BF" w:rsidRDefault="00413D97" w:rsidP="007E3CFA">
            <w:pPr>
              <w:pStyle w:val="NormalWeb"/>
              <w:jc w:val="center"/>
              <w:rPr>
                <w:sz w:val="18"/>
                <w:szCs w:val="18"/>
              </w:rPr>
            </w:pPr>
            <w:r w:rsidRPr="001707BF">
              <w:rPr>
                <w:sz w:val="18"/>
                <w:szCs w:val="18"/>
              </w:rPr>
              <w:t>81.5</w:t>
            </w:r>
          </w:p>
        </w:tc>
        <w:tc>
          <w:tcPr>
            <w:tcW w:w="1275" w:type="dxa"/>
            <w:tcBorders>
              <w:left w:val="single" w:sz="2" w:space="0" w:color="000000" w:themeColor="text1"/>
            </w:tcBorders>
            <w:hideMark/>
          </w:tcPr>
          <w:p w14:paraId="57F21AAE" w14:textId="77777777" w:rsidR="00413D97" w:rsidRPr="001707BF" w:rsidRDefault="00413D97" w:rsidP="007E3CFA">
            <w:pPr>
              <w:pStyle w:val="NormalWeb"/>
              <w:jc w:val="center"/>
              <w:rPr>
                <w:sz w:val="18"/>
                <w:szCs w:val="18"/>
              </w:rPr>
            </w:pPr>
            <w:r w:rsidRPr="001707BF">
              <w:rPr>
                <w:sz w:val="18"/>
                <w:szCs w:val="18"/>
              </w:rPr>
              <w:t>87.0</w:t>
            </w:r>
          </w:p>
        </w:tc>
      </w:tr>
      <w:tr w:rsidR="004A3D6C" w:rsidRPr="001707BF" w14:paraId="23176352" w14:textId="77777777" w:rsidTr="00AA1119">
        <w:tc>
          <w:tcPr>
            <w:tcW w:w="0" w:type="auto"/>
            <w:tcBorders>
              <w:right w:val="single" w:sz="2" w:space="0" w:color="000000" w:themeColor="text1"/>
            </w:tcBorders>
            <w:hideMark/>
          </w:tcPr>
          <w:p w14:paraId="70C8BA76" w14:textId="77777777" w:rsidR="00413D97" w:rsidRPr="001707BF" w:rsidRDefault="00413D97">
            <w:pPr>
              <w:pStyle w:val="NormalWeb"/>
              <w:rPr>
                <w:sz w:val="18"/>
                <w:szCs w:val="18"/>
              </w:rPr>
            </w:pPr>
            <w:r w:rsidRPr="001707BF">
              <w:rPr>
                <w:sz w:val="18"/>
                <w:szCs w:val="18"/>
              </w:rPr>
              <w:t>40—50</w:t>
            </w:r>
          </w:p>
        </w:tc>
        <w:tc>
          <w:tcPr>
            <w:tcW w:w="0" w:type="auto"/>
            <w:tcBorders>
              <w:left w:val="single" w:sz="2" w:space="0" w:color="000000" w:themeColor="text1"/>
              <w:right w:val="single" w:sz="2" w:space="0" w:color="000000" w:themeColor="text1"/>
            </w:tcBorders>
            <w:hideMark/>
          </w:tcPr>
          <w:p w14:paraId="5FA6244C" w14:textId="77777777" w:rsidR="00413D97" w:rsidRPr="001707BF" w:rsidRDefault="00413D97" w:rsidP="007E3CFA">
            <w:pPr>
              <w:pStyle w:val="NormalWeb"/>
              <w:jc w:val="center"/>
              <w:rPr>
                <w:sz w:val="18"/>
                <w:szCs w:val="18"/>
              </w:rPr>
            </w:pPr>
            <w:r w:rsidRPr="001707BF">
              <w:rPr>
                <w:sz w:val="18"/>
                <w:szCs w:val="18"/>
              </w:rPr>
              <w:t>351</w:t>
            </w:r>
          </w:p>
        </w:tc>
        <w:tc>
          <w:tcPr>
            <w:tcW w:w="0" w:type="auto"/>
            <w:tcBorders>
              <w:left w:val="single" w:sz="2" w:space="0" w:color="000000" w:themeColor="text1"/>
              <w:right w:val="single" w:sz="2" w:space="0" w:color="000000" w:themeColor="text1"/>
            </w:tcBorders>
            <w:hideMark/>
          </w:tcPr>
          <w:p w14:paraId="03CB52F3" w14:textId="77777777" w:rsidR="00413D97" w:rsidRPr="001707BF" w:rsidRDefault="00413D97" w:rsidP="007E3CFA">
            <w:pPr>
              <w:pStyle w:val="NormalWeb"/>
              <w:jc w:val="center"/>
              <w:rPr>
                <w:sz w:val="18"/>
                <w:szCs w:val="18"/>
              </w:rPr>
            </w:pPr>
            <w:r w:rsidRPr="001707BF">
              <w:rPr>
                <w:sz w:val="18"/>
                <w:szCs w:val="18"/>
              </w:rPr>
              <w:t>413</w:t>
            </w:r>
          </w:p>
        </w:tc>
        <w:tc>
          <w:tcPr>
            <w:tcW w:w="0" w:type="auto"/>
            <w:tcBorders>
              <w:left w:val="single" w:sz="2" w:space="0" w:color="000000" w:themeColor="text1"/>
              <w:right w:val="single" w:sz="2" w:space="0" w:color="000000" w:themeColor="text1"/>
            </w:tcBorders>
            <w:hideMark/>
          </w:tcPr>
          <w:p w14:paraId="2A39F7DD" w14:textId="77777777" w:rsidR="00413D97" w:rsidRPr="001707BF" w:rsidRDefault="00413D97" w:rsidP="007E3CFA">
            <w:pPr>
              <w:pStyle w:val="NormalWeb"/>
              <w:jc w:val="center"/>
              <w:rPr>
                <w:sz w:val="18"/>
                <w:szCs w:val="18"/>
              </w:rPr>
            </w:pPr>
            <w:r w:rsidRPr="001707BF">
              <w:rPr>
                <w:sz w:val="18"/>
                <w:szCs w:val="18"/>
              </w:rPr>
              <w:t>774</w:t>
            </w:r>
          </w:p>
        </w:tc>
        <w:tc>
          <w:tcPr>
            <w:tcW w:w="0" w:type="auto"/>
            <w:tcBorders>
              <w:left w:val="single" w:sz="2" w:space="0" w:color="000000" w:themeColor="text1"/>
              <w:right w:val="single" w:sz="2" w:space="0" w:color="000000" w:themeColor="text1"/>
            </w:tcBorders>
            <w:hideMark/>
          </w:tcPr>
          <w:p w14:paraId="0CE6ACFC" w14:textId="77777777" w:rsidR="00413D97" w:rsidRPr="001707BF" w:rsidRDefault="00413D97" w:rsidP="007E3CFA">
            <w:pPr>
              <w:pStyle w:val="NormalWeb"/>
              <w:jc w:val="center"/>
              <w:rPr>
                <w:sz w:val="18"/>
                <w:szCs w:val="18"/>
              </w:rPr>
            </w:pPr>
            <w:r w:rsidRPr="001707BF">
              <w:rPr>
                <w:sz w:val="18"/>
                <w:szCs w:val="18"/>
              </w:rPr>
              <w:t>21.7</w:t>
            </w:r>
          </w:p>
        </w:tc>
        <w:tc>
          <w:tcPr>
            <w:tcW w:w="0" w:type="auto"/>
            <w:tcBorders>
              <w:left w:val="single" w:sz="2" w:space="0" w:color="000000" w:themeColor="text1"/>
              <w:right w:val="single" w:sz="2" w:space="0" w:color="000000" w:themeColor="text1"/>
            </w:tcBorders>
            <w:hideMark/>
          </w:tcPr>
          <w:p w14:paraId="0886EEE8" w14:textId="77777777" w:rsidR="00413D97" w:rsidRPr="001707BF" w:rsidRDefault="00413D97" w:rsidP="007E3CFA">
            <w:pPr>
              <w:pStyle w:val="NormalWeb"/>
              <w:jc w:val="center"/>
              <w:rPr>
                <w:sz w:val="18"/>
                <w:szCs w:val="18"/>
              </w:rPr>
            </w:pPr>
            <w:r w:rsidRPr="001707BF">
              <w:rPr>
                <w:sz w:val="18"/>
                <w:szCs w:val="18"/>
              </w:rPr>
              <w:t>24.9</w:t>
            </w:r>
          </w:p>
        </w:tc>
        <w:tc>
          <w:tcPr>
            <w:tcW w:w="0" w:type="auto"/>
            <w:tcBorders>
              <w:left w:val="single" w:sz="2" w:space="0" w:color="000000" w:themeColor="text1"/>
              <w:right w:val="single" w:sz="2" w:space="0" w:color="000000" w:themeColor="text1"/>
            </w:tcBorders>
            <w:hideMark/>
          </w:tcPr>
          <w:p w14:paraId="3B87E5F7" w14:textId="77777777" w:rsidR="00413D97" w:rsidRPr="001707BF" w:rsidRDefault="00413D97" w:rsidP="007E3CFA">
            <w:pPr>
              <w:pStyle w:val="NormalWeb"/>
              <w:jc w:val="center"/>
              <w:rPr>
                <w:sz w:val="18"/>
                <w:szCs w:val="18"/>
              </w:rPr>
            </w:pPr>
            <w:r w:rsidRPr="001707BF">
              <w:rPr>
                <w:sz w:val="18"/>
                <w:szCs w:val="18"/>
              </w:rPr>
              <w:t>23.6</w:t>
            </w:r>
          </w:p>
        </w:tc>
        <w:tc>
          <w:tcPr>
            <w:tcW w:w="682" w:type="dxa"/>
            <w:tcBorders>
              <w:left w:val="single" w:sz="2" w:space="0" w:color="000000" w:themeColor="text1"/>
              <w:right w:val="single" w:sz="2" w:space="0" w:color="000000" w:themeColor="text1"/>
            </w:tcBorders>
            <w:hideMark/>
          </w:tcPr>
          <w:p w14:paraId="678E0A99" w14:textId="77777777" w:rsidR="00413D97" w:rsidRPr="001707BF" w:rsidRDefault="00413D97" w:rsidP="007E3CFA">
            <w:pPr>
              <w:pStyle w:val="NormalWeb"/>
              <w:jc w:val="center"/>
              <w:rPr>
                <w:sz w:val="18"/>
                <w:szCs w:val="18"/>
              </w:rPr>
            </w:pPr>
            <w:r w:rsidRPr="001707BF">
              <w:rPr>
                <w:sz w:val="18"/>
                <w:szCs w:val="18"/>
              </w:rPr>
              <w:t>1,258</w:t>
            </w:r>
          </w:p>
        </w:tc>
        <w:tc>
          <w:tcPr>
            <w:tcW w:w="900" w:type="dxa"/>
            <w:tcBorders>
              <w:left w:val="single" w:sz="2" w:space="0" w:color="000000" w:themeColor="text1"/>
              <w:right w:val="single" w:sz="2" w:space="0" w:color="000000" w:themeColor="text1"/>
            </w:tcBorders>
            <w:hideMark/>
          </w:tcPr>
          <w:p w14:paraId="4F396F91" w14:textId="77777777" w:rsidR="00413D97" w:rsidRPr="001707BF" w:rsidRDefault="00413D97" w:rsidP="007E3CFA">
            <w:pPr>
              <w:pStyle w:val="NormalWeb"/>
              <w:jc w:val="center"/>
              <w:rPr>
                <w:sz w:val="18"/>
                <w:szCs w:val="18"/>
              </w:rPr>
            </w:pPr>
            <w:r w:rsidRPr="001707BF">
              <w:rPr>
                <w:sz w:val="18"/>
                <w:szCs w:val="18"/>
              </w:rPr>
              <w:t>1,150</w:t>
            </w:r>
          </w:p>
        </w:tc>
        <w:tc>
          <w:tcPr>
            <w:tcW w:w="750" w:type="dxa"/>
            <w:tcBorders>
              <w:left w:val="single" w:sz="2" w:space="0" w:color="000000" w:themeColor="text1"/>
              <w:right w:val="single" w:sz="2" w:space="0" w:color="000000" w:themeColor="text1"/>
            </w:tcBorders>
            <w:hideMark/>
          </w:tcPr>
          <w:p w14:paraId="6979DB4D" w14:textId="77777777" w:rsidR="00413D97" w:rsidRPr="001707BF" w:rsidRDefault="00413D97" w:rsidP="007E3CFA">
            <w:pPr>
              <w:pStyle w:val="NormalWeb"/>
              <w:jc w:val="center"/>
              <w:rPr>
                <w:sz w:val="18"/>
                <w:szCs w:val="18"/>
              </w:rPr>
            </w:pPr>
            <w:r w:rsidRPr="001707BF">
              <w:rPr>
                <w:sz w:val="18"/>
                <w:szCs w:val="18"/>
              </w:rPr>
              <w:t>2,447</w:t>
            </w:r>
          </w:p>
        </w:tc>
        <w:tc>
          <w:tcPr>
            <w:tcW w:w="868" w:type="dxa"/>
            <w:tcBorders>
              <w:left w:val="single" w:sz="2" w:space="0" w:color="000000" w:themeColor="text1"/>
              <w:right w:val="single" w:sz="2" w:space="0" w:color="000000" w:themeColor="text1"/>
            </w:tcBorders>
            <w:hideMark/>
          </w:tcPr>
          <w:p w14:paraId="02DEF9B6" w14:textId="77777777" w:rsidR="00413D97" w:rsidRPr="001707BF" w:rsidRDefault="00413D97" w:rsidP="007E3CFA">
            <w:pPr>
              <w:pStyle w:val="NormalWeb"/>
              <w:jc w:val="center"/>
              <w:rPr>
                <w:sz w:val="18"/>
                <w:szCs w:val="18"/>
              </w:rPr>
            </w:pPr>
            <w:r w:rsidRPr="001707BF">
              <w:rPr>
                <w:sz w:val="18"/>
                <w:szCs w:val="18"/>
              </w:rPr>
              <w:t>77.7</w:t>
            </w:r>
          </w:p>
        </w:tc>
        <w:tc>
          <w:tcPr>
            <w:tcW w:w="1085" w:type="dxa"/>
            <w:tcBorders>
              <w:left w:val="single" w:sz="2" w:space="0" w:color="000000" w:themeColor="text1"/>
              <w:right w:val="single" w:sz="2" w:space="0" w:color="000000" w:themeColor="text1"/>
            </w:tcBorders>
            <w:hideMark/>
          </w:tcPr>
          <w:p w14:paraId="3F1E5B56" w14:textId="77777777" w:rsidR="00413D97" w:rsidRPr="001707BF" w:rsidRDefault="00413D97" w:rsidP="007E3CFA">
            <w:pPr>
              <w:pStyle w:val="NormalWeb"/>
              <w:jc w:val="center"/>
              <w:rPr>
                <w:sz w:val="18"/>
                <w:szCs w:val="18"/>
              </w:rPr>
            </w:pPr>
            <w:r w:rsidRPr="001707BF">
              <w:rPr>
                <w:sz w:val="18"/>
                <w:szCs w:val="18"/>
              </w:rPr>
              <w:t>69.4</w:t>
            </w:r>
          </w:p>
        </w:tc>
        <w:tc>
          <w:tcPr>
            <w:tcW w:w="1275" w:type="dxa"/>
            <w:tcBorders>
              <w:left w:val="single" w:sz="2" w:space="0" w:color="000000" w:themeColor="text1"/>
            </w:tcBorders>
            <w:hideMark/>
          </w:tcPr>
          <w:p w14:paraId="0AA2D022" w14:textId="77777777" w:rsidR="00413D97" w:rsidRPr="001707BF" w:rsidRDefault="00413D97" w:rsidP="007E3CFA">
            <w:pPr>
              <w:pStyle w:val="NormalWeb"/>
              <w:jc w:val="center"/>
              <w:rPr>
                <w:sz w:val="18"/>
                <w:szCs w:val="18"/>
              </w:rPr>
            </w:pPr>
            <w:r w:rsidRPr="001707BF">
              <w:rPr>
                <w:sz w:val="18"/>
                <w:szCs w:val="18"/>
              </w:rPr>
              <w:t>74.7</w:t>
            </w:r>
          </w:p>
        </w:tc>
      </w:tr>
      <w:tr w:rsidR="004A3D6C" w:rsidRPr="001707BF" w14:paraId="609295F8" w14:textId="77777777" w:rsidTr="00AA111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534A18C1" w14:textId="77777777" w:rsidR="00413D97" w:rsidRPr="001707BF" w:rsidRDefault="00413D97">
            <w:pPr>
              <w:pStyle w:val="NormalWeb"/>
              <w:rPr>
                <w:sz w:val="18"/>
                <w:szCs w:val="18"/>
              </w:rPr>
            </w:pPr>
            <w:r w:rsidRPr="001707BF">
              <w:rPr>
                <w:sz w:val="18"/>
                <w:szCs w:val="18"/>
              </w:rPr>
              <w:t>50—60</w:t>
            </w:r>
          </w:p>
        </w:tc>
        <w:tc>
          <w:tcPr>
            <w:tcW w:w="0" w:type="auto"/>
            <w:tcBorders>
              <w:left w:val="single" w:sz="2" w:space="0" w:color="000000" w:themeColor="text1"/>
              <w:right w:val="single" w:sz="2" w:space="0" w:color="000000" w:themeColor="text1"/>
            </w:tcBorders>
            <w:hideMark/>
          </w:tcPr>
          <w:p w14:paraId="5CA48764" w14:textId="77777777" w:rsidR="00413D97" w:rsidRPr="001707BF" w:rsidRDefault="00413D97" w:rsidP="007E3CFA">
            <w:pPr>
              <w:pStyle w:val="NormalWeb"/>
              <w:jc w:val="center"/>
              <w:rPr>
                <w:sz w:val="18"/>
                <w:szCs w:val="18"/>
              </w:rPr>
            </w:pPr>
            <w:r w:rsidRPr="001707BF">
              <w:rPr>
                <w:sz w:val="18"/>
                <w:szCs w:val="18"/>
              </w:rPr>
              <w:t>306</w:t>
            </w:r>
          </w:p>
        </w:tc>
        <w:tc>
          <w:tcPr>
            <w:tcW w:w="0" w:type="auto"/>
            <w:tcBorders>
              <w:left w:val="single" w:sz="2" w:space="0" w:color="000000" w:themeColor="text1"/>
              <w:right w:val="single" w:sz="2" w:space="0" w:color="000000" w:themeColor="text1"/>
            </w:tcBorders>
            <w:hideMark/>
          </w:tcPr>
          <w:p w14:paraId="2EEAFB05" w14:textId="77777777" w:rsidR="00413D97" w:rsidRPr="001707BF" w:rsidRDefault="00413D97" w:rsidP="007E3CFA">
            <w:pPr>
              <w:pStyle w:val="NormalWeb"/>
              <w:jc w:val="center"/>
              <w:rPr>
                <w:sz w:val="18"/>
                <w:szCs w:val="18"/>
              </w:rPr>
            </w:pPr>
            <w:r w:rsidRPr="001707BF">
              <w:rPr>
                <w:sz w:val="18"/>
                <w:szCs w:val="18"/>
              </w:rPr>
              <w:t>367</w:t>
            </w:r>
          </w:p>
        </w:tc>
        <w:tc>
          <w:tcPr>
            <w:tcW w:w="0" w:type="auto"/>
            <w:tcBorders>
              <w:left w:val="single" w:sz="2" w:space="0" w:color="000000" w:themeColor="text1"/>
              <w:right w:val="single" w:sz="2" w:space="0" w:color="000000" w:themeColor="text1"/>
            </w:tcBorders>
            <w:hideMark/>
          </w:tcPr>
          <w:p w14:paraId="07ACB3AE" w14:textId="77777777" w:rsidR="00413D97" w:rsidRPr="001707BF" w:rsidRDefault="00413D97" w:rsidP="007E3CFA">
            <w:pPr>
              <w:pStyle w:val="NormalWeb"/>
              <w:jc w:val="center"/>
              <w:rPr>
                <w:sz w:val="18"/>
                <w:szCs w:val="18"/>
              </w:rPr>
            </w:pPr>
            <w:r w:rsidRPr="001707BF">
              <w:rPr>
                <w:sz w:val="18"/>
                <w:szCs w:val="18"/>
              </w:rPr>
              <w:t>682</w:t>
            </w:r>
          </w:p>
        </w:tc>
        <w:tc>
          <w:tcPr>
            <w:tcW w:w="0" w:type="auto"/>
            <w:tcBorders>
              <w:left w:val="single" w:sz="2" w:space="0" w:color="000000" w:themeColor="text1"/>
              <w:right w:val="single" w:sz="2" w:space="0" w:color="000000" w:themeColor="text1"/>
            </w:tcBorders>
            <w:hideMark/>
          </w:tcPr>
          <w:p w14:paraId="0775CAEB" w14:textId="77777777" w:rsidR="00413D97" w:rsidRPr="001707BF" w:rsidRDefault="00413D97" w:rsidP="007E3CFA">
            <w:pPr>
              <w:pStyle w:val="NormalWeb"/>
              <w:jc w:val="center"/>
              <w:rPr>
                <w:sz w:val="18"/>
                <w:szCs w:val="18"/>
              </w:rPr>
            </w:pPr>
            <w:r w:rsidRPr="001707BF">
              <w:rPr>
                <w:sz w:val="18"/>
                <w:szCs w:val="18"/>
              </w:rPr>
              <w:t>20.3</w:t>
            </w:r>
          </w:p>
        </w:tc>
        <w:tc>
          <w:tcPr>
            <w:tcW w:w="0" w:type="auto"/>
            <w:tcBorders>
              <w:left w:val="single" w:sz="2" w:space="0" w:color="000000" w:themeColor="text1"/>
              <w:right w:val="single" w:sz="2" w:space="0" w:color="000000" w:themeColor="text1"/>
            </w:tcBorders>
            <w:hideMark/>
          </w:tcPr>
          <w:p w14:paraId="4CF64F65" w14:textId="77777777" w:rsidR="00413D97" w:rsidRPr="001707BF" w:rsidRDefault="00413D97" w:rsidP="007E3CFA">
            <w:pPr>
              <w:pStyle w:val="NormalWeb"/>
              <w:jc w:val="center"/>
              <w:rPr>
                <w:sz w:val="18"/>
                <w:szCs w:val="18"/>
              </w:rPr>
            </w:pPr>
            <w:r w:rsidRPr="001707BF">
              <w:rPr>
                <w:sz w:val="18"/>
                <w:szCs w:val="18"/>
              </w:rPr>
              <w:t>23.3</w:t>
            </w:r>
          </w:p>
        </w:tc>
        <w:tc>
          <w:tcPr>
            <w:tcW w:w="0" w:type="auto"/>
            <w:tcBorders>
              <w:left w:val="single" w:sz="2" w:space="0" w:color="000000" w:themeColor="text1"/>
              <w:right w:val="single" w:sz="2" w:space="0" w:color="000000" w:themeColor="text1"/>
            </w:tcBorders>
            <w:hideMark/>
          </w:tcPr>
          <w:p w14:paraId="2050AE1C" w14:textId="77777777" w:rsidR="00413D97" w:rsidRPr="001707BF" w:rsidRDefault="00413D97" w:rsidP="007E3CFA">
            <w:pPr>
              <w:pStyle w:val="NormalWeb"/>
              <w:jc w:val="center"/>
              <w:rPr>
                <w:sz w:val="18"/>
                <w:szCs w:val="18"/>
              </w:rPr>
            </w:pPr>
            <w:r w:rsidRPr="001707BF">
              <w:rPr>
                <w:sz w:val="18"/>
                <w:szCs w:val="18"/>
              </w:rPr>
              <w:t>22.1</w:t>
            </w:r>
          </w:p>
        </w:tc>
        <w:tc>
          <w:tcPr>
            <w:tcW w:w="682" w:type="dxa"/>
            <w:tcBorders>
              <w:left w:val="single" w:sz="2" w:space="0" w:color="000000" w:themeColor="text1"/>
              <w:right w:val="single" w:sz="2" w:space="0" w:color="000000" w:themeColor="text1"/>
            </w:tcBorders>
            <w:hideMark/>
          </w:tcPr>
          <w:p w14:paraId="52342889" w14:textId="77777777" w:rsidR="00413D97" w:rsidRPr="001707BF" w:rsidRDefault="00413D97" w:rsidP="007E3CFA">
            <w:pPr>
              <w:pStyle w:val="NormalWeb"/>
              <w:jc w:val="center"/>
              <w:rPr>
                <w:sz w:val="18"/>
                <w:szCs w:val="18"/>
              </w:rPr>
            </w:pPr>
            <w:r w:rsidRPr="001707BF">
              <w:rPr>
                <w:sz w:val="18"/>
                <w:szCs w:val="18"/>
              </w:rPr>
              <w:t>1,145</w:t>
            </w:r>
          </w:p>
        </w:tc>
        <w:tc>
          <w:tcPr>
            <w:tcW w:w="900" w:type="dxa"/>
            <w:tcBorders>
              <w:left w:val="single" w:sz="2" w:space="0" w:color="000000" w:themeColor="text1"/>
              <w:right w:val="single" w:sz="2" w:space="0" w:color="000000" w:themeColor="text1"/>
            </w:tcBorders>
            <w:hideMark/>
          </w:tcPr>
          <w:p w14:paraId="3603EABC" w14:textId="77777777" w:rsidR="00413D97" w:rsidRPr="001707BF" w:rsidRDefault="00413D97" w:rsidP="007E3CFA">
            <w:pPr>
              <w:pStyle w:val="NormalWeb"/>
              <w:jc w:val="center"/>
              <w:rPr>
                <w:sz w:val="18"/>
                <w:szCs w:val="18"/>
              </w:rPr>
            </w:pPr>
            <w:r w:rsidRPr="001707BF">
              <w:rPr>
                <w:sz w:val="18"/>
                <w:szCs w:val="18"/>
              </w:rPr>
              <w:t>1,186</w:t>
            </w:r>
          </w:p>
        </w:tc>
        <w:tc>
          <w:tcPr>
            <w:tcW w:w="750" w:type="dxa"/>
            <w:tcBorders>
              <w:left w:val="single" w:sz="2" w:space="0" w:color="000000" w:themeColor="text1"/>
              <w:right w:val="single" w:sz="2" w:space="0" w:color="000000" w:themeColor="text1"/>
            </w:tcBorders>
            <w:hideMark/>
          </w:tcPr>
          <w:p w14:paraId="4F50F567" w14:textId="77777777" w:rsidR="00413D97" w:rsidRPr="001707BF" w:rsidRDefault="00413D97" w:rsidP="007E3CFA">
            <w:pPr>
              <w:pStyle w:val="NormalWeb"/>
              <w:jc w:val="center"/>
              <w:rPr>
                <w:sz w:val="18"/>
                <w:szCs w:val="18"/>
              </w:rPr>
            </w:pPr>
            <w:r w:rsidRPr="001707BF">
              <w:rPr>
                <w:sz w:val="18"/>
                <w:szCs w:val="18"/>
              </w:rPr>
              <w:t>2,348</w:t>
            </w:r>
          </w:p>
        </w:tc>
        <w:tc>
          <w:tcPr>
            <w:tcW w:w="868" w:type="dxa"/>
            <w:tcBorders>
              <w:left w:val="single" w:sz="2" w:space="0" w:color="000000" w:themeColor="text1"/>
              <w:right w:val="single" w:sz="2" w:space="0" w:color="000000" w:themeColor="text1"/>
            </w:tcBorders>
            <w:hideMark/>
          </w:tcPr>
          <w:p w14:paraId="6FE358B7" w14:textId="77777777" w:rsidR="00413D97" w:rsidRPr="001707BF" w:rsidRDefault="00413D97" w:rsidP="007E3CFA">
            <w:pPr>
              <w:pStyle w:val="NormalWeb"/>
              <w:jc w:val="center"/>
              <w:rPr>
                <w:sz w:val="18"/>
                <w:szCs w:val="18"/>
              </w:rPr>
            </w:pPr>
            <w:r w:rsidRPr="001707BF">
              <w:rPr>
                <w:sz w:val="18"/>
                <w:szCs w:val="18"/>
              </w:rPr>
              <w:t>76.0</w:t>
            </w:r>
          </w:p>
        </w:tc>
        <w:tc>
          <w:tcPr>
            <w:tcW w:w="1085" w:type="dxa"/>
            <w:tcBorders>
              <w:left w:val="single" w:sz="2" w:space="0" w:color="000000" w:themeColor="text1"/>
              <w:right w:val="single" w:sz="2" w:space="0" w:color="000000" w:themeColor="text1"/>
            </w:tcBorders>
            <w:hideMark/>
          </w:tcPr>
          <w:p w14:paraId="7FCF5EAF" w14:textId="77777777" w:rsidR="00413D97" w:rsidRPr="001707BF" w:rsidRDefault="00413D97" w:rsidP="007E3CFA">
            <w:pPr>
              <w:pStyle w:val="NormalWeb"/>
              <w:jc w:val="center"/>
              <w:rPr>
                <w:sz w:val="18"/>
                <w:szCs w:val="18"/>
              </w:rPr>
            </w:pPr>
            <w:r w:rsidRPr="001707BF">
              <w:rPr>
                <w:sz w:val="18"/>
                <w:szCs w:val="18"/>
              </w:rPr>
              <w:t>75.4</w:t>
            </w:r>
          </w:p>
        </w:tc>
        <w:tc>
          <w:tcPr>
            <w:tcW w:w="1275" w:type="dxa"/>
            <w:tcBorders>
              <w:left w:val="single" w:sz="2" w:space="0" w:color="000000" w:themeColor="text1"/>
            </w:tcBorders>
            <w:hideMark/>
          </w:tcPr>
          <w:p w14:paraId="517069AB" w14:textId="77777777" w:rsidR="00413D97" w:rsidRPr="001707BF" w:rsidRDefault="00413D97" w:rsidP="007E3CFA">
            <w:pPr>
              <w:pStyle w:val="NormalWeb"/>
              <w:jc w:val="center"/>
              <w:rPr>
                <w:sz w:val="18"/>
                <w:szCs w:val="18"/>
              </w:rPr>
            </w:pPr>
            <w:r w:rsidRPr="001707BF">
              <w:rPr>
                <w:sz w:val="18"/>
                <w:szCs w:val="18"/>
              </w:rPr>
              <w:t>76.2</w:t>
            </w:r>
          </w:p>
        </w:tc>
      </w:tr>
      <w:tr w:rsidR="004A3D6C" w:rsidRPr="001707BF" w14:paraId="792AB0D2" w14:textId="77777777" w:rsidTr="00AA1119">
        <w:tc>
          <w:tcPr>
            <w:tcW w:w="0" w:type="auto"/>
            <w:tcBorders>
              <w:right w:val="single" w:sz="2" w:space="0" w:color="000000" w:themeColor="text1"/>
            </w:tcBorders>
            <w:hideMark/>
          </w:tcPr>
          <w:p w14:paraId="7290248E" w14:textId="77777777" w:rsidR="00413D97" w:rsidRPr="001707BF" w:rsidRDefault="00413D97">
            <w:pPr>
              <w:pStyle w:val="NormalWeb"/>
              <w:rPr>
                <w:sz w:val="18"/>
                <w:szCs w:val="18"/>
              </w:rPr>
            </w:pPr>
            <w:r w:rsidRPr="001707BF">
              <w:rPr>
                <w:sz w:val="18"/>
                <w:szCs w:val="18"/>
              </w:rPr>
              <w:t>60—70</w:t>
            </w:r>
          </w:p>
        </w:tc>
        <w:tc>
          <w:tcPr>
            <w:tcW w:w="0" w:type="auto"/>
            <w:tcBorders>
              <w:left w:val="single" w:sz="2" w:space="0" w:color="000000" w:themeColor="text1"/>
              <w:right w:val="single" w:sz="2" w:space="0" w:color="000000" w:themeColor="text1"/>
            </w:tcBorders>
            <w:hideMark/>
          </w:tcPr>
          <w:p w14:paraId="1ED75725" w14:textId="77777777" w:rsidR="00413D97" w:rsidRPr="001707BF" w:rsidRDefault="00413D97" w:rsidP="007E3CFA">
            <w:pPr>
              <w:pStyle w:val="NormalWeb"/>
              <w:jc w:val="center"/>
              <w:rPr>
                <w:sz w:val="18"/>
                <w:szCs w:val="18"/>
              </w:rPr>
            </w:pPr>
            <w:r w:rsidRPr="001707BF">
              <w:rPr>
                <w:sz w:val="18"/>
                <w:szCs w:val="18"/>
              </w:rPr>
              <w:t>176</w:t>
            </w:r>
          </w:p>
        </w:tc>
        <w:tc>
          <w:tcPr>
            <w:tcW w:w="0" w:type="auto"/>
            <w:tcBorders>
              <w:left w:val="single" w:sz="2" w:space="0" w:color="000000" w:themeColor="text1"/>
              <w:right w:val="single" w:sz="2" w:space="0" w:color="000000" w:themeColor="text1"/>
            </w:tcBorders>
            <w:hideMark/>
          </w:tcPr>
          <w:p w14:paraId="4636EE26" w14:textId="77777777" w:rsidR="00413D97" w:rsidRPr="001707BF" w:rsidRDefault="00413D97" w:rsidP="007E3CFA">
            <w:pPr>
              <w:pStyle w:val="NormalWeb"/>
              <w:jc w:val="center"/>
              <w:rPr>
                <w:sz w:val="18"/>
                <w:szCs w:val="18"/>
              </w:rPr>
            </w:pPr>
            <w:r w:rsidRPr="001707BF">
              <w:rPr>
                <w:sz w:val="18"/>
                <w:szCs w:val="18"/>
              </w:rPr>
              <w:t>195</w:t>
            </w:r>
          </w:p>
        </w:tc>
        <w:tc>
          <w:tcPr>
            <w:tcW w:w="0" w:type="auto"/>
            <w:tcBorders>
              <w:left w:val="single" w:sz="2" w:space="0" w:color="000000" w:themeColor="text1"/>
              <w:right w:val="single" w:sz="2" w:space="0" w:color="000000" w:themeColor="text1"/>
            </w:tcBorders>
            <w:hideMark/>
          </w:tcPr>
          <w:p w14:paraId="445AFB20" w14:textId="77777777" w:rsidR="00413D97" w:rsidRPr="001707BF" w:rsidRDefault="00413D97" w:rsidP="007E3CFA">
            <w:pPr>
              <w:pStyle w:val="NormalWeb"/>
              <w:jc w:val="center"/>
              <w:rPr>
                <w:sz w:val="18"/>
                <w:szCs w:val="18"/>
              </w:rPr>
            </w:pPr>
            <w:r w:rsidRPr="001707BF">
              <w:rPr>
                <w:sz w:val="18"/>
                <w:szCs w:val="18"/>
              </w:rPr>
              <w:t>375</w:t>
            </w:r>
          </w:p>
        </w:tc>
        <w:tc>
          <w:tcPr>
            <w:tcW w:w="0" w:type="auto"/>
            <w:tcBorders>
              <w:left w:val="single" w:sz="2" w:space="0" w:color="000000" w:themeColor="text1"/>
              <w:right w:val="single" w:sz="2" w:space="0" w:color="000000" w:themeColor="text1"/>
            </w:tcBorders>
            <w:hideMark/>
          </w:tcPr>
          <w:p w14:paraId="7160D3DD" w14:textId="77777777" w:rsidR="00413D97" w:rsidRPr="001707BF" w:rsidRDefault="00413D97" w:rsidP="007E3CFA">
            <w:pPr>
              <w:pStyle w:val="NormalWeb"/>
              <w:jc w:val="center"/>
              <w:rPr>
                <w:sz w:val="18"/>
                <w:szCs w:val="18"/>
              </w:rPr>
            </w:pPr>
            <w:r w:rsidRPr="001707BF">
              <w:rPr>
                <w:sz w:val="18"/>
                <w:szCs w:val="18"/>
              </w:rPr>
              <w:t>13.8</w:t>
            </w:r>
          </w:p>
        </w:tc>
        <w:tc>
          <w:tcPr>
            <w:tcW w:w="0" w:type="auto"/>
            <w:tcBorders>
              <w:left w:val="single" w:sz="2" w:space="0" w:color="000000" w:themeColor="text1"/>
              <w:right w:val="single" w:sz="2" w:space="0" w:color="000000" w:themeColor="text1"/>
            </w:tcBorders>
            <w:hideMark/>
          </w:tcPr>
          <w:p w14:paraId="2AACABF0" w14:textId="77777777" w:rsidR="00413D97" w:rsidRPr="001707BF" w:rsidRDefault="00413D97" w:rsidP="007E3CFA">
            <w:pPr>
              <w:pStyle w:val="NormalWeb"/>
              <w:jc w:val="center"/>
              <w:rPr>
                <w:sz w:val="18"/>
                <w:szCs w:val="18"/>
              </w:rPr>
            </w:pPr>
            <w:r w:rsidRPr="001707BF">
              <w:rPr>
                <w:sz w:val="18"/>
                <w:szCs w:val="18"/>
              </w:rPr>
              <w:t>14.5</w:t>
            </w:r>
          </w:p>
        </w:tc>
        <w:tc>
          <w:tcPr>
            <w:tcW w:w="0" w:type="auto"/>
            <w:tcBorders>
              <w:left w:val="single" w:sz="2" w:space="0" w:color="000000" w:themeColor="text1"/>
              <w:right w:val="single" w:sz="2" w:space="0" w:color="000000" w:themeColor="text1"/>
            </w:tcBorders>
            <w:hideMark/>
          </w:tcPr>
          <w:p w14:paraId="3D4CEA55" w14:textId="77777777" w:rsidR="00413D97" w:rsidRPr="001707BF" w:rsidRDefault="00413D97" w:rsidP="007E3CFA">
            <w:pPr>
              <w:pStyle w:val="NormalWeb"/>
              <w:jc w:val="center"/>
              <w:rPr>
                <w:sz w:val="18"/>
                <w:szCs w:val="18"/>
              </w:rPr>
            </w:pPr>
            <w:r w:rsidRPr="001707BF">
              <w:rPr>
                <w:sz w:val="18"/>
                <w:szCs w:val="18"/>
              </w:rPr>
              <w:t>14.4</w:t>
            </w:r>
          </w:p>
        </w:tc>
        <w:tc>
          <w:tcPr>
            <w:tcW w:w="682" w:type="dxa"/>
            <w:tcBorders>
              <w:left w:val="single" w:sz="2" w:space="0" w:color="000000" w:themeColor="text1"/>
              <w:right w:val="single" w:sz="2" w:space="0" w:color="000000" w:themeColor="text1"/>
            </w:tcBorders>
            <w:hideMark/>
          </w:tcPr>
          <w:p w14:paraId="4AC6980B" w14:textId="77777777" w:rsidR="00413D97" w:rsidRPr="001707BF" w:rsidRDefault="00413D97" w:rsidP="007E3CFA">
            <w:pPr>
              <w:pStyle w:val="NormalWeb"/>
              <w:jc w:val="center"/>
              <w:rPr>
                <w:sz w:val="18"/>
                <w:szCs w:val="18"/>
              </w:rPr>
            </w:pPr>
            <w:r w:rsidRPr="001707BF">
              <w:rPr>
                <w:sz w:val="18"/>
                <w:szCs w:val="18"/>
              </w:rPr>
              <w:t>895</w:t>
            </w:r>
          </w:p>
        </w:tc>
        <w:tc>
          <w:tcPr>
            <w:tcW w:w="900" w:type="dxa"/>
            <w:tcBorders>
              <w:left w:val="single" w:sz="2" w:space="0" w:color="000000" w:themeColor="text1"/>
              <w:right w:val="single" w:sz="2" w:space="0" w:color="000000" w:themeColor="text1"/>
            </w:tcBorders>
            <w:hideMark/>
          </w:tcPr>
          <w:p w14:paraId="3FC3BDAE" w14:textId="77777777" w:rsidR="00413D97" w:rsidRPr="001707BF" w:rsidRDefault="00413D97" w:rsidP="007E3CFA">
            <w:pPr>
              <w:pStyle w:val="NormalWeb"/>
              <w:jc w:val="center"/>
              <w:rPr>
                <w:sz w:val="18"/>
                <w:szCs w:val="18"/>
              </w:rPr>
            </w:pPr>
            <w:r w:rsidRPr="001707BF">
              <w:rPr>
                <w:sz w:val="18"/>
                <w:szCs w:val="18"/>
              </w:rPr>
              <w:t>933</w:t>
            </w:r>
          </w:p>
        </w:tc>
        <w:tc>
          <w:tcPr>
            <w:tcW w:w="750" w:type="dxa"/>
            <w:tcBorders>
              <w:left w:val="single" w:sz="2" w:space="0" w:color="000000" w:themeColor="text1"/>
              <w:right w:val="single" w:sz="2" w:space="0" w:color="000000" w:themeColor="text1"/>
            </w:tcBorders>
            <w:hideMark/>
          </w:tcPr>
          <w:p w14:paraId="53509453" w14:textId="77777777" w:rsidR="00413D97" w:rsidRPr="001707BF" w:rsidRDefault="00413D97" w:rsidP="007E3CFA">
            <w:pPr>
              <w:pStyle w:val="NormalWeb"/>
              <w:jc w:val="center"/>
              <w:rPr>
                <w:sz w:val="18"/>
                <w:szCs w:val="18"/>
              </w:rPr>
            </w:pPr>
            <w:r w:rsidRPr="001707BF">
              <w:rPr>
                <w:sz w:val="18"/>
                <w:szCs w:val="18"/>
              </w:rPr>
              <w:t>1,833</w:t>
            </w:r>
          </w:p>
        </w:tc>
        <w:tc>
          <w:tcPr>
            <w:tcW w:w="868" w:type="dxa"/>
            <w:tcBorders>
              <w:left w:val="single" w:sz="2" w:space="0" w:color="000000" w:themeColor="text1"/>
              <w:right w:val="single" w:sz="2" w:space="0" w:color="000000" w:themeColor="text1"/>
            </w:tcBorders>
            <w:hideMark/>
          </w:tcPr>
          <w:p w14:paraId="5557255E" w14:textId="77777777" w:rsidR="00413D97" w:rsidRPr="001707BF" w:rsidRDefault="00413D97" w:rsidP="007E3CFA">
            <w:pPr>
              <w:pStyle w:val="NormalWeb"/>
              <w:jc w:val="center"/>
              <w:rPr>
                <w:sz w:val="18"/>
                <w:szCs w:val="18"/>
              </w:rPr>
            </w:pPr>
            <w:r w:rsidRPr="001707BF">
              <w:rPr>
                <w:sz w:val="18"/>
                <w:szCs w:val="18"/>
              </w:rPr>
              <w:t>70.4</w:t>
            </w:r>
          </w:p>
        </w:tc>
        <w:tc>
          <w:tcPr>
            <w:tcW w:w="1085" w:type="dxa"/>
            <w:tcBorders>
              <w:left w:val="single" w:sz="2" w:space="0" w:color="000000" w:themeColor="text1"/>
              <w:right w:val="single" w:sz="2" w:space="0" w:color="000000" w:themeColor="text1"/>
            </w:tcBorders>
            <w:hideMark/>
          </w:tcPr>
          <w:p w14:paraId="0B417299" w14:textId="77777777" w:rsidR="00413D97" w:rsidRPr="001707BF" w:rsidRDefault="00413D97" w:rsidP="007E3CFA">
            <w:pPr>
              <w:pStyle w:val="NormalWeb"/>
              <w:jc w:val="center"/>
              <w:rPr>
                <w:sz w:val="18"/>
                <w:szCs w:val="18"/>
              </w:rPr>
            </w:pPr>
            <w:r w:rsidRPr="001707BF">
              <w:rPr>
                <w:sz w:val="18"/>
                <w:szCs w:val="18"/>
              </w:rPr>
              <w:t>69.5</w:t>
            </w:r>
          </w:p>
        </w:tc>
        <w:tc>
          <w:tcPr>
            <w:tcW w:w="1275" w:type="dxa"/>
            <w:tcBorders>
              <w:left w:val="single" w:sz="2" w:space="0" w:color="000000" w:themeColor="text1"/>
            </w:tcBorders>
            <w:hideMark/>
          </w:tcPr>
          <w:p w14:paraId="68D61D30" w14:textId="77777777" w:rsidR="00413D97" w:rsidRPr="001707BF" w:rsidRDefault="00413D97" w:rsidP="007E3CFA">
            <w:pPr>
              <w:pStyle w:val="NormalWeb"/>
              <w:jc w:val="center"/>
              <w:rPr>
                <w:sz w:val="18"/>
                <w:szCs w:val="18"/>
              </w:rPr>
            </w:pPr>
            <w:r w:rsidRPr="001707BF">
              <w:rPr>
                <w:sz w:val="18"/>
                <w:szCs w:val="18"/>
              </w:rPr>
              <w:t>70.1</w:t>
            </w:r>
          </w:p>
        </w:tc>
      </w:tr>
      <w:tr w:rsidR="004A3D6C" w:rsidRPr="001707BF" w14:paraId="367BC901" w14:textId="77777777" w:rsidTr="00AA111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75CE6830" w14:textId="77777777" w:rsidR="00413D97" w:rsidRPr="001707BF" w:rsidRDefault="00413D97">
            <w:pPr>
              <w:pStyle w:val="NormalWeb"/>
              <w:rPr>
                <w:sz w:val="18"/>
                <w:szCs w:val="18"/>
              </w:rPr>
            </w:pPr>
            <w:r w:rsidRPr="001707BF">
              <w:rPr>
                <w:sz w:val="18"/>
                <w:szCs w:val="18"/>
              </w:rPr>
              <w:t>70—80</w:t>
            </w:r>
          </w:p>
        </w:tc>
        <w:tc>
          <w:tcPr>
            <w:tcW w:w="0" w:type="auto"/>
            <w:tcBorders>
              <w:left w:val="single" w:sz="2" w:space="0" w:color="000000" w:themeColor="text1"/>
              <w:right w:val="single" w:sz="2" w:space="0" w:color="000000" w:themeColor="text1"/>
            </w:tcBorders>
            <w:hideMark/>
          </w:tcPr>
          <w:p w14:paraId="0A7FFC0B" w14:textId="77777777" w:rsidR="00413D97" w:rsidRPr="001707BF" w:rsidRDefault="00413D97" w:rsidP="007E3CFA">
            <w:pPr>
              <w:pStyle w:val="NormalWeb"/>
              <w:jc w:val="center"/>
              <w:rPr>
                <w:sz w:val="18"/>
                <w:szCs w:val="18"/>
              </w:rPr>
            </w:pPr>
            <w:r w:rsidRPr="001707BF">
              <w:rPr>
                <w:sz w:val="18"/>
                <w:szCs w:val="18"/>
              </w:rPr>
              <w:t>109</w:t>
            </w:r>
          </w:p>
        </w:tc>
        <w:tc>
          <w:tcPr>
            <w:tcW w:w="0" w:type="auto"/>
            <w:tcBorders>
              <w:left w:val="single" w:sz="2" w:space="0" w:color="000000" w:themeColor="text1"/>
              <w:right w:val="single" w:sz="2" w:space="0" w:color="000000" w:themeColor="text1"/>
            </w:tcBorders>
            <w:hideMark/>
          </w:tcPr>
          <w:p w14:paraId="6AF4D62F" w14:textId="77777777" w:rsidR="00413D97" w:rsidRPr="001707BF" w:rsidRDefault="00413D97" w:rsidP="007E3CFA">
            <w:pPr>
              <w:pStyle w:val="NormalWeb"/>
              <w:jc w:val="center"/>
              <w:rPr>
                <w:sz w:val="18"/>
                <w:szCs w:val="18"/>
              </w:rPr>
            </w:pPr>
            <w:r w:rsidRPr="001707BF">
              <w:rPr>
                <w:sz w:val="18"/>
                <w:szCs w:val="18"/>
              </w:rPr>
              <w:t>121</w:t>
            </w:r>
          </w:p>
        </w:tc>
        <w:tc>
          <w:tcPr>
            <w:tcW w:w="0" w:type="auto"/>
            <w:tcBorders>
              <w:left w:val="single" w:sz="2" w:space="0" w:color="000000" w:themeColor="text1"/>
              <w:right w:val="single" w:sz="2" w:space="0" w:color="000000" w:themeColor="text1"/>
            </w:tcBorders>
            <w:hideMark/>
          </w:tcPr>
          <w:p w14:paraId="4DC9BF03" w14:textId="77777777" w:rsidR="00413D97" w:rsidRPr="001707BF" w:rsidRDefault="00413D97" w:rsidP="007E3CFA">
            <w:pPr>
              <w:pStyle w:val="NormalWeb"/>
              <w:jc w:val="center"/>
              <w:rPr>
                <w:sz w:val="18"/>
                <w:szCs w:val="18"/>
              </w:rPr>
            </w:pPr>
            <w:r w:rsidRPr="001707BF">
              <w:rPr>
                <w:sz w:val="18"/>
                <w:szCs w:val="18"/>
              </w:rPr>
              <w:t>231</w:t>
            </w:r>
          </w:p>
        </w:tc>
        <w:tc>
          <w:tcPr>
            <w:tcW w:w="0" w:type="auto"/>
            <w:tcBorders>
              <w:left w:val="single" w:sz="2" w:space="0" w:color="000000" w:themeColor="text1"/>
              <w:right w:val="single" w:sz="2" w:space="0" w:color="000000" w:themeColor="text1"/>
            </w:tcBorders>
            <w:hideMark/>
          </w:tcPr>
          <w:p w14:paraId="4FB1AC55" w14:textId="77777777" w:rsidR="00413D97" w:rsidRPr="001707BF" w:rsidRDefault="00413D97" w:rsidP="007E3CFA">
            <w:pPr>
              <w:pStyle w:val="NormalWeb"/>
              <w:jc w:val="center"/>
              <w:rPr>
                <w:sz w:val="18"/>
                <w:szCs w:val="18"/>
              </w:rPr>
            </w:pPr>
            <w:r w:rsidRPr="001707BF">
              <w:rPr>
                <w:sz w:val="18"/>
                <w:szCs w:val="18"/>
              </w:rPr>
              <w:t>12.5</w:t>
            </w:r>
          </w:p>
        </w:tc>
        <w:tc>
          <w:tcPr>
            <w:tcW w:w="0" w:type="auto"/>
            <w:tcBorders>
              <w:left w:val="single" w:sz="2" w:space="0" w:color="000000" w:themeColor="text1"/>
              <w:right w:val="single" w:sz="2" w:space="0" w:color="000000" w:themeColor="text1"/>
            </w:tcBorders>
            <w:hideMark/>
          </w:tcPr>
          <w:p w14:paraId="6E2D1557" w14:textId="77777777" w:rsidR="00413D97" w:rsidRPr="001707BF" w:rsidRDefault="00413D97" w:rsidP="007E3CFA">
            <w:pPr>
              <w:pStyle w:val="NormalWeb"/>
              <w:jc w:val="center"/>
              <w:rPr>
                <w:sz w:val="18"/>
                <w:szCs w:val="18"/>
              </w:rPr>
            </w:pPr>
            <w:r w:rsidRPr="001707BF">
              <w:rPr>
                <w:sz w:val="18"/>
                <w:szCs w:val="18"/>
              </w:rPr>
              <w:t>13.1</w:t>
            </w:r>
          </w:p>
        </w:tc>
        <w:tc>
          <w:tcPr>
            <w:tcW w:w="0" w:type="auto"/>
            <w:tcBorders>
              <w:left w:val="single" w:sz="2" w:space="0" w:color="000000" w:themeColor="text1"/>
              <w:right w:val="single" w:sz="2" w:space="0" w:color="000000" w:themeColor="text1"/>
            </w:tcBorders>
            <w:hideMark/>
          </w:tcPr>
          <w:p w14:paraId="529889FD" w14:textId="77777777" w:rsidR="00413D97" w:rsidRPr="001707BF" w:rsidRDefault="00413D97" w:rsidP="007E3CFA">
            <w:pPr>
              <w:pStyle w:val="NormalWeb"/>
              <w:jc w:val="center"/>
              <w:rPr>
                <w:sz w:val="18"/>
                <w:szCs w:val="18"/>
              </w:rPr>
            </w:pPr>
            <w:r w:rsidRPr="001707BF">
              <w:rPr>
                <w:sz w:val="18"/>
                <w:szCs w:val="18"/>
              </w:rPr>
              <w:t>12.9</w:t>
            </w:r>
          </w:p>
        </w:tc>
        <w:tc>
          <w:tcPr>
            <w:tcW w:w="682" w:type="dxa"/>
            <w:tcBorders>
              <w:left w:val="single" w:sz="2" w:space="0" w:color="000000" w:themeColor="text1"/>
              <w:right w:val="single" w:sz="2" w:space="0" w:color="000000" w:themeColor="text1"/>
            </w:tcBorders>
            <w:hideMark/>
          </w:tcPr>
          <w:p w14:paraId="40F29197" w14:textId="77777777" w:rsidR="00413D97" w:rsidRPr="001707BF" w:rsidRDefault="00413D97" w:rsidP="007E3CFA">
            <w:pPr>
              <w:pStyle w:val="NormalWeb"/>
              <w:jc w:val="center"/>
              <w:rPr>
                <w:sz w:val="18"/>
                <w:szCs w:val="18"/>
              </w:rPr>
            </w:pPr>
            <w:r w:rsidRPr="001707BF">
              <w:rPr>
                <w:sz w:val="18"/>
                <w:szCs w:val="18"/>
              </w:rPr>
              <w:t>604</w:t>
            </w:r>
          </w:p>
        </w:tc>
        <w:tc>
          <w:tcPr>
            <w:tcW w:w="900" w:type="dxa"/>
            <w:tcBorders>
              <w:left w:val="single" w:sz="2" w:space="0" w:color="000000" w:themeColor="text1"/>
              <w:right w:val="single" w:sz="2" w:space="0" w:color="000000" w:themeColor="text1"/>
            </w:tcBorders>
            <w:hideMark/>
          </w:tcPr>
          <w:p w14:paraId="34C8302A" w14:textId="77777777" w:rsidR="00413D97" w:rsidRPr="001707BF" w:rsidRDefault="00413D97" w:rsidP="007E3CFA">
            <w:pPr>
              <w:pStyle w:val="NormalWeb"/>
              <w:jc w:val="center"/>
              <w:rPr>
                <w:sz w:val="18"/>
                <w:szCs w:val="18"/>
              </w:rPr>
            </w:pPr>
            <w:r w:rsidRPr="001707BF">
              <w:rPr>
                <w:sz w:val="18"/>
                <w:szCs w:val="18"/>
              </w:rPr>
              <w:t>535</w:t>
            </w:r>
          </w:p>
        </w:tc>
        <w:tc>
          <w:tcPr>
            <w:tcW w:w="750" w:type="dxa"/>
            <w:tcBorders>
              <w:left w:val="single" w:sz="2" w:space="0" w:color="000000" w:themeColor="text1"/>
              <w:right w:val="single" w:sz="2" w:space="0" w:color="000000" w:themeColor="text1"/>
            </w:tcBorders>
            <w:hideMark/>
          </w:tcPr>
          <w:p w14:paraId="7EEC7AB8" w14:textId="77777777" w:rsidR="00413D97" w:rsidRPr="001707BF" w:rsidRDefault="00413D97" w:rsidP="007E3CFA">
            <w:pPr>
              <w:pStyle w:val="NormalWeb"/>
              <w:jc w:val="center"/>
              <w:rPr>
                <w:sz w:val="18"/>
                <w:szCs w:val="18"/>
              </w:rPr>
            </w:pPr>
            <w:r w:rsidRPr="001707BF">
              <w:rPr>
                <w:sz w:val="18"/>
                <w:szCs w:val="18"/>
              </w:rPr>
              <w:t>1,140</w:t>
            </w:r>
          </w:p>
        </w:tc>
        <w:tc>
          <w:tcPr>
            <w:tcW w:w="868" w:type="dxa"/>
            <w:tcBorders>
              <w:left w:val="single" w:sz="2" w:space="0" w:color="000000" w:themeColor="text1"/>
              <w:right w:val="single" w:sz="2" w:space="0" w:color="000000" w:themeColor="text1"/>
            </w:tcBorders>
            <w:hideMark/>
          </w:tcPr>
          <w:p w14:paraId="512CDF47" w14:textId="77777777" w:rsidR="00413D97" w:rsidRPr="001707BF" w:rsidRDefault="00413D97" w:rsidP="007E3CFA">
            <w:pPr>
              <w:pStyle w:val="NormalWeb"/>
              <w:jc w:val="center"/>
              <w:rPr>
                <w:sz w:val="18"/>
                <w:szCs w:val="18"/>
              </w:rPr>
            </w:pPr>
            <w:r w:rsidRPr="001707BF">
              <w:rPr>
                <w:sz w:val="18"/>
                <w:szCs w:val="18"/>
              </w:rPr>
              <w:t>69.4</w:t>
            </w:r>
          </w:p>
        </w:tc>
        <w:tc>
          <w:tcPr>
            <w:tcW w:w="1085" w:type="dxa"/>
            <w:tcBorders>
              <w:left w:val="single" w:sz="2" w:space="0" w:color="000000" w:themeColor="text1"/>
              <w:right w:val="single" w:sz="2" w:space="0" w:color="000000" w:themeColor="text1"/>
            </w:tcBorders>
            <w:hideMark/>
          </w:tcPr>
          <w:p w14:paraId="417E7924" w14:textId="77777777" w:rsidR="00413D97" w:rsidRPr="001707BF" w:rsidRDefault="00413D97" w:rsidP="007E3CFA">
            <w:pPr>
              <w:pStyle w:val="NormalWeb"/>
              <w:jc w:val="center"/>
              <w:rPr>
                <w:sz w:val="18"/>
                <w:szCs w:val="18"/>
              </w:rPr>
            </w:pPr>
            <w:r w:rsidRPr="001707BF">
              <w:rPr>
                <w:sz w:val="18"/>
                <w:szCs w:val="18"/>
              </w:rPr>
              <w:t>58.0</w:t>
            </w:r>
          </w:p>
        </w:tc>
        <w:tc>
          <w:tcPr>
            <w:tcW w:w="1275" w:type="dxa"/>
            <w:tcBorders>
              <w:left w:val="single" w:sz="2" w:space="0" w:color="000000" w:themeColor="text1"/>
            </w:tcBorders>
            <w:hideMark/>
          </w:tcPr>
          <w:p w14:paraId="2BFA2575" w14:textId="77777777" w:rsidR="00413D97" w:rsidRPr="001707BF" w:rsidRDefault="00413D97" w:rsidP="007E3CFA">
            <w:pPr>
              <w:pStyle w:val="NormalWeb"/>
              <w:jc w:val="center"/>
              <w:rPr>
                <w:sz w:val="18"/>
                <w:szCs w:val="18"/>
              </w:rPr>
            </w:pPr>
            <w:r w:rsidRPr="001707BF">
              <w:rPr>
                <w:sz w:val="18"/>
                <w:szCs w:val="18"/>
              </w:rPr>
              <w:t>63.6</w:t>
            </w:r>
          </w:p>
        </w:tc>
      </w:tr>
      <w:tr w:rsidR="004A3D6C" w:rsidRPr="001707BF" w14:paraId="4ACC6468" w14:textId="77777777" w:rsidTr="00AA1119">
        <w:tc>
          <w:tcPr>
            <w:tcW w:w="0" w:type="auto"/>
            <w:tcBorders>
              <w:right w:val="single" w:sz="2" w:space="0" w:color="000000" w:themeColor="text1"/>
            </w:tcBorders>
            <w:hideMark/>
          </w:tcPr>
          <w:p w14:paraId="45DAFA7D" w14:textId="77777777" w:rsidR="00413D97" w:rsidRPr="001707BF" w:rsidRDefault="00413D97">
            <w:pPr>
              <w:pStyle w:val="NormalWeb"/>
              <w:rPr>
                <w:sz w:val="18"/>
                <w:szCs w:val="18"/>
              </w:rPr>
            </w:pPr>
            <w:r w:rsidRPr="001707BF">
              <w:rPr>
                <w:sz w:val="18"/>
                <w:szCs w:val="18"/>
              </w:rPr>
              <w:t>80—90</w:t>
            </w:r>
          </w:p>
        </w:tc>
        <w:tc>
          <w:tcPr>
            <w:tcW w:w="0" w:type="auto"/>
            <w:tcBorders>
              <w:left w:val="single" w:sz="2" w:space="0" w:color="000000" w:themeColor="text1"/>
              <w:right w:val="single" w:sz="2" w:space="0" w:color="000000" w:themeColor="text1"/>
            </w:tcBorders>
            <w:hideMark/>
          </w:tcPr>
          <w:p w14:paraId="7CC8600D" w14:textId="77777777" w:rsidR="00413D97" w:rsidRPr="001707BF" w:rsidRDefault="00413D97" w:rsidP="007E3CFA">
            <w:pPr>
              <w:pStyle w:val="NormalWeb"/>
              <w:jc w:val="center"/>
              <w:rPr>
                <w:sz w:val="18"/>
                <w:szCs w:val="18"/>
              </w:rPr>
            </w:pPr>
            <w:r w:rsidRPr="001707BF">
              <w:rPr>
                <w:sz w:val="18"/>
                <w:szCs w:val="18"/>
              </w:rPr>
              <w:t>126</w:t>
            </w:r>
          </w:p>
        </w:tc>
        <w:tc>
          <w:tcPr>
            <w:tcW w:w="0" w:type="auto"/>
            <w:tcBorders>
              <w:left w:val="single" w:sz="2" w:space="0" w:color="000000" w:themeColor="text1"/>
              <w:right w:val="single" w:sz="2" w:space="0" w:color="000000" w:themeColor="text1"/>
            </w:tcBorders>
            <w:hideMark/>
          </w:tcPr>
          <w:p w14:paraId="2E19E057" w14:textId="77777777" w:rsidR="00413D97" w:rsidRPr="001707BF" w:rsidRDefault="00413D97" w:rsidP="007E3CFA">
            <w:pPr>
              <w:pStyle w:val="NormalWeb"/>
              <w:jc w:val="center"/>
              <w:rPr>
                <w:sz w:val="18"/>
                <w:szCs w:val="18"/>
              </w:rPr>
            </w:pPr>
            <w:r w:rsidRPr="001707BF">
              <w:rPr>
                <w:sz w:val="18"/>
                <w:szCs w:val="18"/>
              </w:rPr>
              <w:t>214</w:t>
            </w:r>
          </w:p>
        </w:tc>
        <w:tc>
          <w:tcPr>
            <w:tcW w:w="0" w:type="auto"/>
            <w:tcBorders>
              <w:left w:val="single" w:sz="2" w:space="0" w:color="000000" w:themeColor="text1"/>
              <w:right w:val="single" w:sz="2" w:space="0" w:color="000000" w:themeColor="text1"/>
            </w:tcBorders>
            <w:hideMark/>
          </w:tcPr>
          <w:p w14:paraId="31C028C5" w14:textId="77777777" w:rsidR="00413D97" w:rsidRPr="001707BF" w:rsidRDefault="00413D97" w:rsidP="007E3CFA">
            <w:pPr>
              <w:pStyle w:val="NormalWeb"/>
              <w:jc w:val="center"/>
              <w:rPr>
                <w:sz w:val="18"/>
                <w:szCs w:val="18"/>
              </w:rPr>
            </w:pPr>
            <w:r w:rsidRPr="001707BF">
              <w:rPr>
                <w:sz w:val="18"/>
                <w:szCs w:val="18"/>
              </w:rPr>
              <w:t>341</w:t>
            </w:r>
          </w:p>
        </w:tc>
        <w:tc>
          <w:tcPr>
            <w:tcW w:w="0" w:type="auto"/>
            <w:tcBorders>
              <w:left w:val="single" w:sz="2" w:space="0" w:color="000000" w:themeColor="text1"/>
              <w:right w:val="single" w:sz="2" w:space="0" w:color="000000" w:themeColor="text1"/>
            </w:tcBorders>
            <w:hideMark/>
          </w:tcPr>
          <w:p w14:paraId="33E8EC21" w14:textId="77777777" w:rsidR="00413D97" w:rsidRPr="001707BF" w:rsidRDefault="00413D97" w:rsidP="007E3CFA">
            <w:pPr>
              <w:pStyle w:val="NormalWeb"/>
              <w:jc w:val="center"/>
              <w:rPr>
                <w:sz w:val="18"/>
                <w:szCs w:val="18"/>
              </w:rPr>
            </w:pPr>
            <w:r w:rsidRPr="001707BF">
              <w:rPr>
                <w:sz w:val="18"/>
                <w:szCs w:val="18"/>
              </w:rPr>
              <w:t>35.2</w:t>
            </w:r>
          </w:p>
        </w:tc>
        <w:tc>
          <w:tcPr>
            <w:tcW w:w="0" w:type="auto"/>
            <w:tcBorders>
              <w:left w:val="single" w:sz="2" w:space="0" w:color="000000" w:themeColor="text1"/>
              <w:right w:val="single" w:sz="2" w:space="0" w:color="000000" w:themeColor="text1"/>
            </w:tcBorders>
            <w:hideMark/>
          </w:tcPr>
          <w:p w14:paraId="09B76A4F" w14:textId="77777777" w:rsidR="00413D97" w:rsidRPr="001707BF" w:rsidRDefault="00413D97" w:rsidP="007E3CFA">
            <w:pPr>
              <w:pStyle w:val="NormalWeb"/>
              <w:jc w:val="center"/>
              <w:rPr>
                <w:sz w:val="18"/>
                <w:szCs w:val="18"/>
              </w:rPr>
            </w:pPr>
            <w:r w:rsidRPr="001707BF">
              <w:rPr>
                <w:sz w:val="18"/>
                <w:szCs w:val="18"/>
              </w:rPr>
              <w:t>46.4</w:t>
            </w:r>
          </w:p>
        </w:tc>
        <w:tc>
          <w:tcPr>
            <w:tcW w:w="0" w:type="auto"/>
            <w:tcBorders>
              <w:left w:val="single" w:sz="2" w:space="0" w:color="000000" w:themeColor="text1"/>
              <w:right w:val="single" w:sz="2" w:space="0" w:color="000000" w:themeColor="text1"/>
            </w:tcBorders>
            <w:hideMark/>
          </w:tcPr>
          <w:p w14:paraId="5C7614A4" w14:textId="77777777" w:rsidR="00413D97" w:rsidRPr="001707BF" w:rsidRDefault="00413D97" w:rsidP="007E3CFA">
            <w:pPr>
              <w:pStyle w:val="NormalWeb"/>
              <w:jc w:val="center"/>
              <w:rPr>
                <w:sz w:val="18"/>
                <w:szCs w:val="18"/>
              </w:rPr>
            </w:pPr>
            <w:r w:rsidRPr="001707BF">
              <w:rPr>
                <w:sz w:val="18"/>
                <w:szCs w:val="18"/>
              </w:rPr>
              <w:t>41.7</w:t>
            </w:r>
          </w:p>
        </w:tc>
        <w:tc>
          <w:tcPr>
            <w:tcW w:w="682" w:type="dxa"/>
            <w:tcBorders>
              <w:left w:val="single" w:sz="2" w:space="0" w:color="000000" w:themeColor="text1"/>
              <w:right w:val="single" w:sz="2" w:space="0" w:color="000000" w:themeColor="text1"/>
            </w:tcBorders>
            <w:hideMark/>
          </w:tcPr>
          <w:p w14:paraId="3902BD68" w14:textId="77777777" w:rsidR="00413D97" w:rsidRPr="001707BF" w:rsidRDefault="00413D97" w:rsidP="007E3CFA">
            <w:pPr>
              <w:pStyle w:val="NormalWeb"/>
              <w:jc w:val="center"/>
              <w:rPr>
                <w:sz w:val="18"/>
                <w:szCs w:val="18"/>
              </w:rPr>
            </w:pPr>
            <w:r w:rsidRPr="001707BF">
              <w:rPr>
                <w:sz w:val="18"/>
                <w:szCs w:val="18"/>
              </w:rPr>
              <w:t>288</w:t>
            </w:r>
          </w:p>
        </w:tc>
        <w:tc>
          <w:tcPr>
            <w:tcW w:w="900" w:type="dxa"/>
            <w:tcBorders>
              <w:left w:val="single" w:sz="2" w:space="0" w:color="000000" w:themeColor="text1"/>
              <w:right w:val="single" w:sz="2" w:space="0" w:color="000000" w:themeColor="text1"/>
            </w:tcBorders>
            <w:hideMark/>
          </w:tcPr>
          <w:p w14:paraId="392912DA" w14:textId="77777777" w:rsidR="00413D97" w:rsidRPr="001707BF" w:rsidRDefault="00413D97" w:rsidP="007E3CFA">
            <w:pPr>
              <w:pStyle w:val="NormalWeb"/>
              <w:jc w:val="center"/>
              <w:rPr>
                <w:sz w:val="18"/>
                <w:szCs w:val="18"/>
              </w:rPr>
            </w:pPr>
            <w:r w:rsidRPr="001707BF">
              <w:rPr>
                <w:sz w:val="18"/>
                <w:szCs w:val="18"/>
              </w:rPr>
              <w:t>381</w:t>
            </w:r>
          </w:p>
        </w:tc>
        <w:tc>
          <w:tcPr>
            <w:tcW w:w="750" w:type="dxa"/>
            <w:tcBorders>
              <w:left w:val="single" w:sz="2" w:space="0" w:color="000000" w:themeColor="text1"/>
              <w:right w:val="single" w:sz="2" w:space="0" w:color="000000" w:themeColor="text1"/>
            </w:tcBorders>
            <w:hideMark/>
          </w:tcPr>
          <w:p w14:paraId="77C50763" w14:textId="77777777" w:rsidR="00413D97" w:rsidRPr="001707BF" w:rsidRDefault="00413D97" w:rsidP="007E3CFA">
            <w:pPr>
              <w:pStyle w:val="NormalWeb"/>
              <w:jc w:val="center"/>
              <w:rPr>
                <w:sz w:val="18"/>
                <w:szCs w:val="18"/>
              </w:rPr>
            </w:pPr>
            <w:r w:rsidRPr="001707BF">
              <w:rPr>
                <w:sz w:val="18"/>
                <w:szCs w:val="18"/>
              </w:rPr>
              <w:t>670</w:t>
            </w:r>
          </w:p>
        </w:tc>
        <w:tc>
          <w:tcPr>
            <w:tcW w:w="868" w:type="dxa"/>
            <w:tcBorders>
              <w:left w:val="single" w:sz="2" w:space="0" w:color="000000" w:themeColor="text1"/>
              <w:right w:val="single" w:sz="2" w:space="0" w:color="000000" w:themeColor="text1"/>
            </w:tcBorders>
            <w:hideMark/>
          </w:tcPr>
          <w:p w14:paraId="5CB96B22" w14:textId="77777777" w:rsidR="00413D97" w:rsidRPr="001707BF" w:rsidRDefault="00413D97" w:rsidP="007E3CFA">
            <w:pPr>
              <w:pStyle w:val="NormalWeb"/>
              <w:jc w:val="center"/>
              <w:rPr>
                <w:sz w:val="18"/>
                <w:szCs w:val="18"/>
              </w:rPr>
            </w:pPr>
            <w:r w:rsidRPr="001707BF">
              <w:rPr>
                <w:sz w:val="18"/>
                <w:szCs w:val="18"/>
              </w:rPr>
              <w:t>80.6</w:t>
            </w:r>
          </w:p>
        </w:tc>
        <w:tc>
          <w:tcPr>
            <w:tcW w:w="1085" w:type="dxa"/>
            <w:tcBorders>
              <w:left w:val="single" w:sz="2" w:space="0" w:color="000000" w:themeColor="text1"/>
              <w:right w:val="single" w:sz="2" w:space="0" w:color="000000" w:themeColor="text1"/>
            </w:tcBorders>
            <w:hideMark/>
          </w:tcPr>
          <w:p w14:paraId="504FCF18" w14:textId="77777777" w:rsidR="00413D97" w:rsidRPr="001707BF" w:rsidRDefault="00413D97" w:rsidP="007E3CFA">
            <w:pPr>
              <w:pStyle w:val="NormalWeb"/>
              <w:jc w:val="center"/>
              <w:rPr>
                <w:sz w:val="18"/>
                <w:szCs w:val="18"/>
              </w:rPr>
            </w:pPr>
            <w:r w:rsidRPr="001707BF">
              <w:rPr>
                <w:sz w:val="18"/>
                <w:szCs w:val="18"/>
              </w:rPr>
              <w:t>82.6</w:t>
            </w:r>
          </w:p>
        </w:tc>
        <w:tc>
          <w:tcPr>
            <w:tcW w:w="1275" w:type="dxa"/>
            <w:tcBorders>
              <w:left w:val="single" w:sz="2" w:space="0" w:color="000000" w:themeColor="text1"/>
            </w:tcBorders>
            <w:hideMark/>
          </w:tcPr>
          <w:p w14:paraId="20C89A19" w14:textId="77777777" w:rsidR="00413D97" w:rsidRPr="001707BF" w:rsidRDefault="00413D97" w:rsidP="007E3CFA">
            <w:pPr>
              <w:pStyle w:val="NormalWeb"/>
              <w:jc w:val="center"/>
              <w:rPr>
                <w:sz w:val="18"/>
                <w:szCs w:val="18"/>
              </w:rPr>
            </w:pPr>
            <w:r w:rsidRPr="001707BF">
              <w:rPr>
                <w:sz w:val="18"/>
                <w:szCs w:val="18"/>
              </w:rPr>
              <w:t>81.9</w:t>
            </w:r>
          </w:p>
        </w:tc>
      </w:tr>
    </w:tbl>
    <w:p w14:paraId="1E34D3E2" w14:textId="77777777" w:rsidR="00413D97" w:rsidRDefault="00413D97" w:rsidP="00257547">
      <w:pPr>
        <w:pStyle w:val="CDIfootnotes"/>
      </w:pPr>
      <w:r>
        <w:t>a</w:t>
      </w:r>
      <w:r>
        <w:tab/>
        <w:t>Cases and rates for persons include 5 cases with unknown gender.</w:t>
      </w:r>
    </w:p>
    <w:p w14:paraId="6BB1405E" w14:textId="77777777" w:rsidR="00413D97" w:rsidRDefault="00413D97" w:rsidP="00257547">
      <w:pPr>
        <w:pStyle w:val="CDIFigures"/>
      </w:pPr>
      <w:r>
        <w:t xml:space="preserve">Figure B.1: Variation in combinations of COVID-19 symptoms in confirmed cases as at 2 August 2020, </w:t>
      </w:r>
      <w:proofErr w:type="spellStart"/>
      <w:r>
        <w:t>Australia</w:t>
      </w:r>
      <w:r w:rsidRPr="00F44352">
        <w:rPr>
          <w:vertAlign w:val="superscript"/>
        </w:rPr>
        <w:t>a</w:t>
      </w:r>
      <w:proofErr w:type="spellEnd"/>
    </w:p>
    <w:p w14:paraId="09FF49FE" w14:textId="77777777" w:rsidR="00413D97" w:rsidRDefault="00413D97" w:rsidP="0065273D">
      <w:pPr>
        <w:jc w:val="center"/>
        <w:rPr>
          <w:rFonts w:eastAsia="Times New Roman"/>
        </w:rPr>
      </w:pPr>
      <w:r>
        <w:rPr>
          <w:rFonts w:eastAsia="Times New Roman"/>
          <w:noProof/>
        </w:rPr>
        <w:drawing>
          <wp:inline distT="0" distB="0" distL="0" distR="0" wp14:anchorId="6723D565">
            <wp:extent cx="5976681" cy="3784600"/>
            <wp:effectExtent l="0" t="0" r="5080" b="6350"/>
            <wp:docPr id="15" name="Picture 15" descr="This figure shows the variation in combinations of symptoms observed in reported cases for the five most frequently observed symptoms (cough, fever, headache, sore throat,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figure shows the variation in combinations of symptoms observed in reported cases for the five most frequently observed symptoms (cough, fever, headache, sore throat,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984783" cy="3789730"/>
                    </a:xfrm>
                    <a:prstGeom prst="rect">
                      <a:avLst/>
                    </a:prstGeom>
                  </pic:spPr>
                </pic:pic>
              </a:graphicData>
            </a:graphic>
          </wp:inline>
        </w:drawing>
      </w:r>
    </w:p>
    <w:p w14:paraId="21C641DC" w14:textId="77777777" w:rsidR="00413D97" w:rsidRDefault="00413D97" w:rsidP="00257547">
      <w:pPr>
        <w:pStyle w:val="CDIfootnotes"/>
      </w:pPr>
      <w:proofErr w:type="spellStart"/>
      <w:r>
        <w:t>a</w:t>
      </w:r>
      <w:proofErr w:type="spellEnd"/>
      <w:r>
        <w:tab/>
        <w:t>This figure shows the variation in combinations of symptoms observed in reported cases (n = 12,636) for the five most frequently observed symptoms (cough, fever, headache, sore throat,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w:t>
      </w:r>
    </w:p>
    <w:p w14:paraId="4DD94B52" w14:textId="77777777" w:rsidR="00413D97" w:rsidRDefault="00413D97">
      <w:pPr>
        <w:pStyle w:val="Heading1"/>
        <w:rPr>
          <w:rFonts w:eastAsia="Times New Roman"/>
        </w:rPr>
      </w:pPr>
      <w:r>
        <w:rPr>
          <w:rFonts w:eastAsia="Times New Roman"/>
        </w:rPr>
        <w:lastRenderedPageBreak/>
        <w:t xml:space="preserve">Appendix C: Frequently asked questions </w:t>
      </w:r>
    </w:p>
    <w:p w14:paraId="242B5DAF" w14:textId="77777777" w:rsidR="00413D97" w:rsidRDefault="00413D97">
      <w:pPr>
        <w:pStyle w:val="NormalWeb"/>
      </w:pPr>
      <w:r>
        <w:rPr>
          <w:rStyle w:val="Strong"/>
        </w:rPr>
        <w:t xml:space="preserve">Q: Can I request access to the COVID-19 data behind your CDI fortnightly reports? </w:t>
      </w:r>
    </w:p>
    <w:p w14:paraId="2EB5D4B2" w14:textId="77777777" w:rsidR="00413D97" w:rsidRDefault="00413D97">
      <w:pPr>
        <w:pStyle w:val="NormalWeb"/>
      </w:pPr>
      <w: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10AD8D81" w14:textId="77777777" w:rsidR="00413D97" w:rsidRDefault="00413D97">
      <w:pPr>
        <w:pStyle w:val="NormalWeb"/>
      </w:pPr>
      <w:r>
        <w:t xml:space="preserve">Normally, requests for the release of data from the NNDSS requires agreement from states and territories via the Communicable Diseases Network Australia, and, depending on the sensitivity of the data sought and proposed, ethics approval may also be required. </w:t>
      </w:r>
    </w:p>
    <w:p w14:paraId="6D1A435C" w14:textId="77777777" w:rsidR="00413D97" w:rsidRDefault="00413D97">
      <w:pPr>
        <w:pStyle w:val="NormalWeb"/>
      </w:pPr>
      <w:r>
        <w:t xml:space="preserve">Due to the COVID-19 response, unfortunately, specific requests for NNDSS data have been put on hold. We are currently looking into options to be able to respond to data requests in the near future. </w:t>
      </w:r>
    </w:p>
    <w:p w14:paraId="239714CA" w14:textId="77777777" w:rsidR="00413D97" w:rsidRDefault="00413D97">
      <w:pPr>
        <w:pStyle w:val="NormalWeb"/>
      </w:pPr>
      <w:r>
        <w:t xml:space="preserve">We will continue to publish regular summaries and analyses of the NNDSS dataset and recommend the following resources be referred to in the meantime: </w:t>
      </w:r>
    </w:p>
    <w:p w14:paraId="7605404D" w14:textId="77777777" w:rsidR="00413D97" w:rsidRPr="00362863" w:rsidRDefault="00413D97" w:rsidP="00362863">
      <w:pPr>
        <w:pStyle w:val="ListParagraph"/>
        <w:numPr>
          <w:ilvl w:val="0"/>
          <w:numId w:val="19"/>
        </w:numPr>
        <w:rPr>
          <w:rFonts w:eastAsia="Times New Roman"/>
        </w:rPr>
      </w:pPr>
      <w:r w:rsidRPr="00362863">
        <w:rPr>
          <w:rFonts w:eastAsia="Times New Roman"/>
        </w:rPr>
        <w:t xml:space="preserve">NNDSS summary tables: http://www9.health.gov.au/cda/source/cda-index.cfm </w:t>
      </w:r>
    </w:p>
    <w:p w14:paraId="4280CFA5" w14:textId="77777777" w:rsidR="00413D97" w:rsidRPr="00362863" w:rsidRDefault="00413D97" w:rsidP="00362863">
      <w:pPr>
        <w:pStyle w:val="ListParagraph"/>
        <w:numPr>
          <w:ilvl w:val="0"/>
          <w:numId w:val="19"/>
        </w:numPr>
        <w:rPr>
          <w:rFonts w:eastAsia="Times New Roman"/>
        </w:rPr>
      </w:pPr>
      <w:r w:rsidRPr="00362863">
        <w:rPr>
          <w:rFonts w:eastAsia="Times New Roman"/>
        </w:rPr>
        <w:t xml:space="preserve">Daily case summary of cases: https://www.health.gov.au/news/health-alerts/novel-coronavirus-2019-ncov-health-alert/coronavirus-covid-19-current-situation-and-case-numbers </w:t>
      </w:r>
    </w:p>
    <w:p w14:paraId="62AAC894" w14:textId="77777777" w:rsidR="00413D97" w:rsidRPr="00362863" w:rsidRDefault="00413D97" w:rsidP="00362863">
      <w:pPr>
        <w:pStyle w:val="ListParagraph"/>
        <w:numPr>
          <w:ilvl w:val="0"/>
          <w:numId w:val="19"/>
        </w:numPr>
        <w:rPr>
          <w:rFonts w:eastAsia="Times New Roman"/>
        </w:rPr>
      </w:pPr>
      <w:r w:rsidRPr="00362863">
        <w:rPr>
          <w:rStyle w:val="Emphasis"/>
          <w:rFonts w:eastAsia="Times New Roman"/>
          <w:b w:val="0"/>
        </w:rPr>
        <w:t>Communicable Diseases Intelligence</w:t>
      </w:r>
      <w:r w:rsidRPr="00362863">
        <w:rPr>
          <w:rFonts w:eastAsia="Times New Roman"/>
        </w:rPr>
        <w:t xml:space="preserve"> COVID-19 epidemiology report: https://www1.health.gov.au/internet/main/publishing.nsf/Content/novel_coronavirus_2019_ncov_weekly_epidemiology_reports_australia_2020.htm </w:t>
      </w:r>
    </w:p>
    <w:p w14:paraId="4CDDB539" w14:textId="77777777" w:rsidR="00413D97" w:rsidRPr="00362863" w:rsidRDefault="00413D97" w:rsidP="00362863">
      <w:pPr>
        <w:pStyle w:val="ListParagraph"/>
        <w:numPr>
          <w:ilvl w:val="0"/>
          <w:numId w:val="19"/>
        </w:numPr>
        <w:rPr>
          <w:rFonts w:eastAsia="Times New Roman"/>
        </w:rPr>
      </w:pPr>
      <w:r w:rsidRPr="00362863">
        <w:rPr>
          <w:rFonts w:eastAsia="Times New Roman"/>
        </w:rPr>
        <w:t xml:space="preserve">State and territory public health websites. </w:t>
      </w:r>
    </w:p>
    <w:p w14:paraId="707E3547" w14:textId="77777777" w:rsidR="00413D97" w:rsidRDefault="00413D97">
      <w:pPr>
        <w:pStyle w:val="NormalWeb"/>
      </w:pPr>
      <w:r>
        <w:rPr>
          <w:rStyle w:val="Strong"/>
        </w:rPr>
        <w:t xml:space="preserve">Q: Why have the reports changed from weekly to fortnightly? </w:t>
      </w:r>
    </w:p>
    <w:p w14:paraId="34CEE260" w14:textId="77777777" w:rsidR="00413D97" w:rsidRDefault="00413D97">
      <w:pPr>
        <w:pStyle w:val="NormalWeb"/>
      </w:pPr>
      <w:r>
        <w:t xml:space="preserve">A: The change to fortnightly reporting is to allow more time for an in-depth analysis of the NNDSS data, therefore enhancing the contents of the report. </w:t>
      </w:r>
    </w:p>
    <w:p w14:paraId="7FCF40D5" w14:textId="77777777" w:rsidR="00413D97" w:rsidRDefault="00413D97">
      <w:pPr>
        <w:pStyle w:val="NormalWeb"/>
      </w:pPr>
      <w:r>
        <w:rPr>
          <w:rStyle w:val="Strong"/>
        </w:rPr>
        <w:t xml:space="preserve">Q: Can I request access to data at post-code level of confirmed cases? </w:t>
      </w:r>
    </w:p>
    <w:p w14:paraId="4CF721EA" w14:textId="77777777" w:rsidR="00413D97" w:rsidRDefault="00413D97">
      <w:pPr>
        <w:pStyle w:val="NormalWeb"/>
      </w:pPr>
      <w: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3FDCF5A2" w14:textId="77777777" w:rsidR="00413D97" w:rsidRDefault="00413D97">
      <w:pPr>
        <w:pStyle w:val="NormalWeb"/>
      </w:pPr>
      <w:r>
        <w:t xml:space="preserve">Where current or recent reported case numbers are high enough to justify it, a GIS/mapping analysis of cases will be included in the </w:t>
      </w:r>
      <w:r w:rsidRPr="0002461E">
        <w:rPr>
          <w:rStyle w:val="Emphasis"/>
          <w:b w:val="0"/>
        </w:rPr>
        <w:t>Communicable Diseases Intelligence</w:t>
      </w:r>
      <w:r>
        <w:t xml:space="preserve"> COVID-19 epidemiology report. In order to protect privacy of confirmed cases, data in this map will be presented at SA3 level. </w:t>
      </w:r>
    </w:p>
    <w:p w14:paraId="1AC829B6" w14:textId="77777777" w:rsidR="00413D97" w:rsidRDefault="00413D97">
      <w:pPr>
        <w:pStyle w:val="NormalWeb"/>
      </w:pPr>
      <w:r>
        <w:rPr>
          <w:rStyle w:val="Strong"/>
        </w:rPr>
        <w:t xml:space="preserve">Q: Where can I find more detailed data on COVID-19 cases? </w:t>
      </w:r>
    </w:p>
    <w:p w14:paraId="0BF4E723" w14:textId="77777777" w:rsidR="00413D97" w:rsidRDefault="00413D97">
      <w:pPr>
        <w:pStyle w:val="NormalWeb"/>
      </w:pPr>
      <w:r>
        <w:t xml:space="preserve">A: We are currently looking into ways to provide more in-depth epidemiological analyses of COVID-19 cases, with regard to transmission and severity, including hospitalisation. These analyses will continue to be built upon in future iterations of the </w:t>
      </w:r>
      <w:r w:rsidRPr="0002461E">
        <w:rPr>
          <w:rStyle w:val="Emphasis"/>
          <w:b w:val="0"/>
        </w:rPr>
        <w:t>Communicable Diseases Intelligence</w:t>
      </w:r>
      <w:r>
        <w:t xml:space="preserve"> report.</w:t>
      </w:r>
    </w:p>
    <w:p w14:paraId="4D53F026" w14:textId="77777777"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2830B1C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F200BA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B6D18DC" w14:textId="77777777" w:rsidR="000A5F42" w:rsidRPr="000606CC" w:rsidRDefault="000A5F42" w:rsidP="000A5F42">
      <w:pPr>
        <w:pStyle w:val="NoSpacing"/>
        <w:rPr>
          <w:rStyle w:val="URI"/>
          <w:rFonts w:cstheme="minorHAnsi"/>
          <w:sz w:val="20"/>
          <w:szCs w:val="18"/>
        </w:rPr>
      </w:pPr>
    </w:p>
    <w:p w14:paraId="635F732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5FD0B691" w14:textId="77777777" w:rsidR="000A5F42" w:rsidRPr="000606CC" w:rsidRDefault="000A5F42" w:rsidP="000A5F42">
      <w:pPr>
        <w:pStyle w:val="NoSpacing"/>
        <w:rPr>
          <w:rStyle w:val="Strong"/>
          <w:rFonts w:cstheme="minorHAnsi"/>
          <w:sz w:val="20"/>
          <w:szCs w:val="18"/>
        </w:rPr>
      </w:pPr>
    </w:p>
    <w:p w14:paraId="64F8C2F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365DA72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1E32A76"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2E0C4C9"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43EA3DA4" w14:textId="77777777" w:rsidR="000A5F42" w:rsidRPr="000606CC" w:rsidRDefault="000A5F42" w:rsidP="000A5F42">
      <w:pPr>
        <w:pStyle w:val="NoSpacing"/>
        <w:rPr>
          <w:rStyle w:val="Strong"/>
          <w:rFonts w:cstheme="minorHAnsi"/>
          <w:sz w:val="20"/>
          <w:szCs w:val="18"/>
        </w:rPr>
      </w:pPr>
    </w:p>
    <w:p w14:paraId="0C4BA8A1" w14:textId="4DAFBD3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D90D91E" w14:textId="77777777" w:rsidR="000A5F42" w:rsidRPr="000606CC" w:rsidRDefault="000A5F42" w:rsidP="000A5F42">
      <w:pPr>
        <w:pStyle w:val="NoSpacing"/>
        <w:rPr>
          <w:rStyle w:val="Strong"/>
          <w:rFonts w:cstheme="minorHAnsi"/>
          <w:sz w:val="20"/>
          <w:szCs w:val="18"/>
        </w:rPr>
      </w:pPr>
    </w:p>
    <w:p w14:paraId="48E6295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40CBE4F6" w14:textId="77777777" w:rsidR="000A5F42" w:rsidRPr="000606CC" w:rsidRDefault="000A5F42" w:rsidP="000A5F42">
      <w:pPr>
        <w:pStyle w:val="NoSpacing"/>
        <w:rPr>
          <w:rStyle w:val="Strong"/>
          <w:rFonts w:cstheme="minorHAnsi"/>
          <w:sz w:val="20"/>
          <w:szCs w:val="18"/>
        </w:rPr>
      </w:pPr>
    </w:p>
    <w:p w14:paraId="691B97B8" w14:textId="4A718FE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2984C54" w14:textId="77777777" w:rsidR="000A5F42" w:rsidRPr="000606CC" w:rsidRDefault="000A5F42" w:rsidP="000A5F42">
      <w:pPr>
        <w:pStyle w:val="NoSpacing"/>
        <w:rPr>
          <w:rStyle w:val="Strong"/>
          <w:rFonts w:cstheme="minorHAnsi"/>
          <w:sz w:val="20"/>
          <w:szCs w:val="18"/>
        </w:rPr>
      </w:pPr>
    </w:p>
    <w:p w14:paraId="07B50E3B" w14:textId="47EE3B3F"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7EFAD7F" w14:textId="0118C14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30" w:history="1">
        <w:r w:rsidRPr="000606CC">
          <w:rPr>
            <w:rStyle w:val="Hyperlink"/>
            <w:rFonts w:cstheme="minorHAnsi"/>
            <w:sz w:val="20"/>
            <w:szCs w:val="18"/>
          </w:rPr>
          <w:t>cdi.editor@health.gov.au</w:t>
        </w:r>
      </w:hyperlink>
      <w:r w:rsidRPr="000606CC">
        <w:rPr>
          <w:rFonts w:cstheme="minorHAnsi"/>
          <w:sz w:val="20"/>
          <w:szCs w:val="18"/>
        </w:rPr>
        <w:t>.</w:t>
      </w:r>
    </w:p>
    <w:p w14:paraId="50DFC697" w14:textId="77777777" w:rsidR="000A5F42" w:rsidRPr="000606CC" w:rsidRDefault="000A5F42" w:rsidP="000A5F42">
      <w:pPr>
        <w:pStyle w:val="NoSpacing"/>
        <w:pBdr>
          <w:bottom w:val="single" w:sz="6" w:space="1" w:color="auto"/>
        </w:pBdr>
        <w:rPr>
          <w:rStyle w:val="Strong"/>
          <w:rFonts w:cstheme="minorHAnsi"/>
          <w:sz w:val="12"/>
          <w:szCs w:val="18"/>
        </w:rPr>
      </w:pPr>
    </w:p>
    <w:p w14:paraId="33D26673" w14:textId="77777777" w:rsidR="000A5F42" w:rsidRPr="000606CC" w:rsidRDefault="000A5F42" w:rsidP="000A5F42">
      <w:pPr>
        <w:pStyle w:val="NoSpacing"/>
        <w:rPr>
          <w:rFonts w:cstheme="minorHAnsi"/>
          <w:sz w:val="20"/>
          <w:szCs w:val="18"/>
        </w:rPr>
      </w:pPr>
    </w:p>
    <w:p w14:paraId="29B10A3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7E1C1EA" w14:textId="77777777" w:rsidR="000A5F42" w:rsidRPr="000606CC" w:rsidRDefault="000A5F42" w:rsidP="000A5F42">
      <w:pPr>
        <w:pStyle w:val="NoSpacing"/>
        <w:rPr>
          <w:rFonts w:cstheme="minorHAnsi"/>
          <w:sz w:val="20"/>
          <w:szCs w:val="18"/>
        </w:rPr>
      </w:pPr>
    </w:p>
    <w:p w14:paraId="7AD8F0F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FA228F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3B09C2AD" w14:textId="079B5B8A"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3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07E3CF2" w14:textId="77777777" w:rsidR="000A5F42" w:rsidRPr="000606CC" w:rsidRDefault="000A5F42" w:rsidP="000A5F42">
      <w:pPr>
        <w:pStyle w:val="NoSpacing"/>
        <w:rPr>
          <w:rFonts w:cstheme="minorHAnsi"/>
          <w:sz w:val="20"/>
          <w:szCs w:val="18"/>
        </w:rPr>
      </w:pPr>
    </w:p>
    <w:p w14:paraId="05F4B81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8469888" w14:textId="22E760C1"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3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756606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77BCEC1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25BA4C3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70B427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6025ABA" w14:textId="77777777" w:rsidR="000A5F42" w:rsidRPr="000606CC" w:rsidRDefault="000A5F42" w:rsidP="000A5F42">
      <w:pPr>
        <w:pStyle w:val="NoSpacing"/>
        <w:rPr>
          <w:rStyle w:val="Strong"/>
          <w:rFonts w:cstheme="minorHAnsi"/>
          <w:sz w:val="20"/>
          <w:szCs w:val="18"/>
        </w:rPr>
      </w:pPr>
    </w:p>
    <w:p w14:paraId="235F56BB"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B8F1083" w14:textId="77777777" w:rsidR="000A5F42" w:rsidRPr="000606CC" w:rsidRDefault="000A5F42" w:rsidP="000A5F42">
      <w:pPr>
        <w:pStyle w:val="NoSpacing"/>
        <w:rPr>
          <w:rStyle w:val="Strong"/>
          <w:rFonts w:cstheme="minorHAnsi"/>
          <w:sz w:val="20"/>
          <w:szCs w:val="18"/>
        </w:rPr>
      </w:pPr>
    </w:p>
    <w:p w14:paraId="5A793D7E" w14:textId="3315286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3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838E4AF" w14:textId="77777777" w:rsidR="000A5F42" w:rsidRPr="000606CC" w:rsidRDefault="000A5F42" w:rsidP="000A5F42">
      <w:pPr>
        <w:pStyle w:val="NoSpacing"/>
        <w:rPr>
          <w:rStyle w:val="URI"/>
          <w:rFonts w:cstheme="minorHAnsi"/>
          <w:sz w:val="20"/>
          <w:szCs w:val="18"/>
        </w:rPr>
      </w:pPr>
    </w:p>
    <w:p w14:paraId="39AA0C94" w14:textId="505DE64C"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4" w:tooltip="Communicable Diseases Network Australia website" w:history="1">
        <w:r w:rsidRPr="000606CC">
          <w:rPr>
            <w:rStyle w:val="Hyperlink"/>
            <w:rFonts w:cstheme="minorHAnsi"/>
            <w:sz w:val="20"/>
            <w:szCs w:val="18"/>
          </w:rPr>
          <w:t>http://www.health.gov.au/cdna</w:t>
        </w:r>
      </w:hyperlink>
    </w:p>
    <w:p w14:paraId="4BB15F1C" w14:textId="77777777" w:rsidR="001B37B8" w:rsidRPr="00E92237" w:rsidRDefault="001B37B8" w:rsidP="001B37B8">
      <w:pPr>
        <w:rPr>
          <w:rFonts w:cs="Myriad Pro"/>
          <w:color w:val="211D1E"/>
          <w:sz w:val="20"/>
          <w:szCs w:val="20"/>
        </w:rPr>
      </w:pPr>
    </w:p>
    <w:sectPr w:rsidR="001B37B8" w:rsidRPr="00E92237" w:rsidSect="002B75A9">
      <w:headerReference w:type="default" r:id="rId35"/>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1163E" w14:textId="77777777" w:rsidR="006908E8" w:rsidRDefault="006908E8" w:rsidP="00E54DBA">
      <w:r>
        <w:separator/>
      </w:r>
    </w:p>
    <w:p w14:paraId="62BF092B" w14:textId="77777777" w:rsidR="006908E8" w:rsidRDefault="006908E8"/>
    <w:p w14:paraId="55CF8EF6" w14:textId="77777777" w:rsidR="006908E8" w:rsidRDefault="006908E8" w:rsidP="008714B0"/>
  </w:endnote>
  <w:endnote w:type="continuationSeparator" w:id="0">
    <w:p w14:paraId="6BFDD1B5" w14:textId="77777777" w:rsidR="006908E8" w:rsidRDefault="006908E8" w:rsidP="00E54DBA">
      <w:r>
        <w:continuationSeparator/>
      </w:r>
    </w:p>
    <w:p w14:paraId="0362F9DB" w14:textId="77777777" w:rsidR="006908E8" w:rsidRDefault="006908E8"/>
    <w:p w14:paraId="0717E5A8" w14:textId="77777777" w:rsidR="006908E8" w:rsidRDefault="006908E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C3AAE" w14:textId="77777777" w:rsidR="006908E8" w:rsidRPr="0042435E" w:rsidRDefault="006908E8"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90F7F">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890F7F">
      <w:rPr>
        <w:noProof/>
        <w:sz w:val="18"/>
      </w:rPr>
      <w:t>36</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02461E">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https://doi.org/10.33321/cdi.2020.44.69</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18/8/2020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991D" w14:textId="77777777" w:rsidR="006908E8" w:rsidRPr="00BB5378" w:rsidRDefault="006908E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90F7F">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890F7F">
      <w:rPr>
        <w:noProof/>
        <w:sz w:val="18"/>
      </w:rPr>
      <w:t>36</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02461E">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https://doi.org/10.33321/cdi.2020.44.69</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Pr>
        <w:sz w:val="18"/>
      </w:rPr>
      <w:t>18/8/2020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E72BC" w14:textId="77777777" w:rsidR="006908E8" w:rsidRDefault="006908E8" w:rsidP="00E54DBA">
      <w:r>
        <w:separator/>
      </w:r>
    </w:p>
  </w:footnote>
  <w:footnote w:type="continuationSeparator" w:id="0">
    <w:p w14:paraId="52A873B6" w14:textId="77777777" w:rsidR="006908E8" w:rsidRDefault="006908E8" w:rsidP="00E54DBA">
      <w:r>
        <w:continuationSeparator/>
      </w:r>
    </w:p>
  </w:footnote>
  <w:footnote w:type="continuationNotice" w:id="1">
    <w:p w14:paraId="002E7829" w14:textId="77777777" w:rsidR="006908E8" w:rsidRPr="00224EFF" w:rsidRDefault="006908E8" w:rsidP="00224EFF">
      <w:pPr>
        <w:pStyle w:val="Footer"/>
      </w:pPr>
    </w:p>
  </w:footnote>
  <w:footnote w:id="2">
    <w:p w14:paraId="2B359202" w14:textId="77777777" w:rsidR="006908E8" w:rsidRDefault="006908E8" w:rsidP="00D62FEA">
      <w:pPr>
        <w:pStyle w:val="CDIfootnotes"/>
      </w:pPr>
      <w:r>
        <w:rPr>
          <w:rStyle w:val="FootnoteReference"/>
        </w:rPr>
        <w:footnoteRef/>
      </w:r>
      <w:r>
        <w:t xml:space="preserve"> This report addresses indicators listed in the CDNA National Surveillance Plan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700AE" w14:textId="77777777" w:rsidR="006908E8" w:rsidRPr="00A153B6" w:rsidRDefault="00A24413"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908E8">
          <w:t>Fortnightly epidemiological report</w:t>
        </w:r>
      </w:sdtContent>
    </w:sdt>
    <w:r w:rsidR="006908E8">
      <w:ptab w:relativeTo="margin" w:alignment="right" w:leader="none"/>
    </w:r>
    <w:r w:rsidR="006908E8"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37313" w14:textId="77777777" w:rsidR="006908E8" w:rsidRPr="000A5F42" w:rsidRDefault="006908E8" w:rsidP="000A5F42">
    <w:pPr>
      <w:pStyle w:val="Header"/>
      <w:jc w:val="center"/>
      <w:rPr>
        <w:b/>
      </w:rPr>
    </w:pPr>
    <w:r w:rsidRPr="00E810C5">
      <w:rPr>
        <w:rFonts w:cs="Myriad Pro"/>
        <w:noProof/>
        <w:color w:val="211D1E"/>
        <w:sz w:val="16"/>
      </w:rPr>
      <w:drawing>
        <wp:inline distT="0" distB="0" distL="0" distR="0" wp14:anchorId="12B7AB5C"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6E01"/>
    <w:multiLevelType w:val="multilevel"/>
    <w:tmpl w:val="F1B68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71C07"/>
    <w:multiLevelType w:val="multilevel"/>
    <w:tmpl w:val="E8661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45F5A"/>
    <w:multiLevelType w:val="multilevel"/>
    <w:tmpl w:val="A5900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7425BC"/>
    <w:multiLevelType w:val="multilevel"/>
    <w:tmpl w:val="89003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811714"/>
    <w:multiLevelType w:val="multilevel"/>
    <w:tmpl w:val="2876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2D5825"/>
    <w:multiLevelType w:val="hybridMultilevel"/>
    <w:tmpl w:val="9A88E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603FC2"/>
    <w:multiLevelType w:val="hybridMultilevel"/>
    <w:tmpl w:val="6BB68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E31732"/>
    <w:multiLevelType w:val="multilevel"/>
    <w:tmpl w:val="3F0AF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D054DE"/>
    <w:multiLevelType w:val="hybridMultilevel"/>
    <w:tmpl w:val="0666D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A100FE"/>
    <w:multiLevelType w:val="hybridMultilevel"/>
    <w:tmpl w:val="7DBE6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9285A24"/>
    <w:multiLevelType w:val="multilevel"/>
    <w:tmpl w:val="E2264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336142"/>
    <w:multiLevelType w:val="multilevel"/>
    <w:tmpl w:val="C2F00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630663E"/>
    <w:multiLevelType w:val="multilevel"/>
    <w:tmpl w:val="2686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0571283">
    <w:abstractNumId w:val="7"/>
  </w:num>
  <w:num w:numId="2" w16cid:durableId="948901596">
    <w:abstractNumId w:val="12"/>
  </w:num>
  <w:num w:numId="3" w16cid:durableId="1023819418">
    <w:abstractNumId w:val="13"/>
  </w:num>
  <w:num w:numId="4" w16cid:durableId="765922954">
    <w:abstractNumId w:val="3"/>
  </w:num>
  <w:num w:numId="5" w16cid:durableId="1623808810">
    <w:abstractNumId w:val="16"/>
  </w:num>
  <w:num w:numId="6" w16cid:durableId="596910182">
    <w:abstractNumId w:val="17"/>
  </w:num>
  <w:num w:numId="7" w16cid:durableId="493304106">
    <w:abstractNumId w:val="15"/>
  </w:num>
  <w:num w:numId="8" w16cid:durableId="946623043">
    <w:abstractNumId w:val="2"/>
  </w:num>
  <w:num w:numId="9" w16cid:durableId="983436413">
    <w:abstractNumId w:val="1"/>
  </w:num>
  <w:num w:numId="10" w16cid:durableId="1988587557">
    <w:abstractNumId w:val="5"/>
  </w:num>
  <w:num w:numId="11" w16cid:durableId="1057630434">
    <w:abstractNumId w:val="0"/>
  </w:num>
  <w:num w:numId="12" w16cid:durableId="94130786">
    <w:abstractNumId w:val="14"/>
  </w:num>
  <w:num w:numId="13" w16cid:durableId="957833236">
    <w:abstractNumId w:val="9"/>
  </w:num>
  <w:num w:numId="14" w16cid:durableId="81686952">
    <w:abstractNumId w:val="4"/>
  </w:num>
  <w:num w:numId="15" w16cid:durableId="1245989082">
    <w:abstractNumId w:val="18"/>
  </w:num>
  <w:num w:numId="16" w16cid:durableId="142628563">
    <w:abstractNumId w:val="11"/>
  </w:num>
  <w:num w:numId="17" w16cid:durableId="1865511748">
    <w:abstractNumId w:val="10"/>
  </w:num>
  <w:num w:numId="18" w16cid:durableId="959216872">
    <w:abstractNumId w:val="6"/>
  </w:num>
  <w:num w:numId="19" w16cid:durableId="16592647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843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BD1"/>
    <w:rsid w:val="00000B5B"/>
    <w:rsid w:val="00001611"/>
    <w:rsid w:val="000104A8"/>
    <w:rsid w:val="0001246E"/>
    <w:rsid w:val="000124B1"/>
    <w:rsid w:val="00013804"/>
    <w:rsid w:val="00016FE6"/>
    <w:rsid w:val="0002461E"/>
    <w:rsid w:val="00031064"/>
    <w:rsid w:val="00031692"/>
    <w:rsid w:val="00032531"/>
    <w:rsid w:val="00044FDE"/>
    <w:rsid w:val="000471BF"/>
    <w:rsid w:val="00047B68"/>
    <w:rsid w:val="00052600"/>
    <w:rsid w:val="0005643C"/>
    <w:rsid w:val="0006264A"/>
    <w:rsid w:val="00073D77"/>
    <w:rsid w:val="00081655"/>
    <w:rsid w:val="000864E0"/>
    <w:rsid w:val="000953C0"/>
    <w:rsid w:val="000969B3"/>
    <w:rsid w:val="000A5F42"/>
    <w:rsid w:val="000B5BA6"/>
    <w:rsid w:val="000C66D3"/>
    <w:rsid w:val="000D4B4D"/>
    <w:rsid w:val="000D7FA3"/>
    <w:rsid w:val="00101DC0"/>
    <w:rsid w:val="00102E28"/>
    <w:rsid w:val="00113D58"/>
    <w:rsid w:val="001200CB"/>
    <w:rsid w:val="001378A3"/>
    <w:rsid w:val="00155582"/>
    <w:rsid w:val="00155EA5"/>
    <w:rsid w:val="00161590"/>
    <w:rsid w:val="001707BF"/>
    <w:rsid w:val="00171CC0"/>
    <w:rsid w:val="00172FE6"/>
    <w:rsid w:val="00175494"/>
    <w:rsid w:val="00175629"/>
    <w:rsid w:val="001830EC"/>
    <w:rsid w:val="00183534"/>
    <w:rsid w:val="001A0EF1"/>
    <w:rsid w:val="001A4A96"/>
    <w:rsid w:val="001A5D05"/>
    <w:rsid w:val="001A796C"/>
    <w:rsid w:val="001B2614"/>
    <w:rsid w:val="001B37B8"/>
    <w:rsid w:val="001B552F"/>
    <w:rsid w:val="001C0893"/>
    <w:rsid w:val="001C1303"/>
    <w:rsid w:val="001C70B2"/>
    <w:rsid w:val="001D37C7"/>
    <w:rsid w:val="001D6888"/>
    <w:rsid w:val="00202248"/>
    <w:rsid w:val="00224EFF"/>
    <w:rsid w:val="002276DC"/>
    <w:rsid w:val="00227E00"/>
    <w:rsid w:val="002307CB"/>
    <w:rsid w:val="00231046"/>
    <w:rsid w:val="00234F21"/>
    <w:rsid w:val="00242659"/>
    <w:rsid w:val="002428F7"/>
    <w:rsid w:val="0024315F"/>
    <w:rsid w:val="002466C8"/>
    <w:rsid w:val="00246EC4"/>
    <w:rsid w:val="00252C9A"/>
    <w:rsid w:val="00256309"/>
    <w:rsid w:val="00257484"/>
    <w:rsid w:val="00257547"/>
    <w:rsid w:val="00260636"/>
    <w:rsid w:val="00265CFE"/>
    <w:rsid w:val="00270707"/>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B06"/>
    <w:rsid w:val="00316CCD"/>
    <w:rsid w:val="0032139E"/>
    <w:rsid w:val="00324F7E"/>
    <w:rsid w:val="00330573"/>
    <w:rsid w:val="003323BC"/>
    <w:rsid w:val="00346D42"/>
    <w:rsid w:val="00346E11"/>
    <w:rsid w:val="00350068"/>
    <w:rsid w:val="003601C0"/>
    <w:rsid w:val="00362863"/>
    <w:rsid w:val="003635F5"/>
    <w:rsid w:val="00372A88"/>
    <w:rsid w:val="00381A0F"/>
    <w:rsid w:val="00382FE6"/>
    <w:rsid w:val="003A1B3A"/>
    <w:rsid w:val="003A3AB2"/>
    <w:rsid w:val="003A40F5"/>
    <w:rsid w:val="003B02C3"/>
    <w:rsid w:val="003B5B8C"/>
    <w:rsid w:val="003D2720"/>
    <w:rsid w:val="003D79B1"/>
    <w:rsid w:val="003E022B"/>
    <w:rsid w:val="003E74EE"/>
    <w:rsid w:val="003E78E2"/>
    <w:rsid w:val="003F0552"/>
    <w:rsid w:val="003F1D8F"/>
    <w:rsid w:val="003F3BC2"/>
    <w:rsid w:val="003F5F9C"/>
    <w:rsid w:val="00401ED1"/>
    <w:rsid w:val="0040224C"/>
    <w:rsid w:val="00413D97"/>
    <w:rsid w:val="00413EE1"/>
    <w:rsid w:val="004164BB"/>
    <w:rsid w:val="00421ECE"/>
    <w:rsid w:val="00422FEB"/>
    <w:rsid w:val="0042435E"/>
    <w:rsid w:val="004315F5"/>
    <w:rsid w:val="00433456"/>
    <w:rsid w:val="00433D66"/>
    <w:rsid w:val="00433DFA"/>
    <w:rsid w:val="00435D67"/>
    <w:rsid w:val="00464A58"/>
    <w:rsid w:val="00473D2D"/>
    <w:rsid w:val="004A2125"/>
    <w:rsid w:val="004A38F6"/>
    <w:rsid w:val="004A3D6C"/>
    <w:rsid w:val="004B174B"/>
    <w:rsid w:val="004B4EB6"/>
    <w:rsid w:val="004C083C"/>
    <w:rsid w:val="004C67C6"/>
    <w:rsid w:val="004D29DE"/>
    <w:rsid w:val="004F0405"/>
    <w:rsid w:val="00506008"/>
    <w:rsid w:val="00510EAC"/>
    <w:rsid w:val="0052720D"/>
    <w:rsid w:val="00537775"/>
    <w:rsid w:val="0054104D"/>
    <w:rsid w:val="00542A57"/>
    <w:rsid w:val="00555615"/>
    <w:rsid w:val="00556630"/>
    <w:rsid w:val="00565974"/>
    <w:rsid w:val="005732C0"/>
    <w:rsid w:val="0057336D"/>
    <w:rsid w:val="0057489A"/>
    <w:rsid w:val="00574ACF"/>
    <w:rsid w:val="0057602C"/>
    <w:rsid w:val="00581588"/>
    <w:rsid w:val="0058540B"/>
    <w:rsid w:val="00587C87"/>
    <w:rsid w:val="00590B80"/>
    <w:rsid w:val="00592CBC"/>
    <w:rsid w:val="005B3134"/>
    <w:rsid w:val="005B4E61"/>
    <w:rsid w:val="005B595A"/>
    <w:rsid w:val="005B66C2"/>
    <w:rsid w:val="005D2465"/>
    <w:rsid w:val="005E33DD"/>
    <w:rsid w:val="005E4229"/>
    <w:rsid w:val="005E540E"/>
    <w:rsid w:val="005E55FB"/>
    <w:rsid w:val="005F16BB"/>
    <w:rsid w:val="00607115"/>
    <w:rsid w:val="00620768"/>
    <w:rsid w:val="0062350E"/>
    <w:rsid w:val="0062594B"/>
    <w:rsid w:val="00631406"/>
    <w:rsid w:val="006324FF"/>
    <w:rsid w:val="006351D6"/>
    <w:rsid w:val="00636276"/>
    <w:rsid w:val="00636E0D"/>
    <w:rsid w:val="0064142F"/>
    <w:rsid w:val="00643CB4"/>
    <w:rsid w:val="0064616F"/>
    <w:rsid w:val="0065273D"/>
    <w:rsid w:val="00653344"/>
    <w:rsid w:val="00656427"/>
    <w:rsid w:val="00660255"/>
    <w:rsid w:val="006908E8"/>
    <w:rsid w:val="00694D2A"/>
    <w:rsid w:val="006971F3"/>
    <w:rsid w:val="006A5720"/>
    <w:rsid w:val="006B0163"/>
    <w:rsid w:val="006C74A3"/>
    <w:rsid w:val="006D1381"/>
    <w:rsid w:val="006D31BC"/>
    <w:rsid w:val="006E2577"/>
    <w:rsid w:val="006E7943"/>
    <w:rsid w:val="006F24EA"/>
    <w:rsid w:val="00704CA9"/>
    <w:rsid w:val="00704F0B"/>
    <w:rsid w:val="00706658"/>
    <w:rsid w:val="00706E6D"/>
    <w:rsid w:val="0071048D"/>
    <w:rsid w:val="00710F86"/>
    <w:rsid w:val="007111A8"/>
    <w:rsid w:val="00731BC3"/>
    <w:rsid w:val="00741192"/>
    <w:rsid w:val="00743A33"/>
    <w:rsid w:val="00746080"/>
    <w:rsid w:val="0075144A"/>
    <w:rsid w:val="007826B7"/>
    <w:rsid w:val="00786329"/>
    <w:rsid w:val="00786D2D"/>
    <w:rsid w:val="00792C7D"/>
    <w:rsid w:val="00794A4D"/>
    <w:rsid w:val="007A5234"/>
    <w:rsid w:val="007B7854"/>
    <w:rsid w:val="007C3D48"/>
    <w:rsid w:val="007C56A1"/>
    <w:rsid w:val="007C5BC0"/>
    <w:rsid w:val="007C6454"/>
    <w:rsid w:val="007E01E0"/>
    <w:rsid w:val="007E33F8"/>
    <w:rsid w:val="007E3CFA"/>
    <w:rsid w:val="007E47D2"/>
    <w:rsid w:val="007E7844"/>
    <w:rsid w:val="007F0B93"/>
    <w:rsid w:val="007F2ECA"/>
    <w:rsid w:val="007F3394"/>
    <w:rsid w:val="00811708"/>
    <w:rsid w:val="00816B90"/>
    <w:rsid w:val="00817799"/>
    <w:rsid w:val="00822F5F"/>
    <w:rsid w:val="00824FD3"/>
    <w:rsid w:val="00826589"/>
    <w:rsid w:val="00834708"/>
    <w:rsid w:val="00834BCC"/>
    <w:rsid w:val="008414D0"/>
    <w:rsid w:val="00850D54"/>
    <w:rsid w:val="0085602B"/>
    <w:rsid w:val="0086637D"/>
    <w:rsid w:val="008714B0"/>
    <w:rsid w:val="00876331"/>
    <w:rsid w:val="00880726"/>
    <w:rsid w:val="00882CB3"/>
    <w:rsid w:val="00890F7F"/>
    <w:rsid w:val="00894462"/>
    <w:rsid w:val="008A3544"/>
    <w:rsid w:val="008B1FE6"/>
    <w:rsid w:val="008B48B8"/>
    <w:rsid w:val="008B5348"/>
    <w:rsid w:val="008B58F8"/>
    <w:rsid w:val="008C0712"/>
    <w:rsid w:val="008C4520"/>
    <w:rsid w:val="008C5F09"/>
    <w:rsid w:val="008D470F"/>
    <w:rsid w:val="008D73BB"/>
    <w:rsid w:val="008E1F8F"/>
    <w:rsid w:val="008E4768"/>
    <w:rsid w:val="008E66B5"/>
    <w:rsid w:val="008E761E"/>
    <w:rsid w:val="008F77B3"/>
    <w:rsid w:val="008F7C0E"/>
    <w:rsid w:val="009008F5"/>
    <w:rsid w:val="00904CC1"/>
    <w:rsid w:val="009066AF"/>
    <w:rsid w:val="00911113"/>
    <w:rsid w:val="00912050"/>
    <w:rsid w:val="00912E48"/>
    <w:rsid w:val="009273C2"/>
    <w:rsid w:val="0092746F"/>
    <w:rsid w:val="00935DC9"/>
    <w:rsid w:val="009446C0"/>
    <w:rsid w:val="0096082E"/>
    <w:rsid w:val="00961347"/>
    <w:rsid w:val="009653D5"/>
    <w:rsid w:val="00967410"/>
    <w:rsid w:val="00967D73"/>
    <w:rsid w:val="0098119A"/>
    <w:rsid w:val="00984AAF"/>
    <w:rsid w:val="00991B09"/>
    <w:rsid w:val="00993CB2"/>
    <w:rsid w:val="00995397"/>
    <w:rsid w:val="009A5166"/>
    <w:rsid w:val="009A76F8"/>
    <w:rsid w:val="009B2B83"/>
    <w:rsid w:val="009B7EA8"/>
    <w:rsid w:val="009C49F8"/>
    <w:rsid w:val="009C7381"/>
    <w:rsid w:val="009D77CC"/>
    <w:rsid w:val="009D7B5C"/>
    <w:rsid w:val="009E2423"/>
    <w:rsid w:val="009E3932"/>
    <w:rsid w:val="009E55D7"/>
    <w:rsid w:val="009F2B30"/>
    <w:rsid w:val="009F4150"/>
    <w:rsid w:val="009F4B9E"/>
    <w:rsid w:val="009F5665"/>
    <w:rsid w:val="009F5DAD"/>
    <w:rsid w:val="00A01BCA"/>
    <w:rsid w:val="00A10458"/>
    <w:rsid w:val="00A153B6"/>
    <w:rsid w:val="00A164D5"/>
    <w:rsid w:val="00A24413"/>
    <w:rsid w:val="00A273C3"/>
    <w:rsid w:val="00A30C37"/>
    <w:rsid w:val="00A333EA"/>
    <w:rsid w:val="00A36C65"/>
    <w:rsid w:val="00A417EC"/>
    <w:rsid w:val="00A41BBE"/>
    <w:rsid w:val="00A452ED"/>
    <w:rsid w:val="00A45BDD"/>
    <w:rsid w:val="00A46A0A"/>
    <w:rsid w:val="00A472A2"/>
    <w:rsid w:val="00A47C14"/>
    <w:rsid w:val="00A553F8"/>
    <w:rsid w:val="00A5738A"/>
    <w:rsid w:val="00A6708F"/>
    <w:rsid w:val="00A71BF6"/>
    <w:rsid w:val="00A86F9A"/>
    <w:rsid w:val="00A92495"/>
    <w:rsid w:val="00AA1119"/>
    <w:rsid w:val="00AA35E6"/>
    <w:rsid w:val="00AA50B6"/>
    <w:rsid w:val="00AB3472"/>
    <w:rsid w:val="00AD0762"/>
    <w:rsid w:val="00AE4452"/>
    <w:rsid w:val="00AE7C38"/>
    <w:rsid w:val="00AF6F29"/>
    <w:rsid w:val="00B01F99"/>
    <w:rsid w:val="00B02B37"/>
    <w:rsid w:val="00B05276"/>
    <w:rsid w:val="00B05EDC"/>
    <w:rsid w:val="00B132DB"/>
    <w:rsid w:val="00B30DE8"/>
    <w:rsid w:val="00B31427"/>
    <w:rsid w:val="00B33861"/>
    <w:rsid w:val="00B345D9"/>
    <w:rsid w:val="00B40DE2"/>
    <w:rsid w:val="00B50210"/>
    <w:rsid w:val="00B53955"/>
    <w:rsid w:val="00B6408A"/>
    <w:rsid w:val="00B7088D"/>
    <w:rsid w:val="00B714B8"/>
    <w:rsid w:val="00B82C2C"/>
    <w:rsid w:val="00B8720B"/>
    <w:rsid w:val="00B876EF"/>
    <w:rsid w:val="00BA4697"/>
    <w:rsid w:val="00BB5378"/>
    <w:rsid w:val="00BC00E6"/>
    <w:rsid w:val="00BC0BD3"/>
    <w:rsid w:val="00BC0C6E"/>
    <w:rsid w:val="00BC1641"/>
    <w:rsid w:val="00BD0107"/>
    <w:rsid w:val="00BE0C33"/>
    <w:rsid w:val="00BE262C"/>
    <w:rsid w:val="00BE6C3D"/>
    <w:rsid w:val="00BF12DC"/>
    <w:rsid w:val="00C07606"/>
    <w:rsid w:val="00C12542"/>
    <w:rsid w:val="00C1584B"/>
    <w:rsid w:val="00C24725"/>
    <w:rsid w:val="00C30BA9"/>
    <w:rsid w:val="00C3541E"/>
    <w:rsid w:val="00C36A8F"/>
    <w:rsid w:val="00C42834"/>
    <w:rsid w:val="00C42FFA"/>
    <w:rsid w:val="00C507D8"/>
    <w:rsid w:val="00C62EAC"/>
    <w:rsid w:val="00C63F9F"/>
    <w:rsid w:val="00C7723C"/>
    <w:rsid w:val="00C8366C"/>
    <w:rsid w:val="00C838F5"/>
    <w:rsid w:val="00CA1AF4"/>
    <w:rsid w:val="00CA6068"/>
    <w:rsid w:val="00CB15E1"/>
    <w:rsid w:val="00CB3D46"/>
    <w:rsid w:val="00CB61AE"/>
    <w:rsid w:val="00CD1A87"/>
    <w:rsid w:val="00CD35F3"/>
    <w:rsid w:val="00CD5C93"/>
    <w:rsid w:val="00CE342B"/>
    <w:rsid w:val="00CF320C"/>
    <w:rsid w:val="00CF3A4B"/>
    <w:rsid w:val="00CF4001"/>
    <w:rsid w:val="00D05837"/>
    <w:rsid w:val="00D11648"/>
    <w:rsid w:val="00D12D8A"/>
    <w:rsid w:val="00D13E0C"/>
    <w:rsid w:val="00D216AE"/>
    <w:rsid w:val="00D25896"/>
    <w:rsid w:val="00D35442"/>
    <w:rsid w:val="00D373A1"/>
    <w:rsid w:val="00D37C0F"/>
    <w:rsid w:val="00D41F7C"/>
    <w:rsid w:val="00D45661"/>
    <w:rsid w:val="00D45943"/>
    <w:rsid w:val="00D47D22"/>
    <w:rsid w:val="00D51777"/>
    <w:rsid w:val="00D51865"/>
    <w:rsid w:val="00D51D0C"/>
    <w:rsid w:val="00D62FEA"/>
    <w:rsid w:val="00D643DC"/>
    <w:rsid w:val="00D67B13"/>
    <w:rsid w:val="00D74140"/>
    <w:rsid w:val="00DA6E56"/>
    <w:rsid w:val="00DB5065"/>
    <w:rsid w:val="00DC6705"/>
    <w:rsid w:val="00DD2DE8"/>
    <w:rsid w:val="00DE1DB2"/>
    <w:rsid w:val="00DE38B4"/>
    <w:rsid w:val="00DE5D02"/>
    <w:rsid w:val="00E005A9"/>
    <w:rsid w:val="00E1166E"/>
    <w:rsid w:val="00E24DC0"/>
    <w:rsid w:val="00E25130"/>
    <w:rsid w:val="00E2519C"/>
    <w:rsid w:val="00E25F2A"/>
    <w:rsid w:val="00E343CF"/>
    <w:rsid w:val="00E41455"/>
    <w:rsid w:val="00E42AD2"/>
    <w:rsid w:val="00E50856"/>
    <w:rsid w:val="00E50B83"/>
    <w:rsid w:val="00E538CC"/>
    <w:rsid w:val="00E54DBA"/>
    <w:rsid w:val="00E63D7C"/>
    <w:rsid w:val="00E640D5"/>
    <w:rsid w:val="00E66C12"/>
    <w:rsid w:val="00E66E2E"/>
    <w:rsid w:val="00E67691"/>
    <w:rsid w:val="00E70E48"/>
    <w:rsid w:val="00E8723B"/>
    <w:rsid w:val="00E92237"/>
    <w:rsid w:val="00E94E11"/>
    <w:rsid w:val="00E951EF"/>
    <w:rsid w:val="00EA0BD1"/>
    <w:rsid w:val="00EA3D54"/>
    <w:rsid w:val="00EA412B"/>
    <w:rsid w:val="00EA56D9"/>
    <w:rsid w:val="00EA5CE3"/>
    <w:rsid w:val="00EB51C1"/>
    <w:rsid w:val="00EB5AE1"/>
    <w:rsid w:val="00EB5E0B"/>
    <w:rsid w:val="00EC183E"/>
    <w:rsid w:val="00EC2171"/>
    <w:rsid w:val="00ED442D"/>
    <w:rsid w:val="00ED70C2"/>
    <w:rsid w:val="00EE18FF"/>
    <w:rsid w:val="00EE489F"/>
    <w:rsid w:val="00F0647F"/>
    <w:rsid w:val="00F10CE3"/>
    <w:rsid w:val="00F14F3B"/>
    <w:rsid w:val="00F16362"/>
    <w:rsid w:val="00F2064D"/>
    <w:rsid w:val="00F207C7"/>
    <w:rsid w:val="00F274A9"/>
    <w:rsid w:val="00F368EA"/>
    <w:rsid w:val="00F36B6D"/>
    <w:rsid w:val="00F43FA3"/>
    <w:rsid w:val="00F44352"/>
    <w:rsid w:val="00F55648"/>
    <w:rsid w:val="00F70046"/>
    <w:rsid w:val="00F748C2"/>
    <w:rsid w:val="00F76C5C"/>
    <w:rsid w:val="00F81EF3"/>
    <w:rsid w:val="00F84496"/>
    <w:rsid w:val="00F85DCB"/>
    <w:rsid w:val="00F86B53"/>
    <w:rsid w:val="00F86F9C"/>
    <w:rsid w:val="00F902A3"/>
    <w:rsid w:val="00F905C4"/>
    <w:rsid w:val="00F90D76"/>
    <w:rsid w:val="00FC002E"/>
    <w:rsid w:val="00FC3AA0"/>
    <w:rsid w:val="00FC4C23"/>
    <w:rsid w:val="00FC5BA7"/>
    <w:rsid w:val="00FC642E"/>
    <w:rsid w:val="00FE2AE4"/>
    <w:rsid w:val="00FE689F"/>
    <w:rsid w:val="00FE7809"/>
    <w:rsid w:val="00FF408B"/>
    <w:rsid w:val="00FF7F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33D9C54"/>
  <w15:docId w15:val="{BE35123A-F306-4AFB-9ED2-EF67C402D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413D97"/>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image" Target="media/image14.png"/><Relationship Id="rId33"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hyperlink" Target="http://www.itsanhonour.gov.au/"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hyperlink" Target="mailto:cdi.editor@health.gov.au"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hyperlink" Target="http://www.health.gov.au/cdi" TargetMode="External"/><Relationship Id="rId30" Type="http://schemas.openxmlformats.org/officeDocument/2006/relationships/hyperlink" Target="mailto:cdi.editor@health.gov.au" TargetMode="External"/><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166C73-4348-4A83-952F-CB34CA224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10722</Words>
  <Characters>63638</Characters>
  <Application>Microsoft Office Word</Application>
  <DocSecurity>0</DocSecurity>
  <Lines>530</Lines>
  <Paragraphs>148</Paragraphs>
  <ScaleCrop>false</ScaleCrop>
  <HeadingPairs>
    <vt:vector size="2" baseType="variant">
      <vt:variant>
        <vt:lpstr>Title</vt:lpstr>
      </vt:variant>
      <vt:variant>
        <vt:i4>1</vt:i4>
      </vt:variant>
    </vt:vector>
  </HeadingPairs>
  <TitlesOfParts>
    <vt:vector size="1" baseType="lpstr">
      <vt:lpstr>Communicable Diseases Intelligence 2020 - Communicable Diseases Intelligence 2020 - COVID-19 Australia: Epidemiology Report 22 Fortnightly reporting period ending 2 August 2020</vt:lpstr>
    </vt:vector>
  </TitlesOfParts>
  <Company>Australian Government, Department of Health</Company>
  <LinksUpToDate>false</LinksUpToDate>
  <CharactersWithSpaces>74212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Communicable Diseases Intelligence 2020 - COVID-19 Australia: Epidemiology Report 22 Fortnightly reporting period ending 2 August 2020</dc:title>
  <dc:subject>This is the twenty-second epidemiological report for coronavirus disease 2019 (COVID-19), reported in Australia as at 23:59 Australian Eastern Standard Time [AEST] 2 August 2020. It includes data on COVID-19 cases diagnosed in Australia, the international situation and a review of current evidence.</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Printed>2018-05-10T02:19:00Z</cp:lastPrinted>
  <dcterms:created xsi:type="dcterms:W3CDTF">2024-08-29T03:20:00Z</dcterms:created>
  <dcterms:modified xsi:type="dcterms:W3CDTF">2024-08-29T03:20:00Z</dcterms:modified>
  <cp:category>Fortnightly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18/8/2020</vt:lpwstr>
  </property>
  <property fmtid="{D5CDD505-2E9C-101B-9397-08002B2CF9AE}" pid="5" name="DOI">
    <vt:lpwstr>https://doi.org/10.33321/cdi.2020.44.69</vt:lpwstr>
  </property>
</Properties>
</file>