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0DC32" w14:textId="77777777" w:rsidR="00DC1B5A" w:rsidRDefault="00DC1B5A" w:rsidP="00DC1B5A">
      <w:pPr>
        <w:pStyle w:val="Title"/>
        <w:rPr>
          <w:sz w:val="24"/>
          <w:szCs w:val="24"/>
        </w:rPr>
      </w:pPr>
      <w:r>
        <w:t xml:space="preserve">COVID-19, Australia: Epidemiology Report 21 </w:t>
      </w:r>
    </w:p>
    <w:p w14:paraId="64AC2CA0" w14:textId="77777777" w:rsidR="00DC1B5A" w:rsidRPr="006B104C" w:rsidRDefault="00DC1B5A" w:rsidP="006B104C">
      <w:pPr>
        <w:pStyle w:val="Subtitle"/>
      </w:pPr>
      <w:r w:rsidRPr="006B104C">
        <w:t xml:space="preserve">Fortnightly reporting period ending 19 July 2020 </w:t>
      </w:r>
    </w:p>
    <w:p w14:paraId="3C38D463" w14:textId="77777777" w:rsidR="00DC1B5A" w:rsidRDefault="00DC1B5A" w:rsidP="00DC1B5A">
      <w:r>
        <w:t>COVID-19 National Incident Room Surveillance Team</w:t>
      </w:r>
    </w:p>
    <w:p w14:paraId="6B38AC3C" w14:textId="77777777" w:rsidR="00DC1B5A" w:rsidRDefault="00DC1B5A" w:rsidP="003D3F6E">
      <w:pPr>
        <w:pStyle w:val="NoSpacing"/>
        <w:rPr>
          <w:rStyle w:val="Emphasis"/>
          <w:b w:val="0"/>
          <w:i w:val="0"/>
        </w:rPr>
      </w:pPr>
      <w:r w:rsidRPr="006B104C">
        <w:rPr>
          <w:rStyle w:val="Emphasis"/>
          <w:b w:val="0"/>
          <w:i w:val="0"/>
        </w:rPr>
        <w:t xml:space="preserve">Unless indicated, the source of all data, including notified cases of COVID-19 and associated deaths, is the National Notifiable Diseases Surveillance System (NNDSS) to </w:t>
      </w:r>
      <w:r w:rsidRPr="006B104C">
        <w:t>19 July</w:t>
      </w:r>
      <w:r w:rsidRPr="004F5B72">
        <w:rPr>
          <w:rStyle w:val="Emphasis"/>
          <w:b w:val="0"/>
        </w:rPr>
        <w:t xml:space="preserve"> </w:t>
      </w:r>
      <w:r w:rsidRPr="006B104C">
        <w:rPr>
          <w:rStyle w:val="Emphasis"/>
          <w:b w:val="0"/>
          <w:i w:val="0"/>
        </w:rPr>
        <w:t>2020. Due to the dynamic nature of NNDSS data, data in this report are subject to retrospective revision and may vary from data reported in published NNDSS reports and reports of notification data by states and territories. Case numbers for the most recent dates of illness onset may be subject to revision, due to reporting delays.</w:t>
      </w:r>
    </w:p>
    <w:p w14:paraId="78346491" w14:textId="77777777" w:rsidR="006E6229" w:rsidRPr="004F5B72" w:rsidRDefault="006E6229" w:rsidP="003D3F6E">
      <w:pPr>
        <w:pStyle w:val="NoSpacing"/>
        <w:rPr>
          <w:i/>
        </w:rPr>
      </w:pPr>
    </w:p>
    <w:tbl>
      <w:tblPr>
        <w:tblStyle w:val="CDI-StandardTable"/>
        <w:tblW w:w="0" w:type="auto"/>
        <w:tblCellMar>
          <w:top w:w="57" w:type="dxa"/>
          <w:left w:w="57" w:type="dxa"/>
          <w:bottom w:w="57" w:type="dxa"/>
          <w:right w:w="57" w:type="dxa"/>
        </w:tblCellMar>
        <w:tblLook w:val="04A0" w:firstRow="1" w:lastRow="0" w:firstColumn="1" w:lastColumn="0" w:noHBand="0" w:noVBand="1"/>
        <w:tblCaption w:val="Confirmed cases in Australia"/>
      </w:tblPr>
      <w:tblGrid>
        <w:gridCol w:w="3396"/>
        <w:gridCol w:w="3396"/>
        <w:gridCol w:w="3396"/>
      </w:tblGrid>
      <w:tr w:rsidR="00FF713C" w:rsidRPr="00FF713C" w14:paraId="2A240743" w14:textId="77777777" w:rsidTr="000E3523">
        <w:trPr>
          <w:cnfStyle w:val="100000000000" w:firstRow="1" w:lastRow="0" w:firstColumn="0" w:lastColumn="0" w:oddVBand="0" w:evenVBand="0" w:oddHBand="0" w:evenHBand="0" w:firstRowFirstColumn="0" w:firstRowLastColumn="0" w:lastRowFirstColumn="0" w:lastRowLastColumn="0"/>
          <w:tblHeader/>
        </w:trPr>
        <w:tc>
          <w:tcPr>
            <w:tcW w:w="3396" w:type="dxa"/>
            <w:hideMark/>
          </w:tcPr>
          <w:p w14:paraId="0D0308BD" w14:textId="77777777" w:rsidR="00DC1B5A" w:rsidRPr="00FF713C" w:rsidRDefault="00DC1B5A">
            <w:pPr>
              <w:pStyle w:val="NormalWeb"/>
              <w:rPr>
                <w:color w:val="FFFFFF" w:themeColor="background1"/>
              </w:rPr>
            </w:pPr>
            <w:r w:rsidRPr="00FF713C">
              <w:rPr>
                <w:color w:val="FFFFFF" w:themeColor="background1"/>
              </w:rPr>
              <w:t>Confirmed cases in Australia</w:t>
            </w:r>
          </w:p>
        </w:tc>
        <w:tc>
          <w:tcPr>
            <w:tcW w:w="3396" w:type="dxa"/>
            <w:hideMark/>
          </w:tcPr>
          <w:p w14:paraId="4872EA17" w14:textId="77777777" w:rsidR="00DC1B5A" w:rsidRPr="00FF713C" w:rsidRDefault="00DC1B5A" w:rsidP="000E3523">
            <w:pPr>
              <w:pStyle w:val="NormalWeb"/>
              <w:jc w:val="center"/>
              <w:rPr>
                <w:color w:val="FFFFFF" w:themeColor="background1"/>
              </w:rPr>
            </w:pPr>
            <w:r w:rsidRPr="00FF713C">
              <w:rPr>
                <w:color w:val="FFFFFF" w:themeColor="background1"/>
              </w:rPr>
              <w:t>As at 19 July 2020</w:t>
            </w:r>
          </w:p>
        </w:tc>
        <w:tc>
          <w:tcPr>
            <w:tcW w:w="3396" w:type="dxa"/>
            <w:hideMark/>
          </w:tcPr>
          <w:p w14:paraId="7B8B4D5E" w14:textId="77777777" w:rsidR="00DC1B5A" w:rsidRPr="00FF713C" w:rsidRDefault="00DC1B5A" w:rsidP="000E3523">
            <w:pPr>
              <w:pStyle w:val="NormalWeb"/>
              <w:jc w:val="center"/>
              <w:rPr>
                <w:color w:val="FFFFFF" w:themeColor="background1"/>
              </w:rPr>
            </w:pPr>
            <w:r w:rsidRPr="00FF713C">
              <w:rPr>
                <w:color w:val="FFFFFF" w:themeColor="background1"/>
                <w:lang w:val="en-US"/>
              </w:rPr>
              <w:t>6 to 19 July</w:t>
            </w:r>
          </w:p>
        </w:tc>
      </w:tr>
      <w:tr w:rsidR="00DC1B5A" w14:paraId="49A38186" w14:textId="77777777" w:rsidTr="000E3523">
        <w:tc>
          <w:tcPr>
            <w:tcW w:w="3396" w:type="dxa"/>
            <w:hideMark/>
          </w:tcPr>
          <w:p w14:paraId="43374F69" w14:textId="77777777" w:rsidR="00DC1B5A" w:rsidRDefault="00DC1B5A">
            <w:pPr>
              <w:pStyle w:val="NormalWeb"/>
            </w:pPr>
            <w:r>
              <w:t>Notifications</w:t>
            </w:r>
          </w:p>
        </w:tc>
        <w:tc>
          <w:tcPr>
            <w:tcW w:w="3396" w:type="dxa"/>
            <w:hideMark/>
          </w:tcPr>
          <w:p w14:paraId="3BEE4038" w14:textId="77777777" w:rsidR="00DC1B5A" w:rsidRDefault="00DC1B5A" w:rsidP="000E3523">
            <w:pPr>
              <w:pStyle w:val="NormalWeb"/>
              <w:jc w:val="center"/>
            </w:pPr>
            <w:r>
              <w:t>12,636</w:t>
            </w:r>
          </w:p>
        </w:tc>
        <w:tc>
          <w:tcPr>
            <w:tcW w:w="3396" w:type="dxa"/>
            <w:hideMark/>
          </w:tcPr>
          <w:p w14:paraId="3E226C5A" w14:textId="77777777" w:rsidR="00DC1B5A" w:rsidRDefault="00DC1B5A" w:rsidP="000E3523">
            <w:pPr>
              <w:pStyle w:val="NormalWeb"/>
              <w:jc w:val="center"/>
            </w:pPr>
            <w:r>
              <w:t>3,791</w:t>
            </w:r>
          </w:p>
        </w:tc>
      </w:tr>
      <w:tr w:rsidR="00DC1B5A" w14:paraId="1BD516C9" w14:textId="77777777" w:rsidTr="000E3523">
        <w:trPr>
          <w:cnfStyle w:val="000000010000" w:firstRow="0" w:lastRow="0" w:firstColumn="0" w:lastColumn="0" w:oddVBand="0" w:evenVBand="0" w:oddHBand="0" w:evenHBand="1" w:firstRowFirstColumn="0" w:firstRowLastColumn="0" w:lastRowFirstColumn="0" w:lastRowLastColumn="0"/>
        </w:trPr>
        <w:tc>
          <w:tcPr>
            <w:tcW w:w="3396" w:type="dxa"/>
            <w:hideMark/>
          </w:tcPr>
          <w:p w14:paraId="20ACE0CD" w14:textId="77777777" w:rsidR="00DC1B5A" w:rsidRDefault="00DC1B5A">
            <w:pPr>
              <w:pStyle w:val="NormalWeb"/>
            </w:pPr>
            <w:r>
              <w:rPr>
                <w:lang w:val="en-US"/>
              </w:rPr>
              <w:t>Deaths</w:t>
            </w:r>
          </w:p>
        </w:tc>
        <w:tc>
          <w:tcPr>
            <w:tcW w:w="3396" w:type="dxa"/>
            <w:hideMark/>
          </w:tcPr>
          <w:p w14:paraId="2338DA43" w14:textId="77777777" w:rsidR="00DC1B5A" w:rsidRDefault="00DC1B5A" w:rsidP="000E3523">
            <w:pPr>
              <w:pStyle w:val="NormalWeb"/>
              <w:jc w:val="center"/>
            </w:pPr>
            <w:r>
              <w:t>147</w:t>
            </w:r>
          </w:p>
        </w:tc>
        <w:tc>
          <w:tcPr>
            <w:tcW w:w="3396" w:type="dxa"/>
            <w:hideMark/>
          </w:tcPr>
          <w:p w14:paraId="571A023F" w14:textId="77777777" w:rsidR="00DC1B5A" w:rsidRDefault="00DC1B5A" w:rsidP="000E3523">
            <w:pPr>
              <w:pStyle w:val="NormalWeb"/>
              <w:jc w:val="center"/>
            </w:pPr>
            <w:r>
              <w:rPr>
                <w:lang w:val="en-US"/>
              </w:rPr>
              <w:t>37</w:t>
            </w:r>
          </w:p>
        </w:tc>
      </w:tr>
    </w:tbl>
    <w:p w14:paraId="58D7E613" w14:textId="77777777" w:rsidR="00DC1B5A" w:rsidRDefault="00DC1B5A" w:rsidP="001C00B0">
      <w:pPr>
        <w:pStyle w:val="Heading1"/>
        <w:spacing w:before="240"/>
        <w:rPr>
          <w:rFonts w:eastAsia="Times New Roman"/>
        </w:rPr>
      </w:pPr>
      <w:r>
        <w:rPr>
          <w:rFonts w:eastAsia="Times New Roman"/>
        </w:rPr>
        <w:t xml:space="preserve">Summary </w:t>
      </w:r>
    </w:p>
    <w:p w14:paraId="6DA2448F" w14:textId="77777777" w:rsidR="00DC1B5A" w:rsidRDefault="00DC1B5A" w:rsidP="00DC1B5A">
      <w:r>
        <w:t xml:space="preserve">Over the past fortnightly reporting period (6 to 19 July): </w:t>
      </w:r>
    </w:p>
    <w:p w14:paraId="052D241B" w14:textId="77777777" w:rsidR="00DC1B5A" w:rsidRPr="00DC1B5A" w:rsidRDefault="00DC1B5A" w:rsidP="00DC1B5A">
      <w:pPr>
        <w:pStyle w:val="ListParagraph"/>
        <w:numPr>
          <w:ilvl w:val="0"/>
          <w:numId w:val="10"/>
        </w:numPr>
        <w:spacing w:before="100" w:beforeAutospacing="1" w:after="100" w:afterAutospacing="1" w:line="240" w:lineRule="auto"/>
        <w:rPr>
          <w:rFonts w:eastAsia="Times New Roman"/>
        </w:rPr>
      </w:pPr>
      <w:r w:rsidRPr="00DC1B5A">
        <w:rPr>
          <w:rFonts w:eastAsia="Times New Roman"/>
        </w:rPr>
        <w:t xml:space="preserve">The number of new cases reported nationally increased from 897 in the previous fortnight (22 June to 5 July) to 3,791 (6 to 19 July). </w:t>
      </w:r>
    </w:p>
    <w:p w14:paraId="2FCEC08E" w14:textId="77777777" w:rsidR="00DC1B5A" w:rsidRPr="00DC1B5A" w:rsidRDefault="00DC1B5A" w:rsidP="00DC1B5A">
      <w:pPr>
        <w:pStyle w:val="ListParagraph"/>
        <w:numPr>
          <w:ilvl w:val="0"/>
          <w:numId w:val="10"/>
        </w:numPr>
        <w:spacing w:before="100" w:beforeAutospacing="1" w:after="100" w:afterAutospacing="1" w:line="240" w:lineRule="auto"/>
        <w:rPr>
          <w:rFonts w:eastAsia="Times New Roman"/>
        </w:rPr>
      </w:pPr>
      <w:r w:rsidRPr="00DC1B5A">
        <w:rPr>
          <w:rFonts w:eastAsia="Times New Roman"/>
        </w:rPr>
        <w:t xml:space="preserve">The large increase in cases is due to multiple epidemiologically-linked outbreaks across a range of settings and locations in Victoria (94%; 3,575 cases), with very few cases reported by other jurisdictions (216) in this reporting period. </w:t>
      </w:r>
    </w:p>
    <w:p w14:paraId="29BDC986" w14:textId="77777777" w:rsidR="00DC1B5A" w:rsidRPr="00DC1B5A" w:rsidRDefault="00DC1B5A" w:rsidP="00DC1B5A">
      <w:pPr>
        <w:pStyle w:val="ListParagraph"/>
        <w:numPr>
          <w:ilvl w:val="0"/>
          <w:numId w:val="10"/>
        </w:numPr>
        <w:spacing w:before="100" w:beforeAutospacing="1" w:after="100" w:afterAutospacing="1" w:line="240" w:lineRule="auto"/>
        <w:rPr>
          <w:rFonts w:eastAsia="Times New Roman"/>
        </w:rPr>
      </w:pPr>
      <w:r w:rsidRPr="00DC1B5A">
        <w:rPr>
          <w:rFonts w:eastAsia="Times New Roman"/>
        </w:rPr>
        <w:t>Of the 3,575 cases reported in Victoria, all except one were reported as locally acquired. The majority of these cases were linked to several outbreaks.</w:t>
      </w:r>
    </w:p>
    <w:p w14:paraId="70E8ED86" w14:textId="77777777" w:rsidR="00DC1B5A" w:rsidRPr="00DC1B5A" w:rsidRDefault="00DC1B5A" w:rsidP="00DC1B5A">
      <w:pPr>
        <w:pStyle w:val="ListParagraph"/>
        <w:numPr>
          <w:ilvl w:val="0"/>
          <w:numId w:val="10"/>
        </w:numPr>
        <w:spacing w:before="100" w:beforeAutospacing="1" w:after="100" w:afterAutospacing="1" w:line="240" w:lineRule="auto"/>
        <w:rPr>
          <w:rFonts w:eastAsia="Times New Roman"/>
        </w:rPr>
      </w:pPr>
      <w:r w:rsidRPr="00DC1B5A">
        <w:rPr>
          <w:rFonts w:eastAsia="Times New Roman"/>
        </w:rPr>
        <w:t xml:space="preserve">Of the 216 cases reported from other jurisdictions, approximately 55% (119 cases) were locally acquired. </w:t>
      </w:r>
    </w:p>
    <w:p w14:paraId="32ED1156" w14:textId="77777777" w:rsidR="00DC1B5A" w:rsidRPr="00DC1B5A" w:rsidRDefault="00DC1B5A" w:rsidP="00DC1B5A">
      <w:pPr>
        <w:pStyle w:val="ListParagraph"/>
        <w:numPr>
          <w:ilvl w:val="0"/>
          <w:numId w:val="10"/>
        </w:numPr>
        <w:spacing w:before="100" w:beforeAutospacing="1" w:after="100" w:afterAutospacing="1" w:line="240" w:lineRule="auto"/>
        <w:rPr>
          <w:rFonts w:eastAsia="Times New Roman"/>
        </w:rPr>
      </w:pPr>
      <w:r w:rsidRPr="00DC1B5A">
        <w:rPr>
          <w:rFonts w:eastAsia="Times New Roman"/>
        </w:rPr>
        <w:t xml:space="preserve">A total of 37 deaths were reported, all from Victoria. </w:t>
      </w:r>
    </w:p>
    <w:p w14:paraId="4BBEDA32" w14:textId="77777777" w:rsidR="00DC1B5A" w:rsidRPr="00DC1B5A" w:rsidRDefault="00DC1B5A" w:rsidP="00DC1B5A">
      <w:pPr>
        <w:pStyle w:val="ListParagraph"/>
        <w:numPr>
          <w:ilvl w:val="0"/>
          <w:numId w:val="10"/>
        </w:numPr>
        <w:spacing w:before="100" w:beforeAutospacing="1" w:after="100" w:afterAutospacing="1" w:line="240" w:lineRule="auto"/>
        <w:rPr>
          <w:rFonts w:eastAsia="Times New Roman"/>
        </w:rPr>
      </w:pPr>
      <w:r w:rsidRPr="00DC1B5A">
        <w:rPr>
          <w:rFonts w:eastAsia="Times New Roman"/>
        </w:rPr>
        <w:t xml:space="preserve">On average, 271 cases were reported each day over the reporting period, an increase from 54 cases per day over the previous reporting period. </w:t>
      </w:r>
    </w:p>
    <w:p w14:paraId="73C594B7" w14:textId="77777777" w:rsidR="00DC1B5A" w:rsidRPr="00DC1B5A" w:rsidRDefault="00DC1B5A" w:rsidP="00DC1B5A">
      <w:pPr>
        <w:pStyle w:val="ListParagraph"/>
        <w:numPr>
          <w:ilvl w:val="0"/>
          <w:numId w:val="10"/>
        </w:numPr>
        <w:spacing w:before="100" w:beforeAutospacing="1" w:after="100" w:afterAutospacing="1" w:line="240" w:lineRule="auto"/>
        <w:rPr>
          <w:rFonts w:eastAsia="Times New Roman"/>
        </w:rPr>
      </w:pPr>
      <w:r w:rsidRPr="00DC1B5A">
        <w:rPr>
          <w:rFonts w:eastAsia="Times New Roman"/>
        </w:rPr>
        <w:t xml:space="preserve">Testing rates have increased across all jurisdictions, predominantly in Victoria, with the nationwide cumulative positivity rate remaining very low at less than 0.5%. </w:t>
      </w:r>
    </w:p>
    <w:p w14:paraId="7DE7278A" w14:textId="77777777" w:rsidR="00DC1B5A" w:rsidRDefault="00DC1B5A" w:rsidP="00DC1B5A">
      <w:pPr>
        <w:pStyle w:val="CDIFigures"/>
      </w:pPr>
      <w:r>
        <w:t>Figure 1: New and cumulative COVID-19 notifications by date of illness onset, Australia</w:t>
      </w:r>
    </w:p>
    <w:p w14:paraId="27E4CB1A" w14:textId="77777777" w:rsidR="00DC1B5A" w:rsidRDefault="00DC1B5A">
      <w:pPr>
        <w:rPr>
          <w:rFonts w:eastAsia="Times New Roman"/>
        </w:rPr>
      </w:pPr>
      <w:r>
        <w:rPr>
          <w:rFonts w:eastAsia="Times New Roman"/>
          <w:noProof/>
        </w:rPr>
        <w:drawing>
          <wp:inline distT="0" distB="0" distL="0" distR="0" wp14:anchorId="509B769A" wp14:editId="3DFCEB07">
            <wp:extent cx="6629400" cy="2512090"/>
            <wp:effectExtent l="0" t="0" r="0" b="2540"/>
            <wp:docPr id="12" name="Picture 12" descr="New and cumulative COVID-19 notifications by date of illness onset, Australia &#10;Bar chart showing COVID-19 notifications by date of illness onset, for the 12,636 Australian cases. Notifications for the cases shown have onset dates ranging from 13 January 2020 to 19 July 2020. The chart also shows the curve of cumulative cases, which rises steeply between 15 and 25 March before levelling off to a much more gradual rise from April through until mid-June, followed by another substantial increase in cases due to an outbreak largely concentrated in Victor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and cumulative COVID-19 notifications by date of illness onset, Australia &#10;Bar chart showing COVID-19 notifications by date of illness onset, for the 12,636 Australian cases. Notifications for the cases shown have onset dates ranging from 13 January 2020 to 19 July 2020. The chart also shows the curve of cumulative cases, which rises steeply between 15 and 25 March before levelling off to a much more gradual rise from April through until mid-June, followed by another substantial increase in cases due to an outbreak largely concentrated in Victoria.&#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6246" cy="2514684"/>
                    </a:xfrm>
                    <a:prstGeom prst="rect">
                      <a:avLst/>
                    </a:prstGeom>
                  </pic:spPr>
                </pic:pic>
              </a:graphicData>
            </a:graphic>
          </wp:inline>
        </w:drawing>
      </w:r>
    </w:p>
    <w:p w14:paraId="0F506290" w14:textId="77777777" w:rsidR="00DC1B5A" w:rsidRDefault="00DC1B5A" w:rsidP="00F94F84">
      <w:r>
        <w:lastRenderedPageBreak/>
        <w:t xml:space="preserve">As at 19 July, a small proportion of cases have experienced severe disease, requiring hospitalisation or intensive care, with some fatalities. The cumulative crude case fatality rate amongst Australian cases is 1.2%. People who are older and have one or more comorbidity are more likely to experience severe disease. </w:t>
      </w:r>
    </w:p>
    <w:p w14:paraId="19E1F80B" w14:textId="77777777" w:rsidR="00DC1B5A" w:rsidRDefault="00DC1B5A" w:rsidP="00F94F84">
      <w:r>
        <w:t xml:space="preserve">Keywords: SARS-CoV-2; novel coronavirus; 2019-nCoV; coronavirus disease 2019; COVID-19; acute respiratory disease; epidemiology; Australia </w:t>
      </w:r>
    </w:p>
    <w:p w14:paraId="0CF58DA6" w14:textId="77777777" w:rsidR="00DC1B5A" w:rsidRPr="00F94F84" w:rsidRDefault="00DC1B5A" w:rsidP="00F94F84">
      <w:pPr>
        <w:pStyle w:val="Heading1"/>
      </w:pPr>
      <w:r w:rsidRPr="00F94F84">
        <w:t xml:space="preserve">In focus: COVID-19 in </w:t>
      </w:r>
      <w:r w:rsidR="005E0CF2">
        <w:t>the</w:t>
      </w:r>
      <w:r w:rsidR="005E0CF2" w:rsidRPr="00F94F84">
        <w:t xml:space="preserve"> </w:t>
      </w:r>
      <w:r w:rsidRPr="00F94F84">
        <w:t xml:space="preserve">Aboriginal and Torres Strait Islander population </w:t>
      </w:r>
    </w:p>
    <w:p w14:paraId="4347D001" w14:textId="77777777" w:rsidR="00DC1B5A" w:rsidRDefault="00DC1B5A" w:rsidP="00F94F84">
      <w:r>
        <w:t>As at 19 July, there have been 99 cases of COVID-19 notified in Aboriginal and Torres Strait Islander persons. This represents approximately 0.8% of all confirmed cases. There were no cases notified in this population between 28 May and 27 June. Since 27 June there has been a slow increase in notifications (Figure 2). To date, there have been no cases in this population reported in the NT, with NSW and Vic reporting 37 cases each (Table 1). Completeness of reporting in the Indigenous field remains steady at 86%.</w:t>
      </w:r>
    </w:p>
    <w:p w14:paraId="350380C5" w14:textId="77777777" w:rsidR="00DC1B5A" w:rsidRDefault="00DC1B5A" w:rsidP="00F94F84">
      <w:pPr>
        <w:pStyle w:val="CDIFigures"/>
      </w:pPr>
      <w:r>
        <w:t>Figure 2: National COVID-19 notifications in Aboriginal and Torres Strait Islander population by notification date, cumulative and new cases, Australia</w:t>
      </w:r>
    </w:p>
    <w:p w14:paraId="626FC734" w14:textId="77777777" w:rsidR="00DC1B5A" w:rsidRDefault="00DC1B5A">
      <w:pPr>
        <w:pStyle w:val="NormalWeb"/>
      </w:pPr>
      <w:r>
        <w:rPr>
          <w:noProof/>
        </w:rPr>
        <w:drawing>
          <wp:inline distT="0" distB="0" distL="0" distR="0" wp14:anchorId="7721D645" wp14:editId="63D00281">
            <wp:extent cx="6629400" cy="4053667"/>
            <wp:effectExtent l="0" t="0" r="0" b="4445"/>
            <wp:docPr id="2" name="Picture 2" descr="Figure 2: National COVID-19 notifications in Aboriginal and Torres Strait Islander population by notification date, cumulative and new cases, Australia &#10;Bar chart showing COVID-19 notifications by date of illness onset, for the 99 Aboriginal and Torres Strait Islander cases. Notifications for the cases shown have onset dates ranging from 12 March 2020 to 19 July 2020. The chart also shows the curve of cumulative cases, which rises during March and April before levelling off to a much more gradual rise through until late June, followed by another substantial increase in cases due to an outbreak largely concentrated in Victor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National COVID-19 notifications in Aboriginal and Torres Strait Islander population by notification date, cumulative and new cases, Australia &#10;Bar chart showing COVID-19 notifications by date of illness onset, for the 99 Aboriginal and Torres Strait Islander cases. Notifications for the cases shown have onset dates ranging from 12 March 2020 to 19 July 2020. The chart also shows the curve of cumulative cases, which rises during March and April before levelling off to a much more gradual rise through until late June, followed by another substantial increase in cases due to an outbreak largely concentrated in Victoria.&#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4215" cy="4056611"/>
                    </a:xfrm>
                    <a:prstGeom prst="rect">
                      <a:avLst/>
                    </a:prstGeom>
                  </pic:spPr>
                </pic:pic>
              </a:graphicData>
            </a:graphic>
          </wp:inline>
        </w:drawing>
      </w:r>
    </w:p>
    <w:p w14:paraId="7539F439" w14:textId="77777777" w:rsidR="00EB6985" w:rsidRDefault="00EB6985">
      <w:pPr>
        <w:rPr>
          <w:b/>
        </w:rPr>
      </w:pPr>
      <w:r>
        <w:br w:type="page"/>
      </w:r>
    </w:p>
    <w:p w14:paraId="4B5B22D8" w14:textId="77777777" w:rsidR="00DC1B5A" w:rsidRDefault="00DC1B5A" w:rsidP="00F94F84">
      <w:pPr>
        <w:pStyle w:val="CDIFigures"/>
      </w:pPr>
      <w:r>
        <w:lastRenderedPageBreak/>
        <w:t>Table 1: COVID-19 notifications among Aboriginal and Torres Strait Islander persons by jurisdiction, source of acquisition and remoteness classification as at 19 July 2020</w:t>
      </w:r>
      <w:r w:rsidRPr="00014234">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notifications among Aboriginal and Torres Strait Islander people, by jurisdiction, source of acquisition and, for locally-acquired cases, by remoteness classification. There have been 99 notifications in Aboriginal and Torres Strait Islander people, with 31 of these cases overseas-acquired. Approximately three-quarters of cases among Aboriginal and Torres Strait Islander people have occurred in New South Wales and Victoria (37 cases each); the Northern Territory is the sole jurisdiction with no such cases. Nationwide, notifications of locally-acquired cases among Aboriginal and Torres Strait Islander people have occurred predominantly within major cities of Australia (51 cases) rather than in inner regional Australia (8 cases), outer regional Australia (7 cases), or remote Australia (one case)."/>
      </w:tblPr>
      <w:tblGrid>
        <w:gridCol w:w="1157"/>
        <w:gridCol w:w="1662"/>
        <w:gridCol w:w="1654"/>
        <w:gridCol w:w="1680"/>
        <w:gridCol w:w="1336"/>
        <w:gridCol w:w="1396"/>
        <w:gridCol w:w="1000"/>
        <w:gridCol w:w="581"/>
      </w:tblGrid>
      <w:tr w:rsidR="003E4097" w:rsidRPr="003E4097" w14:paraId="024E9511" w14:textId="77777777" w:rsidTr="003E4097">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0254A74B" w14:textId="77777777" w:rsidR="00DC1B5A" w:rsidRPr="003E4097" w:rsidRDefault="00DC1B5A">
            <w:pPr>
              <w:pStyle w:val="NormalWeb"/>
              <w:rPr>
                <w:color w:val="FFFFFF" w:themeColor="background1"/>
              </w:rPr>
            </w:pPr>
            <w:r w:rsidRPr="003E4097">
              <w:rPr>
                <w:color w:val="FFFFFF" w:themeColor="background1"/>
              </w:rPr>
              <w:t>Jurisdiction</w:t>
            </w:r>
          </w:p>
        </w:tc>
        <w:tc>
          <w:tcPr>
            <w:tcW w:w="0" w:type="auto"/>
            <w:gridSpan w:val="4"/>
            <w:tcBorders>
              <w:left w:val="single" w:sz="2" w:space="0" w:color="FFFFFF" w:themeColor="background1"/>
              <w:bottom w:val="single" w:sz="2" w:space="0" w:color="FFFFFF" w:themeColor="background1"/>
              <w:right w:val="single" w:sz="2" w:space="0" w:color="FFFFFF" w:themeColor="background1"/>
            </w:tcBorders>
            <w:hideMark/>
          </w:tcPr>
          <w:p w14:paraId="04A28E2A" w14:textId="77777777" w:rsidR="00DC1B5A" w:rsidRPr="003E4097" w:rsidRDefault="00DC1B5A" w:rsidP="003E4097">
            <w:pPr>
              <w:pStyle w:val="NormalWeb"/>
              <w:jc w:val="center"/>
              <w:rPr>
                <w:color w:val="FFFFFF" w:themeColor="background1"/>
              </w:rPr>
            </w:pPr>
            <w:r w:rsidRPr="003E4097">
              <w:rPr>
                <w:color w:val="FFFFFF" w:themeColor="background1"/>
              </w:rPr>
              <w:t xml:space="preserve">Locally </w:t>
            </w:r>
            <w:proofErr w:type="spellStart"/>
            <w:r w:rsidRPr="003E4097">
              <w:rPr>
                <w:color w:val="FFFFFF" w:themeColor="background1"/>
              </w:rPr>
              <w:t>acquired</w:t>
            </w:r>
            <w:r w:rsidRPr="0061634B">
              <w:rPr>
                <w:color w:val="FFFFFF" w:themeColor="background1"/>
                <w:vertAlign w:val="superscript"/>
              </w:rPr>
              <w:t>b</w:t>
            </w:r>
            <w:proofErr w:type="spellEnd"/>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6B349149" w14:textId="77777777" w:rsidR="00DC1B5A" w:rsidRPr="003E4097" w:rsidRDefault="00DC1B5A" w:rsidP="003E4097">
            <w:pPr>
              <w:pStyle w:val="NormalWeb"/>
              <w:jc w:val="center"/>
              <w:rPr>
                <w:color w:val="FFFFFF" w:themeColor="background1"/>
              </w:rPr>
            </w:pPr>
            <w:r w:rsidRPr="003E4097">
              <w:rPr>
                <w:color w:val="FFFFFF" w:themeColor="background1"/>
              </w:rPr>
              <w:t>Overseas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5AB69EE9" w14:textId="77777777" w:rsidR="00DC1B5A" w:rsidRPr="003E4097" w:rsidRDefault="00DC1B5A" w:rsidP="003E4097">
            <w:pPr>
              <w:pStyle w:val="NormalWeb"/>
              <w:jc w:val="center"/>
              <w:rPr>
                <w:color w:val="FFFFFF" w:themeColor="background1"/>
              </w:rPr>
            </w:pPr>
            <w:r w:rsidRPr="003E4097">
              <w:rPr>
                <w:color w:val="FFFFFF" w:themeColor="background1"/>
              </w:rPr>
              <w:t>Unknown</w:t>
            </w:r>
          </w:p>
        </w:tc>
        <w:tc>
          <w:tcPr>
            <w:tcW w:w="0" w:type="auto"/>
            <w:vMerge w:val="restart"/>
            <w:tcBorders>
              <w:left w:val="single" w:sz="2" w:space="0" w:color="FFFFFF" w:themeColor="background1"/>
              <w:bottom w:val="single" w:sz="2" w:space="0" w:color="FFFFFF" w:themeColor="background1"/>
            </w:tcBorders>
            <w:hideMark/>
          </w:tcPr>
          <w:p w14:paraId="2AFB35E0" w14:textId="77777777" w:rsidR="00DC1B5A" w:rsidRPr="003E4097" w:rsidRDefault="00DC1B5A" w:rsidP="003E4097">
            <w:pPr>
              <w:pStyle w:val="NormalWeb"/>
              <w:jc w:val="center"/>
              <w:rPr>
                <w:color w:val="FFFFFF" w:themeColor="background1"/>
              </w:rPr>
            </w:pPr>
            <w:r w:rsidRPr="003E4097">
              <w:rPr>
                <w:color w:val="FFFFFF" w:themeColor="background1"/>
                <w:lang w:val="en-US"/>
              </w:rPr>
              <w:t>Total</w:t>
            </w:r>
          </w:p>
        </w:tc>
      </w:tr>
      <w:tr w:rsidR="003E4097" w:rsidRPr="003E4097" w14:paraId="24FACB0D" w14:textId="77777777" w:rsidTr="003E4097">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1BB9539E" w14:textId="77777777" w:rsidR="00DC1B5A" w:rsidRPr="003E4097" w:rsidRDefault="00DC1B5A">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FC98ED9" w14:textId="77777777" w:rsidR="00DC1B5A" w:rsidRPr="003E4097" w:rsidRDefault="00DC1B5A" w:rsidP="003E4097">
            <w:pPr>
              <w:pStyle w:val="NormalWeb"/>
              <w:jc w:val="center"/>
              <w:rPr>
                <w:color w:val="FFFFFF" w:themeColor="background1"/>
              </w:rPr>
            </w:pPr>
            <w:r w:rsidRPr="003E4097">
              <w:rPr>
                <w:color w:val="FFFFFF" w:themeColor="background1"/>
              </w:rPr>
              <w:t>Major Cities of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279D905" w14:textId="77777777" w:rsidR="00DC1B5A" w:rsidRPr="003E4097" w:rsidRDefault="00DC1B5A" w:rsidP="003E4097">
            <w:pPr>
              <w:pStyle w:val="NormalWeb"/>
              <w:jc w:val="center"/>
              <w:rPr>
                <w:color w:val="FFFFFF" w:themeColor="background1"/>
              </w:rPr>
            </w:pPr>
            <w:r w:rsidRPr="003E4097">
              <w:rPr>
                <w:color w:val="FFFFFF" w:themeColor="background1"/>
              </w:rPr>
              <w:t>Inner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7878BE0" w14:textId="77777777" w:rsidR="00DC1B5A" w:rsidRPr="003E4097" w:rsidRDefault="00DC1B5A" w:rsidP="003E4097">
            <w:pPr>
              <w:pStyle w:val="NormalWeb"/>
              <w:jc w:val="center"/>
              <w:rPr>
                <w:color w:val="FFFFFF" w:themeColor="background1"/>
              </w:rPr>
            </w:pPr>
            <w:r w:rsidRPr="003E4097">
              <w:rPr>
                <w:color w:val="FFFFFF" w:themeColor="background1"/>
              </w:rPr>
              <w:t>Outer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60E0245" w14:textId="77777777" w:rsidR="00DC1B5A" w:rsidRPr="003E4097" w:rsidRDefault="00DC1B5A" w:rsidP="003E4097">
            <w:pPr>
              <w:pStyle w:val="NormalWeb"/>
              <w:jc w:val="center"/>
              <w:rPr>
                <w:color w:val="FFFFFF" w:themeColor="background1"/>
              </w:rPr>
            </w:pPr>
            <w:r w:rsidRPr="003E4097">
              <w:rPr>
                <w:color w:val="FFFFFF" w:themeColor="background1"/>
                <w:lang w:val="en-US"/>
              </w:rPr>
              <w:t>Remote Australia</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0279C825" w14:textId="77777777" w:rsidR="00DC1B5A" w:rsidRPr="003E4097" w:rsidRDefault="00DC1B5A" w:rsidP="003E4097">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14FFD3F7" w14:textId="77777777" w:rsidR="00DC1B5A" w:rsidRPr="003E4097" w:rsidRDefault="00DC1B5A" w:rsidP="003E4097">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tcBorders>
            <w:hideMark/>
          </w:tcPr>
          <w:p w14:paraId="357357C4" w14:textId="77777777" w:rsidR="00DC1B5A" w:rsidRPr="003E4097" w:rsidRDefault="00DC1B5A" w:rsidP="003E4097">
            <w:pPr>
              <w:jc w:val="center"/>
              <w:rPr>
                <w:color w:val="FFFFFF" w:themeColor="background1"/>
                <w:sz w:val="24"/>
                <w:szCs w:val="24"/>
              </w:rPr>
            </w:pPr>
          </w:p>
        </w:tc>
      </w:tr>
      <w:tr w:rsidR="00DC1B5A" w14:paraId="732F8CFF" w14:textId="77777777" w:rsidTr="003E4097">
        <w:tc>
          <w:tcPr>
            <w:tcW w:w="0" w:type="auto"/>
            <w:hideMark/>
          </w:tcPr>
          <w:p w14:paraId="444C8B30" w14:textId="77777777" w:rsidR="00DC1B5A" w:rsidRDefault="00DC1B5A">
            <w:pPr>
              <w:pStyle w:val="NormalWeb"/>
            </w:pPr>
            <w:r>
              <w:t>NSW</w:t>
            </w:r>
          </w:p>
        </w:tc>
        <w:tc>
          <w:tcPr>
            <w:tcW w:w="0" w:type="auto"/>
            <w:hideMark/>
          </w:tcPr>
          <w:p w14:paraId="478485A1" w14:textId="77777777" w:rsidR="00DC1B5A" w:rsidRDefault="00DC1B5A" w:rsidP="003E4097">
            <w:pPr>
              <w:pStyle w:val="NormalWeb"/>
              <w:jc w:val="center"/>
            </w:pPr>
            <w:r>
              <w:t>16</w:t>
            </w:r>
          </w:p>
        </w:tc>
        <w:tc>
          <w:tcPr>
            <w:tcW w:w="0" w:type="auto"/>
            <w:hideMark/>
          </w:tcPr>
          <w:p w14:paraId="42075F7C" w14:textId="77777777" w:rsidR="00DC1B5A" w:rsidRDefault="00DC1B5A" w:rsidP="003E4097">
            <w:pPr>
              <w:pStyle w:val="NormalWeb"/>
              <w:jc w:val="center"/>
            </w:pPr>
            <w:r>
              <w:t>5</w:t>
            </w:r>
          </w:p>
        </w:tc>
        <w:tc>
          <w:tcPr>
            <w:tcW w:w="0" w:type="auto"/>
            <w:hideMark/>
          </w:tcPr>
          <w:p w14:paraId="2FE6E466" w14:textId="77777777" w:rsidR="00DC1B5A" w:rsidRDefault="00DC1B5A" w:rsidP="003E4097">
            <w:pPr>
              <w:pStyle w:val="NormalWeb"/>
              <w:jc w:val="center"/>
            </w:pPr>
            <w:r>
              <w:t>1</w:t>
            </w:r>
          </w:p>
        </w:tc>
        <w:tc>
          <w:tcPr>
            <w:tcW w:w="0" w:type="auto"/>
            <w:hideMark/>
          </w:tcPr>
          <w:p w14:paraId="47D4FA6A" w14:textId="77777777" w:rsidR="00DC1B5A" w:rsidRDefault="00DC1B5A" w:rsidP="003E4097">
            <w:pPr>
              <w:pStyle w:val="NormalWeb"/>
              <w:jc w:val="center"/>
            </w:pPr>
            <w:r>
              <w:t>0</w:t>
            </w:r>
          </w:p>
        </w:tc>
        <w:tc>
          <w:tcPr>
            <w:tcW w:w="0" w:type="auto"/>
            <w:hideMark/>
          </w:tcPr>
          <w:p w14:paraId="50979AC9" w14:textId="77777777" w:rsidR="00DC1B5A" w:rsidRDefault="00DC1B5A" w:rsidP="003E4097">
            <w:pPr>
              <w:pStyle w:val="NormalWeb"/>
              <w:jc w:val="center"/>
            </w:pPr>
            <w:r>
              <w:t>15</w:t>
            </w:r>
          </w:p>
        </w:tc>
        <w:tc>
          <w:tcPr>
            <w:tcW w:w="0" w:type="auto"/>
            <w:hideMark/>
          </w:tcPr>
          <w:p w14:paraId="6319E889" w14:textId="77777777" w:rsidR="00DC1B5A" w:rsidRDefault="00DC1B5A" w:rsidP="003E4097">
            <w:pPr>
              <w:pStyle w:val="NormalWeb"/>
              <w:jc w:val="center"/>
            </w:pPr>
            <w:r>
              <w:t>0</w:t>
            </w:r>
          </w:p>
        </w:tc>
        <w:tc>
          <w:tcPr>
            <w:tcW w:w="0" w:type="auto"/>
            <w:hideMark/>
          </w:tcPr>
          <w:p w14:paraId="73FAAF9A" w14:textId="77777777" w:rsidR="00DC1B5A" w:rsidRDefault="00DC1B5A" w:rsidP="003E4097">
            <w:pPr>
              <w:pStyle w:val="NormalWeb"/>
              <w:jc w:val="center"/>
            </w:pPr>
            <w:r>
              <w:t>37</w:t>
            </w:r>
          </w:p>
        </w:tc>
      </w:tr>
      <w:tr w:rsidR="00DC1B5A" w14:paraId="2489751C" w14:textId="77777777" w:rsidTr="003E4097">
        <w:trPr>
          <w:cnfStyle w:val="000000010000" w:firstRow="0" w:lastRow="0" w:firstColumn="0" w:lastColumn="0" w:oddVBand="0" w:evenVBand="0" w:oddHBand="0" w:evenHBand="1" w:firstRowFirstColumn="0" w:firstRowLastColumn="0" w:lastRowFirstColumn="0" w:lastRowLastColumn="0"/>
        </w:trPr>
        <w:tc>
          <w:tcPr>
            <w:tcW w:w="0" w:type="auto"/>
            <w:hideMark/>
          </w:tcPr>
          <w:p w14:paraId="0240FBC4" w14:textId="77777777" w:rsidR="00DC1B5A" w:rsidRDefault="00DC1B5A">
            <w:pPr>
              <w:pStyle w:val="NormalWeb"/>
            </w:pPr>
            <w:r>
              <w:rPr>
                <w:lang w:val="en-US"/>
              </w:rPr>
              <w:t>Vic</w:t>
            </w:r>
          </w:p>
        </w:tc>
        <w:tc>
          <w:tcPr>
            <w:tcW w:w="0" w:type="auto"/>
            <w:hideMark/>
          </w:tcPr>
          <w:p w14:paraId="12073BB0" w14:textId="77777777" w:rsidR="00DC1B5A" w:rsidRDefault="00DC1B5A" w:rsidP="003E4097">
            <w:pPr>
              <w:pStyle w:val="NormalWeb"/>
              <w:jc w:val="center"/>
            </w:pPr>
            <w:r>
              <w:t>30</w:t>
            </w:r>
          </w:p>
        </w:tc>
        <w:tc>
          <w:tcPr>
            <w:tcW w:w="0" w:type="auto"/>
            <w:hideMark/>
          </w:tcPr>
          <w:p w14:paraId="3A898C3B" w14:textId="77777777" w:rsidR="00DC1B5A" w:rsidRDefault="00DC1B5A" w:rsidP="003E4097">
            <w:pPr>
              <w:pStyle w:val="NormalWeb"/>
              <w:jc w:val="center"/>
            </w:pPr>
            <w:r>
              <w:t>3</w:t>
            </w:r>
          </w:p>
        </w:tc>
        <w:tc>
          <w:tcPr>
            <w:tcW w:w="0" w:type="auto"/>
            <w:hideMark/>
          </w:tcPr>
          <w:p w14:paraId="49D5943E" w14:textId="77777777" w:rsidR="00DC1B5A" w:rsidRDefault="00DC1B5A" w:rsidP="003E4097">
            <w:pPr>
              <w:pStyle w:val="NormalWeb"/>
              <w:jc w:val="center"/>
            </w:pPr>
            <w:r>
              <w:t>1</w:t>
            </w:r>
          </w:p>
        </w:tc>
        <w:tc>
          <w:tcPr>
            <w:tcW w:w="0" w:type="auto"/>
            <w:hideMark/>
          </w:tcPr>
          <w:p w14:paraId="21A4DC14" w14:textId="77777777" w:rsidR="00DC1B5A" w:rsidRDefault="00DC1B5A" w:rsidP="003E4097">
            <w:pPr>
              <w:pStyle w:val="NormalWeb"/>
              <w:jc w:val="center"/>
            </w:pPr>
            <w:r>
              <w:t>0</w:t>
            </w:r>
          </w:p>
        </w:tc>
        <w:tc>
          <w:tcPr>
            <w:tcW w:w="0" w:type="auto"/>
            <w:hideMark/>
          </w:tcPr>
          <w:p w14:paraId="4C9B9EAA" w14:textId="77777777" w:rsidR="00DC1B5A" w:rsidRDefault="00DC1B5A" w:rsidP="003E4097">
            <w:pPr>
              <w:pStyle w:val="NormalWeb"/>
              <w:jc w:val="center"/>
            </w:pPr>
            <w:r>
              <w:t>2</w:t>
            </w:r>
          </w:p>
        </w:tc>
        <w:tc>
          <w:tcPr>
            <w:tcW w:w="0" w:type="auto"/>
            <w:hideMark/>
          </w:tcPr>
          <w:p w14:paraId="0922D0D4" w14:textId="77777777" w:rsidR="00DC1B5A" w:rsidRDefault="00DC1B5A" w:rsidP="003E4097">
            <w:pPr>
              <w:pStyle w:val="NormalWeb"/>
              <w:jc w:val="center"/>
            </w:pPr>
            <w:r>
              <w:t>1</w:t>
            </w:r>
          </w:p>
        </w:tc>
        <w:tc>
          <w:tcPr>
            <w:tcW w:w="0" w:type="auto"/>
            <w:hideMark/>
          </w:tcPr>
          <w:p w14:paraId="17B20C2A" w14:textId="77777777" w:rsidR="00DC1B5A" w:rsidRDefault="00DC1B5A" w:rsidP="003E4097">
            <w:pPr>
              <w:pStyle w:val="NormalWeb"/>
              <w:jc w:val="center"/>
            </w:pPr>
            <w:r>
              <w:t>37</w:t>
            </w:r>
          </w:p>
        </w:tc>
      </w:tr>
      <w:tr w:rsidR="00DC1B5A" w14:paraId="36FD4130" w14:textId="77777777" w:rsidTr="003E4097">
        <w:tc>
          <w:tcPr>
            <w:tcW w:w="0" w:type="auto"/>
            <w:hideMark/>
          </w:tcPr>
          <w:p w14:paraId="485E8272" w14:textId="77777777" w:rsidR="00DC1B5A" w:rsidRDefault="00DC1B5A">
            <w:pPr>
              <w:pStyle w:val="NormalWeb"/>
            </w:pPr>
            <w:r>
              <w:rPr>
                <w:lang w:val="en-US"/>
              </w:rPr>
              <w:t>Qld</w:t>
            </w:r>
          </w:p>
        </w:tc>
        <w:tc>
          <w:tcPr>
            <w:tcW w:w="0" w:type="auto"/>
            <w:hideMark/>
          </w:tcPr>
          <w:p w14:paraId="6CBF2FFF" w14:textId="77777777" w:rsidR="00DC1B5A" w:rsidRDefault="00DC1B5A" w:rsidP="003E4097">
            <w:pPr>
              <w:pStyle w:val="NormalWeb"/>
              <w:jc w:val="center"/>
            </w:pPr>
            <w:r>
              <w:t>3</w:t>
            </w:r>
          </w:p>
        </w:tc>
        <w:tc>
          <w:tcPr>
            <w:tcW w:w="0" w:type="auto"/>
            <w:hideMark/>
          </w:tcPr>
          <w:p w14:paraId="7DA128A4" w14:textId="77777777" w:rsidR="00DC1B5A" w:rsidRDefault="00DC1B5A" w:rsidP="003E4097">
            <w:pPr>
              <w:pStyle w:val="NormalWeb"/>
              <w:jc w:val="center"/>
            </w:pPr>
            <w:r>
              <w:t>0</w:t>
            </w:r>
          </w:p>
        </w:tc>
        <w:tc>
          <w:tcPr>
            <w:tcW w:w="0" w:type="auto"/>
            <w:hideMark/>
          </w:tcPr>
          <w:p w14:paraId="2AA12812" w14:textId="77777777" w:rsidR="00DC1B5A" w:rsidRDefault="00DC1B5A" w:rsidP="003E4097">
            <w:pPr>
              <w:pStyle w:val="NormalWeb"/>
              <w:jc w:val="center"/>
            </w:pPr>
            <w:r>
              <w:t>0</w:t>
            </w:r>
          </w:p>
        </w:tc>
        <w:tc>
          <w:tcPr>
            <w:tcW w:w="0" w:type="auto"/>
            <w:hideMark/>
          </w:tcPr>
          <w:p w14:paraId="038B0433" w14:textId="77777777" w:rsidR="00DC1B5A" w:rsidRDefault="00DC1B5A" w:rsidP="003E4097">
            <w:pPr>
              <w:pStyle w:val="NormalWeb"/>
              <w:jc w:val="center"/>
            </w:pPr>
            <w:r>
              <w:t>0</w:t>
            </w:r>
          </w:p>
        </w:tc>
        <w:tc>
          <w:tcPr>
            <w:tcW w:w="0" w:type="auto"/>
            <w:hideMark/>
          </w:tcPr>
          <w:p w14:paraId="072CBAD9" w14:textId="77777777" w:rsidR="00DC1B5A" w:rsidRDefault="00DC1B5A" w:rsidP="003E4097">
            <w:pPr>
              <w:pStyle w:val="NormalWeb"/>
              <w:jc w:val="center"/>
            </w:pPr>
            <w:r>
              <w:t>6</w:t>
            </w:r>
          </w:p>
        </w:tc>
        <w:tc>
          <w:tcPr>
            <w:tcW w:w="0" w:type="auto"/>
            <w:hideMark/>
          </w:tcPr>
          <w:p w14:paraId="5A08D1A6" w14:textId="77777777" w:rsidR="00DC1B5A" w:rsidRDefault="00DC1B5A" w:rsidP="003E4097">
            <w:pPr>
              <w:pStyle w:val="NormalWeb"/>
              <w:jc w:val="center"/>
            </w:pPr>
            <w:r>
              <w:t>0</w:t>
            </w:r>
          </w:p>
        </w:tc>
        <w:tc>
          <w:tcPr>
            <w:tcW w:w="0" w:type="auto"/>
            <w:hideMark/>
          </w:tcPr>
          <w:p w14:paraId="1F5FBDB3" w14:textId="77777777" w:rsidR="00DC1B5A" w:rsidRDefault="00DC1B5A" w:rsidP="003E4097">
            <w:pPr>
              <w:pStyle w:val="NormalWeb"/>
              <w:jc w:val="center"/>
            </w:pPr>
            <w:r>
              <w:t>9</w:t>
            </w:r>
          </w:p>
        </w:tc>
      </w:tr>
      <w:tr w:rsidR="00DC1B5A" w14:paraId="320C4A03" w14:textId="77777777" w:rsidTr="003E4097">
        <w:trPr>
          <w:cnfStyle w:val="000000010000" w:firstRow="0" w:lastRow="0" w:firstColumn="0" w:lastColumn="0" w:oddVBand="0" w:evenVBand="0" w:oddHBand="0" w:evenHBand="1" w:firstRowFirstColumn="0" w:firstRowLastColumn="0" w:lastRowFirstColumn="0" w:lastRowLastColumn="0"/>
        </w:trPr>
        <w:tc>
          <w:tcPr>
            <w:tcW w:w="0" w:type="auto"/>
            <w:hideMark/>
          </w:tcPr>
          <w:p w14:paraId="2CBA9B04" w14:textId="77777777" w:rsidR="00DC1B5A" w:rsidRDefault="00DC1B5A">
            <w:pPr>
              <w:pStyle w:val="NormalWeb"/>
            </w:pPr>
            <w:r>
              <w:rPr>
                <w:lang w:val="en-US"/>
              </w:rPr>
              <w:t>WA</w:t>
            </w:r>
          </w:p>
        </w:tc>
        <w:tc>
          <w:tcPr>
            <w:tcW w:w="0" w:type="auto"/>
            <w:hideMark/>
          </w:tcPr>
          <w:p w14:paraId="0DD9B45C" w14:textId="77777777" w:rsidR="00DC1B5A" w:rsidRDefault="00DC1B5A" w:rsidP="003E4097">
            <w:pPr>
              <w:pStyle w:val="NormalWeb"/>
              <w:jc w:val="center"/>
            </w:pPr>
            <w:r>
              <w:t>0</w:t>
            </w:r>
          </w:p>
        </w:tc>
        <w:tc>
          <w:tcPr>
            <w:tcW w:w="0" w:type="auto"/>
            <w:hideMark/>
          </w:tcPr>
          <w:p w14:paraId="73E8E0F8" w14:textId="77777777" w:rsidR="00DC1B5A" w:rsidRDefault="00DC1B5A" w:rsidP="003E4097">
            <w:pPr>
              <w:pStyle w:val="NormalWeb"/>
              <w:jc w:val="center"/>
            </w:pPr>
            <w:r>
              <w:t>0</w:t>
            </w:r>
          </w:p>
        </w:tc>
        <w:tc>
          <w:tcPr>
            <w:tcW w:w="0" w:type="auto"/>
            <w:hideMark/>
          </w:tcPr>
          <w:p w14:paraId="480B8919" w14:textId="77777777" w:rsidR="00DC1B5A" w:rsidRDefault="00DC1B5A" w:rsidP="003E4097">
            <w:pPr>
              <w:pStyle w:val="NormalWeb"/>
              <w:jc w:val="center"/>
            </w:pPr>
            <w:r>
              <w:t>0</w:t>
            </w:r>
          </w:p>
        </w:tc>
        <w:tc>
          <w:tcPr>
            <w:tcW w:w="0" w:type="auto"/>
            <w:hideMark/>
          </w:tcPr>
          <w:p w14:paraId="7D97596C" w14:textId="77777777" w:rsidR="00DC1B5A" w:rsidRDefault="00DC1B5A" w:rsidP="003E4097">
            <w:pPr>
              <w:pStyle w:val="NormalWeb"/>
              <w:jc w:val="center"/>
            </w:pPr>
            <w:r>
              <w:t>0</w:t>
            </w:r>
          </w:p>
        </w:tc>
        <w:tc>
          <w:tcPr>
            <w:tcW w:w="0" w:type="auto"/>
            <w:hideMark/>
          </w:tcPr>
          <w:p w14:paraId="324E802B" w14:textId="77777777" w:rsidR="00DC1B5A" w:rsidRDefault="00DC1B5A" w:rsidP="003E4097">
            <w:pPr>
              <w:pStyle w:val="NormalWeb"/>
              <w:jc w:val="center"/>
            </w:pPr>
            <w:r>
              <w:t>1</w:t>
            </w:r>
          </w:p>
        </w:tc>
        <w:tc>
          <w:tcPr>
            <w:tcW w:w="0" w:type="auto"/>
            <w:hideMark/>
          </w:tcPr>
          <w:p w14:paraId="0897B5E2" w14:textId="77777777" w:rsidR="00DC1B5A" w:rsidRDefault="00DC1B5A" w:rsidP="003E4097">
            <w:pPr>
              <w:pStyle w:val="NormalWeb"/>
              <w:jc w:val="center"/>
            </w:pPr>
            <w:r>
              <w:t>0</w:t>
            </w:r>
          </w:p>
        </w:tc>
        <w:tc>
          <w:tcPr>
            <w:tcW w:w="0" w:type="auto"/>
            <w:hideMark/>
          </w:tcPr>
          <w:p w14:paraId="3F2964C9" w14:textId="77777777" w:rsidR="00DC1B5A" w:rsidRDefault="00DC1B5A" w:rsidP="003E4097">
            <w:pPr>
              <w:pStyle w:val="NormalWeb"/>
              <w:jc w:val="center"/>
            </w:pPr>
            <w:r>
              <w:t>1</w:t>
            </w:r>
          </w:p>
        </w:tc>
      </w:tr>
      <w:tr w:rsidR="00DC1B5A" w14:paraId="1862A7D9" w14:textId="77777777" w:rsidTr="003E4097">
        <w:tc>
          <w:tcPr>
            <w:tcW w:w="0" w:type="auto"/>
            <w:hideMark/>
          </w:tcPr>
          <w:p w14:paraId="1C802A83" w14:textId="77777777" w:rsidR="00DC1B5A" w:rsidRDefault="00DC1B5A">
            <w:pPr>
              <w:pStyle w:val="NormalWeb"/>
            </w:pPr>
            <w:r>
              <w:rPr>
                <w:lang w:val="en-US"/>
              </w:rPr>
              <w:t>SA</w:t>
            </w:r>
          </w:p>
        </w:tc>
        <w:tc>
          <w:tcPr>
            <w:tcW w:w="0" w:type="auto"/>
            <w:hideMark/>
          </w:tcPr>
          <w:p w14:paraId="7BEB99C2" w14:textId="77777777" w:rsidR="00DC1B5A" w:rsidRDefault="00DC1B5A" w:rsidP="003E4097">
            <w:pPr>
              <w:pStyle w:val="NormalWeb"/>
              <w:jc w:val="center"/>
            </w:pPr>
            <w:r>
              <w:t>2</w:t>
            </w:r>
          </w:p>
        </w:tc>
        <w:tc>
          <w:tcPr>
            <w:tcW w:w="0" w:type="auto"/>
            <w:hideMark/>
          </w:tcPr>
          <w:p w14:paraId="1876B432" w14:textId="77777777" w:rsidR="00DC1B5A" w:rsidRDefault="00DC1B5A" w:rsidP="003E4097">
            <w:pPr>
              <w:pStyle w:val="NormalWeb"/>
              <w:jc w:val="center"/>
            </w:pPr>
            <w:r>
              <w:t>0</w:t>
            </w:r>
          </w:p>
        </w:tc>
        <w:tc>
          <w:tcPr>
            <w:tcW w:w="0" w:type="auto"/>
            <w:hideMark/>
          </w:tcPr>
          <w:p w14:paraId="1CEB9A70" w14:textId="77777777" w:rsidR="00DC1B5A" w:rsidRDefault="00DC1B5A" w:rsidP="003E4097">
            <w:pPr>
              <w:pStyle w:val="NormalWeb"/>
              <w:jc w:val="center"/>
            </w:pPr>
            <w:r>
              <w:t>0</w:t>
            </w:r>
          </w:p>
        </w:tc>
        <w:tc>
          <w:tcPr>
            <w:tcW w:w="0" w:type="auto"/>
            <w:hideMark/>
          </w:tcPr>
          <w:p w14:paraId="15907DFA" w14:textId="77777777" w:rsidR="00DC1B5A" w:rsidRDefault="00DC1B5A" w:rsidP="003E4097">
            <w:pPr>
              <w:pStyle w:val="NormalWeb"/>
              <w:jc w:val="center"/>
            </w:pPr>
            <w:r>
              <w:t>0</w:t>
            </w:r>
          </w:p>
        </w:tc>
        <w:tc>
          <w:tcPr>
            <w:tcW w:w="0" w:type="auto"/>
            <w:hideMark/>
          </w:tcPr>
          <w:p w14:paraId="633D97A4" w14:textId="77777777" w:rsidR="00DC1B5A" w:rsidRDefault="00DC1B5A" w:rsidP="003E4097">
            <w:pPr>
              <w:pStyle w:val="NormalWeb"/>
              <w:jc w:val="center"/>
            </w:pPr>
            <w:r>
              <w:t>0</w:t>
            </w:r>
          </w:p>
        </w:tc>
        <w:tc>
          <w:tcPr>
            <w:tcW w:w="0" w:type="auto"/>
            <w:hideMark/>
          </w:tcPr>
          <w:p w14:paraId="4CEF54C8" w14:textId="77777777" w:rsidR="00DC1B5A" w:rsidRDefault="00DC1B5A" w:rsidP="003E4097">
            <w:pPr>
              <w:pStyle w:val="NormalWeb"/>
              <w:jc w:val="center"/>
            </w:pPr>
            <w:r>
              <w:t>0</w:t>
            </w:r>
          </w:p>
        </w:tc>
        <w:tc>
          <w:tcPr>
            <w:tcW w:w="0" w:type="auto"/>
            <w:hideMark/>
          </w:tcPr>
          <w:p w14:paraId="14944D35" w14:textId="77777777" w:rsidR="00DC1B5A" w:rsidRDefault="00DC1B5A" w:rsidP="003E4097">
            <w:pPr>
              <w:pStyle w:val="NormalWeb"/>
              <w:jc w:val="center"/>
            </w:pPr>
            <w:r>
              <w:t>2</w:t>
            </w:r>
          </w:p>
        </w:tc>
      </w:tr>
      <w:tr w:rsidR="00DC1B5A" w14:paraId="431E352A" w14:textId="77777777" w:rsidTr="003E4097">
        <w:trPr>
          <w:cnfStyle w:val="000000010000" w:firstRow="0" w:lastRow="0" w:firstColumn="0" w:lastColumn="0" w:oddVBand="0" w:evenVBand="0" w:oddHBand="0" w:evenHBand="1" w:firstRowFirstColumn="0" w:firstRowLastColumn="0" w:lastRowFirstColumn="0" w:lastRowLastColumn="0"/>
        </w:trPr>
        <w:tc>
          <w:tcPr>
            <w:tcW w:w="0" w:type="auto"/>
            <w:hideMark/>
          </w:tcPr>
          <w:p w14:paraId="1BCDEF26" w14:textId="77777777" w:rsidR="00DC1B5A" w:rsidRDefault="00DC1B5A">
            <w:pPr>
              <w:pStyle w:val="NormalWeb"/>
            </w:pPr>
            <w:r>
              <w:rPr>
                <w:lang w:val="en-US"/>
              </w:rPr>
              <w:t>Tas</w:t>
            </w:r>
          </w:p>
        </w:tc>
        <w:tc>
          <w:tcPr>
            <w:tcW w:w="0" w:type="auto"/>
            <w:hideMark/>
          </w:tcPr>
          <w:p w14:paraId="465C4AF0" w14:textId="77777777" w:rsidR="00DC1B5A" w:rsidRDefault="00DC1B5A" w:rsidP="003E4097">
            <w:pPr>
              <w:pStyle w:val="NormalWeb"/>
              <w:jc w:val="center"/>
            </w:pPr>
            <w:r>
              <w:t>0</w:t>
            </w:r>
          </w:p>
        </w:tc>
        <w:tc>
          <w:tcPr>
            <w:tcW w:w="0" w:type="auto"/>
            <w:hideMark/>
          </w:tcPr>
          <w:p w14:paraId="5DB3B3A0" w14:textId="77777777" w:rsidR="00DC1B5A" w:rsidRDefault="00DC1B5A" w:rsidP="003E4097">
            <w:pPr>
              <w:pStyle w:val="NormalWeb"/>
              <w:jc w:val="center"/>
            </w:pPr>
            <w:r>
              <w:t>0</w:t>
            </w:r>
          </w:p>
        </w:tc>
        <w:tc>
          <w:tcPr>
            <w:tcW w:w="0" w:type="auto"/>
            <w:hideMark/>
          </w:tcPr>
          <w:p w14:paraId="51FEE42E" w14:textId="77777777" w:rsidR="00DC1B5A" w:rsidRDefault="00DC1B5A" w:rsidP="003E4097">
            <w:pPr>
              <w:pStyle w:val="NormalWeb"/>
              <w:jc w:val="center"/>
            </w:pPr>
            <w:r>
              <w:t>5</w:t>
            </w:r>
          </w:p>
        </w:tc>
        <w:tc>
          <w:tcPr>
            <w:tcW w:w="0" w:type="auto"/>
            <w:hideMark/>
          </w:tcPr>
          <w:p w14:paraId="3A84977F" w14:textId="77777777" w:rsidR="00DC1B5A" w:rsidRDefault="00DC1B5A" w:rsidP="003E4097">
            <w:pPr>
              <w:pStyle w:val="NormalWeb"/>
              <w:jc w:val="center"/>
            </w:pPr>
            <w:r>
              <w:t>1</w:t>
            </w:r>
          </w:p>
        </w:tc>
        <w:tc>
          <w:tcPr>
            <w:tcW w:w="0" w:type="auto"/>
            <w:hideMark/>
          </w:tcPr>
          <w:p w14:paraId="0BB4B45D" w14:textId="77777777" w:rsidR="00DC1B5A" w:rsidRDefault="00DC1B5A" w:rsidP="003E4097">
            <w:pPr>
              <w:pStyle w:val="NormalWeb"/>
              <w:jc w:val="center"/>
            </w:pPr>
            <w:r>
              <w:t>6</w:t>
            </w:r>
          </w:p>
        </w:tc>
        <w:tc>
          <w:tcPr>
            <w:tcW w:w="0" w:type="auto"/>
            <w:hideMark/>
          </w:tcPr>
          <w:p w14:paraId="2E78035E" w14:textId="77777777" w:rsidR="00DC1B5A" w:rsidRDefault="00DC1B5A" w:rsidP="003E4097">
            <w:pPr>
              <w:pStyle w:val="NormalWeb"/>
              <w:jc w:val="center"/>
            </w:pPr>
            <w:r>
              <w:t>0</w:t>
            </w:r>
          </w:p>
        </w:tc>
        <w:tc>
          <w:tcPr>
            <w:tcW w:w="0" w:type="auto"/>
            <w:hideMark/>
          </w:tcPr>
          <w:p w14:paraId="4D25EDBC" w14:textId="77777777" w:rsidR="00DC1B5A" w:rsidRDefault="00DC1B5A" w:rsidP="003E4097">
            <w:pPr>
              <w:pStyle w:val="NormalWeb"/>
              <w:jc w:val="center"/>
            </w:pPr>
            <w:r>
              <w:t>12</w:t>
            </w:r>
          </w:p>
        </w:tc>
      </w:tr>
      <w:tr w:rsidR="00DC1B5A" w14:paraId="7B92E4B0" w14:textId="77777777" w:rsidTr="003E4097">
        <w:tc>
          <w:tcPr>
            <w:tcW w:w="0" w:type="auto"/>
            <w:hideMark/>
          </w:tcPr>
          <w:p w14:paraId="78EA6D5D" w14:textId="77777777" w:rsidR="00DC1B5A" w:rsidRDefault="00DC1B5A">
            <w:pPr>
              <w:pStyle w:val="NormalWeb"/>
            </w:pPr>
            <w:r>
              <w:rPr>
                <w:lang w:val="en-US"/>
              </w:rPr>
              <w:t>NT</w:t>
            </w:r>
          </w:p>
        </w:tc>
        <w:tc>
          <w:tcPr>
            <w:tcW w:w="0" w:type="auto"/>
            <w:hideMark/>
          </w:tcPr>
          <w:p w14:paraId="54727235" w14:textId="77777777" w:rsidR="00DC1B5A" w:rsidRDefault="00DC1B5A" w:rsidP="003E4097">
            <w:pPr>
              <w:pStyle w:val="NormalWeb"/>
              <w:jc w:val="center"/>
            </w:pPr>
            <w:r>
              <w:t>0</w:t>
            </w:r>
          </w:p>
        </w:tc>
        <w:tc>
          <w:tcPr>
            <w:tcW w:w="0" w:type="auto"/>
            <w:hideMark/>
          </w:tcPr>
          <w:p w14:paraId="45944AF9" w14:textId="77777777" w:rsidR="00DC1B5A" w:rsidRDefault="00DC1B5A" w:rsidP="003E4097">
            <w:pPr>
              <w:pStyle w:val="NormalWeb"/>
              <w:jc w:val="center"/>
            </w:pPr>
            <w:r>
              <w:t>0</w:t>
            </w:r>
          </w:p>
        </w:tc>
        <w:tc>
          <w:tcPr>
            <w:tcW w:w="0" w:type="auto"/>
            <w:hideMark/>
          </w:tcPr>
          <w:p w14:paraId="650D05A0" w14:textId="77777777" w:rsidR="00DC1B5A" w:rsidRDefault="00DC1B5A" w:rsidP="003E4097">
            <w:pPr>
              <w:pStyle w:val="NormalWeb"/>
              <w:jc w:val="center"/>
            </w:pPr>
            <w:r>
              <w:t>0</w:t>
            </w:r>
          </w:p>
        </w:tc>
        <w:tc>
          <w:tcPr>
            <w:tcW w:w="0" w:type="auto"/>
            <w:hideMark/>
          </w:tcPr>
          <w:p w14:paraId="3F9DBCCB" w14:textId="77777777" w:rsidR="00DC1B5A" w:rsidRDefault="00DC1B5A" w:rsidP="003E4097">
            <w:pPr>
              <w:pStyle w:val="NormalWeb"/>
              <w:jc w:val="center"/>
            </w:pPr>
            <w:r>
              <w:t>0</w:t>
            </w:r>
          </w:p>
        </w:tc>
        <w:tc>
          <w:tcPr>
            <w:tcW w:w="0" w:type="auto"/>
            <w:hideMark/>
          </w:tcPr>
          <w:p w14:paraId="21608047" w14:textId="77777777" w:rsidR="00DC1B5A" w:rsidRDefault="00DC1B5A" w:rsidP="003E4097">
            <w:pPr>
              <w:pStyle w:val="NormalWeb"/>
              <w:jc w:val="center"/>
            </w:pPr>
            <w:r>
              <w:t>0</w:t>
            </w:r>
          </w:p>
        </w:tc>
        <w:tc>
          <w:tcPr>
            <w:tcW w:w="0" w:type="auto"/>
            <w:hideMark/>
          </w:tcPr>
          <w:p w14:paraId="0E25F70B" w14:textId="77777777" w:rsidR="00DC1B5A" w:rsidRDefault="00DC1B5A" w:rsidP="003E4097">
            <w:pPr>
              <w:pStyle w:val="NormalWeb"/>
              <w:jc w:val="center"/>
            </w:pPr>
            <w:r>
              <w:t>0</w:t>
            </w:r>
          </w:p>
        </w:tc>
        <w:tc>
          <w:tcPr>
            <w:tcW w:w="0" w:type="auto"/>
            <w:hideMark/>
          </w:tcPr>
          <w:p w14:paraId="61830CE7" w14:textId="77777777" w:rsidR="00DC1B5A" w:rsidRDefault="00DC1B5A" w:rsidP="003E4097">
            <w:pPr>
              <w:pStyle w:val="NormalWeb"/>
              <w:jc w:val="center"/>
            </w:pPr>
            <w:r>
              <w:t>0</w:t>
            </w:r>
          </w:p>
        </w:tc>
      </w:tr>
      <w:tr w:rsidR="00DC1B5A" w14:paraId="0158957F" w14:textId="77777777" w:rsidTr="003E4097">
        <w:trPr>
          <w:cnfStyle w:val="000000010000" w:firstRow="0" w:lastRow="0" w:firstColumn="0" w:lastColumn="0" w:oddVBand="0" w:evenVBand="0" w:oddHBand="0" w:evenHBand="1" w:firstRowFirstColumn="0" w:firstRowLastColumn="0" w:lastRowFirstColumn="0" w:lastRowLastColumn="0"/>
        </w:trPr>
        <w:tc>
          <w:tcPr>
            <w:tcW w:w="0" w:type="auto"/>
            <w:hideMark/>
          </w:tcPr>
          <w:p w14:paraId="4D5C2DEC" w14:textId="77777777" w:rsidR="00DC1B5A" w:rsidRDefault="00DC1B5A">
            <w:pPr>
              <w:pStyle w:val="NormalWeb"/>
            </w:pPr>
            <w:r>
              <w:rPr>
                <w:lang w:val="en-US"/>
              </w:rPr>
              <w:t>ACT</w:t>
            </w:r>
          </w:p>
        </w:tc>
        <w:tc>
          <w:tcPr>
            <w:tcW w:w="0" w:type="auto"/>
            <w:hideMark/>
          </w:tcPr>
          <w:p w14:paraId="645A857B" w14:textId="77777777" w:rsidR="00DC1B5A" w:rsidRDefault="00DC1B5A" w:rsidP="003E4097">
            <w:pPr>
              <w:pStyle w:val="NormalWeb"/>
              <w:jc w:val="center"/>
            </w:pPr>
            <w:r>
              <w:t>0</w:t>
            </w:r>
          </w:p>
        </w:tc>
        <w:tc>
          <w:tcPr>
            <w:tcW w:w="0" w:type="auto"/>
            <w:hideMark/>
          </w:tcPr>
          <w:p w14:paraId="7FBFBC36" w14:textId="77777777" w:rsidR="00DC1B5A" w:rsidRDefault="00DC1B5A" w:rsidP="003E4097">
            <w:pPr>
              <w:pStyle w:val="NormalWeb"/>
              <w:jc w:val="center"/>
            </w:pPr>
            <w:r>
              <w:t>0</w:t>
            </w:r>
          </w:p>
        </w:tc>
        <w:tc>
          <w:tcPr>
            <w:tcW w:w="0" w:type="auto"/>
            <w:hideMark/>
          </w:tcPr>
          <w:p w14:paraId="79A45F78" w14:textId="77777777" w:rsidR="00DC1B5A" w:rsidRDefault="00DC1B5A" w:rsidP="003E4097">
            <w:pPr>
              <w:pStyle w:val="NormalWeb"/>
              <w:jc w:val="center"/>
            </w:pPr>
            <w:r>
              <w:t>0</w:t>
            </w:r>
          </w:p>
        </w:tc>
        <w:tc>
          <w:tcPr>
            <w:tcW w:w="0" w:type="auto"/>
            <w:hideMark/>
          </w:tcPr>
          <w:p w14:paraId="31EF888A" w14:textId="77777777" w:rsidR="00DC1B5A" w:rsidRDefault="00DC1B5A" w:rsidP="003E4097">
            <w:pPr>
              <w:pStyle w:val="NormalWeb"/>
              <w:jc w:val="center"/>
            </w:pPr>
            <w:r>
              <w:t>0</w:t>
            </w:r>
          </w:p>
        </w:tc>
        <w:tc>
          <w:tcPr>
            <w:tcW w:w="0" w:type="auto"/>
            <w:hideMark/>
          </w:tcPr>
          <w:p w14:paraId="4D55D90B" w14:textId="77777777" w:rsidR="00DC1B5A" w:rsidRDefault="00DC1B5A" w:rsidP="003E4097">
            <w:pPr>
              <w:pStyle w:val="NormalWeb"/>
              <w:jc w:val="center"/>
            </w:pPr>
            <w:r>
              <w:t>1</w:t>
            </w:r>
          </w:p>
        </w:tc>
        <w:tc>
          <w:tcPr>
            <w:tcW w:w="0" w:type="auto"/>
            <w:hideMark/>
          </w:tcPr>
          <w:p w14:paraId="71745CB3" w14:textId="77777777" w:rsidR="00DC1B5A" w:rsidRDefault="00DC1B5A" w:rsidP="003E4097">
            <w:pPr>
              <w:pStyle w:val="NormalWeb"/>
              <w:jc w:val="center"/>
            </w:pPr>
            <w:r>
              <w:t>0</w:t>
            </w:r>
          </w:p>
        </w:tc>
        <w:tc>
          <w:tcPr>
            <w:tcW w:w="0" w:type="auto"/>
            <w:hideMark/>
          </w:tcPr>
          <w:p w14:paraId="181539D6" w14:textId="77777777" w:rsidR="00DC1B5A" w:rsidRDefault="00DC1B5A" w:rsidP="003E4097">
            <w:pPr>
              <w:pStyle w:val="NormalWeb"/>
              <w:jc w:val="center"/>
            </w:pPr>
            <w:r>
              <w:rPr>
                <w:lang w:val="en-US"/>
              </w:rPr>
              <w:t>1</w:t>
            </w:r>
          </w:p>
        </w:tc>
      </w:tr>
      <w:tr w:rsidR="00DC1B5A" w:rsidRPr="00561D8A" w14:paraId="4D38D6B3" w14:textId="77777777" w:rsidTr="00561D8A">
        <w:tc>
          <w:tcPr>
            <w:tcW w:w="0" w:type="auto"/>
            <w:shd w:val="clear" w:color="auto" w:fill="FDE9D9" w:themeFill="accent6" w:themeFillTint="33"/>
            <w:hideMark/>
          </w:tcPr>
          <w:p w14:paraId="3E6BD8F1" w14:textId="77777777" w:rsidR="00DC1B5A" w:rsidRPr="00561D8A" w:rsidRDefault="00DC1B5A">
            <w:pPr>
              <w:pStyle w:val="NormalWeb"/>
              <w:rPr>
                <w:b/>
              </w:rPr>
            </w:pPr>
            <w:r w:rsidRPr="00561D8A">
              <w:rPr>
                <w:b/>
              </w:rPr>
              <w:t>Total</w:t>
            </w:r>
          </w:p>
        </w:tc>
        <w:tc>
          <w:tcPr>
            <w:tcW w:w="0" w:type="auto"/>
            <w:shd w:val="clear" w:color="auto" w:fill="FDE9D9" w:themeFill="accent6" w:themeFillTint="33"/>
            <w:hideMark/>
          </w:tcPr>
          <w:p w14:paraId="4A6E6B0B" w14:textId="77777777" w:rsidR="00DC1B5A" w:rsidRPr="00561D8A" w:rsidRDefault="00DC1B5A" w:rsidP="003E4097">
            <w:pPr>
              <w:pStyle w:val="NormalWeb"/>
              <w:jc w:val="center"/>
              <w:rPr>
                <w:b/>
              </w:rPr>
            </w:pPr>
            <w:r w:rsidRPr="00561D8A">
              <w:rPr>
                <w:b/>
              </w:rPr>
              <w:t>51</w:t>
            </w:r>
          </w:p>
        </w:tc>
        <w:tc>
          <w:tcPr>
            <w:tcW w:w="0" w:type="auto"/>
            <w:shd w:val="clear" w:color="auto" w:fill="FDE9D9" w:themeFill="accent6" w:themeFillTint="33"/>
            <w:hideMark/>
          </w:tcPr>
          <w:p w14:paraId="090D73F8" w14:textId="77777777" w:rsidR="00DC1B5A" w:rsidRPr="00561D8A" w:rsidRDefault="00DC1B5A" w:rsidP="003E4097">
            <w:pPr>
              <w:pStyle w:val="NormalWeb"/>
              <w:jc w:val="center"/>
              <w:rPr>
                <w:b/>
              </w:rPr>
            </w:pPr>
            <w:r w:rsidRPr="00561D8A">
              <w:rPr>
                <w:b/>
              </w:rPr>
              <w:t>8</w:t>
            </w:r>
          </w:p>
        </w:tc>
        <w:tc>
          <w:tcPr>
            <w:tcW w:w="0" w:type="auto"/>
            <w:shd w:val="clear" w:color="auto" w:fill="FDE9D9" w:themeFill="accent6" w:themeFillTint="33"/>
            <w:hideMark/>
          </w:tcPr>
          <w:p w14:paraId="6426A4F1" w14:textId="77777777" w:rsidR="00DC1B5A" w:rsidRPr="00561D8A" w:rsidRDefault="00DC1B5A" w:rsidP="003E4097">
            <w:pPr>
              <w:pStyle w:val="NormalWeb"/>
              <w:jc w:val="center"/>
              <w:rPr>
                <w:b/>
              </w:rPr>
            </w:pPr>
            <w:r w:rsidRPr="00561D8A">
              <w:rPr>
                <w:b/>
              </w:rPr>
              <w:t>7</w:t>
            </w:r>
          </w:p>
        </w:tc>
        <w:tc>
          <w:tcPr>
            <w:tcW w:w="0" w:type="auto"/>
            <w:shd w:val="clear" w:color="auto" w:fill="FDE9D9" w:themeFill="accent6" w:themeFillTint="33"/>
            <w:hideMark/>
          </w:tcPr>
          <w:p w14:paraId="3992A611" w14:textId="77777777" w:rsidR="00DC1B5A" w:rsidRPr="00561D8A" w:rsidRDefault="00DC1B5A" w:rsidP="003E4097">
            <w:pPr>
              <w:pStyle w:val="NormalWeb"/>
              <w:jc w:val="center"/>
              <w:rPr>
                <w:b/>
              </w:rPr>
            </w:pPr>
            <w:r w:rsidRPr="00561D8A">
              <w:rPr>
                <w:b/>
              </w:rPr>
              <w:t>1</w:t>
            </w:r>
          </w:p>
        </w:tc>
        <w:tc>
          <w:tcPr>
            <w:tcW w:w="0" w:type="auto"/>
            <w:shd w:val="clear" w:color="auto" w:fill="FDE9D9" w:themeFill="accent6" w:themeFillTint="33"/>
            <w:hideMark/>
          </w:tcPr>
          <w:p w14:paraId="49F99EF6" w14:textId="77777777" w:rsidR="00DC1B5A" w:rsidRPr="00561D8A" w:rsidRDefault="00DC1B5A" w:rsidP="003E4097">
            <w:pPr>
              <w:pStyle w:val="NormalWeb"/>
              <w:jc w:val="center"/>
              <w:rPr>
                <w:b/>
              </w:rPr>
            </w:pPr>
            <w:r w:rsidRPr="00561D8A">
              <w:rPr>
                <w:b/>
              </w:rPr>
              <w:t>31</w:t>
            </w:r>
          </w:p>
        </w:tc>
        <w:tc>
          <w:tcPr>
            <w:tcW w:w="0" w:type="auto"/>
            <w:shd w:val="clear" w:color="auto" w:fill="FDE9D9" w:themeFill="accent6" w:themeFillTint="33"/>
            <w:hideMark/>
          </w:tcPr>
          <w:p w14:paraId="08541378" w14:textId="77777777" w:rsidR="00DC1B5A" w:rsidRPr="00561D8A" w:rsidRDefault="00DC1B5A" w:rsidP="003E4097">
            <w:pPr>
              <w:pStyle w:val="NormalWeb"/>
              <w:jc w:val="center"/>
              <w:rPr>
                <w:b/>
              </w:rPr>
            </w:pPr>
            <w:r w:rsidRPr="00561D8A">
              <w:rPr>
                <w:b/>
              </w:rPr>
              <w:t>1</w:t>
            </w:r>
          </w:p>
        </w:tc>
        <w:tc>
          <w:tcPr>
            <w:tcW w:w="0" w:type="auto"/>
            <w:shd w:val="clear" w:color="auto" w:fill="FDE9D9" w:themeFill="accent6" w:themeFillTint="33"/>
            <w:hideMark/>
          </w:tcPr>
          <w:p w14:paraId="1C7B9CBE" w14:textId="77777777" w:rsidR="00DC1B5A" w:rsidRPr="00561D8A" w:rsidRDefault="00DC1B5A" w:rsidP="003E4097">
            <w:pPr>
              <w:pStyle w:val="NormalWeb"/>
              <w:jc w:val="center"/>
              <w:rPr>
                <w:b/>
              </w:rPr>
            </w:pPr>
            <w:r w:rsidRPr="00561D8A">
              <w:rPr>
                <w:b/>
                <w:lang w:val="en-US"/>
              </w:rPr>
              <w:t>99</w:t>
            </w:r>
          </w:p>
        </w:tc>
      </w:tr>
    </w:tbl>
    <w:p w14:paraId="18917B47" w14:textId="77777777" w:rsidR="00DC1B5A" w:rsidRDefault="00DC1B5A" w:rsidP="0061634B">
      <w:pPr>
        <w:pStyle w:val="CDIfootnotes"/>
      </w:pPr>
      <w:r>
        <w:t>a</w:t>
      </w:r>
      <w:r>
        <w:tab/>
        <w:t>Excludes probable cases.</w:t>
      </w:r>
    </w:p>
    <w:p w14:paraId="20331C00" w14:textId="77777777" w:rsidR="00DC1B5A" w:rsidRDefault="00DC1B5A" w:rsidP="0061634B">
      <w:pPr>
        <w:pStyle w:val="CDIfootnotes"/>
      </w:pPr>
      <w:r>
        <w:t>b</w:t>
      </w:r>
      <w:r>
        <w:tab/>
        <w:t>‘Locally acquired’ comprises all cases without an overseas or unknown place of acquisition.</w:t>
      </w:r>
    </w:p>
    <w:p w14:paraId="63C5F13B" w14:textId="77777777" w:rsidR="00DC1B5A" w:rsidRDefault="00A229A2" w:rsidP="00A229A2">
      <w:pPr>
        <w:pStyle w:val="NormalWeb"/>
      </w:pPr>
      <w:r>
        <w:t> </w:t>
      </w:r>
      <w:r w:rsidR="00DC1B5A">
        <w:t xml:space="preserve">Approximately 31% (31) of all cases notified in Aboriginal and Torres Strait Islander persons are reported as being acquired overseas (Table 1), with almost half (14/31) of these cases associated with cruise ships. For locally-acquired cases, 69% are associated with contact with a confirmed case and/or outbreak and 24% are locally acquired with contact unknown. Of the locally-acquired cases: 76% were reported as residing in Major Cities of Australia; 22% were reported as residing in Inner or Outer Regional Australia; and 1% (1) was reported as residing in Remote or Very Remote Australia (Table 1). </w:t>
      </w:r>
    </w:p>
    <w:p w14:paraId="3BC45E58" w14:textId="77777777" w:rsidR="00DC1B5A" w:rsidRDefault="00DC1B5A" w:rsidP="00D26A1D">
      <w:r>
        <w:t>The median age of COVID-19 cases in Aboriginal and Torres Strait Islander persons is 30 years (interquartile range, IQR: 21.5–48.0), which is younger than for non-Indigenous cases [median age 39 years (IQR: 26.0–57.0)]. Cumulatively, Aboriginal and Torres Strait Islander persons are reporting a higher proportion of cases in school-aged children (13%) compared to non-Indigenous cases (6%) and a lower proportion of cases in people aged 65 years and over (8% compared to 12% of non-Indigenous cases) (Figure 3).</w:t>
      </w:r>
    </w:p>
    <w:p w14:paraId="77641DBF" w14:textId="77777777" w:rsidR="00333676" w:rsidRDefault="00333676">
      <w:pPr>
        <w:rPr>
          <w:b/>
        </w:rPr>
      </w:pPr>
      <w:r>
        <w:br w:type="page"/>
      </w:r>
    </w:p>
    <w:p w14:paraId="56D6290A" w14:textId="77777777" w:rsidR="00DC1B5A" w:rsidRDefault="00DC1B5A" w:rsidP="00D26A1D">
      <w:pPr>
        <w:pStyle w:val="CDIFigures"/>
      </w:pPr>
      <w:r>
        <w:lastRenderedPageBreak/>
        <w:t xml:space="preserve">Figure 3: </w:t>
      </w:r>
      <w:r w:rsidR="00F933DA" w:rsidRPr="00F933DA">
        <w:t>National COVID-19 notifications by age group and sex, Aboriginal and Torres Strait Islander persons and non</w:t>
      </w:r>
      <w:r w:rsidR="00F933DA">
        <w:t>-I</w:t>
      </w:r>
      <w:r w:rsidR="00F933DA" w:rsidRPr="00F933DA">
        <w:t xml:space="preserve">ndigenous </w:t>
      </w:r>
      <w:proofErr w:type="spellStart"/>
      <w:r w:rsidR="00F933DA" w:rsidRPr="00F933DA">
        <w:t>Australians</w:t>
      </w:r>
      <w:r w:rsidR="00F933DA" w:rsidRPr="00F933DA">
        <w:rPr>
          <w:vertAlign w:val="superscript"/>
        </w:rPr>
        <w:t>a</w:t>
      </w:r>
      <w:proofErr w:type="spellEnd"/>
    </w:p>
    <w:p w14:paraId="70F139D3" w14:textId="77777777" w:rsidR="00DC1B5A" w:rsidRDefault="00DC1B5A">
      <w:pPr>
        <w:rPr>
          <w:rFonts w:eastAsia="Times New Roman"/>
        </w:rPr>
      </w:pPr>
      <w:r>
        <w:rPr>
          <w:rFonts w:eastAsia="Times New Roman"/>
          <w:noProof/>
        </w:rPr>
        <w:drawing>
          <wp:inline distT="0" distB="0" distL="0" distR="0" wp14:anchorId="68261D95" wp14:editId="333A6F63">
            <wp:extent cx="6717844" cy="3456156"/>
            <wp:effectExtent l="0" t="0" r="6985" b="0"/>
            <wp:docPr id="3" name="Picture 3" descr="&#10;Bar chart comparing notifications of COVID-19, as a function of age and sex, for Aboriginal and Torres Strait Islanders versus non-Indigenous Australians. Notifications are highest for both proportions of the population across the 20–29 year age range regardless of sex.&#10;" title="Figure 3: National COVID-19 notifications by age group and sex, Aboriginal and Torres Strait Islander persons and non-Indigenous Austral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taging\CDESS\ZoFE\CDI\Desktopping\OpenCDI\2020\53-COVID-19 report 21\MS-Word output\tables_and_figures-web-resources\image\figures-a2.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717844" cy="3456156"/>
                    </a:xfrm>
                    <a:prstGeom prst="rect">
                      <a:avLst/>
                    </a:prstGeom>
                  </pic:spPr>
                </pic:pic>
              </a:graphicData>
            </a:graphic>
          </wp:inline>
        </w:drawing>
      </w:r>
    </w:p>
    <w:p w14:paraId="714441A5" w14:textId="77777777" w:rsidR="00DC1B5A" w:rsidRDefault="00DC1B5A" w:rsidP="00BA110F">
      <w:pPr>
        <w:pStyle w:val="CDIfootnotes"/>
      </w:pPr>
      <w:r>
        <w:t>a</w:t>
      </w:r>
      <w:r>
        <w:tab/>
        <w:t>‘</w:t>
      </w:r>
      <w:proofErr w:type="gramStart"/>
      <w:r>
        <w:t>Non-Indigenous’</w:t>
      </w:r>
      <w:proofErr w:type="gramEnd"/>
      <w:r>
        <w:t xml:space="preserve"> includes one person identified as gender X, and 88 non-Indigenous Australians with unknown gender.</w:t>
      </w:r>
    </w:p>
    <w:p w14:paraId="629749A8" w14:textId="77777777" w:rsidR="00DC1B5A" w:rsidRDefault="00DC1B5A" w:rsidP="00BA110F">
      <w:r>
        <w:t>By gender, there is a higher proportion of cases in Aboriginal and Torres Strait Islander females (</w:t>
      </w:r>
      <w:r w:rsidR="00F933DA">
        <w:t>58</w:t>
      </w:r>
      <w:r>
        <w:t>%, 57 cases) than in non-Indigenous females (48%, 6,064 cases). The differences observed in gender for Aboriginal and Torres Strait Islander people likely reflect the small number of cases rather than any specific transmission pattern.</w:t>
      </w:r>
      <w:r w:rsidR="00F933DA">
        <w:t xml:space="preserve"> </w:t>
      </w:r>
      <w:r w:rsidR="00F933DA" w:rsidRPr="00F933DA">
        <w:t>Overall, Aboriginal and Torres Strait Islander males are reporting a slightly higher proportion of cases in the 20–29 year age group (29%) compared to non-Indigenous cases (21%); Aboriginal and Torres Strait Islander females are reporting a higher proportion of cases in the 40–49 year age group (19%) than is seen among non-Indigenous cases (13%) (Figure 3).</w:t>
      </w:r>
      <w:r>
        <w:t xml:space="preserve"> </w:t>
      </w:r>
    </w:p>
    <w:p w14:paraId="60F18F77" w14:textId="77777777" w:rsidR="00DC1B5A" w:rsidRDefault="00DC1B5A" w:rsidP="00BA110F">
      <w:r>
        <w:t xml:space="preserve">Of all cases that have been notified in Aboriginal and Torres Strait Islander persons, 11 cases were reported as requiring hospitalisation (4 male and 7 female). The median age for hospitalisation was 46 years. No cases have been reported as requiring admission to an intensive care unit (ICU) and no COVID-19 related deaths have been reported. </w:t>
      </w:r>
    </w:p>
    <w:p w14:paraId="2E19B57A" w14:textId="77777777" w:rsidR="00DC1B5A" w:rsidRDefault="00DC1B5A" w:rsidP="00BA110F">
      <w:r>
        <w:t xml:space="preserve">Data on symptoms </w:t>
      </w:r>
      <w:r w:rsidR="005E0CF2">
        <w:t xml:space="preserve">are reported for all cases in </w:t>
      </w:r>
      <w:r>
        <w:t xml:space="preserve">Aboriginal and Torres Strait Islander </w:t>
      </w:r>
      <w:r w:rsidR="005E0CF2">
        <w:t>people</w:t>
      </w:r>
      <w:r>
        <w:t>. However, 14% of these are reported as ‘symptoms unknown’. Of the cases with known symptoms, the most common symptoms reported were cough (61%), sore throat (38%)</w:t>
      </w:r>
      <w:r w:rsidR="001E5AFE" w:rsidRPr="001E5AFE">
        <w:t>, fever and headache (35% each)</w:t>
      </w:r>
      <w:r>
        <w:t>. Overall, reported symptoms were similar to the proportions reported in non-Indigenous cases, with headache and cough reported more frequently in</w:t>
      </w:r>
      <w:r w:rsidR="005E0CF2">
        <w:t xml:space="preserve"> cases in</w:t>
      </w:r>
      <w:r>
        <w:t xml:space="preserve"> Aboriginal and Torres Strait Islander </w:t>
      </w:r>
      <w:r w:rsidR="005E0CF2">
        <w:t>people</w:t>
      </w:r>
      <w:r>
        <w:t xml:space="preserve">. </w:t>
      </w:r>
    </w:p>
    <w:p w14:paraId="2B53DCB8" w14:textId="77777777" w:rsidR="00DC1B5A" w:rsidRPr="00BA110F" w:rsidRDefault="00DC1B5A" w:rsidP="00BA110F">
      <w:pPr>
        <w:pStyle w:val="Heading1"/>
      </w:pPr>
      <w:r w:rsidRPr="00BA110F">
        <w:t xml:space="preserve">Australian cases: descriptive epidemiology </w:t>
      </w:r>
    </w:p>
    <w:p w14:paraId="4B4738B0" w14:textId="77777777" w:rsidR="00DC1B5A" w:rsidRPr="00BA110F" w:rsidRDefault="00DC1B5A" w:rsidP="00BA110F">
      <w:pPr>
        <w:pStyle w:val="Heading2"/>
      </w:pPr>
      <w:r w:rsidRPr="00BA110F">
        <w:t xml:space="preserve">National trends </w:t>
      </w:r>
    </w:p>
    <w:p w14:paraId="06569A79" w14:textId="77777777" w:rsidR="00DC1B5A" w:rsidRDefault="00DC1B5A" w:rsidP="00BA110F">
      <w:r>
        <w:t xml:space="preserve">Since the first case of COVID-19 was identified in Australia, all states and territories have experienced COVID-19 cases, with some jurisdictions experiencing higher numbers and more community associated transmission. These </w:t>
      </w:r>
      <w:r>
        <w:lastRenderedPageBreak/>
        <w:t xml:space="preserve">differences arise from factors including state demographics, population size, patterns of overseas arrivals in the beginning of the pandemic, and ongoing repatriation flights being concentrated in Melbourne and Sydney. </w:t>
      </w:r>
    </w:p>
    <w:p w14:paraId="4370C1F7" w14:textId="77777777" w:rsidR="00DC1B5A" w:rsidRDefault="00DC1B5A" w:rsidP="00BA110F">
      <w:r>
        <w:t>In this reporting period, 61% (2,341) of cases are reported as locally acquired in Victoria (Table 2). Due to the scale of the outbreak, 32% (1,230) of all cases reported in this period are under investigation, though they are likely locally</w:t>
      </w:r>
      <w:r w:rsidR="002841FA">
        <w:t> </w:t>
      </w:r>
      <w:r>
        <w:t>acquired.</w:t>
      </w:r>
    </w:p>
    <w:p w14:paraId="57CDE870" w14:textId="77777777" w:rsidR="00DC1B5A" w:rsidRDefault="00DC1B5A" w:rsidP="006C15F5">
      <w:pPr>
        <w:pStyle w:val="CDIFigures"/>
      </w:pPr>
      <w:r>
        <w:t xml:space="preserve">Table 2: COVID-19 notifications by jurisdiction and source of acquisition, 6 to 19 July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COVID-19 notifications by jurisdiction and by source of acquisition, for the current reporting fortnight. Most new COVID-19 notifications (3,575/3,791) have been reported in Victoria, where most cases are locally acquired and a large number of recent cases remain under investigation. In other states and territories, new notifications are predominantly overseas-acquired, with very few cases outside Victoria locally acquired or under investigation."/>
      </w:tblPr>
      <w:tblGrid>
        <w:gridCol w:w="1873"/>
        <w:gridCol w:w="917"/>
        <w:gridCol w:w="918"/>
        <w:gridCol w:w="917"/>
        <w:gridCol w:w="918"/>
        <w:gridCol w:w="918"/>
        <w:gridCol w:w="917"/>
        <w:gridCol w:w="918"/>
        <w:gridCol w:w="918"/>
        <w:gridCol w:w="1226"/>
      </w:tblGrid>
      <w:tr w:rsidR="00405BE3" w:rsidRPr="00405BE3" w14:paraId="364061AD" w14:textId="77777777" w:rsidTr="00AF31D9">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115AE403" w14:textId="77777777" w:rsidR="00DC1B5A" w:rsidRPr="00405BE3" w:rsidRDefault="00DC1B5A">
            <w:pPr>
              <w:pStyle w:val="NormalWeb"/>
              <w:rPr>
                <w:color w:val="FFFFFF" w:themeColor="background1"/>
              </w:rPr>
            </w:pPr>
            <w:r w:rsidRPr="00405BE3">
              <w:rPr>
                <w:color w:val="FFFFFF" w:themeColor="background1"/>
              </w:rPr>
              <w:t xml:space="preserve">Source </w:t>
            </w:r>
          </w:p>
        </w:tc>
        <w:tc>
          <w:tcPr>
            <w:tcW w:w="917" w:type="dxa"/>
            <w:tcBorders>
              <w:left w:val="single" w:sz="2" w:space="0" w:color="FFFFFF" w:themeColor="background1"/>
              <w:right w:val="single" w:sz="2" w:space="0" w:color="FFFFFF" w:themeColor="background1"/>
            </w:tcBorders>
            <w:hideMark/>
          </w:tcPr>
          <w:p w14:paraId="66E9F9F7" w14:textId="77777777" w:rsidR="00DC1B5A" w:rsidRPr="00405BE3" w:rsidRDefault="00DC1B5A" w:rsidP="00405BE3">
            <w:pPr>
              <w:pStyle w:val="NormalWeb"/>
              <w:jc w:val="center"/>
              <w:rPr>
                <w:color w:val="FFFFFF" w:themeColor="background1"/>
              </w:rPr>
            </w:pPr>
            <w:r w:rsidRPr="00405BE3">
              <w:rPr>
                <w:color w:val="FFFFFF" w:themeColor="background1"/>
              </w:rPr>
              <w:t>NSW</w:t>
            </w:r>
          </w:p>
        </w:tc>
        <w:tc>
          <w:tcPr>
            <w:tcW w:w="918" w:type="dxa"/>
            <w:tcBorders>
              <w:left w:val="single" w:sz="2" w:space="0" w:color="FFFFFF" w:themeColor="background1"/>
              <w:right w:val="single" w:sz="2" w:space="0" w:color="FFFFFF" w:themeColor="background1"/>
            </w:tcBorders>
            <w:hideMark/>
          </w:tcPr>
          <w:p w14:paraId="39275F62" w14:textId="77777777" w:rsidR="00DC1B5A" w:rsidRPr="00405BE3" w:rsidRDefault="00DC1B5A" w:rsidP="00405BE3">
            <w:pPr>
              <w:pStyle w:val="NormalWeb"/>
              <w:jc w:val="center"/>
              <w:rPr>
                <w:color w:val="FFFFFF" w:themeColor="background1"/>
              </w:rPr>
            </w:pPr>
            <w:r w:rsidRPr="00405BE3">
              <w:rPr>
                <w:color w:val="FFFFFF" w:themeColor="background1"/>
              </w:rPr>
              <w:t>Vic</w:t>
            </w:r>
          </w:p>
        </w:tc>
        <w:tc>
          <w:tcPr>
            <w:tcW w:w="917" w:type="dxa"/>
            <w:tcBorders>
              <w:left w:val="single" w:sz="2" w:space="0" w:color="FFFFFF" w:themeColor="background1"/>
              <w:right w:val="single" w:sz="2" w:space="0" w:color="FFFFFF" w:themeColor="background1"/>
            </w:tcBorders>
            <w:hideMark/>
          </w:tcPr>
          <w:p w14:paraId="36830699" w14:textId="77777777" w:rsidR="00DC1B5A" w:rsidRPr="00405BE3" w:rsidRDefault="00DC1B5A" w:rsidP="00405BE3">
            <w:pPr>
              <w:pStyle w:val="NormalWeb"/>
              <w:jc w:val="center"/>
              <w:rPr>
                <w:color w:val="FFFFFF" w:themeColor="background1"/>
              </w:rPr>
            </w:pPr>
            <w:r w:rsidRPr="00405BE3">
              <w:rPr>
                <w:color w:val="FFFFFF" w:themeColor="background1"/>
              </w:rPr>
              <w:t>Qld</w:t>
            </w:r>
          </w:p>
        </w:tc>
        <w:tc>
          <w:tcPr>
            <w:tcW w:w="918" w:type="dxa"/>
            <w:tcBorders>
              <w:left w:val="single" w:sz="2" w:space="0" w:color="FFFFFF" w:themeColor="background1"/>
              <w:right w:val="single" w:sz="2" w:space="0" w:color="FFFFFF" w:themeColor="background1"/>
            </w:tcBorders>
            <w:hideMark/>
          </w:tcPr>
          <w:p w14:paraId="5BA0E6CF" w14:textId="77777777" w:rsidR="00DC1B5A" w:rsidRPr="00405BE3" w:rsidRDefault="00DC1B5A" w:rsidP="00405BE3">
            <w:pPr>
              <w:pStyle w:val="NormalWeb"/>
              <w:jc w:val="center"/>
              <w:rPr>
                <w:color w:val="FFFFFF" w:themeColor="background1"/>
              </w:rPr>
            </w:pPr>
            <w:r w:rsidRPr="00405BE3">
              <w:rPr>
                <w:color w:val="FFFFFF" w:themeColor="background1"/>
              </w:rPr>
              <w:t>WA</w:t>
            </w:r>
          </w:p>
        </w:tc>
        <w:tc>
          <w:tcPr>
            <w:tcW w:w="918" w:type="dxa"/>
            <w:tcBorders>
              <w:left w:val="single" w:sz="2" w:space="0" w:color="FFFFFF" w:themeColor="background1"/>
              <w:right w:val="single" w:sz="2" w:space="0" w:color="FFFFFF" w:themeColor="background1"/>
            </w:tcBorders>
            <w:hideMark/>
          </w:tcPr>
          <w:p w14:paraId="46C37B20" w14:textId="77777777" w:rsidR="00DC1B5A" w:rsidRPr="00405BE3" w:rsidRDefault="00DC1B5A" w:rsidP="00405BE3">
            <w:pPr>
              <w:pStyle w:val="NormalWeb"/>
              <w:jc w:val="center"/>
              <w:rPr>
                <w:color w:val="FFFFFF" w:themeColor="background1"/>
              </w:rPr>
            </w:pPr>
            <w:r w:rsidRPr="00405BE3">
              <w:rPr>
                <w:color w:val="FFFFFF" w:themeColor="background1"/>
              </w:rPr>
              <w:t>SA</w:t>
            </w:r>
          </w:p>
        </w:tc>
        <w:tc>
          <w:tcPr>
            <w:tcW w:w="917" w:type="dxa"/>
            <w:tcBorders>
              <w:left w:val="single" w:sz="2" w:space="0" w:color="FFFFFF" w:themeColor="background1"/>
              <w:right w:val="single" w:sz="2" w:space="0" w:color="FFFFFF" w:themeColor="background1"/>
            </w:tcBorders>
            <w:hideMark/>
          </w:tcPr>
          <w:p w14:paraId="545751FE" w14:textId="77777777" w:rsidR="00DC1B5A" w:rsidRPr="00405BE3" w:rsidRDefault="00DC1B5A" w:rsidP="00405BE3">
            <w:pPr>
              <w:pStyle w:val="NormalWeb"/>
              <w:jc w:val="center"/>
              <w:rPr>
                <w:color w:val="FFFFFF" w:themeColor="background1"/>
              </w:rPr>
            </w:pPr>
            <w:r w:rsidRPr="00405BE3">
              <w:rPr>
                <w:color w:val="FFFFFF" w:themeColor="background1"/>
              </w:rPr>
              <w:t>Tas</w:t>
            </w:r>
          </w:p>
        </w:tc>
        <w:tc>
          <w:tcPr>
            <w:tcW w:w="918" w:type="dxa"/>
            <w:tcBorders>
              <w:left w:val="single" w:sz="2" w:space="0" w:color="FFFFFF" w:themeColor="background1"/>
              <w:right w:val="single" w:sz="2" w:space="0" w:color="FFFFFF" w:themeColor="background1"/>
            </w:tcBorders>
            <w:hideMark/>
          </w:tcPr>
          <w:p w14:paraId="34F14F2C" w14:textId="77777777" w:rsidR="00DC1B5A" w:rsidRPr="00405BE3" w:rsidRDefault="00DC1B5A" w:rsidP="00405BE3">
            <w:pPr>
              <w:pStyle w:val="NormalWeb"/>
              <w:jc w:val="center"/>
              <w:rPr>
                <w:color w:val="FFFFFF" w:themeColor="background1"/>
              </w:rPr>
            </w:pPr>
            <w:r w:rsidRPr="00405BE3">
              <w:rPr>
                <w:color w:val="FFFFFF" w:themeColor="background1"/>
              </w:rPr>
              <w:t>NT</w:t>
            </w:r>
          </w:p>
        </w:tc>
        <w:tc>
          <w:tcPr>
            <w:tcW w:w="918" w:type="dxa"/>
            <w:tcBorders>
              <w:left w:val="single" w:sz="2" w:space="0" w:color="FFFFFF" w:themeColor="background1"/>
              <w:right w:val="single" w:sz="2" w:space="0" w:color="FFFFFF" w:themeColor="background1"/>
            </w:tcBorders>
            <w:hideMark/>
          </w:tcPr>
          <w:p w14:paraId="287712EB" w14:textId="77777777" w:rsidR="00DC1B5A" w:rsidRPr="00405BE3" w:rsidRDefault="00DC1B5A" w:rsidP="00405BE3">
            <w:pPr>
              <w:pStyle w:val="NormalWeb"/>
              <w:jc w:val="center"/>
              <w:rPr>
                <w:color w:val="FFFFFF" w:themeColor="background1"/>
              </w:rPr>
            </w:pPr>
            <w:r w:rsidRPr="00405BE3">
              <w:rPr>
                <w:color w:val="FFFFFF" w:themeColor="background1"/>
              </w:rPr>
              <w:t>ACT</w:t>
            </w:r>
          </w:p>
        </w:tc>
        <w:tc>
          <w:tcPr>
            <w:tcW w:w="1226" w:type="dxa"/>
            <w:tcBorders>
              <w:left w:val="single" w:sz="2" w:space="0" w:color="FFFFFF" w:themeColor="background1"/>
            </w:tcBorders>
            <w:hideMark/>
          </w:tcPr>
          <w:p w14:paraId="7B1D833B" w14:textId="77777777" w:rsidR="00DC1B5A" w:rsidRPr="00405BE3" w:rsidRDefault="00DC1B5A" w:rsidP="00405BE3">
            <w:pPr>
              <w:pStyle w:val="NormalWeb"/>
              <w:jc w:val="center"/>
              <w:rPr>
                <w:color w:val="FFFFFF" w:themeColor="background1"/>
              </w:rPr>
            </w:pPr>
            <w:r w:rsidRPr="00405BE3">
              <w:rPr>
                <w:color w:val="FFFFFF" w:themeColor="background1"/>
              </w:rPr>
              <w:t>Australia</w:t>
            </w:r>
          </w:p>
        </w:tc>
      </w:tr>
      <w:tr w:rsidR="00DC1B5A" w14:paraId="0418380A" w14:textId="77777777" w:rsidTr="00405BE3">
        <w:tc>
          <w:tcPr>
            <w:tcW w:w="0" w:type="auto"/>
            <w:hideMark/>
          </w:tcPr>
          <w:p w14:paraId="5EEFEB69" w14:textId="77777777" w:rsidR="00DC1B5A" w:rsidRDefault="00DC1B5A">
            <w:pPr>
              <w:pStyle w:val="NormalWeb"/>
            </w:pPr>
            <w:r>
              <w:t>Overseas</w:t>
            </w:r>
          </w:p>
        </w:tc>
        <w:tc>
          <w:tcPr>
            <w:tcW w:w="917" w:type="dxa"/>
            <w:hideMark/>
          </w:tcPr>
          <w:p w14:paraId="3526F283" w14:textId="77777777" w:rsidR="00DC1B5A" w:rsidRDefault="00DC1B5A" w:rsidP="00405BE3">
            <w:pPr>
              <w:pStyle w:val="NormalWeb"/>
              <w:jc w:val="center"/>
            </w:pPr>
            <w:r>
              <w:t>56</w:t>
            </w:r>
          </w:p>
        </w:tc>
        <w:tc>
          <w:tcPr>
            <w:tcW w:w="918" w:type="dxa"/>
            <w:hideMark/>
          </w:tcPr>
          <w:p w14:paraId="32325D7D" w14:textId="77777777" w:rsidR="00DC1B5A" w:rsidRDefault="00DC1B5A" w:rsidP="00405BE3">
            <w:pPr>
              <w:pStyle w:val="NormalWeb"/>
              <w:jc w:val="center"/>
            </w:pPr>
            <w:r>
              <w:t>1</w:t>
            </w:r>
          </w:p>
        </w:tc>
        <w:tc>
          <w:tcPr>
            <w:tcW w:w="917" w:type="dxa"/>
            <w:hideMark/>
          </w:tcPr>
          <w:p w14:paraId="51394C57" w14:textId="77777777" w:rsidR="00DC1B5A" w:rsidRDefault="00DC1B5A" w:rsidP="00405BE3">
            <w:pPr>
              <w:pStyle w:val="NormalWeb"/>
              <w:jc w:val="center"/>
            </w:pPr>
            <w:r>
              <w:t>5</w:t>
            </w:r>
          </w:p>
        </w:tc>
        <w:tc>
          <w:tcPr>
            <w:tcW w:w="918" w:type="dxa"/>
            <w:hideMark/>
          </w:tcPr>
          <w:p w14:paraId="1E328DD5" w14:textId="77777777" w:rsidR="00DC1B5A" w:rsidRDefault="00DC1B5A" w:rsidP="00405BE3">
            <w:pPr>
              <w:pStyle w:val="NormalWeb"/>
              <w:jc w:val="center"/>
            </w:pPr>
            <w:r>
              <w:t>34</w:t>
            </w:r>
          </w:p>
        </w:tc>
        <w:tc>
          <w:tcPr>
            <w:tcW w:w="918" w:type="dxa"/>
            <w:hideMark/>
          </w:tcPr>
          <w:p w14:paraId="1477F142" w14:textId="77777777" w:rsidR="00DC1B5A" w:rsidRDefault="00DC1B5A" w:rsidP="00405BE3">
            <w:pPr>
              <w:pStyle w:val="NormalWeb"/>
              <w:jc w:val="center"/>
            </w:pPr>
            <w:r>
              <w:t>1</w:t>
            </w:r>
          </w:p>
        </w:tc>
        <w:tc>
          <w:tcPr>
            <w:tcW w:w="917" w:type="dxa"/>
            <w:hideMark/>
          </w:tcPr>
          <w:p w14:paraId="586F3263" w14:textId="77777777" w:rsidR="00DC1B5A" w:rsidRDefault="00DC1B5A" w:rsidP="00405BE3">
            <w:pPr>
              <w:pStyle w:val="NormalWeb"/>
              <w:jc w:val="center"/>
            </w:pPr>
            <w:r>
              <w:t>0</w:t>
            </w:r>
          </w:p>
        </w:tc>
        <w:tc>
          <w:tcPr>
            <w:tcW w:w="918" w:type="dxa"/>
            <w:hideMark/>
          </w:tcPr>
          <w:p w14:paraId="3CECEFC2" w14:textId="77777777" w:rsidR="00DC1B5A" w:rsidRDefault="00DC1B5A" w:rsidP="00405BE3">
            <w:pPr>
              <w:pStyle w:val="NormalWeb"/>
              <w:jc w:val="center"/>
            </w:pPr>
            <w:r>
              <w:t>1</w:t>
            </w:r>
          </w:p>
        </w:tc>
        <w:tc>
          <w:tcPr>
            <w:tcW w:w="918" w:type="dxa"/>
            <w:hideMark/>
          </w:tcPr>
          <w:p w14:paraId="68B6BF9D" w14:textId="77777777" w:rsidR="00DC1B5A" w:rsidRDefault="00DC1B5A" w:rsidP="00405BE3">
            <w:pPr>
              <w:pStyle w:val="NormalWeb"/>
              <w:jc w:val="center"/>
            </w:pPr>
            <w:r>
              <w:t>0</w:t>
            </w:r>
          </w:p>
        </w:tc>
        <w:tc>
          <w:tcPr>
            <w:tcW w:w="1226" w:type="dxa"/>
            <w:hideMark/>
          </w:tcPr>
          <w:p w14:paraId="45E1D795" w14:textId="77777777" w:rsidR="00DC1B5A" w:rsidRDefault="00DC1B5A" w:rsidP="00405BE3">
            <w:pPr>
              <w:pStyle w:val="NormalWeb"/>
              <w:jc w:val="center"/>
            </w:pPr>
            <w:r>
              <w:t>98</w:t>
            </w:r>
          </w:p>
        </w:tc>
      </w:tr>
      <w:tr w:rsidR="00DC1B5A" w14:paraId="70ADFD7D" w14:textId="77777777" w:rsidTr="00405BE3">
        <w:trPr>
          <w:cnfStyle w:val="000000010000" w:firstRow="0" w:lastRow="0" w:firstColumn="0" w:lastColumn="0" w:oddVBand="0" w:evenVBand="0" w:oddHBand="0" w:evenHBand="1" w:firstRowFirstColumn="0" w:firstRowLastColumn="0" w:lastRowFirstColumn="0" w:lastRowLastColumn="0"/>
        </w:trPr>
        <w:tc>
          <w:tcPr>
            <w:tcW w:w="0" w:type="auto"/>
            <w:hideMark/>
          </w:tcPr>
          <w:p w14:paraId="302A80FF" w14:textId="77777777" w:rsidR="00DC1B5A" w:rsidRDefault="00DC1B5A">
            <w:pPr>
              <w:pStyle w:val="NormalWeb"/>
            </w:pPr>
            <w:r>
              <w:t>Local</w:t>
            </w:r>
          </w:p>
        </w:tc>
        <w:tc>
          <w:tcPr>
            <w:tcW w:w="917" w:type="dxa"/>
            <w:hideMark/>
          </w:tcPr>
          <w:p w14:paraId="69A3744D" w14:textId="77777777" w:rsidR="00DC1B5A" w:rsidRDefault="00DC1B5A" w:rsidP="00405BE3">
            <w:pPr>
              <w:pStyle w:val="NormalWeb"/>
              <w:jc w:val="center"/>
            </w:pPr>
            <w:r>
              <w:t>98</w:t>
            </w:r>
          </w:p>
        </w:tc>
        <w:tc>
          <w:tcPr>
            <w:tcW w:w="918" w:type="dxa"/>
            <w:hideMark/>
          </w:tcPr>
          <w:p w14:paraId="3EB19A9E" w14:textId="77777777" w:rsidR="00DC1B5A" w:rsidRDefault="00DC1B5A" w:rsidP="00405BE3">
            <w:pPr>
              <w:pStyle w:val="NormalWeb"/>
              <w:jc w:val="center"/>
            </w:pPr>
            <w:r>
              <w:t>1,587</w:t>
            </w:r>
          </w:p>
        </w:tc>
        <w:tc>
          <w:tcPr>
            <w:tcW w:w="917" w:type="dxa"/>
            <w:hideMark/>
          </w:tcPr>
          <w:p w14:paraId="3E8587C6" w14:textId="77777777" w:rsidR="00DC1B5A" w:rsidRDefault="00DC1B5A" w:rsidP="00405BE3">
            <w:pPr>
              <w:pStyle w:val="NormalWeb"/>
              <w:jc w:val="center"/>
            </w:pPr>
            <w:r>
              <w:t>0</w:t>
            </w:r>
          </w:p>
        </w:tc>
        <w:tc>
          <w:tcPr>
            <w:tcW w:w="918" w:type="dxa"/>
            <w:hideMark/>
          </w:tcPr>
          <w:p w14:paraId="23B691BF" w14:textId="77777777" w:rsidR="00DC1B5A" w:rsidRDefault="00DC1B5A" w:rsidP="00405BE3">
            <w:pPr>
              <w:pStyle w:val="NormalWeb"/>
              <w:jc w:val="center"/>
            </w:pPr>
            <w:r>
              <w:t>1</w:t>
            </w:r>
          </w:p>
        </w:tc>
        <w:tc>
          <w:tcPr>
            <w:tcW w:w="918" w:type="dxa"/>
            <w:hideMark/>
          </w:tcPr>
          <w:p w14:paraId="2E02058F" w14:textId="77777777" w:rsidR="00DC1B5A" w:rsidRDefault="00DC1B5A" w:rsidP="00405BE3">
            <w:pPr>
              <w:pStyle w:val="NormalWeb"/>
              <w:jc w:val="center"/>
            </w:pPr>
            <w:r>
              <w:t>0</w:t>
            </w:r>
          </w:p>
        </w:tc>
        <w:tc>
          <w:tcPr>
            <w:tcW w:w="917" w:type="dxa"/>
            <w:hideMark/>
          </w:tcPr>
          <w:p w14:paraId="1E9C0921" w14:textId="77777777" w:rsidR="00DC1B5A" w:rsidRDefault="00DC1B5A" w:rsidP="00405BE3">
            <w:pPr>
              <w:pStyle w:val="NormalWeb"/>
              <w:jc w:val="center"/>
            </w:pPr>
            <w:r>
              <w:t>0</w:t>
            </w:r>
          </w:p>
        </w:tc>
        <w:tc>
          <w:tcPr>
            <w:tcW w:w="918" w:type="dxa"/>
            <w:hideMark/>
          </w:tcPr>
          <w:p w14:paraId="63170A15" w14:textId="77777777" w:rsidR="00DC1B5A" w:rsidRDefault="00DC1B5A" w:rsidP="00405BE3">
            <w:pPr>
              <w:pStyle w:val="NormalWeb"/>
              <w:jc w:val="center"/>
            </w:pPr>
            <w:r>
              <w:t>0</w:t>
            </w:r>
          </w:p>
        </w:tc>
        <w:tc>
          <w:tcPr>
            <w:tcW w:w="918" w:type="dxa"/>
            <w:hideMark/>
          </w:tcPr>
          <w:p w14:paraId="05EAB255" w14:textId="77777777" w:rsidR="00DC1B5A" w:rsidRDefault="00DC1B5A" w:rsidP="00405BE3">
            <w:pPr>
              <w:pStyle w:val="NormalWeb"/>
              <w:jc w:val="center"/>
            </w:pPr>
            <w:r>
              <w:t>3</w:t>
            </w:r>
          </w:p>
        </w:tc>
        <w:tc>
          <w:tcPr>
            <w:tcW w:w="1226" w:type="dxa"/>
            <w:hideMark/>
          </w:tcPr>
          <w:p w14:paraId="17C80D2C" w14:textId="77777777" w:rsidR="00DC1B5A" w:rsidRDefault="00DC1B5A" w:rsidP="00405BE3">
            <w:pPr>
              <w:pStyle w:val="NormalWeb"/>
              <w:jc w:val="center"/>
            </w:pPr>
            <w:r>
              <w:t>1,689</w:t>
            </w:r>
          </w:p>
        </w:tc>
      </w:tr>
      <w:tr w:rsidR="00DC1B5A" w14:paraId="460FE2D0" w14:textId="77777777" w:rsidTr="00405BE3">
        <w:tc>
          <w:tcPr>
            <w:tcW w:w="0" w:type="auto"/>
            <w:hideMark/>
          </w:tcPr>
          <w:p w14:paraId="5DE2A091" w14:textId="77777777" w:rsidR="00DC1B5A" w:rsidRDefault="00DC1B5A">
            <w:pPr>
              <w:pStyle w:val="NormalWeb"/>
            </w:pPr>
            <w:r>
              <w:t>Local unknown</w:t>
            </w:r>
          </w:p>
        </w:tc>
        <w:tc>
          <w:tcPr>
            <w:tcW w:w="917" w:type="dxa"/>
            <w:hideMark/>
          </w:tcPr>
          <w:p w14:paraId="5A36B3C4" w14:textId="77777777" w:rsidR="00DC1B5A" w:rsidRDefault="00DC1B5A" w:rsidP="00405BE3">
            <w:pPr>
              <w:pStyle w:val="NormalWeb"/>
              <w:jc w:val="center"/>
            </w:pPr>
            <w:r>
              <w:t>9</w:t>
            </w:r>
          </w:p>
        </w:tc>
        <w:tc>
          <w:tcPr>
            <w:tcW w:w="918" w:type="dxa"/>
            <w:hideMark/>
          </w:tcPr>
          <w:p w14:paraId="7F9B3EEA" w14:textId="77777777" w:rsidR="00DC1B5A" w:rsidRDefault="00DC1B5A" w:rsidP="00405BE3">
            <w:pPr>
              <w:pStyle w:val="NormalWeb"/>
              <w:jc w:val="center"/>
            </w:pPr>
            <w:r>
              <w:t>763</w:t>
            </w:r>
          </w:p>
        </w:tc>
        <w:tc>
          <w:tcPr>
            <w:tcW w:w="917" w:type="dxa"/>
            <w:hideMark/>
          </w:tcPr>
          <w:p w14:paraId="01C9999D" w14:textId="77777777" w:rsidR="00DC1B5A" w:rsidRDefault="00DC1B5A" w:rsidP="00405BE3">
            <w:pPr>
              <w:pStyle w:val="NormalWeb"/>
              <w:jc w:val="center"/>
            </w:pPr>
            <w:r>
              <w:t>0</w:t>
            </w:r>
          </w:p>
        </w:tc>
        <w:tc>
          <w:tcPr>
            <w:tcW w:w="918" w:type="dxa"/>
            <w:hideMark/>
          </w:tcPr>
          <w:p w14:paraId="2E16C03A" w14:textId="77777777" w:rsidR="00DC1B5A" w:rsidRDefault="00DC1B5A" w:rsidP="00405BE3">
            <w:pPr>
              <w:pStyle w:val="NormalWeb"/>
              <w:jc w:val="center"/>
            </w:pPr>
            <w:r>
              <w:t>0</w:t>
            </w:r>
          </w:p>
        </w:tc>
        <w:tc>
          <w:tcPr>
            <w:tcW w:w="918" w:type="dxa"/>
            <w:hideMark/>
          </w:tcPr>
          <w:p w14:paraId="39D940A6" w14:textId="77777777" w:rsidR="00DC1B5A" w:rsidRDefault="00DC1B5A" w:rsidP="00405BE3">
            <w:pPr>
              <w:pStyle w:val="NormalWeb"/>
              <w:jc w:val="center"/>
            </w:pPr>
            <w:r>
              <w:t>0</w:t>
            </w:r>
          </w:p>
        </w:tc>
        <w:tc>
          <w:tcPr>
            <w:tcW w:w="917" w:type="dxa"/>
            <w:hideMark/>
          </w:tcPr>
          <w:p w14:paraId="5E91E709" w14:textId="77777777" w:rsidR="00DC1B5A" w:rsidRDefault="00DC1B5A" w:rsidP="00405BE3">
            <w:pPr>
              <w:pStyle w:val="NormalWeb"/>
              <w:jc w:val="center"/>
            </w:pPr>
            <w:r>
              <w:t>0</w:t>
            </w:r>
          </w:p>
        </w:tc>
        <w:tc>
          <w:tcPr>
            <w:tcW w:w="918" w:type="dxa"/>
            <w:hideMark/>
          </w:tcPr>
          <w:p w14:paraId="1E593018" w14:textId="77777777" w:rsidR="00DC1B5A" w:rsidRDefault="00DC1B5A" w:rsidP="00405BE3">
            <w:pPr>
              <w:pStyle w:val="NormalWeb"/>
              <w:jc w:val="center"/>
            </w:pPr>
            <w:r>
              <w:t>0</w:t>
            </w:r>
          </w:p>
        </w:tc>
        <w:tc>
          <w:tcPr>
            <w:tcW w:w="918" w:type="dxa"/>
            <w:hideMark/>
          </w:tcPr>
          <w:p w14:paraId="5E96CACE" w14:textId="77777777" w:rsidR="00DC1B5A" w:rsidRDefault="00DC1B5A" w:rsidP="00405BE3">
            <w:pPr>
              <w:pStyle w:val="NormalWeb"/>
              <w:jc w:val="center"/>
            </w:pPr>
            <w:r>
              <w:t>2</w:t>
            </w:r>
          </w:p>
        </w:tc>
        <w:tc>
          <w:tcPr>
            <w:tcW w:w="1226" w:type="dxa"/>
            <w:hideMark/>
          </w:tcPr>
          <w:p w14:paraId="59EF229E" w14:textId="77777777" w:rsidR="00DC1B5A" w:rsidRDefault="00DC1B5A" w:rsidP="00405BE3">
            <w:pPr>
              <w:pStyle w:val="NormalWeb"/>
              <w:jc w:val="center"/>
            </w:pPr>
            <w:r>
              <w:t>774</w:t>
            </w:r>
          </w:p>
        </w:tc>
      </w:tr>
      <w:tr w:rsidR="00DC1B5A" w14:paraId="580103FA" w14:textId="77777777" w:rsidTr="00405BE3">
        <w:trPr>
          <w:cnfStyle w:val="000000010000" w:firstRow="0" w:lastRow="0" w:firstColumn="0" w:lastColumn="0" w:oddVBand="0" w:evenVBand="0" w:oddHBand="0" w:evenHBand="1" w:firstRowFirstColumn="0" w:firstRowLastColumn="0" w:lastRowFirstColumn="0" w:lastRowLastColumn="0"/>
        </w:trPr>
        <w:tc>
          <w:tcPr>
            <w:tcW w:w="0" w:type="auto"/>
            <w:hideMark/>
          </w:tcPr>
          <w:p w14:paraId="6A7D101D" w14:textId="77777777" w:rsidR="00DC1B5A" w:rsidRDefault="00DC1B5A">
            <w:pPr>
              <w:pStyle w:val="NormalWeb"/>
            </w:pPr>
            <w:r>
              <w:t>Under investigation</w:t>
            </w:r>
          </w:p>
        </w:tc>
        <w:tc>
          <w:tcPr>
            <w:tcW w:w="917" w:type="dxa"/>
            <w:hideMark/>
          </w:tcPr>
          <w:p w14:paraId="5AE01E79" w14:textId="77777777" w:rsidR="00DC1B5A" w:rsidRDefault="00DC1B5A" w:rsidP="00405BE3">
            <w:pPr>
              <w:pStyle w:val="NormalWeb"/>
              <w:jc w:val="center"/>
            </w:pPr>
            <w:r>
              <w:t>6</w:t>
            </w:r>
          </w:p>
        </w:tc>
        <w:tc>
          <w:tcPr>
            <w:tcW w:w="918" w:type="dxa"/>
            <w:hideMark/>
          </w:tcPr>
          <w:p w14:paraId="62FDDE0C" w14:textId="77777777" w:rsidR="00DC1B5A" w:rsidRDefault="00DC1B5A" w:rsidP="00405BE3">
            <w:pPr>
              <w:pStyle w:val="NormalWeb"/>
              <w:jc w:val="center"/>
            </w:pPr>
            <w:r>
              <w:t>1,224</w:t>
            </w:r>
          </w:p>
        </w:tc>
        <w:tc>
          <w:tcPr>
            <w:tcW w:w="917" w:type="dxa"/>
            <w:hideMark/>
          </w:tcPr>
          <w:p w14:paraId="403C673F" w14:textId="77777777" w:rsidR="00DC1B5A" w:rsidRDefault="00DC1B5A" w:rsidP="00405BE3">
            <w:pPr>
              <w:pStyle w:val="NormalWeb"/>
              <w:jc w:val="center"/>
            </w:pPr>
            <w:r>
              <w:t>0</w:t>
            </w:r>
          </w:p>
        </w:tc>
        <w:tc>
          <w:tcPr>
            <w:tcW w:w="918" w:type="dxa"/>
            <w:hideMark/>
          </w:tcPr>
          <w:p w14:paraId="6851C383" w14:textId="77777777" w:rsidR="00DC1B5A" w:rsidRDefault="00DC1B5A" w:rsidP="00405BE3">
            <w:pPr>
              <w:pStyle w:val="NormalWeb"/>
              <w:jc w:val="center"/>
            </w:pPr>
            <w:r>
              <w:t>0</w:t>
            </w:r>
          </w:p>
        </w:tc>
        <w:tc>
          <w:tcPr>
            <w:tcW w:w="918" w:type="dxa"/>
            <w:hideMark/>
          </w:tcPr>
          <w:p w14:paraId="23C65A73" w14:textId="77777777" w:rsidR="00DC1B5A" w:rsidRDefault="00DC1B5A" w:rsidP="00405BE3">
            <w:pPr>
              <w:pStyle w:val="NormalWeb"/>
              <w:jc w:val="center"/>
            </w:pPr>
            <w:r>
              <w:t>0</w:t>
            </w:r>
          </w:p>
        </w:tc>
        <w:tc>
          <w:tcPr>
            <w:tcW w:w="917" w:type="dxa"/>
            <w:hideMark/>
          </w:tcPr>
          <w:p w14:paraId="0B88A9CC" w14:textId="77777777" w:rsidR="00DC1B5A" w:rsidRDefault="00DC1B5A" w:rsidP="00405BE3">
            <w:pPr>
              <w:pStyle w:val="NormalWeb"/>
              <w:jc w:val="center"/>
            </w:pPr>
            <w:r>
              <w:t>0</w:t>
            </w:r>
          </w:p>
        </w:tc>
        <w:tc>
          <w:tcPr>
            <w:tcW w:w="918" w:type="dxa"/>
            <w:hideMark/>
          </w:tcPr>
          <w:p w14:paraId="14E6BD8C" w14:textId="77777777" w:rsidR="00DC1B5A" w:rsidRDefault="00DC1B5A" w:rsidP="00405BE3">
            <w:pPr>
              <w:pStyle w:val="NormalWeb"/>
              <w:jc w:val="center"/>
            </w:pPr>
            <w:r>
              <w:t>0</w:t>
            </w:r>
          </w:p>
        </w:tc>
        <w:tc>
          <w:tcPr>
            <w:tcW w:w="918" w:type="dxa"/>
            <w:hideMark/>
          </w:tcPr>
          <w:p w14:paraId="73024D71" w14:textId="77777777" w:rsidR="00DC1B5A" w:rsidRDefault="00DC1B5A" w:rsidP="00405BE3">
            <w:pPr>
              <w:pStyle w:val="NormalWeb"/>
              <w:jc w:val="center"/>
            </w:pPr>
            <w:r>
              <w:t>0</w:t>
            </w:r>
          </w:p>
        </w:tc>
        <w:tc>
          <w:tcPr>
            <w:tcW w:w="1226" w:type="dxa"/>
            <w:hideMark/>
          </w:tcPr>
          <w:p w14:paraId="3A61E0FC" w14:textId="77777777" w:rsidR="00DC1B5A" w:rsidRDefault="00DC1B5A" w:rsidP="00405BE3">
            <w:pPr>
              <w:pStyle w:val="NormalWeb"/>
              <w:jc w:val="center"/>
            </w:pPr>
            <w:r>
              <w:t>1,230</w:t>
            </w:r>
          </w:p>
        </w:tc>
      </w:tr>
      <w:tr w:rsidR="00DC1B5A" w:rsidRPr="00410536" w14:paraId="42AC4FBC" w14:textId="77777777" w:rsidTr="00410536">
        <w:tc>
          <w:tcPr>
            <w:tcW w:w="0" w:type="auto"/>
            <w:shd w:val="clear" w:color="auto" w:fill="FDE9D9" w:themeFill="accent6" w:themeFillTint="33"/>
            <w:hideMark/>
          </w:tcPr>
          <w:p w14:paraId="3A028542" w14:textId="77777777" w:rsidR="00DC1B5A" w:rsidRPr="00410536" w:rsidRDefault="00DC1B5A">
            <w:pPr>
              <w:pStyle w:val="NormalWeb"/>
              <w:rPr>
                <w:b/>
              </w:rPr>
            </w:pPr>
            <w:r w:rsidRPr="00410536">
              <w:rPr>
                <w:b/>
              </w:rPr>
              <w:t>Total</w:t>
            </w:r>
          </w:p>
        </w:tc>
        <w:tc>
          <w:tcPr>
            <w:tcW w:w="917" w:type="dxa"/>
            <w:shd w:val="clear" w:color="auto" w:fill="FDE9D9" w:themeFill="accent6" w:themeFillTint="33"/>
            <w:hideMark/>
          </w:tcPr>
          <w:p w14:paraId="0DBEFCFC" w14:textId="77777777" w:rsidR="00DC1B5A" w:rsidRPr="00410536" w:rsidRDefault="00DC1B5A" w:rsidP="00405BE3">
            <w:pPr>
              <w:pStyle w:val="NormalWeb"/>
              <w:jc w:val="center"/>
              <w:rPr>
                <w:b/>
              </w:rPr>
            </w:pPr>
            <w:r w:rsidRPr="00410536">
              <w:rPr>
                <w:b/>
              </w:rPr>
              <w:t>169</w:t>
            </w:r>
          </w:p>
        </w:tc>
        <w:tc>
          <w:tcPr>
            <w:tcW w:w="918" w:type="dxa"/>
            <w:shd w:val="clear" w:color="auto" w:fill="FDE9D9" w:themeFill="accent6" w:themeFillTint="33"/>
            <w:hideMark/>
          </w:tcPr>
          <w:p w14:paraId="72FC1860" w14:textId="77777777" w:rsidR="00DC1B5A" w:rsidRPr="00410536" w:rsidRDefault="00DC1B5A" w:rsidP="00405BE3">
            <w:pPr>
              <w:pStyle w:val="NormalWeb"/>
              <w:jc w:val="center"/>
              <w:rPr>
                <w:b/>
              </w:rPr>
            </w:pPr>
            <w:r w:rsidRPr="00410536">
              <w:rPr>
                <w:b/>
              </w:rPr>
              <w:t>3,575</w:t>
            </w:r>
          </w:p>
        </w:tc>
        <w:tc>
          <w:tcPr>
            <w:tcW w:w="917" w:type="dxa"/>
            <w:shd w:val="clear" w:color="auto" w:fill="FDE9D9" w:themeFill="accent6" w:themeFillTint="33"/>
            <w:hideMark/>
          </w:tcPr>
          <w:p w14:paraId="4C4009FE" w14:textId="77777777" w:rsidR="00DC1B5A" w:rsidRPr="00410536" w:rsidRDefault="00DC1B5A" w:rsidP="00405BE3">
            <w:pPr>
              <w:pStyle w:val="NormalWeb"/>
              <w:jc w:val="center"/>
              <w:rPr>
                <w:b/>
              </w:rPr>
            </w:pPr>
            <w:r w:rsidRPr="00410536">
              <w:rPr>
                <w:b/>
              </w:rPr>
              <w:t>5</w:t>
            </w:r>
          </w:p>
        </w:tc>
        <w:tc>
          <w:tcPr>
            <w:tcW w:w="918" w:type="dxa"/>
            <w:shd w:val="clear" w:color="auto" w:fill="FDE9D9" w:themeFill="accent6" w:themeFillTint="33"/>
            <w:hideMark/>
          </w:tcPr>
          <w:p w14:paraId="4FCC3D80" w14:textId="77777777" w:rsidR="00DC1B5A" w:rsidRPr="00410536" w:rsidRDefault="00DC1B5A" w:rsidP="00405BE3">
            <w:pPr>
              <w:pStyle w:val="NormalWeb"/>
              <w:jc w:val="center"/>
              <w:rPr>
                <w:b/>
              </w:rPr>
            </w:pPr>
            <w:r w:rsidRPr="00410536">
              <w:rPr>
                <w:b/>
              </w:rPr>
              <w:t>35</w:t>
            </w:r>
          </w:p>
        </w:tc>
        <w:tc>
          <w:tcPr>
            <w:tcW w:w="918" w:type="dxa"/>
            <w:shd w:val="clear" w:color="auto" w:fill="FDE9D9" w:themeFill="accent6" w:themeFillTint="33"/>
            <w:hideMark/>
          </w:tcPr>
          <w:p w14:paraId="69602460" w14:textId="77777777" w:rsidR="00DC1B5A" w:rsidRPr="00410536" w:rsidRDefault="00DC1B5A" w:rsidP="00405BE3">
            <w:pPr>
              <w:pStyle w:val="NormalWeb"/>
              <w:jc w:val="center"/>
              <w:rPr>
                <w:b/>
              </w:rPr>
            </w:pPr>
            <w:r w:rsidRPr="00410536">
              <w:rPr>
                <w:b/>
              </w:rPr>
              <w:t>1</w:t>
            </w:r>
          </w:p>
        </w:tc>
        <w:tc>
          <w:tcPr>
            <w:tcW w:w="917" w:type="dxa"/>
            <w:shd w:val="clear" w:color="auto" w:fill="FDE9D9" w:themeFill="accent6" w:themeFillTint="33"/>
            <w:hideMark/>
          </w:tcPr>
          <w:p w14:paraId="28605EA7" w14:textId="77777777" w:rsidR="00DC1B5A" w:rsidRPr="00410536" w:rsidRDefault="00DC1B5A" w:rsidP="00405BE3">
            <w:pPr>
              <w:pStyle w:val="NormalWeb"/>
              <w:jc w:val="center"/>
              <w:rPr>
                <w:b/>
              </w:rPr>
            </w:pPr>
            <w:r w:rsidRPr="00410536">
              <w:rPr>
                <w:b/>
              </w:rPr>
              <w:t>0</w:t>
            </w:r>
          </w:p>
        </w:tc>
        <w:tc>
          <w:tcPr>
            <w:tcW w:w="918" w:type="dxa"/>
            <w:shd w:val="clear" w:color="auto" w:fill="FDE9D9" w:themeFill="accent6" w:themeFillTint="33"/>
            <w:hideMark/>
          </w:tcPr>
          <w:p w14:paraId="141BF61A" w14:textId="77777777" w:rsidR="00DC1B5A" w:rsidRPr="00410536" w:rsidRDefault="00DC1B5A" w:rsidP="00405BE3">
            <w:pPr>
              <w:pStyle w:val="NormalWeb"/>
              <w:jc w:val="center"/>
              <w:rPr>
                <w:b/>
              </w:rPr>
            </w:pPr>
            <w:r w:rsidRPr="00410536">
              <w:rPr>
                <w:b/>
              </w:rPr>
              <w:t>1</w:t>
            </w:r>
          </w:p>
        </w:tc>
        <w:tc>
          <w:tcPr>
            <w:tcW w:w="918" w:type="dxa"/>
            <w:shd w:val="clear" w:color="auto" w:fill="FDE9D9" w:themeFill="accent6" w:themeFillTint="33"/>
            <w:hideMark/>
          </w:tcPr>
          <w:p w14:paraId="0FBCF739" w14:textId="77777777" w:rsidR="00DC1B5A" w:rsidRPr="00410536" w:rsidRDefault="00DC1B5A" w:rsidP="00405BE3">
            <w:pPr>
              <w:pStyle w:val="NormalWeb"/>
              <w:jc w:val="center"/>
              <w:rPr>
                <w:b/>
              </w:rPr>
            </w:pPr>
            <w:r w:rsidRPr="00410536">
              <w:rPr>
                <w:b/>
              </w:rPr>
              <w:t>5</w:t>
            </w:r>
          </w:p>
        </w:tc>
        <w:tc>
          <w:tcPr>
            <w:tcW w:w="1226" w:type="dxa"/>
            <w:shd w:val="clear" w:color="auto" w:fill="FDE9D9" w:themeFill="accent6" w:themeFillTint="33"/>
            <w:hideMark/>
          </w:tcPr>
          <w:p w14:paraId="5F650CE3" w14:textId="77777777" w:rsidR="00DC1B5A" w:rsidRPr="00410536" w:rsidRDefault="00DC1B5A" w:rsidP="00405BE3">
            <w:pPr>
              <w:pStyle w:val="NormalWeb"/>
              <w:jc w:val="center"/>
              <w:rPr>
                <w:b/>
              </w:rPr>
            </w:pPr>
            <w:r w:rsidRPr="00410536">
              <w:rPr>
                <w:b/>
              </w:rPr>
              <w:t>3,791</w:t>
            </w:r>
          </w:p>
        </w:tc>
      </w:tr>
    </w:tbl>
    <w:p w14:paraId="677BAF05" w14:textId="77777777" w:rsidR="00DC1B5A" w:rsidRDefault="00DC1B5A">
      <w:pPr>
        <w:pStyle w:val="NormalWeb"/>
      </w:pPr>
      <w:r>
        <w:t>Figure 4 shows Australian cases by Statistical Area Level 3 in this reporting period, noting that cases that are overseas residents or acquired their infection overseas are not included.</w:t>
      </w:r>
    </w:p>
    <w:p w14:paraId="0EF636D9" w14:textId="77777777" w:rsidR="005368E8" w:rsidRDefault="005368E8" w:rsidP="005368E8">
      <w:pPr>
        <w:pStyle w:val="CDIFigures"/>
        <w:sectPr w:rsidR="005368E8" w:rsidSect="00A30C37">
          <w:headerReference w:type="default" r:id="rId12"/>
          <w:footerReference w:type="default" r:id="rId13"/>
          <w:footerReference w:type="first" r:id="rId14"/>
          <w:pgSz w:w="11906" w:h="16838"/>
          <w:pgMar w:top="720" w:right="720" w:bottom="1134" w:left="720" w:header="709" w:footer="284" w:gutter="0"/>
          <w:cols w:space="708"/>
          <w:titlePg/>
          <w:docGrid w:linePitch="360"/>
        </w:sectPr>
      </w:pPr>
    </w:p>
    <w:p w14:paraId="16A2E91E" w14:textId="77777777" w:rsidR="00DC1B5A" w:rsidRDefault="00DC1B5A" w:rsidP="005368E8">
      <w:pPr>
        <w:pStyle w:val="CDIFigures"/>
      </w:pPr>
      <w:r>
        <w:lastRenderedPageBreak/>
        <w:t>Figure 4: Australian COVID-19 cases by Statistical Area Level 3,</w:t>
      </w:r>
      <w:r w:rsidRPr="00930D1D">
        <w:rPr>
          <w:vertAlign w:val="superscript"/>
        </w:rPr>
        <w:t>a</w:t>
      </w:r>
      <w:r>
        <w:t xml:space="preserve"> 6–19 July 2020 </w:t>
      </w:r>
    </w:p>
    <w:p w14:paraId="02D5E5EA" w14:textId="77777777" w:rsidR="00DC1B5A" w:rsidRDefault="00DC1B5A">
      <w:pPr>
        <w:rPr>
          <w:rFonts w:eastAsia="Times New Roman"/>
        </w:rPr>
      </w:pPr>
      <w:r>
        <w:rPr>
          <w:rFonts w:eastAsia="Times New Roman"/>
          <w:noProof/>
        </w:rPr>
        <w:drawing>
          <wp:inline distT="0" distB="0" distL="0" distR="0" wp14:anchorId="1949DB89">
            <wp:extent cx="7815533" cy="5525234"/>
            <wp:effectExtent l="0" t="0" r="0" b="0"/>
            <wp:docPr id="4" name="Picture 4" descr="A heat map of Australia, with enlarged-view insets of the capital cities in each jurisdiction, showing the location of residence, aggregated at Statistical Area Level 3, of confirmed cases of COVID-19 notified between 6 and 19 July 2020, as well as during the three most recent previous weeks. Case numbers in Melbourne and environs are very much higher than elsewhere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heat maps of Australia, with enlarged-view insets of the capital cities in each jurisdiction, showing the location of residence, aggregated at Statistical Area Level 3, of confirmed cases of COVID-19 notified between 6 and 19 July 2020, as well as during the three most recent previous weeks. Case numbers in Melbourne and environs are very much higher than elsewhere in Australia."/>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7827648" cy="5533799"/>
                    </a:xfrm>
                    <a:prstGeom prst="rect">
                      <a:avLst/>
                    </a:prstGeom>
                  </pic:spPr>
                </pic:pic>
              </a:graphicData>
            </a:graphic>
          </wp:inline>
        </w:drawing>
      </w:r>
    </w:p>
    <w:p w14:paraId="62E1F675" w14:textId="77777777" w:rsidR="00DC1B5A" w:rsidRDefault="00DC1B5A" w:rsidP="006F7C3A">
      <w:pPr>
        <w:pStyle w:val="CDIfootnotes"/>
      </w:pPr>
      <w:proofErr w:type="spellStart"/>
      <w:r>
        <w:t>a</w:t>
      </w:r>
      <w:proofErr w:type="spellEnd"/>
      <w:r>
        <w:tab/>
        <w:t>These maps require caution especially when drawing inferences about areas of current transmission. The allocation of a case to an SA3 area is based on a case’s postcode of Australian residence and does not necessarily represent the area where they acquired their infection, or were tested or managed. Cases that are overseas residents or acquired their infection overseas are not included in this mapping.</w:t>
      </w:r>
    </w:p>
    <w:p w14:paraId="11B8C60B" w14:textId="77777777" w:rsidR="005368E8" w:rsidRDefault="005368E8" w:rsidP="006F7C3A">
      <w:pPr>
        <w:sectPr w:rsidR="005368E8" w:rsidSect="005368E8">
          <w:pgSz w:w="16838" w:h="11906" w:orient="landscape"/>
          <w:pgMar w:top="720" w:right="720" w:bottom="720" w:left="1134" w:header="709" w:footer="284" w:gutter="0"/>
          <w:cols w:space="708"/>
          <w:titlePg/>
          <w:docGrid w:linePitch="360"/>
        </w:sectPr>
      </w:pPr>
    </w:p>
    <w:p w14:paraId="78924ED0" w14:textId="77777777" w:rsidR="00DC1B5A" w:rsidRDefault="00DC1B5A" w:rsidP="006F7C3A">
      <w:r>
        <w:lastRenderedPageBreak/>
        <w:t>In this reporting period, the national rate of infection was 15.0 per 100,000 population (Table 3). However, Victoria’s rate of infection for this period was 54.2 per 100,000 population, more than three times the national average. This is the highest rate of infection that Victoria has reported to date, and has exceeded the peak per capita rate of New South Wales (22.9 cases per 100,000 people) at the height of their outbreak (Figure 5).</w:t>
      </w:r>
    </w:p>
    <w:p w14:paraId="1FE671F5" w14:textId="77777777" w:rsidR="004E23CE" w:rsidRDefault="004E23CE">
      <w:pPr>
        <w:rPr>
          <w:b/>
        </w:rPr>
      </w:pPr>
      <w:r>
        <w:br w:type="page"/>
      </w:r>
    </w:p>
    <w:p w14:paraId="66AE8929" w14:textId="77777777" w:rsidR="00DC1B5A" w:rsidRDefault="00DC1B5A" w:rsidP="004E23CE">
      <w:pPr>
        <w:pStyle w:val="CDIFigures"/>
      </w:pPr>
      <w:r>
        <w:lastRenderedPageBreak/>
        <w:t>Figure 5: COVID-19 case notifications 12 January to 19 July 2020 for Victoria, New South Wales and Queensland</w:t>
      </w:r>
    </w:p>
    <w:p w14:paraId="50D0DCD5" w14:textId="77777777" w:rsidR="004E23CE" w:rsidRDefault="00DC1B5A" w:rsidP="007D0B1A">
      <w:pPr>
        <w:pStyle w:val="NormalWeb"/>
        <w:rPr>
          <w:b/>
        </w:rPr>
      </w:pPr>
      <w:r>
        <w:rPr>
          <w:noProof/>
        </w:rPr>
        <w:drawing>
          <wp:inline distT="0" distB="0" distL="0" distR="0" wp14:anchorId="4177DAA8" wp14:editId="3DF9CD01">
            <wp:extent cx="6530196" cy="8684118"/>
            <wp:effectExtent l="0" t="0" r="4445" b="0"/>
            <wp:docPr id="5" name="Picture 5" descr="Bar charts of new case notifications in Victoria, New South Wales, and Queensland, by date of illness onset and source of acquisition. It is apparent that each state saw a peak in notifications around 20 March 2020, with a majority of cases during this time overseas acquired. In contrast, almost all cases in the more recent and ongoing outbreak centred on Victoria (which has now overshadowed that state’s mid-March peak) have been locally acquired, while numbers of recent notifications in NSW and Queensland are much lower. Recent notifications in NSW have largely been locally acquired, whereas Queensland’s notifications remain mainly overseas-acquir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taging\CDESS\ZoFE\CDI\Desktopping\OpenCDI\2020\53-COVID-19 report 21\MS-Word output\tables_and_figures-web-resources\image\F5_composite.pn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548060" cy="8707875"/>
                    </a:xfrm>
                    <a:prstGeom prst="rect">
                      <a:avLst/>
                    </a:prstGeom>
                  </pic:spPr>
                </pic:pic>
              </a:graphicData>
            </a:graphic>
          </wp:inline>
        </w:drawing>
      </w:r>
      <w:r w:rsidR="004E23CE">
        <w:br w:type="page"/>
      </w:r>
    </w:p>
    <w:p w14:paraId="77B4C9A4" w14:textId="77777777" w:rsidR="00DC1B5A" w:rsidRDefault="00DC1B5A" w:rsidP="006F7C3A">
      <w:pPr>
        <w:pStyle w:val="CDIFigures"/>
      </w:pPr>
      <w:r>
        <w:lastRenderedPageBreak/>
        <w:t>Figure 6: Number of new case notifications in Australia, by source of acquisition</w:t>
      </w:r>
    </w:p>
    <w:p w14:paraId="6DA898DA" w14:textId="77777777" w:rsidR="00DC1B5A" w:rsidRDefault="00DC1B5A">
      <w:pPr>
        <w:pStyle w:val="NormalWeb"/>
      </w:pPr>
      <w:r>
        <w:rPr>
          <w:noProof/>
        </w:rPr>
        <w:drawing>
          <wp:inline distT="0" distB="0" distL="0" distR="0" wp14:anchorId="2E0C283D" wp14:editId="4AFF44A8">
            <wp:extent cx="6530722" cy="3273488"/>
            <wp:effectExtent l="0" t="0" r="3810" b="3175"/>
            <wp:docPr id="6" name="Picture 6" descr="Bar chart of new case notifications in Australia by date of illness onset and source of acquisition. It is apparent that a large proportion of cases during the outbreak to date have been overseas-acquired, especially during the outbreak’s peak in mid-to-late March. In contrast, the recent outbreak in Victoria, accounting for most of the cases shown in the figure’s insert, has been predominantly driven by local trans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r chart of new case notifications in Australia by date of illness onset and source of acquisition. It is apparent that a large proportion of cases during the outbreak to date have been overseas-acquired, especially during the outbreak’s peak in mid-to-late March. In contrast, the recent outbreak in Victoria, accounting for most of the cases shown in the figure’s insert, has been predominantly driven by local transmission."/>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530722" cy="3273488"/>
                    </a:xfrm>
                    <a:prstGeom prst="rect">
                      <a:avLst/>
                    </a:prstGeom>
                  </pic:spPr>
                </pic:pic>
              </a:graphicData>
            </a:graphic>
          </wp:inline>
        </w:drawing>
      </w:r>
    </w:p>
    <w:p w14:paraId="77FCE232" w14:textId="77777777" w:rsidR="00DC1B5A" w:rsidRDefault="00DC1B5A" w:rsidP="006F7C3A">
      <w:pPr>
        <w:pStyle w:val="CDIFigures"/>
      </w:pPr>
      <w:r>
        <w:t>Table 3: COVID-19 fortnightly notifications, cumulative total cases and rates per 100,000 population, Australia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fortnightly notifications and rates per 100,000 population within each jurisdiction for the current reporting fortnight, as well as the notifications for the previous reporting fortnight and the cumulative case numbers and rates for each jurisdiction. The ongoing outbreak in Victoria has seen a sharp increase in its number of cases and rate per 100,000; at 98.1 cases per 100,000 population, Victoria now has substantially the highest cumulative rate nationwide."/>
      </w:tblPr>
      <w:tblGrid>
        <w:gridCol w:w="1156"/>
        <w:gridCol w:w="1216"/>
        <w:gridCol w:w="1886"/>
        <w:gridCol w:w="1217"/>
        <w:gridCol w:w="1887"/>
        <w:gridCol w:w="1217"/>
        <w:gridCol w:w="1887"/>
      </w:tblGrid>
      <w:tr w:rsidR="005F2D81" w:rsidRPr="005F2D81" w14:paraId="22567282" w14:textId="77777777" w:rsidTr="0070317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3B7E93DF" w14:textId="77777777" w:rsidR="00DC1B5A" w:rsidRPr="005F2D81" w:rsidRDefault="00DC1B5A">
            <w:pPr>
              <w:pStyle w:val="NormalWeb"/>
              <w:rPr>
                <w:color w:val="FFFFFF" w:themeColor="background1"/>
              </w:rPr>
            </w:pPr>
            <w:r w:rsidRPr="005F2D81">
              <w:rPr>
                <w:color w:val="FFFFFF" w:themeColor="background1"/>
              </w:rPr>
              <w:t>Jurisdiction</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01FBA7A9" w14:textId="77777777" w:rsidR="00DC1B5A" w:rsidRPr="005F2D81" w:rsidRDefault="00DC1B5A" w:rsidP="005F2D81">
            <w:pPr>
              <w:pStyle w:val="NormalWeb"/>
              <w:jc w:val="center"/>
              <w:rPr>
                <w:color w:val="FFFFFF" w:themeColor="background1"/>
              </w:rPr>
            </w:pPr>
            <w:r w:rsidRPr="005F2D81">
              <w:rPr>
                <w:color w:val="FFFFFF" w:themeColor="background1"/>
                <w:lang w:val="en-US"/>
              </w:rPr>
              <w:t>Cases notified</w:t>
            </w:r>
            <w:r w:rsidRPr="005F2D81">
              <w:rPr>
                <w:color w:val="FFFFFF" w:themeColor="background1"/>
                <w:lang w:val="en-US"/>
              </w:rPr>
              <w:br/>
              <w:t>22 June—5 July</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2E5BA31C" w14:textId="77777777" w:rsidR="00DC1B5A" w:rsidRPr="005F2D81" w:rsidRDefault="00DC1B5A" w:rsidP="005F2D81">
            <w:pPr>
              <w:pStyle w:val="NormalWeb"/>
              <w:jc w:val="center"/>
              <w:rPr>
                <w:color w:val="FFFFFF" w:themeColor="background1"/>
              </w:rPr>
            </w:pPr>
            <w:r w:rsidRPr="005F2D81">
              <w:rPr>
                <w:color w:val="FFFFFF" w:themeColor="background1"/>
              </w:rPr>
              <w:t>Cases notified</w:t>
            </w:r>
            <w:r w:rsidRPr="005F2D81">
              <w:rPr>
                <w:color w:val="FFFFFF" w:themeColor="background1"/>
              </w:rPr>
              <w:br/>
              <w:t>6—19 July</w:t>
            </w:r>
          </w:p>
        </w:tc>
        <w:tc>
          <w:tcPr>
            <w:tcW w:w="0" w:type="auto"/>
            <w:gridSpan w:val="2"/>
            <w:tcBorders>
              <w:left w:val="single" w:sz="2" w:space="0" w:color="FFFFFF" w:themeColor="background1"/>
              <w:bottom w:val="single" w:sz="2" w:space="0" w:color="FFFFFF" w:themeColor="background1"/>
            </w:tcBorders>
            <w:hideMark/>
          </w:tcPr>
          <w:p w14:paraId="0C8D432B" w14:textId="77777777" w:rsidR="00DC1B5A" w:rsidRPr="005F2D81" w:rsidRDefault="00DC1B5A" w:rsidP="005F2D81">
            <w:pPr>
              <w:pStyle w:val="NormalWeb"/>
              <w:jc w:val="center"/>
              <w:rPr>
                <w:color w:val="FFFFFF" w:themeColor="background1"/>
              </w:rPr>
            </w:pPr>
            <w:r w:rsidRPr="005F2D81">
              <w:rPr>
                <w:color w:val="FFFFFF" w:themeColor="background1"/>
              </w:rPr>
              <w:t>Total cases</w:t>
            </w:r>
          </w:p>
        </w:tc>
      </w:tr>
      <w:tr w:rsidR="005F2D81" w:rsidRPr="005F2D81" w14:paraId="7C620206" w14:textId="77777777" w:rsidTr="0070317C">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6973AD4E" w14:textId="77777777" w:rsidR="00DC1B5A" w:rsidRPr="005F2D81" w:rsidRDefault="00DC1B5A">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5CC7F80" w14:textId="77777777" w:rsidR="00DC1B5A" w:rsidRPr="005F2D81" w:rsidRDefault="00DC1B5A" w:rsidP="005F2D81">
            <w:pPr>
              <w:pStyle w:val="NormalWeb"/>
              <w:jc w:val="center"/>
              <w:rPr>
                <w:color w:val="FFFFFF" w:themeColor="background1"/>
              </w:rPr>
            </w:pPr>
            <w:r w:rsidRPr="005F2D81">
              <w:rPr>
                <w:color w:val="FFFFFF" w:themeColor="background1"/>
              </w:rPr>
              <w:t>Number of cases</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1441622" w14:textId="77777777" w:rsidR="00DC1B5A" w:rsidRPr="005F2D81" w:rsidRDefault="00DC1B5A" w:rsidP="005F2D81">
            <w:pPr>
              <w:pStyle w:val="NormalWeb"/>
              <w:jc w:val="center"/>
              <w:rPr>
                <w:color w:val="FFFFFF" w:themeColor="background1"/>
              </w:rPr>
            </w:pPr>
            <w:r w:rsidRPr="005F2D81">
              <w:rPr>
                <w:color w:val="FFFFFF" w:themeColor="background1"/>
              </w:rPr>
              <w:t>Rates per 100,000 population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C11FEE1" w14:textId="77777777" w:rsidR="00DC1B5A" w:rsidRPr="005F2D81" w:rsidRDefault="00DC1B5A" w:rsidP="005F2D81">
            <w:pPr>
              <w:pStyle w:val="NormalWeb"/>
              <w:jc w:val="center"/>
              <w:rPr>
                <w:color w:val="FFFFFF" w:themeColor="background1"/>
              </w:rPr>
            </w:pPr>
            <w:r w:rsidRPr="005F2D81">
              <w:rPr>
                <w:color w:val="FFFFFF" w:themeColor="background1"/>
              </w:rPr>
              <w:t>Number of cases</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96BC020" w14:textId="77777777" w:rsidR="00DC1B5A" w:rsidRPr="005F2D81" w:rsidRDefault="00DC1B5A" w:rsidP="005F2D81">
            <w:pPr>
              <w:pStyle w:val="NormalWeb"/>
              <w:jc w:val="center"/>
              <w:rPr>
                <w:color w:val="FFFFFF" w:themeColor="background1"/>
              </w:rPr>
            </w:pPr>
            <w:r w:rsidRPr="005F2D81">
              <w:rPr>
                <w:color w:val="FFFFFF" w:themeColor="background1"/>
              </w:rPr>
              <w:t>Rates per 100,000 population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5B662EB" w14:textId="77777777" w:rsidR="00DC1B5A" w:rsidRPr="005F2D81" w:rsidRDefault="00DC1B5A" w:rsidP="005F2D81">
            <w:pPr>
              <w:pStyle w:val="NormalWeb"/>
              <w:jc w:val="center"/>
              <w:rPr>
                <w:color w:val="FFFFFF" w:themeColor="background1"/>
              </w:rPr>
            </w:pPr>
            <w:r w:rsidRPr="005F2D81">
              <w:rPr>
                <w:color w:val="FFFFFF" w:themeColor="background1"/>
              </w:rPr>
              <w:t>Number of cases</w:t>
            </w:r>
          </w:p>
        </w:tc>
        <w:tc>
          <w:tcPr>
            <w:tcW w:w="0" w:type="auto"/>
            <w:tcBorders>
              <w:top w:val="single" w:sz="2" w:space="0" w:color="FFFFFF" w:themeColor="background1"/>
              <w:left w:val="single" w:sz="2" w:space="0" w:color="FFFFFF" w:themeColor="background1"/>
            </w:tcBorders>
            <w:hideMark/>
          </w:tcPr>
          <w:p w14:paraId="60FD9C4C" w14:textId="77777777" w:rsidR="00DC1B5A" w:rsidRPr="005F2D81" w:rsidRDefault="00DC1B5A" w:rsidP="005F2D81">
            <w:pPr>
              <w:pStyle w:val="NormalWeb"/>
              <w:jc w:val="center"/>
              <w:rPr>
                <w:color w:val="FFFFFF" w:themeColor="background1"/>
              </w:rPr>
            </w:pPr>
            <w:r w:rsidRPr="005F2D81">
              <w:rPr>
                <w:color w:val="FFFFFF" w:themeColor="background1"/>
                <w:lang w:val="en-US"/>
              </w:rPr>
              <w:t>Rates per 100,000 population</w:t>
            </w:r>
          </w:p>
        </w:tc>
      </w:tr>
      <w:tr w:rsidR="00DC1B5A" w14:paraId="15043A7C" w14:textId="77777777" w:rsidTr="001D733A">
        <w:tc>
          <w:tcPr>
            <w:tcW w:w="0" w:type="auto"/>
            <w:hideMark/>
          </w:tcPr>
          <w:p w14:paraId="56F48807" w14:textId="77777777" w:rsidR="00DC1B5A" w:rsidRDefault="00DC1B5A">
            <w:pPr>
              <w:pStyle w:val="NormalWeb"/>
            </w:pPr>
            <w:r>
              <w:t>NSW</w:t>
            </w:r>
          </w:p>
        </w:tc>
        <w:tc>
          <w:tcPr>
            <w:tcW w:w="0" w:type="auto"/>
            <w:hideMark/>
          </w:tcPr>
          <w:p w14:paraId="7E136B73" w14:textId="77777777" w:rsidR="00DC1B5A" w:rsidRDefault="00DC1B5A" w:rsidP="005F2D81">
            <w:pPr>
              <w:pStyle w:val="NormalWeb"/>
              <w:jc w:val="center"/>
            </w:pPr>
            <w:r>
              <w:t>113</w:t>
            </w:r>
          </w:p>
        </w:tc>
        <w:tc>
          <w:tcPr>
            <w:tcW w:w="0" w:type="auto"/>
            <w:hideMark/>
          </w:tcPr>
          <w:p w14:paraId="4A0E2518" w14:textId="77777777" w:rsidR="00DC1B5A" w:rsidRDefault="00DC1B5A" w:rsidP="005F2D81">
            <w:pPr>
              <w:pStyle w:val="NormalWeb"/>
              <w:jc w:val="center"/>
            </w:pPr>
            <w:r>
              <w:t>1.40</w:t>
            </w:r>
          </w:p>
        </w:tc>
        <w:tc>
          <w:tcPr>
            <w:tcW w:w="0" w:type="auto"/>
            <w:hideMark/>
          </w:tcPr>
          <w:p w14:paraId="1BB1EF8D" w14:textId="77777777" w:rsidR="00DC1B5A" w:rsidRDefault="00DC1B5A" w:rsidP="005F2D81">
            <w:pPr>
              <w:pStyle w:val="NormalWeb"/>
              <w:jc w:val="center"/>
            </w:pPr>
            <w:r>
              <w:t>169</w:t>
            </w:r>
          </w:p>
        </w:tc>
        <w:tc>
          <w:tcPr>
            <w:tcW w:w="0" w:type="auto"/>
            <w:hideMark/>
          </w:tcPr>
          <w:p w14:paraId="143FA1EF" w14:textId="77777777" w:rsidR="00DC1B5A" w:rsidRDefault="00DC1B5A" w:rsidP="005F2D81">
            <w:pPr>
              <w:pStyle w:val="NormalWeb"/>
              <w:jc w:val="center"/>
            </w:pPr>
            <w:r>
              <w:t>2.09</w:t>
            </w:r>
          </w:p>
        </w:tc>
        <w:tc>
          <w:tcPr>
            <w:tcW w:w="0" w:type="auto"/>
            <w:hideMark/>
          </w:tcPr>
          <w:p w14:paraId="6833F9A8" w14:textId="77777777" w:rsidR="00DC1B5A" w:rsidRDefault="00DC1B5A" w:rsidP="005F2D81">
            <w:pPr>
              <w:pStyle w:val="NormalWeb"/>
              <w:jc w:val="center"/>
            </w:pPr>
            <w:r>
              <w:t>3,626</w:t>
            </w:r>
          </w:p>
        </w:tc>
        <w:tc>
          <w:tcPr>
            <w:tcW w:w="0" w:type="auto"/>
            <w:hideMark/>
          </w:tcPr>
          <w:p w14:paraId="2CFD85D6" w14:textId="77777777" w:rsidR="00DC1B5A" w:rsidRDefault="00DC1B5A" w:rsidP="005F2D81">
            <w:pPr>
              <w:pStyle w:val="NormalWeb"/>
              <w:jc w:val="center"/>
            </w:pPr>
            <w:r>
              <w:t>44.82</w:t>
            </w:r>
          </w:p>
        </w:tc>
      </w:tr>
      <w:tr w:rsidR="00DC1B5A" w14:paraId="297673CB" w14:textId="77777777" w:rsidTr="001D733A">
        <w:trPr>
          <w:cnfStyle w:val="000000010000" w:firstRow="0" w:lastRow="0" w:firstColumn="0" w:lastColumn="0" w:oddVBand="0" w:evenVBand="0" w:oddHBand="0" w:evenHBand="1" w:firstRowFirstColumn="0" w:firstRowLastColumn="0" w:lastRowFirstColumn="0" w:lastRowLastColumn="0"/>
        </w:trPr>
        <w:tc>
          <w:tcPr>
            <w:tcW w:w="0" w:type="auto"/>
            <w:hideMark/>
          </w:tcPr>
          <w:p w14:paraId="5E44756C" w14:textId="77777777" w:rsidR="00DC1B5A" w:rsidRDefault="00DC1B5A">
            <w:pPr>
              <w:pStyle w:val="NormalWeb"/>
            </w:pPr>
            <w:r>
              <w:rPr>
                <w:lang w:val="en-US"/>
              </w:rPr>
              <w:t>Vic</w:t>
            </w:r>
          </w:p>
        </w:tc>
        <w:tc>
          <w:tcPr>
            <w:tcW w:w="0" w:type="auto"/>
            <w:hideMark/>
          </w:tcPr>
          <w:p w14:paraId="035989ED" w14:textId="77777777" w:rsidR="00DC1B5A" w:rsidRDefault="00DC1B5A" w:rsidP="005F2D81">
            <w:pPr>
              <w:pStyle w:val="NormalWeb"/>
              <w:jc w:val="center"/>
            </w:pPr>
            <w:r>
              <w:t>919</w:t>
            </w:r>
          </w:p>
        </w:tc>
        <w:tc>
          <w:tcPr>
            <w:tcW w:w="0" w:type="auto"/>
            <w:hideMark/>
          </w:tcPr>
          <w:p w14:paraId="1D0D0CD6" w14:textId="77777777" w:rsidR="00DC1B5A" w:rsidRDefault="00DC1B5A" w:rsidP="005F2D81">
            <w:pPr>
              <w:pStyle w:val="NormalWeb"/>
              <w:jc w:val="center"/>
            </w:pPr>
            <w:r>
              <w:t>13.93</w:t>
            </w:r>
          </w:p>
        </w:tc>
        <w:tc>
          <w:tcPr>
            <w:tcW w:w="0" w:type="auto"/>
            <w:hideMark/>
          </w:tcPr>
          <w:p w14:paraId="18B22903" w14:textId="77777777" w:rsidR="00DC1B5A" w:rsidRDefault="00DC1B5A" w:rsidP="005F2D81">
            <w:pPr>
              <w:pStyle w:val="NormalWeb"/>
              <w:jc w:val="center"/>
            </w:pPr>
            <w:r>
              <w:t>3,575</w:t>
            </w:r>
          </w:p>
        </w:tc>
        <w:tc>
          <w:tcPr>
            <w:tcW w:w="0" w:type="auto"/>
            <w:hideMark/>
          </w:tcPr>
          <w:p w14:paraId="05DC2592" w14:textId="77777777" w:rsidR="00DC1B5A" w:rsidRDefault="00DC1B5A" w:rsidP="005F2D81">
            <w:pPr>
              <w:pStyle w:val="NormalWeb"/>
              <w:jc w:val="center"/>
            </w:pPr>
            <w:r>
              <w:t>54.20</w:t>
            </w:r>
          </w:p>
        </w:tc>
        <w:tc>
          <w:tcPr>
            <w:tcW w:w="0" w:type="auto"/>
            <w:hideMark/>
          </w:tcPr>
          <w:p w14:paraId="6999FE78" w14:textId="77777777" w:rsidR="00DC1B5A" w:rsidRDefault="00DC1B5A" w:rsidP="005F2D81">
            <w:pPr>
              <w:pStyle w:val="NormalWeb"/>
              <w:jc w:val="center"/>
            </w:pPr>
            <w:r>
              <w:t>6,471</w:t>
            </w:r>
          </w:p>
        </w:tc>
        <w:tc>
          <w:tcPr>
            <w:tcW w:w="0" w:type="auto"/>
            <w:hideMark/>
          </w:tcPr>
          <w:p w14:paraId="53C436C8" w14:textId="77777777" w:rsidR="00DC1B5A" w:rsidRDefault="00DC1B5A" w:rsidP="005F2D81">
            <w:pPr>
              <w:pStyle w:val="NormalWeb"/>
              <w:jc w:val="center"/>
            </w:pPr>
            <w:r>
              <w:t>98.10</w:t>
            </w:r>
          </w:p>
        </w:tc>
      </w:tr>
      <w:tr w:rsidR="00DC1B5A" w14:paraId="0F23E57F" w14:textId="77777777" w:rsidTr="001D733A">
        <w:tc>
          <w:tcPr>
            <w:tcW w:w="0" w:type="auto"/>
            <w:hideMark/>
          </w:tcPr>
          <w:p w14:paraId="4045041E" w14:textId="77777777" w:rsidR="00DC1B5A" w:rsidRDefault="00DC1B5A">
            <w:pPr>
              <w:pStyle w:val="NormalWeb"/>
            </w:pPr>
            <w:r>
              <w:rPr>
                <w:lang w:val="en-US"/>
              </w:rPr>
              <w:t>Qld</w:t>
            </w:r>
          </w:p>
        </w:tc>
        <w:tc>
          <w:tcPr>
            <w:tcW w:w="0" w:type="auto"/>
            <w:hideMark/>
          </w:tcPr>
          <w:p w14:paraId="32BBD6C7" w14:textId="77777777" w:rsidR="00DC1B5A" w:rsidRDefault="00DC1B5A" w:rsidP="005F2D81">
            <w:pPr>
              <w:pStyle w:val="NormalWeb"/>
              <w:jc w:val="center"/>
            </w:pPr>
            <w:r>
              <w:t>3</w:t>
            </w:r>
          </w:p>
        </w:tc>
        <w:tc>
          <w:tcPr>
            <w:tcW w:w="0" w:type="auto"/>
            <w:hideMark/>
          </w:tcPr>
          <w:p w14:paraId="6B2B6F00" w14:textId="77777777" w:rsidR="00DC1B5A" w:rsidRDefault="00DC1B5A" w:rsidP="005F2D81">
            <w:pPr>
              <w:pStyle w:val="NormalWeb"/>
              <w:jc w:val="center"/>
            </w:pPr>
            <w:r>
              <w:t>0.06</w:t>
            </w:r>
          </w:p>
        </w:tc>
        <w:tc>
          <w:tcPr>
            <w:tcW w:w="0" w:type="auto"/>
            <w:hideMark/>
          </w:tcPr>
          <w:p w14:paraId="7C4E439D" w14:textId="77777777" w:rsidR="00DC1B5A" w:rsidRDefault="00DC1B5A" w:rsidP="005F2D81">
            <w:pPr>
              <w:pStyle w:val="NormalWeb"/>
              <w:jc w:val="center"/>
            </w:pPr>
            <w:r>
              <w:t>5</w:t>
            </w:r>
          </w:p>
        </w:tc>
        <w:tc>
          <w:tcPr>
            <w:tcW w:w="0" w:type="auto"/>
            <w:hideMark/>
          </w:tcPr>
          <w:p w14:paraId="6184DE89" w14:textId="77777777" w:rsidR="00DC1B5A" w:rsidRDefault="00DC1B5A" w:rsidP="005F2D81">
            <w:pPr>
              <w:pStyle w:val="NormalWeb"/>
              <w:jc w:val="center"/>
            </w:pPr>
            <w:r>
              <w:t>0.10</w:t>
            </w:r>
          </w:p>
        </w:tc>
        <w:tc>
          <w:tcPr>
            <w:tcW w:w="0" w:type="auto"/>
            <w:hideMark/>
          </w:tcPr>
          <w:p w14:paraId="415A1B64" w14:textId="77777777" w:rsidR="00DC1B5A" w:rsidRDefault="00DC1B5A" w:rsidP="005F2D81">
            <w:pPr>
              <w:pStyle w:val="NormalWeb"/>
              <w:jc w:val="center"/>
            </w:pPr>
            <w:r>
              <w:t>1,075</w:t>
            </w:r>
          </w:p>
        </w:tc>
        <w:tc>
          <w:tcPr>
            <w:tcW w:w="0" w:type="auto"/>
            <w:hideMark/>
          </w:tcPr>
          <w:p w14:paraId="38D99B34" w14:textId="77777777" w:rsidR="00DC1B5A" w:rsidRDefault="00DC1B5A" w:rsidP="005F2D81">
            <w:pPr>
              <w:pStyle w:val="NormalWeb"/>
              <w:jc w:val="center"/>
            </w:pPr>
            <w:r>
              <w:t>21.10</w:t>
            </w:r>
          </w:p>
        </w:tc>
      </w:tr>
      <w:tr w:rsidR="00DC1B5A" w14:paraId="67B0B1EB" w14:textId="77777777" w:rsidTr="001D733A">
        <w:trPr>
          <w:cnfStyle w:val="000000010000" w:firstRow="0" w:lastRow="0" w:firstColumn="0" w:lastColumn="0" w:oddVBand="0" w:evenVBand="0" w:oddHBand="0" w:evenHBand="1" w:firstRowFirstColumn="0" w:firstRowLastColumn="0" w:lastRowFirstColumn="0" w:lastRowLastColumn="0"/>
        </w:trPr>
        <w:tc>
          <w:tcPr>
            <w:tcW w:w="0" w:type="auto"/>
            <w:hideMark/>
          </w:tcPr>
          <w:p w14:paraId="6F27F72D" w14:textId="77777777" w:rsidR="00DC1B5A" w:rsidRDefault="00DC1B5A">
            <w:pPr>
              <w:pStyle w:val="NormalWeb"/>
            </w:pPr>
            <w:r>
              <w:rPr>
                <w:lang w:val="en-US"/>
              </w:rPr>
              <w:t>WA</w:t>
            </w:r>
          </w:p>
        </w:tc>
        <w:tc>
          <w:tcPr>
            <w:tcW w:w="0" w:type="auto"/>
            <w:hideMark/>
          </w:tcPr>
          <w:p w14:paraId="6B426278" w14:textId="77777777" w:rsidR="00DC1B5A" w:rsidRDefault="00DC1B5A" w:rsidP="005F2D81">
            <w:pPr>
              <w:pStyle w:val="NormalWeb"/>
              <w:jc w:val="center"/>
            </w:pPr>
            <w:r>
              <w:t>7</w:t>
            </w:r>
          </w:p>
        </w:tc>
        <w:tc>
          <w:tcPr>
            <w:tcW w:w="0" w:type="auto"/>
            <w:hideMark/>
          </w:tcPr>
          <w:p w14:paraId="6CC88FCD" w14:textId="77777777" w:rsidR="00DC1B5A" w:rsidRDefault="00DC1B5A" w:rsidP="005F2D81">
            <w:pPr>
              <w:pStyle w:val="NormalWeb"/>
              <w:jc w:val="center"/>
            </w:pPr>
            <w:r>
              <w:t>0.27</w:t>
            </w:r>
          </w:p>
        </w:tc>
        <w:tc>
          <w:tcPr>
            <w:tcW w:w="0" w:type="auto"/>
            <w:hideMark/>
          </w:tcPr>
          <w:p w14:paraId="65418F33" w14:textId="77777777" w:rsidR="00DC1B5A" w:rsidRDefault="00DC1B5A" w:rsidP="005F2D81">
            <w:pPr>
              <w:pStyle w:val="NormalWeb"/>
              <w:jc w:val="center"/>
            </w:pPr>
            <w:r>
              <w:t>35</w:t>
            </w:r>
          </w:p>
        </w:tc>
        <w:tc>
          <w:tcPr>
            <w:tcW w:w="0" w:type="auto"/>
            <w:hideMark/>
          </w:tcPr>
          <w:p w14:paraId="1F1F8EBE" w14:textId="77777777" w:rsidR="00DC1B5A" w:rsidRDefault="00DC1B5A" w:rsidP="005F2D81">
            <w:pPr>
              <w:pStyle w:val="NormalWeb"/>
              <w:jc w:val="center"/>
            </w:pPr>
            <w:r>
              <w:t>1.34</w:t>
            </w:r>
          </w:p>
        </w:tc>
        <w:tc>
          <w:tcPr>
            <w:tcW w:w="0" w:type="auto"/>
            <w:hideMark/>
          </w:tcPr>
          <w:p w14:paraId="18B3C221" w14:textId="77777777" w:rsidR="00DC1B5A" w:rsidRDefault="00DC1B5A" w:rsidP="005F2D81">
            <w:pPr>
              <w:pStyle w:val="NormalWeb"/>
              <w:jc w:val="center"/>
            </w:pPr>
            <w:r>
              <w:t>647</w:t>
            </w:r>
          </w:p>
        </w:tc>
        <w:tc>
          <w:tcPr>
            <w:tcW w:w="0" w:type="auto"/>
            <w:hideMark/>
          </w:tcPr>
          <w:p w14:paraId="432B1AD2" w14:textId="77777777" w:rsidR="00DC1B5A" w:rsidRDefault="00DC1B5A" w:rsidP="005F2D81">
            <w:pPr>
              <w:pStyle w:val="NormalWeb"/>
              <w:jc w:val="center"/>
            </w:pPr>
            <w:r>
              <w:t>24.68</w:t>
            </w:r>
          </w:p>
        </w:tc>
      </w:tr>
      <w:tr w:rsidR="00DC1B5A" w14:paraId="08912C65" w14:textId="77777777" w:rsidTr="001D733A">
        <w:tc>
          <w:tcPr>
            <w:tcW w:w="0" w:type="auto"/>
            <w:hideMark/>
          </w:tcPr>
          <w:p w14:paraId="00A67717" w14:textId="77777777" w:rsidR="00DC1B5A" w:rsidRDefault="00DC1B5A">
            <w:pPr>
              <w:pStyle w:val="NormalWeb"/>
            </w:pPr>
            <w:r>
              <w:rPr>
                <w:lang w:val="en-US"/>
              </w:rPr>
              <w:t>SA</w:t>
            </w:r>
          </w:p>
        </w:tc>
        <w:tc>
          <w:tcPr>
            <w:tcW w:w="0" w:type="auto"/>
            <w:hideMark/>
          </w:tcPr>
          <w:p w14:paraId="0D33645B" w14:textId="77777777" w:rsidR="00DC1B5A" w:rsidRDefault="00DC1B5A" w:rsidP="005F2D81">
            <w:pPr>
              <w:pStyle w:val="NormalWeb"/>
              <w:jc w:val="center"/>
            </w:pPr>
            <w:r>
              <w:t>4</w:t>
            </w:r>
          </w:p>
        </w:tc>
        <w:tc>
          <w:tcPr>
            <w:tcW w:w="0" w:type="auto"/>
            <w:hideMark/>
          </w:tcPr>
          <w:p w14:paraId="079DB6FA" w14:textId="77777777" w:rsidR="00DC1B5A" w:rsidRDefault="00DC1B5A" w:rsidP="005F2D81">
            <w:pPr>
              <w:pStyle w:val="NormalWeb"/>
              <w:jc w:val="center"/>
            </w:pPr>
            <w:r>
              <w:t>0.23</w:t>
            </w:r>
          </w:p>
        </w:tc>
        <w:tc>
          <w:tcPr>
            <w:tcW w:w="0" w:type="auto"/>
            <w:hideMark/>
          </w:tcPr>
          <w:p w14:paraId="48815179" w14:textId="77777777" w:rsidR="00DC1B5A" w:rsidRDefault="00DC1B5A" w:rsidP="005F2D81">
            <w:pPr>
              <w:pStyle w:val="NormalWeb"/>
              <w:jc w:val="center"/>
            </w:pPr>
            <w:r>
              <w:t>1</w:t>
            </w:r>
          </w:p>
        </w:tc>
        <w:tc>
          <w:tcPr>
            <w:tcW w:w="0" w:type="auto"/>
            <w:hideMark/>
          </w:tcPr>
          <w:p w14:paraId="241F7D71" w14:textId="77777777" w:rsidR="00DC1B5A" w:rsidRDefault="00DC1B5A" w:rsidP="005F2D81">
            <w:pPr>
              <w:pStyle w:val="NormalWeb"/>
              <w:jc w:val="center"/>
            </w:pPr>
            <w:r>
              <w:t>0.06</w:t>
            </w:r>
          </w:p>
        </w:tc>
        <w:tc>
          <w:tcPr>
            <w:tcW w:w="0" w:type="auto"/>
            <w:hideMark/>
          </w:tcPr>
          <w:p w14:paraId="671C1830" w14:textId="77777777" w:rsidR="00DC1B5A" w:rsidRDefault="00DC1B5A" w:rsidP="005F2D81">
            <w:pPr>
              <w:pStyle w:val="NormalWeb"/>
              <w:jc w:val="center"/>
            </w:pPr>
            <w:r>
              <w:t>445</w:t>
            </w:r>
          </w:p>
        </w:tc>
        <w:tc>
          <w:tcPr>
            <w:tcW w:w="0" w:type="auto"/>
            <w:hideMark/>
          </w:tcPr>
          <w:p w14:paraId="3BD8D5DC" w14:textId="77777777" w:rsidR="00DC1B5A" w:rsidRDefault="00DC1B5A" w:rsidP="005F2D81">
            <w:pPr>
              <w:pStyle w:val="NormalWeb"/>
              <w:jc w:val="center"/>
            </w:pPr>
            <w:r>
              <w:t>25.40</w:t>
            </w:r>
          </w:p>
        </w:tc>
      </w:tr>
      <w:tr w:rsidR="00DC1B5A" w14:paraId="0022EC40" w14:textId="77777777" w:rsidTr="001D733A">
        <w:trPr>
          <w:cnfStyle w:val="000000010000" w:firstRow="0" w:lastRow="0" w:firstColumn="0" w:lastColumn="0" w:oddVBand="0" w:evenVBand="0" w:oddHBand="0" w:evenHBand="1" w:firstRowFirstColumn="0" w:firstRowLastColumn="0" w:lastRowFirstColumn="0" w:lastRowLastColumn="0"/>
        </w:trPr>
        <w:tc>
          <w:tcPr>
            <w:tcW w:w="0" w:type="auto"/>
            <w:hideMark/>
          </w:tcPr>
          <w:p w14:paraId="4460DF81" w14:textId="77777777" w:rsidR="00DC1B5A" w:rsidRDefault="00DC1B5A">
            <w:pPr>
              <w:pStyle w:val="NormalWeb"/>
            </w:pPr>
            <w:r>
              <w:rPr>
                <w:lang w:val="en-US"/>
              </w:rPr>
              <w:t>Tas</w:t>
            </w:r>
          </w:p>
        </w:tc>
        <w:tc>
          <w:tcPr>
            <w:tcW w:w="0" w:type="auto"/>
            <w:hideMark/>
          </w:tcPr>
          <w:p w14:paraId="536B3646" w14:textId="77777777" w:rsidR="00DC1B5A" w:rsidRDefault="00DC1B5A" w:rsidP="005F2D81">
            <w:pPr>
              <w:pStyle w:val="NormalWeb"/>
              <w:jc w:val="center"/>
            </w:pPr>
            <w:r>
              <w:t>0</w:t>
            </w:r>
          </w:p>
        </w:tc>
        <w:tc>
          <w:tcPr>
            <w:tcW w:w="0" w:type="auto"/>
            <w:hideMark/>
          </w:tcPr>
          <w:p w14:paraId="530DF02C" w14:textId="77777777" w:rsidR="00DC1B5A" w:rsidRDefault="00DC1B5A" w:rsidP="005F2D81">
            <w:pPr>
              <w:pStyle w:val="NormalWeb"/>
              <w:jc w:val="center"/>
            </w:pPr>
            <w:r>
              <w:t>0.00</w:t>
            </w:r>
          </w:p>
        </w:tc>
        <w:tc>
          <w:tcPr>
            <w:tcW w:w="0" w:type="auto"/>
            <w:hideMark/>
          </w:tcPr>
          <w:p w14:paraId="58C3B288" w14:textId="77777777" w:rsidR="00DC1B5A" w:rsidRDefault="00DC1B5A" w:rsidP="005F2D81">
            <w:pPr>
              <w:pStyle w:val="NormalWeb"/>
              <w:jc w:val="center"/>
            </w:pPr>
            <w:r>
              <w:t>0</w:t>
            </w:r>
          </w:p>
        </w:tc>
        <w:tc>
          <w:tcPr>
            <w:tcW w:w="0" w:type="auto"/>
            <w:hideMark/>
          </w:tcPr>
          <w:p w14:paraId="66A4F07C" w14:textId="77777777" w:rsidR="00DC1B5A" w:rsidRDefault="00DC1B5A" w:rsidP="005F2D81">
            <w:pPr>
              <w:pStyle w:val="NormalWeb"/>
              <w:jc w:val="center"/>
            </w:pPr>
            <w:r>
              <w:t>0.00</w:t>
            </w:r>
          </w:p>
        </w:tc>
        <w:tc>
          <w:tcPr>
            <w:tcW w:w="0" w:type="auto"/>
            <w:hideMark/>
          </w:tcPr>
          <w:p w14:paraId="60AAA028" w14:textId="77777777" w:rsidR="00DC1B5A" w:rsidRDefault="00DC1B5A" w:rsidP="005F2D81">
            <w:pPr>
              <w:pStyle w:val="NormalWeb"/>
              <w:jc w:val="center"/>
            </w:pPr>
            <w:r>
              <w:t>228</w:t>
            </w:r>
          </w:p>
        </w:tc>
        <w:tc>
          <w:tcPr>
            <w:tcW w:w="0" w:type="auto"/>
            <w:hideMark/>
          </w:tcPr>
          <w:p w14:paraId="0CCF19F1" w14:textId="77777777" w:rsidR="00DC1B5A" w:rsidRDefault="00DC1B5A" w:rsidP="005F2D81">
            <w:pPr>
              <w:pStyle w:val="NormalWeb"/>
              <w:jc w:val="center"/>
            </w:pPr>
            <w:r>
              <w:t>42.66</w:t>
            </w:r>
          </w:p>
        </w:tc>
      </w:tr>
      <w:tr w:rsidR="00DC1B5A" w14:paraId="7A530615" w14:textId="77777777" w:rsidTr="001D733A">
        <w:tc>
          <w:tcPr>
            <w:tcW w:w="0" w:type="auto"/>
            <w:hideMark/>
          </w:tcPr>
          <w:p w14:paraId="56CE017B" w14:textId="77777777" w:rsidR="00DC1B5A" w:rsidRDefault="00DC1B5A">
            <w:pPr>
              <w:pStyle w:val="NormalWeb"/>
            </w:pPr>
            <w:r>
              <w:rPr>
                <w:lang w:val="en-US"/>
              </w:rPr>
              <w:t>NT</w:t>
            </w:r>
          </w:p>
        </w:tc>
        <w:tc>
          <w:tcPr>
            <w:tcW w:w="0" w:type="auto"/>
            <w:hideMark/>
          </w:tcPr>
          <w:p w14:paraId="381BA84C" w14:textId="77777777" w:rsidR="00DC1B5A" w:rsidRDefault="00DC1B5A" w:rsidP="005F2D81">
            <w:pPr>
              <w:pStyle w:val="NormalWeb"/>
              <w:jc w:val="center"/>
            </w:pPr>
            <w:r>
              <w:t>1</w:t>
            </w:r>
          </w:p>
        </w:tc>
        <w:tc>
          <w:tcPr>
            <w:tcW w:w="0" w:type="auto"/>
            <w:hideMark/>
          </w:tcPr>
          <w:p w14:paraId="181440F5" w14:textId="77777777" w:rsidR="00DC1B5A" w:rsidRDefault="00DC1B5A" w:rsidP="005F2D81">
            <w:pPr>
              <w:pStyle w:val="NormalWeb"/>
              <w:jc w:val="center"/>
            </w:pPr>
            <w:r>
              <w:t>0.41</w:t>
            </w:r>
          </w:p>
        </w:tc>
        <w:tc>
          <w:tcPr>
            <w:tcW w:w="0" w:type="auto"/>
            <w:hideMark/>
          </w:tcPr>
          <w:p w14:paraId="5C0CA635" w14:textId="77777777" w:rsidR="00DC1B5A" w:rsidRDefault="00DC1B5A" w:rsidP="005F2D81">
            <w:pPr>
              <w:pStyle w:val="NormalWeb"/>
              <w:jc w:val="center"/>
            </w:pPr>
            <w:r>
              <w:t>1</w:t>
            </w:r>
          </w:p>
        </w:tc>
        <w:tc>
          <w:tcPr>
            <w:tcW w:w="0" w:type="auto"/>
            <w:hideMark/>
          </w:tcPr>
          <w:p w14:paraId="6C5129BA" w14:textId="77777777" w:rsidR="00DC1B5A" w:rsidRDefault="00DC1B5A" w:rsidP="005F2D81">
            <w:pPr>
              <w:pStyle w:val="NormalWeb"/>
              <w:jc w:val="center"/>
            </w:pPr>
            <w:r>
              <w:t>0.41</w:t>
            </w:r>
          </w:p>
        </w:tc>
        <w:tc>
          <w:tcPr>
            <w:tcW w:w="0" w:type="auto"/>
            <w:hideMark/>
          </w:tcPr>
          <w:p w14:paraId="00BAA2AF" w14:textId="77777777" w:rsidR="00DC1B5A" w:rsidRDefault="00DC1B5A" w:rsidP="005F2D81">
            <w:pPr>
              <w:pStyle w:val="NormalWeb"/>
              <w:jc w:val="center"/>
            </w:pPr>
            <w:r>
              <w:t>31</w:t>
            </w:r>
          </w:p>
        </w:tc>
        <w:tc>
          <w:tcPr>
            <w:tcW w:w="0" w:type="auto"/>
            <w:hideMark/>
          </w:tcPr>
          <w:p w14:paraId="12FFCC73" w14:textId="77777777" w:rsidR="00DC1B5A" w:rsidRDefault="00DC1B5A" w:rsidP="005F2D81">
            <w:pPr>
              <w:pStyle w:val="NormalWeb"/>
              <w:jc w:val="center"/>
            </w:pPr>
            <w:r>
              <w:t>12.61</w:t>
            </w:r>
          </w:p>
        </w:tc>
      </w:tr>
      <w:tr w:rsidR="00DC1B5A" w14:paraId="1FDAF00E" w14:textId="77777777" w:rsidTr="001D733A">
        <w:trPr>
          <w:cnfStyle w:val="000000010000" w:firstRow="0" w:lastRow="0" w:firstColumn="0" w:lastColumn="0" w:oddVBand="0" w:evenVBand="0" w:oddHBand="0" w:evenHBand="1" w:firstRowFirstColumn="0" w:firstRowLastColumn="0" w:lastRowFirstColumn="0" w:lastRowLastColumn="0"/>
        </w:trPr>
        <w:tc>
          <w:tcPr>
            <w:tcW w:w="0" w:type="auto"/>
            <w:hideMark/>
          </w:tcPr>
          <w:p w14:paraId="5E1D42B5" w14:textId="77777777" w:rsidR="00DC1B5A" w:rsidRDefault="00DC1B5A">
            <w:pPr>
              <w:pStyle w:val="NormalWeb"/>
            </w:pPr>
            <w:r>
              <w:rPr>
                <w:lang w:val="en-US"/>
              </w:rPr>
              <w:t>ACT</w:t>
            </w:r>
          </w:p>
        </w:tc>
        <w:tc>
          <w:tcPr>
            <w:tcW w:w="0" w:type="auto"/>
            <w:hideMark/>
          </w:tcPr>
          <w:p w14:paraId="239511B7" w14:textId="77777777" w:rsidR="00DC1B5A" w:rsidRDefault="00DC1B5A" w:rsidP="005F2D81">
            <w:pPr>
              <w:pStyle w:val="NormalWeb"/>
              <w:jc w:val="center"/>
            </w:pPr>
            <w:r>
              <w:t>0</w:t>
            </w:r>
          </w:p>
        </w:tc>
        <w:tc>
          <w:tcPr>
            <w:tcW w:w="0" w:type="auto"/>
            <w:hideMark/>
          </w:tcPr>
          <w:p w14:paraId="28D56BE7" w14:textId="77777777" w:rsidR="00DC1B5A" w:rsidRDefault="00DC1B5A" w:rsidP="005F2D81">
            <w:pPr>
              <w:pStyle w:val="NormalWeb"/>
              <w:jc w:val="center"/>
            </w:pPr>
            <w:r>
              <w:t>0.00</w:t>
            </w:r>
          </w:p>
        </w:tc>
        <w:tc>
          <w:tcPr>
            <w:tcW w:w="0" w:type="auto"/>
            <w:hideMark/>
          </w:tcPr>
          <w:p w14:paraId="1E994F44" w14:textId="77777777" w:rsidR="00DC1B5A" w:rsidRDefault="00DC1B5A" w:rsidP="005F2D81">
            <w:pPr>
              <w:pStyle w:val="NormalWeb"/>
              <w:jc w:val="center"/>
            </w:pPr>
            <w:r>
              <w:t>5</w:t>
            </w:r>
          </w:p>
        </w:tc>
        <w:tc>
          <w:tcPr>
            <w:tcW w:w="0" w:type="auto"/>
            <w:hideMark/>
          </w:tcPr>
          <w:p w14:paraId="7A82AF14" w14:textId="77777777" w:rsidR="00DC1B5A" w:rsidRDefault="00DC1B5A" w:rsidP="005F2D81">
            <w:pPr>
              <w:pStyle w:val="NormalWeb"/>
              <w:jc w:val="center"/>
            </w:pPr>
            <w:r>
              <w:t>1.17</w:t>
            </w:r>
          </w:p>
        </w:tc>
        <w:tc>
          <w:tcPr>
            <w:tcW w:w="0" w:type="auto"/>
            <w:hideMark/>
          </w:tcPr>
          <w:p w14:paraId="02838822" w14:textId="77777777" w:rsidR="00DC1B5A" w:rsidRDefault="00DC1B5A" w:rsidP="005F2D81">
            <w:pPr>
              <w:pStyle w:val="NormalWeb"/>
              <w:jc w:val="center"/>
            </w:pPr>
            <w:r>
              <w:t>113</w:t>
            </w:r>
          </w:p>
        </w:tc>
        <w:tc>
          <w:tcPr>
            <w:tcW w:w="0" w:type="auto"/>
            <w:hideMark/>
          </w:tcPr>
          <w:p w14:paraId="0B0A2931" w14:textId="77777777" w:rsidR="00DC1B5A" w:rsidRDefault="00DC1B5A" w:rsidP="005F2D81">
            <w:pPr>
              <w:pStyle w:val="NormalWeb"/>
              <w:jc w:val="center"/>
            </w:pPr>
            <w:r>
              <w:rPr>
                <w:lang w:val="en-US"/>
              </w:rPr>
              <w:t>26.48</w:t>
            </w:r>
          </w:p>
        </w:tc>
      </w:tr>
      <w:tr w:rsidR="00DC1B5A" w:rsidRPr="00BF41BE" w14:paraId="672D852A" w14:textId="77777777" w:rsidTr="00BF41BE">
        <w:tc>
          <w:tcPr>
            <w:tcW w:w="0" w:type="auto"/>
            <w:shd w:val="clear" w:color="auto" w:fill="FDE9D9" w:themeFill="accent6" w:themeFillTint="33"/>
            <w:hideMark/>
          </w:tcPr>
          <w:p w14:paraId="2D381CD9" w14:textId="77777777" w:rsidR="00DC1B5A" w:rsidRPr="00BF41BE" w:rsidRDefault="00DC1B5A">
            <w:pPr>
              <w:pStyle w:val="NormalWeb"/>
              <w:rPr>
                <w:b/>
              </w:rPr>
            </w:pPr>
            <w:r w:rsidRPr="00BF41BE">
              <w:rPr>
                <w:b/>
              </w:rPr>
              <w:t>Australia</w:t>
            </w:r>
          </w:p>
        </w:tc>
        <w:tc>
          <w:tcPr>
            <w:tcW w:w="0" w:type="auto"/>
            <w:shd w:val="clear" w:color="auto" w:fill="FDE9D9" w:themeFill="accent6" w:themeFillTint="33"/>
            <w:hideMark/>
          </w:tcPr>
          <w:p w14:paraId="5CB77E45" w14:textId="77777777" w:rsidR="00DC1B5A" w:rsidRPr="00BF41BE" w:rsidRDefault="00DC1B5A" w:rsidP="005F2D81">
            <w:pPr>
              <w:pStyle w:val="NormalWeb"/>
              <w:jc w:val="center"/>
              <w:rPr>
                <w:b/>
              </w:rPr>
            </w:pPr>
            <w:r w:rsidRPr="00BF41BE">
              <w:rPr>
                <w:b/>
              </w:rPr>
              <w:t>1,047</w:t>
            </w:r>
          </w:p>
        </w:tc>
        <w:tc>
          <w:tcPr>
            <w:tcW w:w="0" w:type="auto"/>
            <w:shd w:val="clear" w:color="auto" w:fill="FDE9D9" w:themeFill="accent6" w:themeFillTint="33"/>
            <w:hideMark/>
          </w:tcPr>
          <w:p w14:paraId="0673FF90" w14:textId="77777777" w:rsidR="00DC1B5A" w:rsidRPr="00BF41BE" w:rsidRDefault="00DC1B5A" w:rsidP="005F2D81">
            <w:pPr>
              <w:pStyle w:val="NormalWeb"/>
              <w:jc w:val="center"/>
              <w:rPr>
                <w:b/>
              </w:rPr>
            </w:pPr>
            <w:r w:rsidRPr="00BF41BE">
              <w:rPr>
                <w:b/>
              </w:rPr>
              <w:t>4.13</w:t>
            </w:r>
          </w:p>
        </w:tc>
        <w:tc>
          <w:tcPr>
            <w:tcW w:w="0" w:type="auto"/>
            <w:shd w:val="clear" w:color="auto" w:fill="FDE9D9" w:themeFill="accent6" w:themeFillTint="33"/>
            <w:hideMark/>
          </w:tcPr>
          <w:p w14:paraId="2B1FF50E" w14:textId="77777777" w:rsidR="00DC1B5A" w:rsidRPr="00BF41BE" w:rsidRDefault="00DC1B5A" w:rsidP="005F2D81">
            <w:pPr>
              <w:pStyle w:val="NormalWeb"/>
              <w:jc w:val="center"/>
              <w:rPr>
                <w:b/>
              </w:rPr>
            </w:pPr>
            <w:r w:rsidRPr="00BF41BE">
              <w:rPr>
                <w:b/>
              </w:rPr>
              <w:t>3,719</w:t>
            </w:r>
          </w:p>
        </w:tc>
        <w:tc>
          <w:tcPr>
            <w:tcW w:w="0" w:type="auto"/>
            <w:shd w:val="clear" w:color="auto" w:fill="FDE9D9" w:themeFill="accent6" w:themeFillTint="33"/>
            <w:hideMark/>
          </w:tcPr>
          <w:p w14:paraId="0408E757" w14:textId="77777777" w:rsidR="00DC1B5A" w:rsidRPr="00BF41BE" w:rsidRDefault="00DC1B5A" w:rsidP="005F2D81">
            <w:pPr>
              <w:pStyle w:val="NormalWeb"/>
              <w:jc w:val="center"/>
              <w:rPr>
                <w:b/>
              </w:rPr>
            </w:pPr>
            <w:r w:rsidRPr="00BF41BE">
              <w:rPr>
                <w:b/>
              </w:rPr>
              <w:t>14.95</w:t>
            </w:r>
          </w:p>
        </w:tc>
        <w:tc>
          <w:tcPr>
            <w:tcW w:w="0" w:type="auto"/>
            <w:shd w:val="clear" w:color="auto" w:fill="FDE9D9" w:themeFill="accent6" w:themeFillTint="33"/>
            <w:hideMark/>
          </w:tcPr>
          <w:p w14:paraId="649FB27F" w14:textId="77777777" w:rsidR="00DC1B5A" w:rsidRPr="00BF41BE" w:rsidRDefault="00DC1B5A" w:rsidP="005F2D81">
            <w:pPr>
              <w:pStyle w:val="NormalWeb"/>
              <w:jc w:val="center"/>
              <w:rPr>
                <w:b/>
              </w:rPr>
            </w:pPr>
            <w:r w:rsidRPr="00BF41BE">
              <w:rPr>
                <w:b/>
              </w:rPr>
              <w:t>12,636</w:t>
            </w:r>
          </w:p>
        </w:tc>
        <w:tc>
          <w:tcPr>
            <w:tcW w:w="0" w:type="auto"/>
            <w:shd w:val="clear" w:color="auto" w:fill="FDE9D9" w:themeFill="accent6" w:themeFillTint="33"/>
            <w:hideMark/>
          </w:tcPr>
          <w:p w14:paraId="5D8F8D53" w14:textId="77777777" w:rsidR="00DC1B5A" w:rsidRPr="00BF41BE" w:rsidRDefault="00DC1B5A" w:rsidP="005F2D81">
            <w:pPr>
              <w:pStyle w:val="NormalWeb"/>
              <w:jc w:val="center"/>
              <w:rPr>
                <w:b/>
              </w:rPr>
            </w:pPr>
            <w:r w:rsidRPr="00BF41BE">
              <w:rPr>
                <w:b/>
                <w:lang w:val="en-US"/>
              </w:rPr>
              <w:t>49.82</w:t>
            </w:r>
          </w:p>
        </w:tc>
      </w:tr>
    </w:tbl>
    <w:p w14:paraId="585A7832" w14:textId="77777777" w:rsidR="00117B06" w:rsidRDefault="00117B06" w:rsidP="006F7C3A">
      <w:pPr>
        <w:pStyle w:val="Heading2"/>
      </w:pPr>
    </w:p>
    <w:p w14:paraId="21C1EB23" w14:textId="77777777" w:rsidR="00DC1B5A" w:rsidRPr="006F7C3A" w:rsidRDefault="00DC1B5A" w:rsidP="006F7C3A">
      <w:pPr>
        <w:pStyle w:val="Heading2"/>
      </w:pPr>
      <w:r w:rsidRPr="006F7C3A">
        <w:t xml:space="preserve">Source of acquisition </w:t>
      </w:r>
    </w:p>
    <w:p w14:paraId="27665071" w14:textId="77777777" w:rsidR="00DC1B5A" w:rsidRDefault="00DC1B5A" w:rsidP="006F7C3A">
      <w:r>
        <w:t xml:space="preserve">As at 19 July 2020, Australia has recorded 12,636 cases of COVID-19. Of these, 49% are reported as locally acquired, 40% are reported as overseas acquired, and 11% remain under investigation (Figure 3). </w:t>
      </w:r>
    </w:p>
    <w:p w14:paraId="1B28D7C5" w14:textId="77777777" w:rsidR="00DC1B5A" w:rsidRDefault="00DC1B5A" w:rsidP="006F7C3A">
      <w:r>
        <w:t xml:space="preserve">For this reporting period, 65% of cases were locally acquired, 3% were overseas acquired, and 32% were under investigation at time of reporting. The number and proportion of locally-acquired cases has continued to increase, largely due to outbreaks in Victoria. Of all locally-acquired cases in this reporting period, the source of acquisition for </w:t>
      </w:r>
      <w:r>
        <w:lastRenderedPageBreak/>
        <w:t xml:space="preserve">69% of cases was found to be a contact of a case or in a known cluster; 31% were unable to be linked to another case. This included 8 cases where a contact could not be identified but interstate travel had occurred. </w:t>
      </w:r>
    </w:p>
    <w:p w14:paraId="08EA5672" w14:textId="77777777" w:rsidR="00DC1B5A" w:rsidRDefault="00DC1B5A" w:rsidP="006F7C3A">
      <w:r>
        <w:t xml:space="preserve">The largest numbers of all overseas-acquired cases were related to cruise-ship travel (31%) or to travel originating in the European region (29%) or the Americas (19%). Travel included returning from holidays and chartered repatriation flights. Overseas-acquired cases reported in this fortnight were predominantly reported from NSW (57%) and WA (35%) and were detected in travellers in hotel quarantine from repatriation flights. </w:t>
      </w:r>
    </w:p>
    <w:p w14:paraId="2102F788" w14:textId="77777777" w:rsidR="00DC1B5A" w:rsidRPr="006F7C3A" w:rsidRDefault="00DC1B5A" w:rsidP="006F7C3A">
      <w:pPr>
        <w:pStyle w:val="Heading1"/>
      </w:pPr>
      <w:r w:rsidRPr="006F7C3A">
        <w:t xml:space="preserve">Testing </w:t>
      </w:r>
    </w:p>
    <w:p w14:paraId="09DEE504" w14:textId="77777777" w:rsidR="00DC1B5A" w:rsidRDefault="00DC1B5A" w:rsidP="006F7C3A">
      <w:r>
        <w:t>During this reporting period</w:t>
      </w:r>
      <w:r w:rsidR="001E5AFE">
        <w:t>,</w:t>
      </w:r>
      <w:r>
        <w:t xml:space="preserve"> 763,028 tests were conducted nationally with an overall positivity rate of less than 0.5%. All states except Victoria reported a </w:t>
      </w:r>
      <w:r w:rsidR="001E5AFE" w:rsidRPr="001E5AFE">
        <w:t>positivity lower than 0.11% for this fortnight</w:t>
      </w:r>
      <w:r>
        <w:t xml:space="preserve">. Victoria reported a positivity rate of 0.84% for this period. </w:t>
      </w:r>
    </w:p>
    <w:p w14:paraId="47047E4E" w14:textId="77777777" w:rsidR="00DC1B5A" w:rsidRDefault="00DC1B5A" w:rsidP="006F7C3A">
      <w:r>
        <w:t>A total of 3,476,463 tests have been conducted in Australia. High rates of testing have continued across the country with the cumulative proportion of positive tests remaining low at less than 0.5% in each jurisdiction (Table 4). The low positivity rate indicates widespread testing in the community and supports the observation of low levels of disease in these areas.</w:t>
      </w:r>
    </w:p>
    <w:p w14:paraId="126E447D" w14:textId="77777777" w:rsidR="00563760" w:rsidRDefault="00563760">
      <w:pPr>
        <w:rPr>
          <w:b/>
        </w:rPr>
      </w:pPr>
      <w:r>
        <w:br w:type="page"/>
      </w:r>
    </w:p>
    <w:p w14:paraId="2B463432" w14:textId="77777777" w:rsidR="00DC1B5A" w:rsidRDefault="00DC1B5A" w:rsidP="006F7C3A">
      <w:pPr>
        <w:pStyle w:val="CDIFigures"/>
      </w:pPr>
      <w:r>
        <w:lastRenderedPageBreak/>
        <w:t xml:space="preserve">Table 4: Diagnostic tests performed as at 19 July 2020, Australia, by </w:t>
      </w:r>
      <w:proofErr w:type="spellStart"/>
      <w:r>
        <w:t>jurisdiction</w:t>
      </w:r>
      <w:r w:rsidRPr="007A2606">
        <w:rPr>
          <w:vertAlign w:val="superscript"/>
        </w:rPr>
        <w:t>a</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cumulative number of diagnostic tests performed (and the percentage of such tests positive) within each jurisdiction by the end of this reporting fortnight, as well as at the end of the previous reporting fortnight. Nationwide, for this reporting period there have been 763,028 tests performed, with a positivity rate of 0.44%. Of all tests performed in Australia since 13 January 2020 (3,476,463 tests), the cumulative testing rate is 13,705 tests per 100,000 population and the positivity rate is 0.34%."/>
      </w:tblPr>
      <w:tblGrid>
        <w:gridCol w:w="1156"/>
        <w:gridCol w:w="1298"/>
        <w:gridCol w:w="1232"/>
        <w:gridCol w:w="67"/>
        <w:gridCol w:w="1298"/>
        <w:gridCol w:w="1299"/>
        <w:gridCol w:w="1298"/>
        <w:gridCol w:w="1299"/>
        <w:gridCol w:w="1299"/>
      </w:tblGrid>
      <w:tr w:rsidR="00DC1B5A" w14:paraId="1C79548C" w14:textId="77777777" w:rsidTr="008532E7">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14:paraId="3F4D3243" w14:textId="77777777" w:rsidR="00DC1B5A" w:rsidRPr="00AE32A9" w:rsidRDefault="00DC1B5A" w:rsidP="00AE32A9">
            <w:pPr>
              <w:pStyle w:val="NormalWeb"/>
              <w:jc w:val="center"/>
              <w:rPr>
                <w:color w:val="FFFFFF" w:themeColor="background1"/>
              </w:rPr>
            </w:pPr>
            <w:r w:rsidRPr="00AE32A9">
              <w:rPr>
                <w:color w:val="FFFFFF" w:themeColor="background1"/>
              </w:rPr>
              <w:t>Jurisdiction</w:t>
            </w:r>
          </w:p>
        </w:tc>
        <w:tc>
          <w:tcPr>
            <w:tcW w:w="2530" w:type="dxa"/>
            <w:gridSpan w:val="2"/>
            <w:tcBorders>
              <w:left w:val="single" w:sz="2" w:space="0" w:color="FFFFFF" w:themeColor="background1"/>
              <w:bottom w:val="single" w:sz="2" w:space="0" w:color="FFFFFF" w:themeColor="background1"/>
              <w:right w:val="single" w:sz="2" w:space="0" w:color="FFFFFF" w:themeColor="background1"/>
            </w:tcBorders>
            <w:hideMark/>
          </w:tcPr>
          <w:p w14:paraId="0F8E14DA" w14:textId="77777777" w:rsidR="00DC1B5A" w:rsidRPr="00AE32A9" w:rsidRDefault="00DC1B5A" w:rsidP="00A325B7">
            <w:pPr>
              <w:pStyle w:val="NormalWeb"/>
              <w:jc w:val="center"/>
              <w:rPr>
                <w:color w:val="FFFFFF" w:themeColor="background1"/>
              </w:rPr>
            </w:pPr>
            <w:r w:rsidRPr="00AE32A9">
              <w:rPr>
                <w:color w:val="FFFFFF" w:themeColor="background1"/>
                <w:lang w:val="en-US"/>
              </w:rPr>
              <w:t>Tests performed</w:t>
            </w:r>
            <w:r w:rsidRPr="00AE32A9">
              <w:rPr>
                <w:color w:val="FFFFFF" w:themeColor="background1"/>
                <w:lang w:val="en-US"/>
              </w:rPr>
              <w:br/>
              <w:t>22 June—5 July</w:t>
            </w:r>
          </w:p>
        </w:tc>
        <w:tc>
          <w:tcPr>
            <w:tcW w:w="2664" w:type="dxa"/>
            <w:gridSpan w:val="3"/>
            <w:tcBorders>
              <w:left w:val="single" w:sz="2" w:space="0" w:color="FFFFFF" w:themeColor="background1"/>
              <w:bottom w:val="single" w:sz="2" w:space="0" w:color="FFFFFF" w:themeColor="background1"/>
              <w:right w:val="single" w:sz="2" w:space="0" w:color="FFFFFF" w:themeColor="background1"/>
            </w:tcBorders>
            <w:hideMark/>
          </w:tcPr>
          <w:p w14:paraId="58C2A0DF" w14:textId="77777777" w:rsidR="00DC1B5A" w:rsidRPr="00AE32A9" w:rsidRDefault="00DC1B5A" w:rsidP="00A325B7">
            <w:pPr>
              <w:pStyle w:val="NormalWeb"/>
              <w:jc w:val="center"/>
              <w:rPr>
                <w:color w:val="FFFFFF" w:themeColor="background1"/>
              </w:rPr>
            </w:pPr>
            <w:r w:rsidRPr="00AE32A9">
              <w:rPr>
                <w:color w:val="FFFFFF" w:themeColor="background1"/>
              </w:rPr>
              <w:t>Tests performed</w:t>
            </w:r>
            <w:r w:rsidRPr="00AE32A9">
              <w:rPr>
                <w:color w:val="FFFFFF" w:themeColor="background1"/>
              </w:rPr>
              <w:br/>
              <w:t>6—19 July</w:t>
            </w:r>
          </w:p>
        </w:tc>
        <w:tc>
          <w:tcPr>
            <w:tcW w:w="3896" w:type="dxa"/>
            <w:gridSpan w:val="3"/>
            <w:tcBorders>
              <w:left w:val="single" w:sz="2" w:space="0" w:color="FFFFFF" w:themeColor="background1"/>
              <w:bottom w:val="single" w:sz="2" w:space="0" w:color="FFFFFF" w:themeColor="background1"/>
            </w:tcBorders>
            <w:hideMark/>
          </w:tcPr>
          <w:p w14:paraId="3DA27543" w14:textId="77777777" w:rsidR="00DC1B5A" w:rsidRPr="00AE32A9" w:rsidRDefault="00DC1B5A" w:rsidP="00A325B7">
            <w:pPr>
              <w:pStyle w:val="NormalWeb"/>
              <w:jc w:val="center"/>
              <w:rPr>
                <w:color w:val="FFFFFF" w:themeColor="background1"/>
              </w:rPr>
            </w:pPr>
            <w:r w:rsidRPr="00AE32A9">
              <w:rPr>
                <w:color w:val="FFFFFF" w:themeColor="background1"/>
              </w:rPr>
              <w:t>Cumulative tests performed to 19 July</w:t>
            </w:r>
          </w:p>
        </w:tc>
      </w:tr>
      <w:tr w:rsidR="00DC1B5A" w14:paraId="6F39FD44" w14:textId="77777777" w:rsidTr="008532E7">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14:paraId="75AD4417" w14:textId="77777777" w:rsidR="00DC1B5A" w:rsidRPr="00AE32A9" w:rsidRDefault="00DC1B5A" w:rsidP="00AE32A9">
            <w:pPr>
              <w:jc w:val="center"/>
              <w:rPr>
                <w:color w:val="FFFFFF" w:themeColor="background1"/>
              </w:rPr>
            </w:pPr>
          </w:p>
        </w:tc>
        <w:tc>
          <w:tcPr>
            <w:tcW w:w="1298" w:type="dxa"/>
            <w:tcBorders>
              <w:top w:val="single" w:sz="2" w:space="0" w:color="FFFFFF" w:themeColor="background1"/>
              <w:left w:val="single" w:sz="2" w:space="0" w:color="FFFFFF" w:themeColor="background1"/>
              <w:right w:val="single" w:sz="2" w:space="0" w:color="FFFFFF" w:themeColor="background1"/>
            </w:tcBorders>
            <w:hideMark/>
          </w:tcPr>
          <w:p w14:paraId="131A2044" w14:textId="77777777" w:rsidR="00DC1B5A" w:rsidRPr="00AE32A9" w:rsidRDefault="00DC1B5A" w:rsidP="00A325B7">
            <w:pPr>
              <w:pStyle w:val="NormalWeb"/>
              <w:jc w:val="center"/>
              <w:rPr>
                <w:color w:val="FFFFFF" w:themeColor="background1"/>
                <w:sz w:val="24"/>
                <w:szCs w:val="24"/>
              </w:rPr>
            </w:pPr>
            <w:r w:rsidRPr="00AE32A9">
              <w:rPr>
                <w:color w:val="FFFFFF" w:themeColor="background1"/>
              </w:rPr>
              <w:t>N</w:t>
            </w:r>
          </w:p>
        </w:tc>
        <w:tc>
          <w:tcPr>
            <w:tcW w:w="1232" w:type="dxa"/>
            <w:tcBorders>
              <w:top w:val="single" w:sz="2" w:space="0" w:color="FFFFFF" w:themeColor="background1"/>
              <w:left w:val="single" w:sz="2" w:space="0" w:color="FFFFFF" w:themeColor="background1"/>
              <w:right w:val="single" w:sz="2" w:space="0" w:color="FFFFFF" w:themeColor="background1"/>
            </w:tcBorders>
            <w:hideMark/>
          </w:tcPr>
          <w:p w14:paraId="6C54988F" w14:textId="77777777" w:rsidR="00DC1B5A" w:rsidRPr="00AE32A9" w:rsidRDefault="00DC1B5A" w:rsidP="00A325B7">
            <w:pPr>
              <w:pStyle w:val="NormalWeb"/>
              <w:jc w:val="center"/>
              <w:rPr>
                <w:color w:val="FFFFFF" w:themeColor="background1"/>
              </w:rPr>
            </w:pPr>
            <w:r w:rsidRPr="00AE32A9">
              <w:rPr>
                <w:color w:val="FFFFFF" w:themeColor="background1"/>
              </w:rPr>
              <w:t>Positivity (%)</w:t>
            </w:r>
          </w:p>
        </w:tc>
        <w:tc>
          <w:tcPr>
            <w:tcW w:w="1365" w:type="dxa"/>
            <w:gridSpan w:val="2"/>
            <w:tcBorders>
              <w:top w:val="single" w:sz="2" w:space="0" w:color="FFFFFF" w:themeColor="background1"/>
              <w:left w:val="single" w:sz="2" w:space="0" w:color="FFFFFF" w:themeColor="background1"/>
              <w:right w:val="single" w:sz="2" w:space="0" w:color="FFFFFF" w:themeColor="background1"/>
            </w:tcBorders>
            <w:hideMark/>
          </w:tcPr>
          <w:p w14:paraId="046D8736" w14:textId="77777777" w:rsidR="00DC1B5A" w:rsidRPr="00AE32A9" w:rsidRDefault="00DC1B5A" w:rsidP="00A325B7">
            <w:pPr>
              <w:pStyle w:val="NormalWeb"/>
              <w:jc w:val="center"/>
              <w:rPr>
                <w:color w:val="FFFFFF" w:themeColor="background1"/>
              </w:rPr>
            </w:pPr>
            <w:r w:rsidRPr="00AE32A9">
              <w:rPr>
                <w:color w:val="FFFFFF" w:themeColor="background1"/>
                <w:lang w:val="en-US"/>
              </w:rPr>
              <w:t>N</w:t>
            </w:r>
          </w:p>
        </w:tc>
        <w:tc>
          <w:tcPr>
            <w:tcW w:w="1299" w:type="dxa"/>
            <w:tcBorders>
              <w:top w:val="single" w:sz="2" w:space="0" w:color="FFFFFF" w:themeColor="background1"/>
              <w:left w:val="single" w:sz="2" w:space="0" w:color="FFFFFF" w:themeColor="background1"/>
              <w:right w:val="single" w:sz="2" w:space="0" w:color="FFFFFF" w:themeColor="background1"/>
            </w:tcBorders>
            <w:hideMark/>
          </w:tcPr>
          <w:p w14:paraId="78E8CD66" w14:textId="77777777" w:rsidR="00DC1B5A" w:rsidRPr="00AE32A9" w:rsidRDefault="00DC1B5A" w:rsidP="00A325B7">
            <w:pPr>
              <w:pStyle w:val="NormalWeb"/>
              <w:jc w:val="center"/>
              <w:rPr>
                <w:color w:val="FFFFFF" w:themeColor="background1"/>
              </w:rPr>
            </w:pPr>
            <w:r w:rsidRPr="00AE32A9">
              <w:rPr>
                <w:color w:val="FFFFFF" w:themeColor="background1"/>
              </w:rPr>
              <w:t>Positivity (%)</w:t>
            </w:r>
          </w:p>
        </w:tc>
        <w:tc>
          <w:tcPr>
            <w:tcW w:w="1298" w:type="dxa"/>
            <w:tcBorders>
              <w:top w:val="single" w:sz="2" w:space="0" w:color="FFFFFF" w:themeColor="background1"/>
              <w:left w:val="single" w:sz="2" w:space="0" w:color="FFFFFF" w:themeColor="background1"/>
              <w:right w:val="single" w:sz="2" w:space="0" w:color="FFFFFF" w:themeColor="background1"/>
            </w:tcBorders>
            <w:hideMark/>
          </w:tcPr>
          <w:p w14:paraId="161CB765" w14:textId="77777777" w:rsidR="00DC1B5A" w:rsidRPr="00AE32A9" w:rsidRDefault="00DC1B5A" w:rsidP="00A325B7">
            <w:pPr>
              <w:pStyle w:val="NormalWeb"/>
              <w:jc w:val="center"/>
              <w:rPr>
                <w:color w:val="FFFFFF" w:themeColor="background1"/>
              </w:rPr>
            </w:pPr>
            <w:r w:rsidRPr="00AE32A9">
              <w:rPr>
                <w:color w:val="FFFFFF" w:themeColor="background1"/>
                <w:lang w:val="en-US"/>
              </w:rPr>
              <w:t>N</w:t>
            </w:r>
          </w:p>
        </w:tc>
        <w:tc>
          <w:tcPr>
            <w:tcW w:w="1299" w:type="dxa"/>
            <w:tcBorders>
              <w:top w:val="single" w:sz="2" w:space="0" w:color="FFFFFF" w:themeColor="background1"/>
              <w:left w:val="single" w:sz="2" w:space="0" w:color="FFFFFF" w:themeColor="background1"/>
              <w:right w:val="single" w:sz="2" w:space="0" w:color="FFFFFF" w:themeColor="background1"/>
            </w:tcBorders>
            <w:hideMark/>
          </w:tcPr>
          <w:p w14:paraId="66B4628C" w14:textId="77777777" w:rsidR="00DC1B5A" w:rsidRPr="00AE32A9" w:rsidRDefault="00DC1B5A" w:rsidP="00A325B7">
            <w:pPr>
              <w:pStyle w:val="NormalWeb"/>
              <w:jc w:val="center"/>
              <w:rPr>
                <w:color w:val="FFFFFF" w:themeColor="background1"/>
              </w:rPr>
            </w:pPr>
            <w:r w:rsidRPr="00AE32A9">
              <w:rPr>
                <w:color w:val="FFFFFF" w:themeColor="background1"/>
              </w:rPr>
              <w:t>Positivity (%)</w:t>
            </w:r>
          </w:p>
        </w:tc>
        <w:tc>
          <w:tcPr>
            <w:tcW w:w="1299" w:type="dxa"/>
            <w:tcBorders>
              <w:top w:val="single" w:sz="2" w:space="0" w:color="FFFFFF" w:themeColor="background1"/>
              <w:left w:val="single" w:sz="2" w:space="0" w:color="FFFFFF" w:themeColor="background1"/>
            </w:tcBorders>
            <w:hideMark/>
          </w:tcPr>
          <w:p w14:paraId="3135924A" w14:textId="77777777" w:rsidR="00DC1B5A" w:rsidRPr="00AE32A9" w:rsidRDefault="00DC1B5A" w:rsidP="00A325B7">
            <w:pPr>
              <w:pStyle w:val="NormalWeb"/>
              <w:jc w:val="center"/>
              <w:rPr>
                <w:color w:val="FFFFFF" w:themeColor="background1"/>
              </w:rPr>
            </w:pPr>
            <w:r w:rsidRPr="00AE32A9">
              <w:rPr>
                <w:color w:val="FFFFFF" w:themeColor="background1"/>
              </w:rPr>
              <w:t xml:space="preserve">Per 100,000 population </w:t>
            </w:r>
            <w:proofErr w:type="spellStart"/>
            <w:r w:rsidRPr="005A055C">
              <w:rPr>
                <w:color w:val="FFFFFF" w:themeColor="background1"/>
                <w:vertAlign w:val="superscript"/>
              </w:rPr>
              <w:t>a,b</w:t>
            </w:r>
            <w:proofErr w:type="spellEnd"/>
          </w:p>
        </w:tc>
      </w:tr>
      <w:tr w:rsidR="00DC1B5A" w14:paraId="2F2FC12C" w14:textId="77777777" w:rsidTr="00A325B7">
        <w:tc>
          <w:tcPr>
            <w:tcW w:w="0" w:type="auto"/>
            <w:hideMark/>
          </w:tcPr>
          <w:p w14:paraId="1EB6187C" w14:textId="77777777" w:rsidR="00DC1B5A" w:rsidRDefault="00DC1B5A">
            <w:pPr>
              <w:pStyle w:val="NormalWeb"/>
            </w:pPr>
            <w:r>
              <w:t>NSW</w:t>
            </w:r>
          </w:p>
        </w:tc>
        <w:tc>
          <w:tcPr>
            <w:tcW w:w="1298" w:type="dxa"/>
            <w:hideMark/>
          </w:tcPr>
          <w:p w14:paraId="4AD60D69" w14:textId="77777777" w:rsidR="00DC1B5A" w:rsidRDefault="00DC1B5A" w:rsidP="00A325B7">
            <w:pPr>
              <w:pStyle w:val="NormalWeb"/>
              <w:jc w:val="center"/>
            </w:pPr>
            <w:r>
              <w:t>216,615</w:t>
            </w:r>
          </w:p>
        </w:tc>
        <w:tc>
          <w:tcPr>
            <w:tcW w:w="1299" w:type="dxa"/>
            <w:gridSpan w:val="2"/>
            <w:hideMark/>
          </w:tcPr>
          <w:p w14:paraId="10CD501C" w14:textId="77777777" w:rsidR="00DC1B5A" w:rsidRDefault="00DC1B5A" w:rsidP="00A325B7">
            <w:pPr>
              <w:pStyle w:val="NormalWeb"/>
              <w:jc w:val="center"/>
            </w:pPr>
            <w:r>
              <w:t>0.19</w:t>
            </w:r>
          </w:p>
        </w:tc>
        <w:tc>
          <w:tcPr>
            <w:tcW w:w="1298" w:type="dxa"/>
            <w:hideMark/>
          </w:tcPr>
          <w:p w14:paraId="2F870948" w14:textId="77777777" w:rsidR="00DC1B5A" w:rsidRDefault="00DC1B5A" w:rsidP="00A325B7">
            <w:pPr>
              <w:pStyle w:val="NormalWeb"/>
              <w:jc w:val="center"/>
            </w:pPr>
            <w:r>
              <w:rPr>
                <w:lang w:val="en-US"/>
              </w:rPr>
              <w:t>238,653</w:t>
            </w:r>
          </w:p>
        </w:tc>
        <w:tc>
          <w:tcPr>
            <w:tcW w:w="1299" w:type="dxa"/>
            <w:hideMark/>
          </w:tcPr>
          <w:p w14:paraId="6A7BD117" w14:textId="77777777" w:rsidR="00DC1B5A" w:rsidRDefault="00DC1B5A" w:rsidP="00A325B7">
            <w:pPr>
              <w:pStyle w:val="NormalWeb"/>
              <w:jc w:val="center"/>
            </w:pPr>
            <w:r>
              <w:t>0.06</w:t>
            </w:r>
          </w:p>
        </w:tc>
        <w:tc>
          <w:tcPr>
            <w:tcW w:w="1298" w:type="dxa"/>
            <w:hideMark/>
          </w:tcPr>
          <w:p w14:paraId="2B115991" w14:textId="77777777" w:rsidR="00DC1B5A" w:rsidRDefault="00DC1B5A" w:rsidP="00A325B7">
            <w:pPr>
              <w:pStyle w:val="NormalWeb"/>
              <w:jc w:val="center"/>
            </w:pPr>
            <w:r>
              <w:rPr>
                <w:lang w:val="en-US"/>
              </w:rPr>
              <w:t>1,181,085</w:t>
            </w:r>
          </w:p>
        </w:tc>
        <w:tc>
          <w:tcPr>
            <w:tcW w:w="1299" w:type="dxa"/>
            <w:hideMark/>
          </w:tcPr>
          <w:p w14:paraId="53A5CCF7" w14:textId="77777777" w:rsidR="00DC1B5A" w:rsidRDefault="00DC1B5A" w:rsidP="00A325B7">
            <w:pPr>
              <w:pStyle w:val="NormalWeb"/>
              <w:jc w:val="center"/>
            </w:pPr>
            <w:r>
              <w:t>0.30</w:t>
            </w:r>
          </w:p>
        </w:tc>
        <w:tc>
          <w:tcPr>
            <w:tcW w:w="1299" w:type="dxa"/>
            <w:hideMark/>
          </w:tcPr>
          <w:p w14:paraId="1AB50FE7" w14:textId="77777777" w:rsidR="00DC1B5A" w:rsidRDefault="00DC1B5A" w:rsidP="00A325B7">
            <w:pPr>
              <w:pStyle w:val="NormalWeb"/>
              <w:jc w:val="center"/>
            </w:pPr>
            <w:r>
              <w:rPr>
                <w:lang w:val="en-US"/>
              </w:rPr>
              <w:t>14,600</w:t>
            </w:r>
          </w:p>
        </w:tc>
      </w:tr>
      <w:tr w:rsidR="00DC1B5A" w14:paraId="4B8AE97E" w14:textId="77777777" w:rsidTr="00A325B7">
        <w:trPr>
          <w:cnfStyle w:val="000000010000" w:firstRow="0" w:lastRow="0" w:firstColumn="0" w:lastColumn="0" w:oddVBand="0" w:evenVBand="0" w:oddHBand="0" w:evenHBand="1" w:firstRowFirstColumn="0" w:firstRowLastColumn="0" w:lastRowFirstColumn="0" w:lastRowLastColumn="0"/>
        </w:trPr>
        <w:tc>
          <w:tcPr>
            <w:tcW w:w="0" w:type="auto"/>
            <w:hideMark/>
          </w:tcPr>
          <w:p w14:paraId="56128DEC" w14:textId="77777777" w:rsidR="00DC1B5A" w:rsidRDefault="00DC1B5A">
            <w:pPr>
              <w:pStyle w:val="NormalWeb"/>
            </w:pPr>
            <w:r>
              <w:t>Vic</w:t>
            </w:r>
          </w:p>
        </w:tc>
        <w:tc>
          <w:tcPr>
            <w:tcW w:w="1298" w:type="dxa"/>
            <w:hideMark/>
          </w:tcPr>
          <w:p w14:paraId="20DB87E1" w14:textId="77777777" w:rsidR="00DC1B5A" w:rsidRDefault="00DC1B5A" w:rsidP="00A325B7">
            <w:pPr>
              <w:pStyle w:val="NormalWeb"/>
              <w:jc w:val="center"/>
            </w:pPr>
            <w:r>
              <w:t>267,370</w:t>
            </w:r>
          </w:p>
        </w:tc>
        <w:tc>
          <w:tcPr>
            <w:tcW w:w="1299" w:type="dxa"/>
            <w:gridSpan w:val="2"/>
            <w:hideMark/>
          </w:tcPr>
          <w:p w14:paraId="20F880DB" w14:textId="77777777" w:rsidR="00DC1B5A" w:rsidRDefault="00DC1B5A" w:rsidP="00A325B7">
            <w:pPr>
              <w:pStyle w:val="NormalWeb"/>
              <w:jc w:val="center"/>
            </w:pPr>
            <w:r>
              <w:t>0.70</w:t>
            </w:r>
          </w:p>
        </w:tc>
        <w:tc>
          <w:tcPr>
            <w:tcW w:w="1298" w:type="dxa"/>
            <w:hideMark/>
          </w:tcPr>
          <w:p w14:paraId="78741B49" w14:textId="77777777" w:rsidR="00DC1B5A" w:rsidRDefault="00DC1B5A" w:rsidP="00A325B7">
            <w:pPr>
              <w:pStyle w:val="NormalWeb"/>
              <w:jc w:val="center"/>
            </w:pPr>
            <w:r>
              <w:rPr>
                <w:lang w:val="en-US"/>
              </w:rPr>
              <w:t>377,015</w:t>
            </w:r>
          </w:p>
        </w:tc>
        <w:tc>
          <w:tcPr>
            <w:tcW w:w="1299" w:type="dxa"/>
            <w:hideMark/>
          </w:tcPr>
          <w:p w14:paraId="1947B589" w14:textId="77777777" w:rsidR="00DC1B5A" w:rsidRDefault="00DC1B5A" w:rsidP="00A325B7">
            <w:pPr>
              <w:pStyle w:val="NormalWeb"/>
              <w:jc w:val="center"/>
            </w:pPr>
            <w:r>
              <w:t>0.84</w:t>
            </w:r>
          </w:p>
        </w:tc>
        <w:tc>
          <w:tcPr>
            <w:tcW w:w="1298" w:type="dxa"/>
            <w:hideMark/>
          </w:tcPr>
          <w:p w14:paraId="6F0BFF8A" w14:textId="77777777" w:rsidR="00DC1B5A" w:rsidRDefault="00DC1B5A" w:rsidP="00A325B7">
            <w:pPr>
              <w:pStyle w:val="NormalWeb"/>
              <w:jc w:val="center"/>
            </w:pPr>
            <w:r>
              <w:rPr>
                <w:lang w:val="en-US"/>
              </w:rPr>
              <w:t>1,305,186</w:t>
            </w:r>
          </w:p>
        </w:tc>
        <w:tc>
          <w:tcPr>
            <w:tcW w:w="1299" w:type="dxa"/>
            <w:hideMark/>
          </w:tcPr>
          <w:p w14:paraId="3A5748DE" w14:textId="77777777" w:rsidR="00DC1B5A" w:rsidRDefault="00DC1B5A" w:rsidP="00A325B7">
            <w:pPr>
              <w:pStyle w:val="NormalWeb"/>
              <w:jc w:val="center"/>
            </w:pPr>
            <w:r>
              <w:t>0.44</w:t>
            </w:r>
          </w:p>
        </w:tc>
        <w:tc>
          <w:tcPr>
            <w:tcW w:w="1299" w:type="dxa"/>
            <w:hideMark/>
          </w:tcPr>
          <w:p w14:paraId="419350AE" w14:textId="77777777" w:rsidR="00DC1B5A" w:rsidRDefault="00DC1B5A" w:rsidP="00A325B7">
            <w:pPr>
              <w:pStyle w:val="NormalWeb"/>
              <w:jc w:val="center"/>
            </w:pPr>
            <w:r>
              <w:rPr>
                <w:lang w:val="en-US"/>
              </w:rPr>
              <w:t>19,787</w:t>
            </w:r>
          </w:p>
        </w:tc>
      </w:tr>
      <w:tr w:rsidR="00DC1B5A" w14:paraId="167323F2" w14:textId="77777777" w:rsidTr="00A325B7">
        <w:tc>
          <w:tcPr>
            <w:tcW w:w="0" w:type="auto"/>
            <w:hideMark/>
          </w:tcPr>
          <w:p w14:paraId="2B2C6F26" w14:textId="77777777" w:rsidR="00DC1B5A" w:rsidRDefault="00DC1B5A">
            <w:pPr>
              <w:pStyle w:val="NormalWeb"/>
            </w:pPr>
            <w:r>
              <w:t>Qld</w:t>
            </w:r>
          </w:p>
        </w:tc>
        <w:tc>
          <w:tcPr>
            <w:tcW w:w="1298" w:type="dxa"/>
            <w:hideMark/>
          </w:tcPr>
          <w:p w14:paraId="62B0DF9E" w14:textId="77777777" w:rsidR="00DC1B5A" w:rsidRDefault="00DC1B5A" w:rsidP="00A325B7">
            <w:pPr>
              <w:pStyle w:val="NormalWeb"/>
              <w:jc w:val="center"/>
            </w:pPr>
            <w:r>
              <w:t>115,884</w:t>
            </w:r>
          </w:p>
        </w:tc>
        <w:tc>
          <w:tcPr>
            <w:tcW w:w="1299" w:type="dxa"/>
            <w:gridSpan w:val="2"/>
            <w:hideMark/>
          </w:tcPr>
          <w:p w14:paraId="367F8FEF" w14:textId="77777777" w:rsidR="00DC1B5A" w:rsidRDefault="00DC1B5A" w:rsidP="00A325B7">
            <w:pPr>
              <w:pStyle w:val="NormalWeb"/>
              <w:jc w:val="center"/>
            </w:pPr>
            <w:r>
              <w:t>0.01</w:t>
            </w:r>
          </w:p>
        </w:tc>
        <w:tc>
          <w:tcPr>
            <w:tcW w:w="1298" w:type="dxa"/>
            <w:hideMark/>
          </w:tcPr>
          <w:p w14:paraId="56C18E01" w14:textId="77777777" w:rsidR="00DC1B5A" w:rsidRDefault="00DC1B5A" w:rsidP="00A325B7">
            <w:pPr>
              <w:pStyle w:val="NormalWeb"/>
              <w:jc w:val="center"/>
            </w:pPr>
            <w:r>
              <w:rPr>
                <w:lang w:val="en-US"/>
              </w:rPr>
              <w:t>68,567</w:t>
            </w:r>
          </w:p>
        </w:tc>
        <w:tc>
          <w:tcPr>
            <w:tcW w:w="1299" w:type="dxa"/>
            <w:hideMark/>
          </w:tcPr>
          <w:p w14:paraId="5A718F75" w14:textId="77777777" w:rsidR="00DC1B5A" w:rsidRDefault="00DC1B5A" w:rsidP="00A325B7">
            <w:pPr>
              <w:pStyle w:val="NormalWeb"/>
              <w:jc w:val="center"/>
            </w:pPr>
            <w:r>
              <w:t>0.01</w:t>
            </w:r>
          </w:p>
        </w:tc>
        <w:tc>
          <w:tcPr>
            <w:tcW w:w="1298" w:type="dxa"/>
            <w:hideMark/>
          </w:tcPr>
          <w:p w14:paraId="51996633" w14:textId="77777777" w:rsidR="00DC1B5A" w:rsidRDefault="00DC1B5A" w:rsidP="00A325B7">
            <w:pPr>
              <w:pStyle w:val="NormalWeb"/>
              <w:jc w:val="center"/>
            </w:pPr>
            <w:r>
              <w:rPr>
                <w:lang w:val="en-US"/>
              </w:rPr>
              <w:t>459,139</w:t>
            </w:r>
          </w:p>
        </w:tc>
        <w:tc>
          <w:tcPr>
            <w:tcW w:w="1299" w:type="dxa"/>
            <w:hideMark/>
          </w:tcPr>
          <w:p w14:paraId="04F2A58C" w14:textId="77777777" w:rsidR="00DC1B5A" w:rsidRDefault="00DC1B5A" w:rsidP="00A325B7">
            <w:pPr>
              <w:pStyle w:val="NormalWeb"/>
              <w:jc w:val="center"/>
            </w:pPr>
            <w:r>
              <w:t>0.23</w:t>
            </w:r>
          </w:p>
        </w:tc>
        <w:tc>
          <w:tcPr>
            <w:tcW w:w="1299" w:type="dxa"/>
            <w:hideMark/>
          </w:tcPr>
          <w:p w14:paraId="6BC5985D" w14:textId="77777777" w:rsidR="00DC1B5A" w:rsidRDefault="00DC1B5A" w:rsidP="00A325B7">
            <w:pPr>
              <w:pStyle w:val="NormalWeb"/>
              <w:jc w:val="center"/>
            </w:pPr>
            <w:r>
              <w:rPr>
                <w:lang w:val="en-US"/>
              </w:rPr>
              <w:t>9,012</w:t>
            </w:r>
          </w:p>
        </w:tc>
      </w:tr>
      <w:tr w:rsidR="00DC1B5A" w14:paraId="5F1C1A3E" w14:textId="77777777" w:rsidTr="00A325B7">
        <w:trPr>
          <w:cnfStyle w:val="000000010000" w:firstRow="0" w:lastRow="0" w:firstColumn="0" w:lastColumn="0" w:oddVBand="0" w:evenVBand="0" w:oddHBand="0" w:evenHBand="1" w:firstRowFirstColumn="0" w:firstRowLastColumn="0" w:lastRowFirstColumn="0" w:lastRowLastColumn="0"/>
        </w:trPr>
        <w:tc>
          <w:tcPr>
            <w:tcW w:w="0" w:type="auto"/>
            <w:hideMark/>
          </w:tcPr>
          <w:p w14:paraId="5A36ADA4" w14:textId="77777777" w:rsidR="00DC1B5A" w:rsidRDefault="00DC1B5A">
            <w:pPr>
              <w:pStyle w:val="NormalWeb"/>
            </w:pPr>
            <w:r>
              <w:t>WA</w:t>
            </w:r>
          </w:p>
        </w:tc>
        <w:tc>
          <w:tcPr>
            <w:tcW w:w="1298" w:type="dxa"/>
            <w:hideMark/>
          </w:tcPr>
          <w:p w14:paraId="7EB0454A" w14:textId="77777777" w:rsidR="00DC1B5A" w:rsidRDefault="00DC1B5A" w:rsidP="00A325B7">
            <w:pPr>
              <w:pStyle w:val="NormalWeb"/>
              <w:jc w:val="center"/>
            </w:pPr>
            <w:r>
              <w:t>29,948</w:t>
            </w:r>
          </w:p>
        </w:tc>
        <w:tc>
          <w:tcPr>
            <w:tcW w:w="1299" w:type="dxa"/>
            <w:gridSpan w:val="2"/>
            <w:hideMark/>
          </w:tcPr>
          <w:p w14:paraId="4B5F2A7C" w14:textId="77777777" w:rsidR="00DC1B5A" w:rsidRDefault="00DC1B5A" w:rsidP="00A325B7">
            <w:pPr>
              <w:pStyle w:val="NormalWeb"/>
              <w:jc w:val="center"/>
            </w:pPr>
            <w:r>
              <w:t>0.04</w:t>
            </w:r>
          </w:p>
        </w:tc>
        <w:tc>
          <w:tcPr>
            <w:tcW w:w="1298" w:type="dxa"/>
            <w:hideMark/>
          </w:tcPr>
          <w:p w14:paraId="1CEDA19A" w14:textId="77777777" w:rsidR="00DC1B5A" w:rsidRDefault="00DC1B5A" w:rsidP="00A325B7">
            <w:pPr>
              <w:pStyle w:val="NormalWeb"/>
              <w:jc w:val="center"/>
            </w:pPr>
            <w:r>
              <w:rPr>
                <w:lang w:val="en-US"/>
              </w:rPr>
              <w:t>28,545</w:t>
            </w:r>
          </w:p>
        </w:tc>
        <w:tc>
          <w:tcPr>
            <w:tcW w:w="1299" w:type="dxa"/>
            <w:hideMark/>
          </w:tcPr>
          <w:p w14:paraId="635D6084" w14:textId="77777777" w:rsidR="00DC1B5A" w:rsidRDefault="00DC1B5A" w:rsidP="00A325B7">
            <w:pPr>
              <w:pStyle w:val="NormalWeb"/>
              <w:jc w:val="center"/>
            </w:pPr>
            <w:r>
              <w:t>0.11</w:t>
            </w:r>
          </w:p>
        </w:tc>
        <w:tc>
          <w:tcPr>
            <w:tcW w:w="1298" w:type="dxa"/>
            <w:hideMark/>
          </w:tcPr>
          <w:p w14:paraId="104CA46A" w14:textId="77777777" w:rsidR="00DC1B5A" w:rsidRDefault="00DC1B5A" w:rsidP="00A325B7">
            <w:pPr>
              <w:pStyle w:val="NormalWeb"/>
              <w:jc w:val="center"/>
            </w:pPr>
            <w:r>
              <w:rPr>
                <w:lang w:val="en-US"/>
              </w:rPr>
              <w:t>219,758</w:t>
            </w:r>
          </w:p>
        </w:tc>
        <w:tc>
          <w:tcPr>
            <w:tcW w:w="1299" w:type="dxa"/>
            <w:hideMark/>
          </w:tcPr>
          <w:p w14:paraId="674C1EAB" w14:textId="77777777" w:rsidR="00DC1B5A" w:rsidRDefault="00DC1B5A" w:rsidP="00A325B7">
            <w:pPr>
              <w:pStyle w:val="NormalWeb"/>
              <w:jc w:val="center"/>
            </w:pPr>
            <w:r>
              <w:t>0.30</w:t>
            </w:r>
          </w:p>
        </w:tc>
        <w:tc>
          <w:tcPr>
            <w:tcW w:w="1299" w:type="dxa"/>
            <w:hideMark/>
          </w:tcPr>
          <w:p w14:paraId="6E416DBF" w14:textId="77777777" w:rsidR="00DC1B5A" w:rsidRDefault="00DC1B5A" w:rsidP="00A325B7">
            <w:pPr>
              <w:pStyle w:val="NormalWeb"/>
              <w:jc w:val="center"/>
            </w:pPr>
            <w:r>
              <w:rPr>
                <w:lang w:val="en-US"/>
              </w:rPr>
              <w:t>12,544</w:t>
            </w:r>
          </w:p>
        </w:tc>
      </w:tr>
      <w:tr w:rsidR="00DC1B5A" w14:paraId="31CBA11D" w14:textId="77777777" w:rsidTr="00A325B7">
        <w:tc>
          <w:tcPr>
            <w:tcW w:w="0" w:type="auto"/>
            <w:hideMark/>
          </w:tcPr>
          <w:p w14:paraId="54279F0E" w14:textId="77777777" w:rsidR="00DC1B5A" w:rsidRDefault="00DC1B5A">
            <w:pPr>
              <w:pStyle w:val="NormalWeb"/>
            </w:pPr>
            <w:r>
              <w:t>SA</w:t>
            </w:r>
          </w:p>
        </w:tc>
        <w:tc>
          <w:tcPr>
            <w:tcW w:w="1298" w:type="dxa"/>
            <w:hideMark/>
          </w:tcPr>
          <w:p w14:paraId="0F0DB075" w14:textId="77777777" w:rsidR="00DC1B5A" w:rsidRDefault="00DC1B5A" w:rsidP="00A325B7">
            <w:pPr>
              <w:pStyle w:val="NormalWeb"/>
              <w:jc w:val="center"/>
            </w:pPr>
            <w:r>
              <w:t>23,802</w:t>
            </w:r>
          </w:p>
        </w:tc>
        <w:tc>
          <w:tcPr>
            <w:tcW w:w="1299" w:type="dxa"/>
            <w:gridSpan w:val="2"/>
            <w:hideMark/>
          </w:tcPr>
          <w:p w14:paraId="1B374036" w14:textId="77777777" w:rsidR="00DC1B5A" w:rsidRDefault="00DC1B5A" w:rsidP="00A325B7">
            <w:pPr>
              <w:pStyle w:val="NormalWeb"/>
              <w:jc w:val="center"/>
            </w:pPr>
            <w:r>
              <w:t>0.01</w:t>
            </w:r>
          </w:p>
        </w:tc>
        <w:tc>
          <w:tcPr>
            <w:tcW w:w="1298" w:type="dxa"/>
            <w:hideMark/>
          </w:tcPr>
          <w:p w14:paraId="31A72AF0" w14:textId="77777777" w:rsidR="00DC1B5A" w:rsidRDefault="00DC1B5A" w:rsidP="00A325B7">
            <w:pPr>
              <w:pStyle w:val="NormalWeb"/>
              <w:jc w:val="center"/>
            </w:pPr>
            <w:r>
              <w:rPr>
                <w:lang w:val="en-US"/>
              </w:rPr>
              <w:t>27,336</w:t>
            </w:r>
          </w:p>
        </w:tc>
        <w:tc>
          <w:tcPr>
            <w:tcW w:w="1299" w:type="dxa"/>
            <w:hideMark/>
          </w:tcPr>
          <w:p w14:paraId="7527126D" w14:textId="77777777" w:rsidR="00DC1B5A" w:rsidRDefault="00DC1B5A" w:rsidP="00A325B7">
            <w:pPr>
              <w:pStyle w:val="NormalWeb"/>
              <w:jc w:val="center"/>
            </w:pPr>
            <w:r>
              <w:t>0.00</w:t>
            </w:r>
          </w:p>
        </w:tc>
        <w:tc>
          <w:tcPr>
            <w:tcW w:w="1298" w:type="dxa"/>
            <w:hideMark/>
          </w:tcPr>
          <w:p w14:paraId="76FAC63F" w14:textId="77777777" w:rsidR="00DC1B5A" w:rsidRDefault="00DC1B5A" w:rsidP="00A325B7">
            <w:pPr>
              <w:pStyle w:val="NormalWeb"/>
              <w:jc w:val="center"/>
            </w:pPr>
            <w:r>
              <w:rPr>
                <w:lang w:val="en-US"/>
              </w:rPr>
              <w:t>188,428</w:t>
            </w:r>
          </w:p>
        </w:tc>
        <w:tc>
          <w:tcPr>
            <w:tcW w:w="1299" w:type="dxa"/>
            <w:hideMark/>
          </w:tcPr>
          <w:p w14:paraId="0D945966" w14:textId="77777777" w:rsidR="00DC1B5A" w:rsidRDefault="00DC1B5A" w:rsidP="00A325B7">
            <w:pPr>
              <w:pStyle w:val="NormalWeb"/>
              <w:jc w:val="center"/>
            </w:pPr>
            <w:r>
              <w:t>0.24</w:t>
            </w:r>
          </w:p>
        </w:tc>
        <w:tc>
          <w:tcPr>
            <w:tcW w:w="1299" w:type="dxa"/>
            <w:hideMark/>
          </w:tcPr>
          <w:p w14:paraId="0F3650EF" w14:textId="77777777" w:rsidR="00DC1B5A" w:rsidRDefault="00DC1B5A" w:rsidP="00A325B7">
            <w:pPr>
              <w:pStyle w:val="NormalWeb"/>
              <w:jc w:val="center"/>
            </w:pPr>
            <w:r>
              <w:rPr>
                <w:lang w:val="en-US"/>
              </w:rPr>
              <w:t>7,188</w:t>
            </w:r>
          </w:p>
        </w:tc>
      </w:tr>
      <w:tr w:rsidR="00DC1B5A" w14:paraId="10740B92" w14:textId="77777777" w:rsidTr="00A325B7">
        <w:trPr>
          <w:cnfStyle w:val="000000010000" w:firstRow="0" w:lastRow="0" w:firstColumn="0" w:lastColumn="0" w:oddVBand="0" w:evenVBand="0" w:oddHBand="0" w:evenHBand="1" w:firstRowFirstColumn="0" w:firstRowLastColumn="0" w:lastRowFirstColumn="0" w:lastRowLastColumn="0"/>
        </w:trPr>
        <w:tc>
          <w:tcPr>
            <w:tcW w:w="0" w:type="auto"/>
            <w:hideMark/>
          </w:tcPr>
          <w:p w14:paraId="6BF0A987" w14:textId="77777777" w:rsidR="00DC1B5A" w:rsidRDefault="00DC1B5A">
            <w:pPr>
              <w:pStyle w:val="NormalWeb"/>
            </w:pPr>
            <w:r>
              <w:t>Tas</w:t>
            </w:r>
          </w:p>
        </w:tc>
        <w:tc>
          <w:tcPr>
            <w:tcW w:w="1298" w:type="dxa"/>
            <w:hideMark/>
          </w:tcPr>
          <w:p w14:paraId="0AA491A3" w14:textId="77777777" w:rsidR="00DC1B5A" w:rsidRDefault="00DC1B5A" w:rsidP="00A325B7">
            <w:pPr>
              <w:pStyle w:val="NormalWeb"/>
              <w:jc w:val="center"/>
            </w:pPr>
            <w:r>
              <w:t>8,909</w:t>
            </w:r>
          </w:p>
        </w:tc>
        <w:tc>
          <w:tcPr>
            <w:tcW w:w="1299" w:type="dxa"/>
            <w:gridSpan w:val="2"/>
            <w:hideMark/>
          </w:tcPr>
          <w:p w14:paraId="6673DBC6" w14:textId="77777777" w:rsidR="00DC1B5A" w:rsidRDefault="00DC1B5A" w:rsidP="00A325B7">
            <w:pPr>
              <w:pStyle w:val="NormalWeb"/>
              <w:jc w:val="center"/>
            </w:pPr>
            <w:r>
              <w:t>0.00</w:t>
            </w:r>
          </w:p>
        </w:tc>
        <w:tc>
          <w:tcPr>
            <w:tcW w:w="1298" w:type="dxa"/>
            <w:hideMark/>
          </w:tcPr>
          <w:p w14:paraId="05C338AA" w14:textId="77777777" w:rsidR="00DC1B5A" w:rsidRDefault="00DC1B5A" w:rsidP="00A325B7">
            <w:pPr>
              <w:pStyle w:val="NormalWeb"/>
              <w:jc w:val="center"/>
            </w:pPr>
            <w:r>
              <w:rPr>
                <w:lang w:val="en-US"/>
              </w:rPr>
              <w:t>8,023</w:t>
            </w:r>
          </w:p>
        </w:tc>
        <w:tc>
          <w:tcPr>
            <w:tcW w:w="1299" w:type="dxa"/>
            <w:hideMark/>
          </w:tcPr>
          <w:p w14:paraId="2D617D4B" w14:textId="77777777" w:rsidR="00DC1B5A" w:rsidRDefault="00DC1B5A" w:rsidP="00A325B7">
            <w:pPr>
              <w:pStyle w:val="NormalWeb"/>
              <w:jc w:val="center"/>
            </w:pPr>
            <w:r>
              <w:t>0.00</w:t>
            </w:r>
          </w:p>
        </w:tc>
        <w:tc>
          <w:tcPr>
            <w:tcW w:w="1298" w:type="dxa"/>
            <w:hideMark/>
          </w:tcPr>
          <w:p w14:paraId="10106E2E" w14:textId="77777777" w:rsidR="00DC1B5A" w:rsidRDefault="00DC1B5A" w:rsidP="00A325B7">
            <w:pPr>
              <w:pStyle w:val="NormalWeb"/>
              <w:jc w:val="center"/>
            </w:pPr>
            <w:r>
              <w:rPr>
                <w:lang w:val="en-US"/>
              </w:rPr>
              <w:t>60,957</w:t>
            </w:r>
          </w:p>
        </w:tc>
        <w:tc>
          <w:tcPr>
            <w:tcW w:w="1299" w:type="dxa"/>
            <w:hideMark/>
          </w:tcPr>
          <w:p w14:paraId="615F9C92" w14:textId="77777777" w:rsidR="00DC1B5A" w:rsidRDefault="00DC1B5A" w:rsidP="00A325B7">
            <w:pPr>
              <w:pStyle w:val="NormalWeb"/>
              <w:jc w:val="center"/>
            </w:pPr>
            <w:r>
              <w:t>0.37</w:t>
            </w:r>
          </w:p>
        </w:tc>
        <w:tc>
          <w:tcPr>
            <w:tcW w:w="1299" w:type="dxa"/>
            <w:hideMark/>
          </w:tcPr>
          <w:p w14:paraId="2C068048" w14:textId="77777777" w:rsidR="00DC1B5A" w:rsidRDefault="00DC1B5A" w:rsidP="00A325B7">
            <w:pPr>
              <w:pStyle w:val="NormalWeb"/>
              <w:jc w:val="center"/>
            </w:pPr>
            <w:r>
              <w:rPr>
                <w:lang w:val="en-US"/>
              </w:rPr>
              <w:t>11,405</w:t>
            </w:r>
          </w:p>
        </w:tc>
      </w:tr>
      <w:tr w:rsidR="00DC1B5A" w14:paraId="5481ED34" w14:textId="77777777" w:rsidTr="00A325B7">
        <w:tc>
          <w:tcPr>
            <w:tcW w:w="0" w:type="auto"/>
            <w:hideMark/>
          </w:tcPr>
          <w:p w14:paraId="4EECA978" w14:textId="77777777" w:rsidR="00DC1B5A" w:rsidRDefault="00DC1B5A">
            <w:pPr>
              <w:pStyle w:val="NormalWeb"/>
            </w:pPr>
            <w:r>
              <w:t>NT</w:t>
            </w:r>
          </w:p>
        </w:tc>
        <w:tc>
          <w:tcPr>
            <w:tcW w:w="1298" w:type="dxa"/>
            <w:hideMark/>
          </w:tcPr>
          <w:p w14:paraId="682E3ABB" w14:textId="77777777" w:rsidR="00DC1B5A" w:rsidRDefault="00DC1B5A" w:rsidP="00A325B7">
            <w:pPr>
              <w:pStyle w:val="NormalWeb"/>
              <w:jc w:val="center"/>
            </w:pPr>
            <w:r>
              <w:t>3,215</w:t>
            </w:r>
          </w:p>
        </w:tc>
        <w:tc>
          <w:tcPr>
            <w:tcW w:w="1299" w:type="dxa"/>
            <w:gridSpan w:val="2"/>
            <w:hideMark/>
          </w:tcPr>
          <w:p w14:paraId="5090057A" w14:textId="77777777" w:rsidR="00DC1B5A" w:rsidRDefault="00DC1B5A" w:rsidP="00A325B7">
            <w:pPr>
              <w:pStyle w:val="NormalWeb"/>
              <w:jc w:val="center"/>
            </w:pPr>
            <w:r>
              <w:t>0.05</w:t>
            </w:r>
          </w:p>
        </w:tc>
        <w:tc>
          <w:tcPr>
            <w:tcW w:w="1298" w:type="dxa"/>
            <w:hideMark/>
          </w:tcPr>
          <w:p w14:paraId="402F0897" w14:textId="77777777" w:rsidR="00DC1B5A" w:rsidRDefault="00DC1B5A" w:rsidP="00A325B7">
            <w:pPr>
              <w:pStyle w:val="NormalWeb"/>
              <w:jc w:val="center"/>
            </w:pPr>
            <w:r>
              <w:rPr>
                <w:lang w:val="en-US"/>
              </w:rPr>
              <w:t>5,159</w:t>
            </w:r>
          </w:p>
        </w:tc>
        <w:tc>
          <w:tcPr>
            <w:tcW w:w="1299" w:type="dxa"/>
            <w:hideMark/>
          </w:tcPr>
          <w:p w14:paraId="67695894" w14:textId="77777777" w:rsidR="00DC1B5A" w:rsidRDefault="00DC1B5A" w:rsidP="00A325B7">
            <w:pPr>
              <w:pStyle w:val="NormalWeb"/>
              <w:jc w:val="center"/>
            </w:pPr>
            <w:r>
              <w:t>0.02</w:t>
            </w:r>
          </w:p>
        </w:tc>
        <w:tc>
          <w:tcPr>
            <w:tcW w:w="1298" w:type="dxa"/>
            <w:hideMark/>
          </w:tcPr>
          <w:p w14:paraId="4F7809CB" w14:textId="77777777" w:rsidR="00DC1B5A" w:rsidRDefault="00DC1B5A" w:rsidP="00A325B7">
            <w:pPr>
              <w:pStyle w:val="NormalWeb"/>
              <w:jc w:val="center"/>
            </w:pPr>
            <w:r>
              <w:rPr>
                <w:lang w:val="en-US"/>
              </w:rPr>
              <w:t>19,907</w:t>
            </w:r>
          </w:p>
        </w:tc>
        <w:tc>
          <w:tcPr>
            <w:tcW w:w="1299" w:type="dxa"/>
            <w:hideMark/>
          </w:tcPr>
          <w:p w14:paraId="4B1C9D64" w14:textId="77777777" w:rsidR="00DC1B5A" w:rsidRDefault="00DC1B5A" w:rsidP="00A325B7">
            <w:pPr>
              <w:pStyle w:val="NormalWeb"/>
              <w:jc w:val="center"/>
            </w:pPr>
            <w:r>
              <w:t>0.16</w:t>
            </w:r>
          </w:p>
        </w:tc>
        <w:tc>
          <w:tcPr>
            <w:tcW w:w="1299" w:type="dxa"/>
            <w:hideMark/>
          </w:tcPr>
          <w:p w14:paraId="23CEEDB5" w14:textId="77777777" w:rsidR="00DC1B5A" w:rsidRDefault="00DC1B5A" w:rsidP="00A325B7">
            <w:pPr>
              <w:pStyle w:val="NormalWeb"/>
              <w:jc w:val="center"/>
            </w:pPr>
            <w:r>
              <w:rPr>
                <w:lang w:val="en-US"/>
              </w:rPr>
              <w:t>8,095</w:t>
            </w:r>
          </w:p>
        </w:tc>
      </w:tr>
      <w:tr w:rsidR="00DC1B5A" w14:paraId="5DC6F789" w14:textId="77777777" w:rsidTr="00A325B7">
        <w:trPr>
          <w:cnfStyle w:val="000000010000" w:firstRow="0" w:lastRow="0" w:firstColumn="0" w:lastColumn="0" w:oddVBand="0" w:evenVBand="0" w:oddHBand="0" w:evenHBand="1" w:firstRowFirstColumn="0" w:firstRowLastColumn="0" w:lastRowFirstColumn="0" w:lastRowLastColumn="0"/>
        </w:trPr>
        <w:tc>
          <w:tcPr>
            <w:tcW w:w="0" w:type="auto"/>
            <w:hideMark/>
          </w:tcPr>
          <w:p w14:paraId="1775C36D" w14:textId="77777777" w:rsidR="00DC1B5A" w:rsidRDefault="00DC1B5A">
            <w:pPr>
              <w:pStyle w:val="NormalWeb"/>
            </w:pPr>
            <w:r>
              <w:t>ACT</w:t>
            </w:r>
          </w:p>
        </w:tc>
        <w:tc>
          <w:tcPr>
            <w:tcW w:w="1298" w:type="dxa"/>
            <w:hideMark/>
          </w:tcPr>
          <w:p w14:paraId="1BD6F6C7" w14:textId="77777777" w:rsidR="00DC1B5A" w:rsidRDefault="00DC1B5A" w:rsidP="00A325B7">
            <w:pPr>
              <w:pStyle w:val="NormalWeb"/>
              <w:jc w:val="center"/>
            </w:pPr>
            <w:r>
              <w:t>6,368</w:t>
            </w:r>
          </w:p>
        </w:tc>
        <w:tc>
          <w:tcPr>
            <w:tcW w:w="1299" w:type="dxa"/>
            <w:gridSpan w:val="2"/>
            <w:hideMark/>
          </w:tcPr>
          <w:p w14:paraId="20C60364" w14:textId="77777777" w:rsidR="00DC1B5A" w:rsidRDefault="00DC1B5A" w:rsidP="00A325B7">
            <w:pPr>
              <w:pStyle w:val="NormalWeb"/>
              <w:jc w:val="center"/>
            </w:pPr>
            <w:r>
              <w:t>0.00</w:t>
            </w:r>
          </w:p>
        </w:tc>
        <w:tc>
          <w:tcPr>
            <w:tcW w:w="1298" w:type="dxa"/>
            <w:hideMark/>
          </w:tcPr>
          <w:p w14:paraId="677CD7A9" w14:textId="77777777" w:rsidR="00DC1B5A" w:rsidRDefault="00DC1B5A" w:rsidP="00A325B7">
            <w:pPr>
              <w:pStyle w:val="NormalWeb"/>
              <w:jc w:val="center"/>
            </w:pPr>
            <w:r>
              <w:rPr>
                <w:lang w:val="en-US"/>
              </w:rPr>
              <w:t>9,730</w:t>
            </w:r>
          </w:p>
        </w:tc>
        <w:tc>
          <w:tcPr>
            <w:tcW w:w="1299" w:type="dxa"/>
            <w:hideMark/>
          </w:tcPr>
          <w:p w14:paraId="3B6A6169" w14:textId="77777777" w:rsidR="00DC1B5A" w:rsidRDefault="00DC1B5A" w:rsidP="00A325B7">
            <w:pPr>
              <w:pStyle w:val="NormalWeb"/>
              <w:jc w:val="center"/>
            </w:pPr>
            <w:r>
              <w:t>0.05</w:t>
            </w:r>
          </w:p>
        </w:tc>
        <w:tc>
          <w:tcPr>
            <w:tcW w:w="1298" w:type="dxa"/>
            <w:hideMark/>
          </w:tcPr>
          <w:p w14:paraId="7B27CC03" w14:textId="77777777" w:rsidR="00DC1B5A" w:rsidRDefault="00DC1B5A" w:rsidP="00A325B7">
            <w:pPr>
              <w:pStyle w:val="NormalWeb"/>
              <w:jc w:val="center"/>
            </w:pPr>
            <w:r>
              <w:rPr>
                <w:lang w:val="en-US"/>
              </w:rPr>
              <w:t>42,003</w:t>
            </w:r>
          </w:p>
        </w:tc>
        <w:tc>
          <w:tcPr>
            <w:tcW w:w="1299" w:type="dxa"/>
            <w:hideMark/>
          </w:tcPr>
          <w:p w14:paraId="40CA8B3F" w14:textId="77777777" w:rsidR="00DC1B5A" w:rsidRDefault="00DC1B5A" w:rsidP="00A325B7">
            <w:pPr>
              <w:pStyle w:val="NormalWeb"/>
              <w:jc w:val="center"/>
            </w:pPr>
            <w:r>
              <w:t>0.27</w:t>
            </w:r>
          </w:p>
        </w:tc>
        <w:tc>
          <w:tcPr>
            <w:tcW w:w="1299" w:type="dxa"/>
            <w:hideMark/>
          </w:tcPr>
          <w:p w14:paraId="354CC8FA" w14:textId="77777777" w:rsidR="00DC1B5A" w:rsidRDefault="00DC1B5A" w:rsidP="00A325B7">
            <w:pPr>
              <w:pStyle w:val="NormalWeb"/>
              <w:jc w:val="center"/>
            </w:pPr>
            <w:r>
              <w:rPr>
                <w:lang w:val="en-US"/>
              </w:rPr>
              <w:t>9,844</w:t>
            </w:r>
          </w:p>
        </w:tc>
      </w:tr>
      <w:tr w:rsidR="00DC1B5A" w:rsidRPr="00571CF5" w14:paraId="2D98EFFF" w14:textId="77777777" w:rsidTr="00A325B7">
        <w:tc>
          <w:tcPr>
            <w:tcW w:w="0" w:type="auto"/>
            <w:shd w:val="clear" w:color="auto" w:fill="FDE9D9" w:themeFill="accent6" w:themeFillTint="33"/>
            <w:hideMark/>
          </w:tcPr>
          <w:p w14:paraId="35131F02" w14:textId="77777777" w:rsidR="00DC1B5A" w:rsidRPr="00571CF5" w:rsidRDefault="00DC1B5A">
            <w:pPr>
              <w:pStyle w:val="NormalWeb"/>
              <w:rPr>
                <w:b/>
              </w:rPr>
            </w:pPr>
            <w:r w:rsidRPr="00571CF5">
              <w:rPr>
                <w:b/>
              </w:rPr>
              <w:t>Australia</w:t>
            </w:r>
          </w:p>
        </w:tc>
        <w:tc>
          <w:tcPr>
            <w:tcW w:w="1298" w:type="dxa"/>
            <w:shd w:val="clear" w:color="auto" w:fill="FDE9D9" w:themeFill="accent6" w:themeFillTint="33"/>
            <w:hideMark/>
          </w:tcPr>
          <w:p w14:paraId="39995A35" w14:textId="77777777" w:rsidR="00DC1B5A" w:rsidRPr="00571CF5" w:rsidRDefault="00DC1B5A" w:rsidP="00A325B7">
            <w:pPr>
              <w:pStyle w:val="NormalWeb"/>
              <w:jc w:val="center"/>
              <w:rPr>
                <w:b/>
              </w:rPr>
            </w:pPr>
            <w:r w:rsidRPr="00571CF5">
              <w:rPr>
                <w:b/>
              </w:rPr>
              <w:t>672,111</w:t>
            </w:r>
          </w:p>
        </w:tc>
        <w:tc>
          <w:tcPr>
            <w:tcW w:w="1299" w:type="dxa"/>
            <w:gridSpan w:val="2"/>
            <w:shd w:val="clear" w:color="auto" w:fill="FDE9D9" w:themeFill="accent6" w:themeFillTint="33"/>
            <w:hideMark/>
          </w:tcPr>
          <w:p w14:paraId="4B266BDC" w14:textId="77777777" w:rsidR="00DC1B5A" w:rsidRPr="00571CF5" w:rsidRDefault="00DC1B5A" w:rsidP="00A325B7">
            <w:pPr>
              <w:pStyle w:val="NormalWeb"/>
              <w:jc w:val="center"/>
              <w:rPr>
                <w:b/>
              </w:rPr>
            </w:pPr>
            <w:r w:rsidRPr="00571CF5">
              <w:rPr>
                <w:b/>
              </w:rPr>
              <w:t>0.28</w:t>
            </w:r>
          </w:p>
        </w:tc>
        <w:tc>
          <w:tcPr>
            <w:tcW w:w="1298" w:type="dxa"/>
            <w:shd w:val="clear" w:color="auto" w:fill="FDE9D9" w:themeFill="accent6" w:themeFillTint="33"/>
            <w:hideMark/>
          </w:tcPr>
          <w:p w14:paraId="1C04B123" w14:textId="77777777" w:rsidR="00DC1B5A" w:rsidRPr="00571CF5" w:rsidRDefault="00DC1B5A" w:rsidP="00A325B7">
            <w:pPr>
              <w:pStyle w:val="NormalWeb"/>
              <w:jc w:val="center"/>
              <w:rPr>
                <w:b/>
              </w:rPr>
            </w:pPr>
            <w:r w:rsidRPr="00571CF5">
              <w:rPr>
                <w:b/>
                <w:lang w:val="en-US"/>
              </w:rPr>
              <w:t>763,028</w:t>
            </w:r>
          </w:p>
        </w:tc>
        <w:tc>
          <w:tcPr>
            <w:tcW w:w="1299" w:type="dxa"/>
            <w:shd w:val="clear" w:color="auto" w:fill="FDE9D9" w:themeFill="accent6" w:themeFillTint="33"/>
            <w:hideMark/>
          </w:tcPr>
          <w:p w14:paraId="7B0C59DD" w14:textId="77777777" w:rsidR="00DC1B5A" w:rsidRPr="00571CF5" w:rsidRDefault="00DC1B5A" w:rsidP="00A325B7">
            <w:pPr>
              <w:pStyle w:val="NormalWeb"/>
              <w:jc w:val="center"/>
              <w:rPr>
                <w:b/>
              </w:rPr>
            </w:pPr>
            <w:r w:rsidRPr="00571CF5">
              <w:rPr>
                <w:b/>
              </w:rPr>
              <w:t>0.44</w:t>
            </w:r>
          </w:p>
        </w:tc>
        <w:tc>
          <w:tcPr>
            <w:tcW w:w="1298" w:type="dxa"/>
            <w:shd w:val="clear" w:color="auto" w:fill="FDE9D9" w:themeFill="accent6" w:themeFillTint="33"/>
            <w:hideMark/>
          </w:tcPr>
          <w:p w14:paraId="23E05E6F" w14:textId="77777777" w:rsidR="00DC1B5A" w:rsidRPr="00571CF5" w:rsidRDefault="00DC1B5A" w:rsidP="00A325B7">
            <w:pPr>
              <w:pStyle w:val="NormalWeb"/>
              <w:jc w:val="center"/>
              <w:rPr>
                <w:b/>
              </w:rPr>
            </w:pPr>
            <w:r w:rsidRPr="00571CF5">
              <w:rPr>
                <w:b/>
                <w:lang w:val="en-US"/>
              </w:rPr>
              <w:t>3,476,463</w:t>
            </w:r>
          </w:p>
        </w:tc>
        <w:tc>
          <w:tcPr>
            <w:tcW w:w="1299" w:type="dxa"/>
            <w:shd w:val="clear" w:color="auto" w:fill="FDE9D9" w:themeFill="accent6" w:themeFillTint="33"/>
            <w:hideMark/>
          </w:tcPr>
          <w:p w14:paraId="71939892" w14:textId="77777777" w:rsidR="00DC1B5A" w:rsidRPr="00571CF5" w:rsidRDefault="00DC1B5A" w:rsidP="00A325B7">
            <w:pPr>
              <w:pStyle w:val="NormalWeb"/>
              <w:jc w:val="center"/>
              <w:rPr>
                <w:b/>
              </w:rPr>
            </w:pPr>
            <w:r w:rsidRPr="00571CF5">
              <w:rPr>
                <w:b/>
              </w:rPr>
              <w:t>0.34</w:t>
            </w:r>
          </w:p>
        </w:tc>
        <w:tc>
          <w:tcPr>
            <w:tcW w:w="1299" w:type="dxa"/>
            <w:shd w:val="clear" w:color="auto" w:fill="FDE9D9" w:themeFill="accent6" w:themeFillTint="33"/>
            <w:hideMark/>
          </w:tcPr>
          <w:p w14:paraId="4651077C" w14:textId="77777777" w:rsidR="00DC1B5A" w:rsidRPr="00571CF5" w:rsidRDefault="00DC1B5A" w:rsidP="00A325B7">
            <w:pPr>
              <w:pStyle w:val="NormalWeb"/>
              <w:jc w:val="center"/>
              <w:rPr>
                <w:b/>
              </w:rPr>
            </w:pPr>
            <w:r w:rsidRPr="00571CF5">
              <w:rPr>
                <w:b/>
                <w:lang w:val="en-US"/>
              </w:rPr>
              <w:t>13,705</w:t>
            </w:r>
          </w:p>
        </w:tc>
      </w:tr>
    </w:tbl>
    <w:p w14:paraId="5F3BDC35" w14:textId="77777777" w:rsidR="00DC1B5A" w:rsidRDefault="00DC1B5A" w:rsidP="006F7C3A">
      <w:pPr>
        <w:pStyle w:val="CDIfootnotes"/>
      </w:pPr>
      <w:r>
        <w:t>a</w:t>
      </w:r>
      <w:r>
        <w:tab/>
        <w:t xml:space="preserve">Data in this table </w:t>
      </w:r>
      <w:proofErr w:type="gramStart"/>
      <w:r>
        <w:t>are</w:t>
      </w:r>
      <w:proofErr w:type="gramEnd"/>
      <w:r>
        <w:t xml:space="preserve"> based on reports of notification by states and territories.</w:t>
      </w:r>
    </w:p>
    <w:p w14:paraId="167BBD8A" w14:textId="77777777" w:rsidR="00DC1B5A" w:rsidRDefault="00DC1B5A" w:rsidP="006F7C3A">
      <w:pPr>
        <w:pStyle w:val="CDIfootnotes"/>
      </w:pPr>
      <w:r>
        <w:t>b</w:t>
      </w:r>
      <w:r>
        <w:tab/>
        <w:t xml:space="preserve">Population data based on Australian Bureau of Statistics (ABS) Estimated Resident Population (ERP) as </w:t>
      </w:r>
      <w:proofErr w:type="gramStart"/>
      <w:r>
        <w:t>at</w:t>
      </w:r>
      <w:proofErr w:type="gramEnd"/>
      <w:r>
        <w:t xml:space="preserve"> 30 June 2019.</w:t>
      </w:r>
    </w:p>
    <w:p w14:paraId="24231A45" w14:textId="77777777" w:rsidR="00DC1B5A" w:rsidRDefault="00DC1B5A" w:rsidP="006F7C3A">
      <w:pPr>
        <w:pStyle w:val="CDIFigures"/>
      </w:pPr>
      <w:r>
        <w:t>Figure 7: COVID-19 cases, by age group and sex, 6–19 July 2020, Australia</w:t>
      </w:r>
    </w:p>
    <w:p w14:paraId="71B39950" w14:textId="77777777" w:rsidR="00DC1B5A" w:rsidRDefault="00DC1B5A">
      <w:pPr>
        <w:rPr>
          <w:rFonts w:eastAsia="Times New Roman"/>
        </w:rPr>
      </w:pPr>
      <w:r>
        <w:rPr>
          <w:rFonts w:eastAsia="Times New Roman"/>
          <w:noProof/>
        </w:rPr>
        <w:drawing>
          <wp:inline distT="0" distB="0" distL="0" distR="0" wp14:anchorId="23707165" wp14:editId="0468FEAF">
            <wp:extent cx="6114300" cy="3791720"/>
            <wp:effectExtent l="0" t="0" r="1270" b="0"/>
            <wp:docPr id="8" name="Picture 8" descr="A bar chart showing the dependence, of confirmed COVID-19 cases notified within the latest reporting period, on age group and sex. It can be seen that the notification rate is highest for those aged 20–39, especially females, in contrast to the overall age and sex profile of the cumulative cases notified during the initial months of the outbreak within Australia, for which the highest notification rate was in those aged 60–79, a difference attributable largely to the prevalence of overseas-acquired cruise ship cases at and preceding the outbreak’s peak during M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ar chart showing the dependence, of confirmed COVID-19 cases notified within the latest reporting period, on age group and sex. It can be seen that the notification rate is highest for those aged 20–39, especially males, in contrast to the overall age and sex profile of the cumulative cases notified during the initial months of the outbreak within Australia, for which the highest notification rate was in those aged 60–79, a difference attributable largely to the prevalence of overseas-acquired cruise ship cases at and preceding the outbreak’s peak during March."/>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114300" cy="3791720"/>
                    </a:xfrm>
                    <a:prstGeom prst="rect">
                      <a:avLst/>
                    </a:prstGeom>
                  </pic:spPr>
                </pic:pic>
              </a:graphicData>
            </a:graphic>
          </wp:inline>
        </w:drawing>
      </w:r>
    </w:p>
    <w:p w14:paraId="120D8083" w14:textId="77777777" w:rsidR="00DC1B5A" w:rsidRDefault="00DC1B5A" w:rsidP="006F7C3A">
      <w:r>
        <w:lastRenderedPageBreak/>
        <w:t>For this reporting period, Victoria has reported a positivity rate of 0.84%, which is an increase from the previous reporting period (0.70%). The number of tests conducted in Victoria has increased by approximately 109,000 this reporting period to support active case finding in outbreak settings.</w:t>
      </w:r>
    </w:p>
    <w:p w14:paraId="2B07CB2D" w14:textId="77777777" w:rsidR="00DC1B5A" w:rsidRDefault="00DC1B5A" w:rsidP="006F7C3A">
      <w:pPr>
        <w:pStyle w:val="CDIFigures"/>
      </w:pPr>
      <w:r>
        <w:t>Table 5: Number and case fatality rate (CFR) for all cases, hospitalised cases and cases admitted to ICU, by age group and gender, Australia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Number and case fatality rate (CFR) for all cases, hospitalised cases and cases admitted to ICU by age group and gender, Australia &#10;Table 5 analyses the number and case fatality rate of all cases, hospitalised cases and cases admitted to ICU by age and gender.&#10;"/>
      </w:tblPr>
      <w:tblGrid>
        <w:gridCol w:w="1404"/>
        <w:gridCol w:w="996"/>
        <w:gridCol w:w="996"/>
        <w:gridCol w:w="996"/>
        <w:gridCol w:w="996"/>
        <w:gridCol w:w="996"/>
        <w:gridCol w:w="996"/>
        <w:gridCol w:w="996"/>
        <w:gridCol w:w="996"/>
        <w:gridCol w:w="996"/>
      </w:tblGrid>
      <w:tr w:rsidR="00012533" w:rsidRPr="00012533" w14:paraId="41E83218" w14:textId="77777777" w:rsidTr="00D1300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50A4FEB" w14:textId="77777777" w:rsidR="00DC1B5A" w:rsidRPr="00012533" w:rsidRDefault="00DC1B5A">
            <w:pPr>
              <w:rPr>
                <w:color w:val="FFFFFF" w:themeColor="background1"/>
              </w:rPr>
            </w:pPr>
          </w:p>
        </w:tc>
        <w:tc>
          <w:tcPr>
            <w:tcW w:w="2988" w:type="dxa"/>
            <w:gridSpan w:val="3"/>
            <w:tcBorders>
              <w:left w:val="single" w:sz="2" w:space="0" w:color="FFFFFF" w:themeColor="background1"/>
              <w:bottom w:val="single" w:sz="2" w:space="0" w:color="FFFFFF" w:themeColor="background1"/>
              <w:right w:val="single" w:sz="2" w:space="0" w:color="FFFFFF" w:themeColor="background1"/>
            </w:tcBorders>
            <w:hideMark/>
          </w:tcPr>
          <w:p w14:paraId="57A8CAA7" w14:textId="77777777" w:rsidR="00DC1B5A" w:rsidRPr="00012533" w:rsidRDefault="00DC1B5A" w:rsidP="00012533">
            <w:pPr>
              <w:pStyle w:val="NormalWeb"/>
              <w:jc w:val="center"/>
              <w:rPr>
                <w:color w:val="FFFFFF" w:themeColor="background1"/>
                <w:sz w:val="24"/>
                <w:szCs w:val="24"/>
              </w:rPr>
            </w:pPr>
            <w:r w:rsidRPr="00012533">
              <w:rPr>
                <w:color w:val="FFFFFF" w:themeColor="background1"/>
              </w:rPr>
              <w:t>All cases</w:t>
            </w:r>
          </w:p>
        </w:tc>
        <w:tc>
          <w:tcPr>
            <w:tcW w:w="2988" w:type="dxa"/>
            <w:gridSpan w:val="3"/>
            <w:tcBorders>
              <w:left w:val="single" w:sz="2" w:space="0" w:color="FFFFFF" w:themeColor="background1"/>
              <w:bottom w:val="single" w:sz="2" w:space="0" w:color="FFFFFF" w:themeColor="background1"/>
              <w:right w:val="single" w:sz="2" w:space="0" w:color="FFFFFF" w:themeColor="background1"/>
            </w:tcBorders>
            <w:hideMark/>
          </w:tcPr>
          <w:p w14:paraId="0173522C" w14:textId="77777777" w:rsidR="00DC1B5A" w:rsidRPr="00012533" w:rsidRDefault="00DC1B5A" w:rsidP="00012533">
            <w:pPr>
              <w:pStyle w:val="NormalWeb"/>
              <w:jc w:val="center"/>
              <w:rPr>
                <w:color w:val="FFFFFF" w:themeColor="background1"/>
              </w:rPr>
            </w:pPr>
            <w:r w:rsidRPr="00012533">
              <w:rPr>
                <w:color w:val="FFFFFF" w:themeColor="background1"/>
              </w:rPr>
              <w:t>Hospitalisation</w:t>
            </w:r>
          </w:p>
        </w:tc>
        <w:tc>
          <w:tcPr>
            <w:tcW w:w="2988" w:type="dxa"/>
            <w:gridSpan w:val="3"/>
            <w:tcBorders>
              <w:left w:val="single" w:sz="2" w:space="0" w:color="FFFFFF" w:themeColor="background1"/>
              <w:bottom w:val="single" w:sz="2" w:space="0" w:color="FFFFFF" w:themeColor="background1"/>
            </w:tcBorders>
            <w:hideMark/>
          </w:tcPr>
          <w:p w14:paraId="40240BDF" w14:textId="77777777" w:rsidR="00DC1B5A" w:rsidRPr="00012533" w:rsidRDefault="00DC1B5A" w:rsidP="00012533">
            <w:pPr>
              <w:pStyle w:val="NormalWeb"/>
              <w:jc w:val="center"/>
              <w:rPr>
                <w:color w:val="FFFFFF" w:themeColor="background1"/>
              </w:rPr>
            </w:pPr>
            <w:r w:rsidRPr="00012533">
              <w:rPr>
                <w:color w:val="FFFFFF" w:themeColor="background1"/>
              </w:rPr>
              <w:t>ICU</w:t>
            </w:r>
          </w:p>
        </w:tc>
      </w:tr>
      <w:tr w:rsidR="00012533" w:rsidRPr="00012533" w14:paraId="3CFCD9AE" w14:textId="77777777" w:rsidTr="00D1300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3D69DFC" w14:textId="77777777" w:rsidR="00DC1B5A" w:rsidRPr="00012533" w:rsidRDefault="00DC1B5A">
            <w:pPr>
              <w:rPr>
                <w:color w:val="FFFFFF" w:themeColor="background1"/>
                <w:sz w:val="24"/>
                <w:szCs w:val="24"/>
              </w:rPr>
            </w:pPr>
          </w:p>
        </w:tc>
        <w:tc>
          <w:tcPr>
            <w:tcW w:w="996" w:type="dxa"/>
            <w:tcBorders>
              <w:top w:val="single" w:sz="2" w:space="0" w:color="FFFFFF" w:themeColor="background1"/>
              <w:left w:val="single" w:sz="2" w:space="0" w:color="FFFFFF" w:themeColor="background1"/>
              <w:right w:val="single" w:sz="2" w:space="0" w:color="FFFFFF" w:themeColor="background1"/>
            </w:tcBorders>
            <w:hideMark/>
          </w:tcPr>
          <w:p w14:paraId="5B77892A" w14:textId="77777777" w:rsidR="00DC1B5A" w:rsidRPr="00012533" w:rsidRDefault="00DC1B5A" w:rsidP="00012533">
            <w:pPr>
              <w:pStyle w:val="NormalWeb"/>
              <w:jc w:val="center"/>
              <w:rPr>
                <w:color w:val="FFFFFF" w:themeColor="background1"/>
              </w:rPr>
            </w:pPr>
            <w:r w:rsidRPr="00012533">
              <w:rPr>
                <w:color w:val="FFFFFF" w:themeColor="background1"/>
              </w:rPr>
              <w:t>Male</w:t>
            </w:r>
          </w:p>
        </w:tc>
        <w:tc>
          <w:tcPr>
            <w:tcW w:w="996" w:type="dxa"/>
            <w:tcBorders>
              <w:top w:val="single" w:sz="2" w:space="0" w:color="FFFFFF" w:themeColor="background1"/>
              <w:left w:val="single" w:sz="2" w:space="0" w:color="FFFFFF" w:themeColor="background1"/>
              <w:right w:val="single" w:sz="2" w:space="0" w:color="FFFFFF" w:themeColor="background1"/>
            </w:tcBorders>
            <w:hideMark/>
          </w:tcPr>
          <w:p w14:paraId="13D5E814" w14:textId="77777777" w:rsidR="00DC1B5A" w:rsidRPr="00012533" w:rsidRDefault="00DC1B5A" w:rsidP="00012533">
            <w:pPr>
              <w:pStyle w:val="NormalWeb"/>
              <w:jc w:val="center"/>
              <w:rPr>
                <w:color w:val="FFFFFF" w:themeColor="background1"/>
              </w:rPr>
            </w:pPr>
            <w:r w:rsidRPr="00012533">
              <w:rPr>
                <w:color w:val="FFFFFF" w:themeColor="background1"/>
              </w:rPr>
              <w:t>Female</w:t>
            </w:r>
          </w:p>
        </w:tc>
        <w:tc>
          <w:tcPr>
            <w:tcW w:w="996" w:type="dxa"/>
            <w:tcBorders>
              <w:top w:val="single" w:sz="2" w:space="0" w:color="FFFFFF" w:themeColor="background1"/>
              <w:left w:val="single" w:sz="2" w:space="0" w:color="FFFFFF" w:themeColor="background1"/>
              <w:right w:val="single" w:sz="2" w:space="0" w:color="FFFFFF" w:themeColor="background1"/>
            </w:tcBorders>
            <w:hideMark/>
          </w:tcPr>
          <w:p w14:paraId="1034F640" w14:textId="77777777" w:rsidR="00DC1B5A" w:rsidRPr="00012533" w:rsidRDefault="00DC1B5A" w:rsidP="00012533">
            <w:pPr>
              <w:pStyle w:val="NormalWeb"/>
              <w:jc w:val="center"/>
              <w:rPr>
                <w:color w:val="FFFFFF" w:themeColor="background1"/>
              </w:rPr>
            </w:pPr>
            <w:r w:rsidRPr="00012533">
              <w:rPr>
                <w:color w:val="FFFFFF" w:themeColor="background1"/>
              </w:rPr>
              <w:t>Persons</w:t>
            </w:r>
          </w:p>
        </w:tc>
        <w:tc>
          <w:tcPr>
            <w:tcW w:w="996" w:type="dxa"/>
            <w:tcBorders>
              <w:top w:val="single" w:sz="2" w:space="0" w:color="FFFFFF" w:themeColor="background1"/>
              <w:left w:val="single" w:sz="2" w:space="0" w:color="FFFFFF" w:themeColor="background1"/>
              <w:right w:val="single" w:sz="2" w:space="0" w:color="FFFFFF" w:themeColor="background1"/>
            </w:tcBorders>
            <w:hideMark/>
          </w:tcPr>
          <w:p w14:paraId="5AD7A474" w14:textId="77777777" w:rsidR="00DC1B5A" w:rsidRPr="00012533" w:rsidRDefault="00DC1B5A" w:rsidP="00012533">
            <w:pPr>
              <w:pStyle w:val="NormalWeb"/>
              <w:jc w:val="center"/>
              <w:rPr>
                <w:color w:val="FFFFFF" w:themeColor="background1"/>
              </w:rPr>
            </w:pPr>
            <w:r w:rsidRPr="00012533">
              <w:rPr>
                <w:color w:val="FFFFFF" w:themeColor="background1"/>
              </w:rPr>
              <w:t>Male</w:t>
            </w:r>
          </w:p>
        </w:tc>
        <w:tc>
          <w:tcPr>
            <w:tcW w:w="996" w:type="dxa"/>
            <w:tcBorders>
              <w:top w:val="single" w:sz="2" w:space="0" w:color="FFFFFF" w:themeColor="background1"/>
              <w:left w:val="single" w:sz="2" w:space="0" w:color="FFFFFF" w:themeColor="background1"/>
              <w:right w:val="single" w:sz="2" w:space="0" w:color="FFFFFF" w:themeColor="background1"/>
            </w:tcBorders>
            <w:hideMark/>
          </w:tcPr>
          <w:p w14:paraId="1DCCE09E" w14:textId="77777777" w:rsidR="00DC1B5A" w:rsidRPr="00012533" w:rsidRDefault="00DC1B5A" w:rsidP="00012533">
            <w:pPr>
              <w:pStyle w:val="NormalWeb"/>
              <w:jc w:val="center"/>
              <w:rPr>
                <w:color w:val="FFFFFF" w:themeColor="background1"/>
              </w:rPr>
            </w:pPr>
            <w:r w:rsidRPr="00012533">
              <w:rPr>
                <w:color w:val="FFFFFF" w:themeColor="background1"/>
              </w:rPr>
              <w:t>Female</w:t>
            </w:r>
          </w:p>
        </w:tc>
        <w:tc>
          <w:tcPr>
            <w:tcW w:w="996" w:type="dxa"/>
            <w:tcBorders>
              <w:top w:val="single" w:sz="2" w:space="0" w:color="FFFFFF" w:themeColor="background1"/>
              <w:left w:val="single" w:sz="2" w:space="0" w:color="FFFFFF" w:themeColor="background1"/>
              <w:right w:val="single" w:sz="2" w:space="0" w:color="FFFFFF" w:themeColor="background1"/>
            </w:tcBorders>
            <w:hideMark/>
          </w:tcPr>
          <w:p w14:paraId="57D1C525" w14:textId="77777777" w:rsidR="00DC1B5A" w:rsidRPr="00012533" w:rsidRDefault="00DC1B5A" w:rsidP="00012533">
            <w:pPr>
              <w:pStyle w:val="NormalWeb"/>
              <w:jc w:val="center"/>
              <w:rPr>
                <w:color w:val="FFFFFF" w:themeColor="background1"/>
              </w:rPr>
            </w:pPr>
            <w:r w:rsidRPr="00012533">
              <w:rPr>
                <w:color w:val="FFFFFF" w:themeColor="background1"/>
              </w:rPr>
              <w:t>Persons</w:t>
            </w:r>
          </w:p>
        </w:tc>
        <w:tc>
          <w:tcPr>
            <w:tcW w:w="996" w:type="dxa"/>
            <w:tcBorders>
              <w:top w:val="single" w:sz="2" w:space="0" w:color="FFFFFF" w:themeColor="background1"/>
              <w:left w:val="single" w:sz="2" w:space="0" w:color="FFFFFF" w:themeColor="background1"/>
              <w:right w:val="single" w:sz="2" w:space="0" w:color="FFFFFF" w:themeColor="background1"/>
            </w:tcBorders>
            <w:hideMark/>
          </w:tcPr>
          <w:p w14:paraId="2584FBAD" w14:textId="77777777" w:rsidR="00DC1B5A" w:rsidRPr="00012533" w:rsidRDefault="00DC1B5A" w:rsidP="00012533">
            <w:pPr>
              <w:pStyle w:val="NormalWeb"/>
              <w:jc w:val="center"/>
              <w:rPr>
                <w:color w:val="FFFFFF" w:themeColor="background1"/>
              </w:rPr>
            </w:pPr>
            <w:r w:rsidRPr="00012533">
              <w:rPr>
                <w:color w:val="FFFFFF" w:themeColor="background1"/>
              </w:rPr>
              <w:t>Male</w:t>
            </w:r>
          </w:p>
        </w:tc>
        <w:tc>
          <w:tcPr>
            <w:tcW w:w="996" w:type="dxa"/>
            <w:tcBorders>
              <w:top w:val="single" w:sz="2" w:space="0" w:color="FFFFFF" w:themeColor="background1"/>
              <w:left w:val="single" w:sz="2" w:space="0" w:color="FFFFFF" w:themeColor="background1"/>
              <w:right w:val="single" w:sz="2" w:space="0" w:color="FFFFFF" w:themeColor="background1"/>
            </w:tcBorders>
            <w:hideMark/>
          </w:tcPr>
          <w:p w14:paraId="79B7F083" w14:textId="77777777" w:rsidR="00DC1B5A" w:rsidRPr="00012533" w:rsidRDefault="00DC1B5A" w:rsidP="00012533">
            <w:pPr>
              <w:pStyle w:val="NormalWeb"/>
              <w:jc w:val="center"/>
              <w:rPr>
                <w:color w:val="FFFFFF" w:themeColor="background1"/>
              </w:rPr>
            </w:pPr>
            <w:r w:rsidRPr="00012533">
              <w:rPr>
                <w:color w:val="FFFFFF" w:themeColor="background1"/>
              </w:rPr>
              <w:t>Female</w:t>
            </w:r>
          </w:p>
        </w:tc>
        <w:tc>
          <w:tcPr>
            <w:tcW w:w="996" w:type="dxa"/>
            <w:tcBorders>
              <w:top w:val="single" w:sz="2" w:space="0" w:color="FFFFFF" w:themeColor="background1"/>
              <w:left w:val="single" w:sz="2" w:space="0" w:color="FFFFFF" w:themeColor="background1"/>
            </w:tcBorders>
            <w:hideMark/>
          </w:tcPr>
          <w:p w14:paraId="2092DB89" w14:textId="77777777" w:rsidR="00DC1B5A" w:rsidRPr="00012533" w:rsidRDefault="00DC1B5A" w:rsidP="00012533">
            <w:pPr>
              <w:pStyle w:val="NormalWeb"/>
              <w:jc w:val="center"/>
              <w:rPr>
                <w:color w:val="FFFFFF" w:themeColor="background1"/>
              </w:rPr>
            </w:pPr>
            <w:r w:rsidRPr="00012533">
              <w:rPr>
                <w:color w:val="FFFFFF" w:themeColor="background1"/>
                <w:lang w:val="en-US"/>
              </w:rPr>
              <w:t>Persons</w:t>
            </w:r>
          </w:p>
        </w:tc>
      </w:tr>
      <w:tr w:rsidR="00B912F6" w:rsidRPr="00B912F6" w14:paraId="5273F09A" w14:textId="77777777" w:rsidTr="00B912F6">
        <w:tc>
          <w:tcPr>
            <w:tcW w:w="0" w:type="auto"/>
            <w:shd w:val="clear" w:color="auto" w:fill="808080" w:themeFill="background1" w:themeFillShade="80"/>
            <w:hideMark/>
          </w:tcPr>
          <w:p w14:paraId="4B37C9EB" w14:textId="77777777" w:rsidR="00DC1B5A" w:rsidRPr="00B912F6" w:rsidRDefault="00DC1B5A">
            <w:pPr>
              <w:rPr>
                <w:b/>
                <w:color w:val="FFFFFF" w:themeColor="background1"/>
              </w:rPr>
            </w:pPr>
          </w:p>
        </w:tc>
        <w:tc>
          <w:tcPr>
            <w:tcW w:w="8964" w:type="dxa"/>
            <w:gridSpan w:val="9"/>
            <w:shd w:val="clear" w:color="auto" w:fill="808080" w:themeFill="background1" w:themeFillShade="80"/>
            <w:hideMark/>
          </w:tcPr>
          <w:p w14:paraId="364A10D1" w14:textId="77777777" w:rsidR="00DC1B5A" w:rsidRPr="00B912F6" w:rsidRDefault="00DC1B5A" w:rsidP="00012533">
            <w:pPr>
              <w:pStyle w:val="NormalWeb"/>
              <w:jc w:val="center"/>
              <w:rPr>
                <w:b/>
                <w:color w:val="FFFFFF" w:themeColor="background1"/>
                <w:sz w:val="24"/>
                <w:szCs w:val="24"/>
              </w:rPr>
            </w:pPr>
            <w:r w:rsidRPr="00B912F6">
              <w:rPr>
                <w:b/>
                <w:color w:val="FFFFFF" w:themeColor="background1"/>
              </w:rPr>
              <w:t>Number</w:t>
            </w:r>
          </w:p>
        </w:tc>
      </w:tr>
      <w:tr w:rsidR="00DC1B5A" w14:paraId="16309B35" w14:textId="77777777" w:rsidTr="00D56C4A">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44E21325" w14:textId="77777777" w:rsidR="00DC1B5A" w:rsidRDefault="00DC1B5A">
            <w:pPr>
              <w:pStyle w:val="NormalWeb"/>
            </w:pPr>
            <w:r>
              <w:t>Total</w:t>
            </w:r>
          </w:p>
        </w:tc>
        <w:tc>
          <w:tcPr>
            <w:tcW w:w="996" w:type="dxa"/>
            <w:shd w:val="clear" w:color="auto" w:fill="FDE9D9" w:themeFill="accent6" w:themeFillTint="33"/>
            <w:hideMark/>
          </w:tcPr>
          <w:p w14:paraId="30054C0F" w14:textId="77777777" w:rsidR="00DC1B5A" w:rsidRDefault="00DC1B5A" w:rsidP="00012533">
            <w:pPr>
              <w:pStyle w:val="NormalWeb"/>
              <w:jc w:val="center"/>
            </w:pPr>
            <w:r>
              <w:t>6,426</w:t>
            </w:r>
          </w:p>
        </w:tc>
        <w:tc>
          <w:tcPr>
            <w:tcW w:w="996" w:type="dxa"/>
            <w:shd w:val="clear" w:color="auto" w:fill="FDE9D9" w:themeFill="accent6" w:themeFillTint="33"/>
            <w:hideMark/>
          </w:tcPr>
          <w:p w14:paraId="56439837" w14:textId="77777777" w:rsidR="00DC1B5A" w:rsidRDefault="00DC1B5A" w:rsidP="00012533">
            <w:pPr>
              <w:pStyle w:val="NormalWeb"/>
              <w:jc w:val="center"/>
            </w:pPr>
            <w:r>
              <w:t>6,121</w:t>
            </w:r>
          </w:p>
        </w:tc>
        <w:tc>
          <w:tcPr>
            <w:tcW w:w="996" w:type="dxa"/>
            <w:shd w:val="clear" w:color="auto" w:fill="FDE9D9" w:themeFill="accent6" w:themeFillTint="33"/>
            <w:hideMark/>
          </w:tcPr>
          <w:p w14:paraId="7A335BBB" w14:textId="77777777" w:rsidR="00DC1B5A" w:rsidRDefault="00DC1B5A" w:rsidP="00012533">
            <w:pPr>
              <w:pStyle w:val="NormalWeb"/>
              <w:jc w:val="center"/>
            </w:pPr>
            <w:r>
              <w:t>12,636</w:t>
            </w:r>
          </w:p>
        </w:tc>
        <w:tc>
          <w:tcPr>
            <w:tcW w:w="996" w:type="dxa"/>
            <w:shd w:val="clear" w:color="auto" w:fill="FDE9D9" w:themeFill="accent6" w:themeFillTint="33"/>
            <w:hideMark/>
          </w:tcPr>
          <w:p w14:paraId="1F530867" w14:textId="77777777" w:rsidR="00DC1B5A" w:rsidRDefault="00DC1B5A" w:rsidP="00012533">
            <w:pPr>
              <w:pStyle w:val="NormalWeb"/>
              <w:jc w:val="center"/>
            </w:pPr>
            <w:r>
              <w:t>822</w:t>
            </w:r>
          </w:p>
        </w:tc>
        <w:tc>
          <w:tcPr>
            <w:tcW w:w="996" w:type="dxa"/>
            <w:shd w:val="clear" w:color="auto" w:fill="FDE9D9" w:themeFill="accent6" w:themeFillTint="33"/>
            <w:hideMark/>
          </w:tcPr>
          <w:p w14:paraId="4F760772" w14:textId="77777777" w:rsidR="00DC1B5A" w:rsidRDefault="00DC1B5A" w:rsidP="00012533">
            <w:pPr>
              <w:pStyle w:val="NormalWeb"/>
              <w:jc w:val="center"/>
            </w:pPr>
            <w:r>
              <w:t>748</w:t>
            </w:r>
          </w:p>
        </w:tc>
        <w:tc>
          <w:tcPr>
            <w:tcW w:w="996" w:type="dxa"/>
            <w:shd w:val="clear" w:color="auto" w:fill="FDE9D9" w:themeFill="accent6" w:themeFillTint="33"/>
            <w:hideMark/>
          </w:tcPr>
          <w:p w14:paraId="7E088ACF" w14:textId="77777777" w:rsidR="00DC1B5A" w:rsidRDefault="00DC1B5A" w:rsidP="00012533">
            <w:pPr>
              <w:pStyle w:val="NormalWeb"/>
              <w:jc w:val="center"/>
            </w:pPr>
            <w:r>
              <w:t>1572</w:t>
            </w:r>
          </w:p>
        </w:tc>
        <w:tc>
          <w:tcPr>
            <w:tcW w:w="996" w:type="dxa"/>
            <w:shd w:val="clear" w:color="auto" w:fill="FDE9D9" w:themeFill="accent6" w:themeFillTint="33"/>
            <w:hideMark/>
          </w:tcPr>
          <w:p w14:paraId="28C224B5" w14:textId="77777777" w:rsidR="00DC1B5A" w:rsidRDefault="00DC1B5A" w:rsidP="00012533">
            <w:pPr>
              <w:pStyle w:val="NormalWeb"/>
              <w:jc w:val="center"/>
            </w:pPr>
            <w:r>
              <w:t>197</w:t>
            </w:r>
          </w:p>
        </w:tc>
        <w:tc>
          <w:tcPr>
            <w:tcW w:w="996" w:type="dxa"/>
            <w:shd w:val="clear" w:color="auto" w:fill="FDE9D9" w:themeFill="accent6" w:themeFillTint="33"/>
            <w:hideMark/>
          </w:tcPr>
          <w:p w14:paraId="3B06F0D2" w14:textId="77777777" w:rsidR="00DC1B5A" w:rsidRDefault="00DC1B5A" w:rsidP="00012533">
            <w:pPr>
              <w:pStyle w:val="NormalWeb"/>
              <w:jc w:val="center"/>
            </w:pPr>
            <w:r>
              <w:t>110</w:t>
            </w:r>
          </w:p>
        </w:tc>
        <w:tc>
          <w:tcPr>
            <w:tcW w:w="996" w:type="dxa"/>
            <w:shd w:val="clear" w:color="auto" w:fill="FDE9D9" w:themeFill="accent6" w:themeFillTint="33"/>
            <w:hideMark/>
          </w:tcPr>
          <w:p w14:paraId="1451838E" w14:textId="77777777" w:rsidR="00DC1B5A" w:rsidRDefault="00DC1B5A" w:rsidP="00012533">
            <w:pPr>
              <w:pStyle w:val="NormalWeb"/>
              <w:jc w:val="center"/>
            </w:pPr>
            <w:r>
              <w:rPr>
                <w:lang w:val="en-US"/>
              </w:rPr>
              <w:t>307</w:t>
            </w:r>
          </w:p>
        </w:tc>
      </w:tr>
      <w:tr w:rsidR="00B912F6" w:rsidRPr="00B912F6" w14:paraId="6CCACEA6" w14:textId="77777777" w:rsidTr="00B912F6">
        <w:tc>
          <w:tcPr>
            <w:tcW w:w="0" w:type="auto"/>
            <w:shd w:val="clear" w:color="auto" w:fill="808080" w:themeFill="background1" w:themeFillShade="80"/>
            <w:hideMark/>
          </w:tcPr>
          <w:p w14:paraId="61BEF1B4" w14:textId="77777777" w:rsidR="00DC1B5A" w:rsidRPr="00B912F6" w:rsidRDefault="00DC1B5A">
            <w:pPr>
              <w:rPr>
                <w:b/>
                <w:color w:val="FFFFFF" w:themeColor="background1"/>
              </w:rPr>
            </w:pPr>
          </w:p>
        </w:tc>
        <w:tc>
          <w:tcPr>
            <w:tcW w:w="8964" w:type="dxa"/>
            <w:gridSpan w:val="9"/>
            <w:shd w:val="clear" w:color="auto" w:fill="808080" w:themeFill="background1" w:themeFillShade="80"/>
            <w:hideMark/>
          </w:tcPr>
          <w:p w14:paraId="754B8218" w14:textId="77777777" w:rsidR="00DC1B5A" w:rsidRPr="00B912F6" w:rsidRDefault="00DC1B5A" w:rsidP="00012533">
            <w:pPr>
              <w:pStyle w:val="NormalWeb"/>
              <w:jc w:val="center"/>
              <w:rPr>
                <w:b/>
                <w:color w:val="FFFFFF" w:themeColor="background1"/>
                <w:sz w:val="24"/>
                <w:szCs w:val="24"/>
              </w:rPr>
            </w:pPr>
            <w:r w:rsidRPr="00B912F6">
              <w:rPr>
                <w:b/>
                <w:color w:val="FFFFFF" w:themeColor="background1"/>
              </w:rPr>
              <w:t>Case fatality rate (%)</w:t>
            </w:r>
          </w:p>
        </w:tc>
      </w:tr>
      <w:tr w:rsidR="00DC1B5A" w14:paraId="67E393C5" w14:textId="77777777" w:rsidTr="00012533">
        <w:trPr>
          <w:cnfStyle w:val="000000010000" w:firstRow="0" w:lastRow="0" w:firstColumn="0" w:lastColumn="0" w:oddVBand="0" w:evenVBand="0" w:oddHBand="0" w:evenHBand="1" w:firstRowFirstColumn="0" w:firstRowLastColumn="0" w:lastRowFirstColumn="0" w:lastRowLastColumn="0"/>
        </w:trPr>
        <w:tc>
          <w:tcPr>
            <w:tcW w:w="0" w:type="auto"/>
            <w:hideMark/>
          </w:tcPr>
          <w:p w14:paraId="3B66A0EE" w14:textId="77777777" w:rsidR="00DC1B5A" w:rsidRDefault="00DC1B5A">
            <w:pPr>
              <w:pStyle w:val="NormalWeb"/>
            </w:pPr>
            <w:r>
              <w:t>Under 50</w:t>
            </w:r>
          </w:p>
        </w:tc>
        <w:tc>
          <w:tcPr>
            <w:tcW w:w="996" w:type="dxa"/>
            <w:hideMark/>
          </w:tcPr>
          <w:p w14:paraId="6B389038" w14:textId="77777777" w:rsidR="00DC1B5A" w:rsidRDefault="00DC1B5A" w:rsidP="00012533">
            <w:pPr>
              <w:pStyle w:val="NormalWeb"/>
              <w:jc w:val="center"/>
            </w:pPr>
            <w:r>
              <w:t>0.0</w:t>
            </w:r>
          </w:p>
        </w:tc>
        <w:tc>
          <w:tcPr>
            <w:tcW w:w="996" w:type="dxa"/>
            <w:hideMark/>
          </w:tcPr>
          <w:p w14:paraId="7401924D" w14:textId="77777777" w:rsidR="00DC1B5A" w:rsidRDefault="00DC1B5A" w:rsidP="00012533">
            <w:pPr>
              <w:pStyle w:val="NormalWeb"/>
              <w:jc w:val="center"/>
            </w:pPr>
            <w:r>
              <w:t>0.0</w:t>
            </w:r>
          </w:p>
        </w:tc>
        <w:tc>
          <w:tcPr>
            <w:tcW w:w="996" w:type="dxa"/>
            <w:hideMark/>
          </w:tcPr>
          <w:p w14:paraId="7B568BC8" w14:textId="77777777" w:rsidR="00DC1B5A" w:rsidRDefault="00DC1B5A" w:rsidP="00012533">
            <w:pPr>
              <w:pStyle w:val="NormalWeb"/>
              <w:jc w:val="center"/>
            </w:pPr>
            <w:r>
              <w:t>0.0</w:t>
            </w:r>
          </w:p>
        </w:tc>
        <w:tc>
          <w:tcPr>
            <w:tcW w:w="996" w:type="dxa"/>
            <w:hideMark/>
          </w:tcPr>
          <w:p w14:paraId="423D6294" w14:textId="77777777" w:rsidR="00DC1B5A" w:rsidRDefault="00DC1B5A" w:rsidP="00012533">
            <w:pPr>
              <w:pStyle w:val="NormalWeb"/>
              <w:jc w:val="center"/>
            </w:pPr>
            <w:r>
              <w:t>0.4</w:t>
            </w:r>
          </w:p>
        </w:tc>
        <w:tc>
          <w:tcPr>
            <w:tcW w:w="996" w:type="dxa"/>
            <w:hideMark/>
          </w:tcPr>
          <w:p w14:paraId="47FBA966" w14:textId="77777777" w:rsidR="00DC1B5A" w:rsidRDefault="00DC1B5A" w:rsidP="00012533">
            <w:pPr>
              <w:pStyle w:val="NormalWeb"/>
              <w:jc w:val="center"/>
            </w:pPr>
            <w:r>
              <w:t>0.0</w:t>
            </w:r>
          </w:p>
        </w:tc>
        <w:tc>
          <w:tcPr>
            <w:tcW w:w="996" w:type="dxa"/>
            <w:hideMark/>
          </w:tcPr>
          <w:p w14:paraId="1C9E7B88" w14:textId="77777777" w:rsidR="00DC1B5A" w:rsidRDefault="00DC1B5A" w:rsidP="00012533">
            <w:pPr>
              <w:pStyle w:val="NormalWeb"/>
              <w:jc w:val="center"/>
            </w:pPr>
            <w:r>
              <w:t>0.2</w:t>
            </w:r>
          </w:p>
        </w:tc>
        <w:tc>
          <w:tcPr>
            <w:tcW w:w="996" w:type="dxa"/>
            <w:hideMark/>
          </w:tcPr>
          <w:p w14:paraId="06F5E335" w14:textId="77777777" w:rsidR="00DC1B5A" w:rsidRDefault="00DC1B5A" w:rsidP="00012533">
            <w:pPr>
              <w:pStyle w:val="NormalWeb"/>
              <w:jc w:val="center"/>
            </w:pPr>
            <w:r>
              <w:t>0.0</w:t>
            </w:r>
          </w:p>
        </w:tc>
        <w:tc>
          <w:tcPr>
            <w:tcW w:w="996" w:type="dxa"/>
            <w:hideMark/>
          </w:tcPr>
          <w:p w14:paraId="221A10B8" w14:textId="77777777" w:rsidR="00DC1B5A" w:rsidRDefault="00DC1B5A" w:rsidP="00012533">
            <w:pPr>
              <w:pStyle w:val="NormalWeb"/>
              <w:jc w:val="center"/>
            </w:pPr>
            <w:r>
              <w:t>0.0</w:t>
            </w:r>
          </w:p>
        </w:tc>
        <w:tc>
          <w:tcPr>
            <w:tcW w:w="996" w:type="dxa"/>
            <w:hideMark/>
          </w:tcPr>
          <w:p w14:paraId="5D00199D" w14:textId="77777777" w:rsidR="00DC1B5A" w:rsidRDefault="00DC1B5A" w:rsidP="00012533">
            <w:pPr>
              <w:pStyle w:val="NormalWeb"/>
              <w:jc w:val="center"/>
            </w:pPr>
            <w:r>
              <w:rPr>
                <w:lang w:val="en-US"/>
              </w:rPr>
              <w:t>0.0</w:t>
            </w:r>
          </w:p>
        </w:tc>
      </w:tr>
      <w:tr w:rsidR="00F6579B" w14:paraId="6FD91497" w14:textId="77777777" w:rsidTr="00012533">
        <w:tc>
          <w:tcPr>
            <w:tcW w:w="0" w:type="auto"/>
            <w:hideMark/>
          </w:tcPr>
          <w:p w14:paraId="20A8D073" w14:textId="77777777" w:rsidR="00DC1B5A" w:rsidRDefault="00DC1B5A">
            <w:pPr>
              <w:pStyle w:val="NormalWeb"/>
            </w:pPr>
            <w:r>
              <w:t>50–64</w:t>
            </w:r>
          </w:p>
        </w:tc>
        <w:tc>
          <w:tcPr>
            <w:tcW w:w="996" w:type="dxa"/>
            <w:hideMark/>
          </w:tcPr>
          <w:p w14:paraId="07518421" w14:textId="77777777" w:rsidR="00DC1B5A" w:rsidRDefault="00DC1B5A" w:rsidP="00012533">
            <w:pPr>
              <w:pStyle w:val="NormalWeb"/>
              <w:jc w:val="center"/>
            </w:pPr>
            <w:r>
              <w:t>0.6</w:t>
            </w:r>
          </w:p>
        </w:tc>
        <w:tc>
          <w:tcPr>
            <w:tcW w:w="996" w:type="dxa"/>
            <w:hideMark/>
          </w:tcPr>
          <w:p w14:paraId="5D4689E1" w14:textId="77777777" w:rsidR="00DC1B5A" w:rsidRDefault="00DC1B5A" w:rsidP="00012533">
            <w:pPr>
              <w:pStyle w:val="NormalWeb"/>
              <w:jc w:val="center"/>
            </w:pPr>
            <w:r>
              <w:t>0.2</w:t>
            </w:r>
          </w:p>
        </w:tc>
        <w:tc>
          <w:tcPr>
            <w:tcW w:w="996" w:type="dxa"/>
            <w:hideMark/>
          </w:tcPr>
          <w:p w14:paraId="762456CD" w14:textId="77777777" w:rsidR="00DC1B5A" w:rsidRDefault="00DC1B5A" w:rsidP="00012533">
            <w:pPr>
              <w:pStyle w:val="NormalWeb"/>
              <w:jc w:val="center"/>
            </w:pPr>
            <w:r>
              <w:t>0.4</w:t>
            </w:r>
          </w:p>
        </w:tc>
        <w:tc>
          <w:tcPr>
            <w:tcW w:w="996" w:type="dxa"/>
            <w:hideMark/>
          </w:tcPr>
          <w:p w14:paraId="6B22DD0C" w14:textId="77777777" w:rsidR="00DC1B5A" w:rsidRDefault="00DC1B5A" w:rsidP="00012533">
            <w:pPr>
              <w:pStyle w:val="NormalWeb"/>
              <w:jc w:val="center"/>
            </w:pPr>
            <w:r>
              <w:t>3.0</w:t>
            </w:r>
          </w:p>
        </w:tc>
        <w:tc>
          <w:tcPr>
            <w:tcW w:w="996" w:type="dxa"/>
            <w:hideMark/>
          </w:tcPr>
          <w:p w14:paraId="338708D3" w14:textId="77777777" w:rsidR="00DC1B5A" w:rsidRDefault="00DC1B5A" w:rsidP="00012533">
            <w:pPr>
              <w:pStyle w:val="NormalWeb"/>
              <w:jc w:val="center"/>
            </w:pPr>
            <w:r>
              <w:t>1.5</w:t>
            </w:r>
          </w:p>
        </w:tc>
        <w:tc>
          <w:tcPr>
            <w:tcW w:w="996" w:type="dxa"/>
            <w:hideMark/>
          </w:tcPr>
          <w:p w14:paraId="5E6A5D0B" w14:textId="77777777" w:rsidR="00DC1B5A" w:rsidRDefault="00DC1B5A" w:rsidP="00012533">
            <w:pPr>
              <w:pStyle w:val="NormalWeb"/>
              <w:jc w:val="center"/>
            </w:pPr>
            <w:r>
              <w:t>2.3</w:t>
            </w:r>
          </w:p>
        </w:tc>
        <w:tc>
          <w:tcPr>
            <w:tcW w:w="996" w:type="dxa"/>
            <w:hideMark/>
          </w:tcPr>
          <w:p w14:paraId="31805965" w14:textId="77777777" w:rsidR="00DC1B5A" w:rsidRDefault="00DC1B5A" w:rsidP="00012533">
            <w:pPr>
              <w:pStyle w:val="NormalWeb"/>
              <w:jc w:val="center"/>
            </w:pPr>
            <w:r>
              <w:t>8.9</w:t>
            </w:r>
          </w:p>
        </w:tc>
        <w:tc>
          <w:tcPr>
            <w:tcW w:w="996" w:type="dxa"/>
            <w:hideMark/>
          </w:tcPr>
          <w:p w14:paraId="23F24ED6" w14:textId="77777777" w:rsidR="00DC1B5A" w:rsidRDefault="00DC1B5A" w:rsidP="00012533">
            <w:pPr>
              <w:pStyle w:val="NormalWeb"/>
              <w:jc w:val="center"/>
            </w:pPr>
            <w:r>
              <w:t>2.7</w:t>
            </w:r>
          </w:p>
        </w:tc>
        <w:tc>
          <w:tcPr>
            <w:tcW w:w="996" w:type="dxa"/>
            <w:hideMark/>
          </w:tcPr>
          <w:p w14:paraId="21C724BC" w14:textId="77777777" w:rsidR="00DC1B5A" w:rsidRDefault="00DC1B5A" w:rsidP="00012533">
            <w:pPr>
              <w:pStyle w:val="NormalWeb"/>
              <w:jc w:val="center"/>
            </w:pPr>
            <w:r>
              <w:rPr>
                <w:lang w:val="en-US"/>
              </w:rPr>
              <w:t>6.5</w:t>
            </w:r>
          </w:p>
        </w:tc>
      </w:tr>
      <w:tr w:rsidR="00DC1B5A" w14:paraId="34782F8A" w14:textId="77777777" w:rsidTr="00012533">
        <w:trPr>
          <w:cnfStyle w:val="000000010000" w:firstRow="0" w:lastRow="0" w:firstColumn="0" w:lastColumn="0" w:oddVBand="0" w:evenVBand="0" w:oddHBand="0" w:evenHBand="1" w:firstRowFirstColumn="0" w:firstRowLastColumn="0" w:lastRowFirstColumn="0" w:lastRowLastColumn="0"/>
        </w:trPr>
        <w:tc>
          <w:tcPr>
            <w:tcW w:w="0" w:type="auto"/>
            <w:hideMark/>
          </w:tcPr>
          <w:p w14:paraId="75F7CBF4" w14:textId="77777777" w:rsidR="00DC1B5A" w:rsidRDefault="00DC1B5A">
            <w:pPr>
              <w:pStyle w:val="NormalWeb"/>
            </w:pPr>
            <w:r>
              <w:t>65–79</w:t>
            </w:r>
          </w:p>
        </w:tc>
        <w:tc>
          <w:tcPr>
            <w:tcW w:w="996" w:type="dxa"/>
            <w:hideMark/>
          </w:tcPr>
          <w:p w14:paraId="3E584D72" w14:textId="77777777" w:rsidR="00DC1B5A" w:rsidRDefault="00DC1B5A" w:rsidP="00012533">
            <w:pPr>
              <w:pStyle w:val="NormalWeb"/>
              <w:jc w:val="center"/>
            </w:pPr>
            <w:r>
              <w:t>3.7</w:t>
            </w:r>
          </w:p>
        </w:tc>
        <w:tc>
          <w:tcPr>
            <w:tcW w:w="996" w:type="dxa"/>
            <w:hideMark/>
          </w:tcPr>
          <w:p w14:paraId="5C9FE75A" w14:textId="77777777" w:rsidR="00DC1B5A" w:rsidRDefault="00DC1B5A" w:rsidP="00012533">
            <w:pPr>
              <w:pStyle w:val="NormalWeb"/>
              <w:jc w:val="center"/>
            </w:pPr>
            <w:r>
              <w:t>2.4</w:t>
            </w:r>
          </w:p>
        </w:tc>
        <w:tc>
          <w:tcPr>
            <w:tcW w:w="996" w:type="dxa"/>
            <w:hideMark/>
          </w:tcPr>
          <w:p w14:paraId="7D7B58D5" w14:textId="77777777" w:rsidR="00DC1B5A" w:rsidRDefault="00DC1B5A" w:rsidP="00012533">
            <w:pPr>
              <w:pStyle w:val="NormalWeb"/>
              <w:jc w:val="center"/>
            </w:pPr>
            <w:r>
              <w:t>3.1</w:t>
            </w:r>
          </w:p>
        </w:tc>
        <w:tc>
          <w:tcPr>
            <w:tcW w:w="996" w:type="dxa"/>
            <w:hideMark/>
          </w:tcPr>
          <w:p w14:paraId="000BEE3A" w14:textId="77777777" w:rsidR="00DC1B5A" w:rsidRDefault="00DC1B5A" w:rsidP="00012533">
            <w:pPr>
              <w:pStyle w:val="NormalWeb"/>
              <w:jc w:val="center"/>
            </w:pPr>
            <w:r>
              <w:t>10.6</w:t>
            </w:r>
          </w:p>
        </w:tc>
        <w:tc>
          <w:tcPr>
            <w:tcW w:w="996" w:type="dxa"/>
            <w:hideMark/>
          </w:tcPr>
          <w:p w14:paraId="64BECA82" w14:textId="77777777" w:rsidR="00DC1B5A" w:rsidRDefault="00DC1B5A" w:rsidP="00012533">
            <w:pPr>
              <w:pStyle w:val="NormalWeb"/>
              <w:jc w:val="center"/>
            </w:pPr>
            <w:r>
              <w:t>7.6</w:t>
            </w:r>
          </w:p>
        </w:tc>
        <w:tc>
          <w:tcPr>
            <w:tcW w:w="996" w:type="dxa"/>
            <w:hideMark/>
          </w:tcPr>
          <w:p w14:paraId="066BDA36" w14:textId="77777777" w:rsidR="00DC1B5A" w:rsidRDefault="00DC1B5A" w:rsidP="00012533">
            <w:pPr>
              <w:pStyle w:val="NormalWeb"/>
              <w:jc w:val="center"/>
            </w:pPr>
            <w:r>
              <w:t>9.4</w:t>
            </w:r>
          </w:p>
        </w:tc>
        <w:tc>
          <w:tcPr>
            <w:tcW w:w="996" w:type="dxa"/>
            <w:hideMark/>
          </w:tcPr>
          <w:p w14:paraId="729F09D4" w14:textId="77777777" w:rsidR="00DC1B5A" w:rsidRDefault="00DC1B5A" w:rsidP="00012533">
            <w:pPr>
              <w:pStyle w:val="NormalWeb"/>
              <w:jc w:val="center"/>
            </w:pPr>
            <w:r>
              <w:t>17.1</w:t>
            </w:r>
          </w:p>
        </w:tc>
        <w:tc>
          <w:tcPr>
            <w:tcW w:w="996" w:type="dxa"/>
            <w:hideMark/>
          </w:tcPr>
          <w:p w14:paraId="5A48FD67" w14:textId="77777777" w:rsidR="00DC1B5A" w:rsidRDefault="00DC1B5A" w:rsidP="00012533">
            <w:pPr>
              <w:pStyle w:val="NormalWeb"/>
              <w:jc w:val="center"/>
            </w:pPr>
            <w:r>
              <w:t>9.5</w:t>
            </w:r>
          </w:p>
        </w:tc>
        <w:tc>
          <w:tcPr>
            <w:tcW w:w="996" w:type="dxa"/>
            <w:hideMark/>
          </w:tcPr>
          <w:p w14:paraId="3D2E4E21" w14:textId="77777777" w:rsidR="00DC1B5A" w:rsidRDefault="00DC1B5A" w:rsidP="00012533">
            <w:pPr>
              <w:pStyle w:val="NormalWeb"/>
              <w:jc w:val="center"/>
            </w:pPr>
            <w:r>
              <w:rPr>
                <w:lang w:val="en-US"/>
              </w:rPr>
              <w:t>14.5</w:t>
            </w:r>
          </w:p>
        </w:tc>
      </w:tr>
      <w:tr w:rsidR="00F6579B" w14:paraId="60D47371" w14:textId="77777777" w:rsidTr="00012533">
        <w:tc>
          <w:tcPr>
            <w:tcW w:w="0" w:type="auto"/>
            <w:hideMark/>
          </w:tcPr>
          <w:p w14:paraId="01C49C06" w14:textId="77777777" w:rsidR="00DC1B5A" w:rsidRDefault="00DC1B5A">
            <w:pPr>
              <w:pStyle w:val="NormalWeb"/>
            </w:pPr>
            <w:r>
              <w:t>80 and over</w:t>
            </w:r>
          </w:p>
        </w:tc>
        <w:tc>
          <w:tcPr>
            <w:tcW w:w="996" w:type="dxa"/>
            <w:hideMark/>
          </w:tcPr>
          <w:p w14:paraId="6EA25251" w14:textId="77777777" w:rsidR="00DC1B5A" w:rsidRDefault="00DC1B5A" w:rsidP="00012533">
            <w:pPr>
              <w:pStyle w:val="NormalWeb"/>
              <w:jc w:val="center"/>
            </w:pPr>
            <w:r>
              <w:t>21.9</w:t>
            </w:r>
          </w:p>
        </w:tc>
        <w:tc>
          <w:tcPr>
            <w:tcW w:w="996" w:type="dxa"/>
            <w:hideMark/>
          </w:tcPr>
          <w:p w14:paraId="643CD9D9" w14:textId="77777777" w:rsidR="00DC1B5A" w:rsidRDefault="00DC1B5A" w:rsidP="00012533">
            <w:pPr>
              <w:pStyle w:val="NormalWeb"/>
              <w:jc w:val="center"/>
            </w:pPr>
            <w:r>
              <w:t>18.0</w:t>
            </w:r>
          </w:p>
        </w:tc>
        <w:tc>
          <w:tcPr>
            <w:tcW w:w="996" w:type="dxa"/>
            <w:hideMark/>
          </w:tcPr>
          <w:p w14:paraId="0D7E444F" w14:textId="77777777" w:rsidR="00DC1B5A" w:rsidRDefault="00DC1B5A" w:rsidP="00012533">
            <w:pPr>
              <w:pStyle w:val="NormalWeb"/>
              <w:jc w:val="center"/>
            </w:pPr>
            <w:r>
              <w:t>19.8</w:t>
            </w:r>
          </w:p>
        </w:tc>
        <w:tc>
          <w:tcPr>
            <w:tcW w:w="996" w:type="dxa"/>
            <w:hideMark/>
          </w:tcPr>
          <w:p w14:paraId="400F4272" w14:textId="77777777" w:rsidR="00DC1B5A" w:rsidRDefault="00DC1B5A" w:rsidP="00012533">
            <w:pPr>
              <w:pStyle w:val="NormalWeb"/>
              <w:jc w:val="center"/>
            </w:pPr>
            <w:r>
              <w:t>32.1</w:t>
            </w:r>
          </w:p>
        </w:tc>
        <w:tc>
          <w:tcPr>
            <w:tcW w:w="996" w:type="dxa"/>
            <w:hideMark/>
          </w:tcPr>
          <w:p w14:paraId="2474EEA6" w14:textId="77777777" w:rsidR="00DC1B5A" w:rsidRDefault="00DC1B5A" w:rsidP="00012533">
            <w:pPr>
              <w:pStyle w:val="NormalWeb"/>
              <w:jc w:val="center"/>
            </w:pPr>
            <w:r>
              <w:t>28.8</w:t>
            </w:r>
          </w:p>
        </w:tc>
        <w:tc>
          <w:tcPr>
            <w:tcW w:w="996" w:type="dxa"/>
            <w:hideMark/>
          </w:tcPr>
          <w:p w14:paraId="34F42AFA" w14:textId="77777777" w:rsidR="00DC1B5A" w:rsidRDefault="00DC1B5A" w:rsidP="00012533">
            <w:pPr>
              <w:pStyle w:val="NormalWeb"/>
              <w:jc w:val="center"/>
            </w:pPr>
            <w:r>
              <w:t>30.4</w:t>
            </w:r>
          </w:p>
        </w:tc>
        <w:tc>
          <w:tcPr>
            <w:tcW w:w="996" w:type="dxa"/>
            <w:hideMark/>
          </w:tcPr>
          <w:p w14:paraId="1621760A" w14:textId="77777777" w:rsidR="00DC1B5A" w:rsidRDefault="00DC1B5A" w:rsidP="00012533">
            <w:pPr>
              <w:pStyle w:val="NormalWeb"/>
              <w:jc w:val="center"/>
            </w:pPr>
            <w:r>
              <w:t>57.1</w:t>
            </w:r>
          </w:p>
        </w:tc>
        <w:tc>
          <w:tcPr>
            <w:tcW w:w="996" w:type="dxa"/>
            <w:hideMark/>
          </w:tcPr>
          <w:p w14:paraId="1CBA2079" w14:textId="77777777" w:rsidR="00DC1B5A" w:rsidRDefault="00DC1B5A" w:rsidP="00012533">
            <w:pPr>
              <w:pStyle w:val="NormalWeb"/>
              <w:jc w:val="center"/>
            </w:pPr>
            <w:r>
              <w:t>25.0</w:t>
            </w:r>
          </w:p>
        </w:tc>
        <w:tc>
          <w:tcPr>
            <w:tcW w:w="996" w:type="dxa"/>
            <w:hideMark/>
          </w:tcPr>
          <w:p w14:paraId="2B7C7655" w14:textId="77777777" w:rsidR="00DC1B5A" w:rsidRDefault="00DC1B5A" w:rsidP="00012533">
            <w:pPr>
              <w:pStyle w:val="NormalWeb"/>
              <w:jc w:val="center"/>
            </w:pPr>
            <w:r>
              <w:rPr>
                <w:lang w:val="en-US"/>
              </w:rPr>
              <w:t>45.5</w:t>
            </w:r>
          </w:p>
        </w:tc>
      </w:tr>
      <w:tr w:rsidR="00DC1B5A" w:rsidRPr="00641E81" w14:paraId="112D7676" w14:textId="77777777" w:rsidTr="00641E81">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515DAAB7" w14:textId="77777777" w:rsidR="00DC1B5A" w:rsidRPr="00641E81" w:rsidRDefault="00DC1B5A">
            <w:pPr>
              <w:pStyle w:val="NormalWeb"/>
              <w:rPr>
                <w:b/>
              </w:rPr>
            </w:pPr>
            <w:r w:rsidRPr="00641E81">
              <w:rPr>
                <w:b/>
              </w:rPr>
              <w:t>All age groups</w:t>
            </w:r>
          </w:p>
        </w:tc>
        <w:tc>
          <w:tcPr>
            <w:tcW w:w="996" w:type="dxa"/>
            <w:shd w:val="clear" w:color="auto" w:fill="FDE9D9" w:themeFill="accent6" w:themeFillTint="33"/>
            <w:hideMark/>
          </w:tcPr>
          <w:p w14:paraId="116B0134" w14:textId="77777777" w:rsidR="00DC1B5A" w:rsidRPr="00641E81" w:rsidRDefault="00DC1B5A" w:rsidP="00012533">
            <w:pPr>
              <w:pStyle w:val="NormalWeb"/>
              <w:jc w:val="center"/>
              <w:rPr>
                <w:b/>
              </w:rPr>
            </w:pPr>
            <w:r w:rsidRPr="00641E81">
              <w:rPr>
                <w:b/>
              </w:rPr>
              <w:t>1.3</w:t>
            </w:r>
          </w:p>
        </w:tc>
        <w:tc>
          <w:tcPr>
            <w:tcW w:w="996" w:type="dxa"/>
            <w:shd w:val="clear" w:color="auto" w:fill="FDE9D9" w:themeFill="accent6" w:themeFillTint="33"/>
            <w:hideMark/>
          </w:tcPr>
          <w:p w14:paraId="5119EFBF" w14:textId="77777777" w:rsidR="00DC1B5A" w:rsidRPr="00641E81" w:rsidRDefault="00DC1B5A" w:rsidP="00012533">
            <w:pPr>
              <w:pStyle w:val="NormalWeb"/>
              <w:jc w:val="center"/>
              <w:rPr>
                <w:b/>
              </w:rPr>
            </w:pPr>
            <w:r w:rsidRPr="00641E81">
              <w:rPr>
                <w:b/>
              </w:rPr>
              <w:t>1.0</w:t>
            </w:r>
          </w:p>
        </w:tc>
        <w:tc>
          <w:tcPr>
            <w:tcW w:w="996" w:type="dxa"/>
            <w:shd w:val="clear" w:color="auto" w:fill="FDE9D9" w:themeFill="accent6" w:themeFillTint="33"/>
            <w:hideMark/>
          </w:tcPr>
          <w:p w14:paraId="6B0F53A4" w14:textId="77777777" w:rsidR="00DC1B5A" w:rsidRPr="00641E81" w:rsidRDefault="00DC1B5A" w:rsidP="00012533">
            <w:pPr>
              <w:pStyle w:val="NormalWeb"/>
              <w:jc w:val="center"/>
              <w:rPr>
                <w:b/>
              </w:rPr>
            </w:pPr>
            <w:r w:rsidRPr="00641E81">
              <w:rPr>
                <w:b/>
              </w:rPr>
              <w:t>1.2</w:t>
            </w:r>
          </w:p>
        </w:tc>
        <w:tc>
          <w:tcPr>
            <w:tcW w:w="996" w:type="dxa"/>
            <w:shd w:val="clear" w:color="auto" w:fill="FDE9D9" w:themeFill="accent6" w:themeFillTint="33"/>
            <w:hideMark/>
          </w:tcPr>
          <w:p w14:paraId="4608B1F0" w14:textId="77777777" w:rsidR="00DC1B5A" w:rsidRPr="00641E81" w:rsidRDefault="00DC1B5A" w:rsidP="00012533">
            <w:pPr>
              <w:pStyle w:val="NormalWeb"/>
              <w:jc w:val="center"/>
              <w:rPr>
                <w:b/>
              </w:rPr>
            </w:pPr>
            <w:r w:rsidRPr="00641E81">
              <w:rPr>
                <w:b/>
              </w:rPr>
              <w:t>8.5</w:t>
            </w:r>
          </w:p>
        </w:tc>
        <w:tc>
          <w:tcPr>
            <w:tcW w:w="996" w:type="dxa"/>
            <w:shd w:val="clear" w:color="auto" w:fill="FDE9D9" w:themeFill="accent6" w:themeFillTint="33"/>
            <w:hideMark/>
          </w:tcPr>
          <w:p w14:paraId="569F2BAA" w14:textId="77777777" w:rsidR="00DC1B5A" w:rsidRPr="00641E81" w:rsidRDefault="00DC1B5A" w:rsidP="00012533">
            <w:pPr>
              <w:pStyle w:val="NormalWeb"/>
              <w:jc w:val="center"/>
              <w:rPr>
                <w:b/>
              </w:rPr>
            </w:pPr>
            <w:r w:rsidRPr="00641E81">
              <w:rPr>
                <w:b/>
              </w:rPr>
              <w:t>6.8</w:t>
            </w:r>
          </w:p>
        </w:tc>
        <w:tc>
          <w:tcPr>
            <w:tcW w:w="996" w:type="dxa"/>
            <w:shd w:val="clear" w:color="auto" w:fill="FDE9D9" w:themeFill="accent6" w:themeFillTint="33"/>
            <w:hideMark/>
          </w:tcPr>
          <w:p w14:paraId="335AECAE" w14:textId="77777777" w:rsidR="00DC1B5A" w:rsidRPr="00641E81" w:rsidRDefault="00DC1B5A" w:rsidP="00012533">
            <w:pPr>
              <w:pStyle w:val="NormalWeb"/>
              <w:jc w:val="center"/>
              <w:rPr>
                <w:b/>
              </w:rPr>
            </w:pPr>
            <w:r w:rsidRPr="00641E81">
              <w:rPr>
                <w:b/>
              </w:rPr>
              <w:t>7.7</w:t>
            </w:r>
          </w:p>
        </w:tc>
        <w:tc>
          <w:tcPr>
            <w:tcW w:w="996" w:type="dxa"/>
            <w:shd w:val="clear" w:color="auto" w:fill="FDE9D9" w:themeFill="accent6" w:themeFillTint="33"/>
            <w:hideMark/>
          </w:tcPr>
          <w:p w14:paraId="42369379" w14:textId="77777777" w:rsidR="00DC1B5A" w:rsidRPr="00641E81" w:rsidRDefault="00DC1B5A" w:rsidP="00012533">
            <w:pPr>
              <w:pStyle w:val="NormalWeb"/>
              <w:jc w:val="center"/>
              <w:rPr>
                <w:b/>
              </w:rPr>
            </w:pPr>
            <w:r w:rsidRPr="00641E81">
              <w:rPr>
                <w:b/>
              </w:rPr>
              <w:t>13.7</w:t>
            </w:r>
          </w:p>
        </w:tc>
        <w:tc>
          <w:tcPr>
            <w:tcW w:w="996" w:type="dxa"/>
            <w:shd w:val="clear" w:color="auto" w:fill="FDE9D9" w:themeFill="accent6" w:themeFillTint="33"/>
            <w:hideMark/>
          </w:tcPr>
          <w:p w14:paraId="42C44EA4" w14:textId="77777777" w:rsidR="00DC1B5A" w:rsidRPr="00641E81" w:rsidRDefault="00DC1B5A" w:rsidP="00012533">
            <w:pPr>
              <w:pStyle w:val="NormalWeb"/>
              <w:jc w:val="center"/>
              <w:rPr>
                <w:b/>
              </w:rPr>
            </w:pPr>
            <w:r w:rsidRPr="00641E81">
              <w:rPr>
                <w:b/>
              </w:rPr>
              <w:t>6.4</w:t>
            </w:r>
          </w:p>
        </w:tc>
        <w:tc>
          <w:tcPr>
            <w:tcW w:w="996" w:type="dxa"/>
            <w:shd w:val="clear" w:color="auto" w:fill="FDE9D9" w:themeFill="accent6" w:themeFillTint="33"/>
            <w:hideMark/>
          </w:tcPr>
          <w:p w14:paraId="0009C093" w14:textId="77777777" w:rsidR="00DC1B5A" w:rsidRPr="00641E81" w:rsidRDefault="00DC1B5A" w:rsidP="00012533">
            <w:pPr>
              <w:pStyle w:val="NormalWeb"/>
              <w:jc w:val="center"/>
              <w:rPr>
                <w:b/>
              </w:rPr>
            </w:pPr>
            <w:r w:rsidRPr="00641E81">
              <w:rPr>
                <w:b/>
                <w:lang w:val="en-US"/>
              </w:rPr>
              <w:t>11.1</w:t>
            </w:r>
          </w:p>
        </w:tc>
      </w:tr>
    </w:tbl>
    <w:p w14:paraId="1826430B" w14:textId="77777777" w:rsidR="00DC1B5A" w:rsidRPr="006F7C3A" w:rsidRDefault="00DC1B5A" w:rsidP="006F7C3A">
      <w:pPr>
        <w:pStyle w:val="Heading1"/>
      </w:pPr>
      <w:r w:rsidRPr="006F7C3A">
        <w:t xml:space="preserve">Demographics of cases </w:t>
      </w:r>
    </w:p>
    <w:p w14:paraId="0EE6CAA5" w14:textId="77777777" w:rsidR="00DC1B5A" w:rsidRDefault="00DC1B5A" w:rsidP="006F7C3A">
      <w:r>
        <w:t xml:space="preserve">Historically, cases of COVID-19 have been reported across all age groups; however in recent reporting periods a shift to younger populations is observed (see Appendix B, Table B.1). Cumulatively cases show a mean age of 42.0 and a median age of 39 years (IQR: 26 to 57). Prior to April, the population diagnosed was slightly older, with a median age of 47 (IQR: 29 to 62) reflecting the source of acquisition being primarily cruise ships. In this reporting period, the median age is 33 (IQR: 23 to 49). </w:t>
      </w:r>
    </w:p>
    <w:p w14:paraId="46F8CE76" w14:textId="77777777" w:rsidR="00DC1B5A" w:rsidRDefault="00DC1B5A" w:rsidP="006F7C3A">
      <w:r>
        <w:t xml:space="preserve">Cumulatively, people in the 20–29 years age group have the highest rate of COVID-19 infection (77.0 cases per 100,000 population), followed by the 30–39 years age group (59.8 cases per 100,000 population) and then 60–69 years (56.5 cases per 100,000 population) (Table B.1). Children aged 0–9 years continue to have the lowest rate (14.9 cases per 100,000 population). Across most age groups, males show a higher rate of infection than females, with the exception being in the 20–29 years age group. The largest difference in rates between genders is observed in the 70–79 age group where males are diagnosed with COVID-19 almost 30% more than females. </w:t>
      </w:r>
    </w:p>
    <w:p w14:paraId="52156731" w14:textId="77777777" w:rsidR="00DC1B5A" w:rsidRDefault="00DC1B5A" w:rsidP="006F7C3A">
      <w:r>
        <w:t xml:space="preserve">In this reporting period, approximately 13.9% of cases notified are 0 to 18 years old, compared to 22.3% in the previous reporting period. </w:t>
      </w:r>
      <w:r w:rsidR="000176FF" w:rsidRPr="000176FF">
        <w:t>A similar trend is seen with school aged children (5 to 17 years) where the total number of cases reported has increased, but the proportion within the age group decreased. In this reporting period there are 410 cases reported in this age group, which represents 10.8% of all cases. For the previous reporting period, 161 cases were reported, representing 18% of all cases for that reporting period.</w:t>
      </w:r>
      <w:r>
        <w:t xml:space="preserve"> </w:t>
      </w:r>
    </w:p>
    <w:p w14:paraId="1A24A0C3" w14:textId="77777777" w:rsidR="00DC1B5A" w:rsidRPr="006F7C3A" w:rsidRDefault="00DC1B5A" w:rsidP="006F7C3A">
      <w:pPr>
        <w:pStyle w:val="Heading1"/>
      </w:pPr>
      <w:r w:rsidRPr="006F7C3A">
        <w:t xml:space="preserve">Severity </w:t>
      </w:r>
    </w:p>
    <w:p w14:paraId="0A382A24" w14:textId="77777777" w:rsidR="00DC1B5A" w:rsidRDefault="00DC1B5A" w:rsidP="006F7C3A">
      <w:r>
        <w:t xml:space="preserve">Of total cases notified in Australia, approximately 12% (n = 1,572) were admitted to hospital. Of hospitalised cases, 20% (n = 307) were admitted to ICU (Table 3) and 8% (n = 127) were ventilated. 41% of ICU patients required </w:t>
      </w:r>
      <w:r>
        <w:lastRenderedPageBreak/>
        <w:t>ventilation. Higher disease severity, as indicated by hospitalisation, admission to ICU, and death, has been associated with increased age.</w:t>
      </w:r>
      <w:r>
        <w:rPr>
          <w:vertAlign w:val="superscript"/>
        </w:rPr>
        <w:t>1</w:t>
      </w:r>
      <w:r>
        <w:t xml:space="preserve"> The median ages of cases who have been hospitalised (61 years; IQR 43–73), admitted to ICU (64 years; IQR 51–72) and ventilated (65 years; IQR 55–72) are higher than for cases overall (42 years; IQR 26–57). </w:t>
      </w:r>
    </w:p>
    <w:p w14:paraId="27B55DA1" w14:textId="77777777" w:rsidR="00DC1B5A" w:rsidRDefault="00DC1B5A" w:rsidP="006F7C3A">
      <w:r>
        <w:t>Canada has reported a similar severity profile, with 14% of cases hospitalised, of which 20% were admitted to the ICU and 4% required mechanical ventilation.</w:t>
      </w:r>
      <w:r>
        <w:rPr>
          <w:vertAlign w:val="superscript"/>
        </w:rPr>
        <w:t>2</w:t>
      </w:r>
      <w:r>
        <w:t xml:space="preserve"> Higher rates have been observed across the EU/EEA with 31% (data from 23 countries) of reported cases requiring hospitalisation and 14% (data from 16 countries) being admitted to the ICU and/or requiring respiratory support.</w:t>
      </w:r>
      <w:r>
        <w:rPr>
          <w:vertAlign w:val="superscript"/>
        </w:rPr>
        <w:t>3</w:t>
      </w:r>
      <w:r>
        <w:t xml:space="preserve"> </w:t>
      </w:r>
    </w:p>
    <w:p w14:paraId="73D5A5F4" w14:textId="77777777" w:rsidR="00DC1B5A" w:rsidRDefault="00DC1B5A" w:rsidP="006F7C3A">
      <w:r>
        <w:t>Proportions vary considerably between countries and are affected by each country’s underlying health and testing strategies, with some European countries only testing hospitalised individuals for COVID-19.</w:t>
      </w:r>
      <w:r>
        <w:rPr>
          <w:vertAlign w:val="superscript"/>
        </w:rPr>
        <w:t xml:space="preserve"> </w:t>
      </w:r>
      <w:r>
        <w:t>There is also variation in the way different countries classify and report hospitalisations. The European region also reported a decrease in both the hospitalisation and severe hospitalisation rate with increasing age beyond 80 years, which is not seen in the Australian data. This was hypothesised to reflect clinical decisions about the use of hospital resources for people in this age group and was observed in the data from many countries.</w:t>
      </w:r>
      <w:r>
        <w:rPr>
          <w:vertAlign w:val="superscript"/>
        </w:rPr>
        <w:t xml:space="preserve">3 </w:t>
      </w:r>
    </w:p>
    <w:p w14:paraId="664C71E2" w14:textId="77777777" w:rsidR="00DC1B5A" w:rsidRDefault="00DC1B5A" w:rsidP="006F7C3A">
      <w:r>
        <w:t>Among Australian cases, the case fatality rate (CFR) for males is higher than females of the same age across all age groups examined (Table 3). Of all deaths in Australia, the mean age is 80.7 years, while the median age is 82.0 (IQR: 75.5 to 88.5). The youngest death occurred in a person aged 42 years. Overall fatality rates by age group are similar to those observed in China and Italy as of 17 March 2020,</w:t>
      </w:r>
      <w:r>
        <w:rPr>
          <w:vertAlign w:val="superscript"/>
        </w:rPr>
        <w:t>4</w:t>
      </w:r>
      <w:r>
        <w:t xml:space="preserve"> but lower than those observed for the European region when aggregated.</w:t>
      </w:r>
      <w:r>
        <w:rPr>
          <w:vertAlign w:val="superscript"/>
        </w:rPr>
        <w:t xml:space="preserve">3 </w:t>
      </w:r>
    </w:p>
    <w:p w14:paraId="1DB9C8D7" w14:textId="77777777" w:rsidR="00DC1B5A" w:rsidRDefault="00DC1B5A" w:rsidP="006F7C3A">
      <w:r>
        <w:t>The CFR of Australian hospitalised cases was 7.7%, which was similar to Canadian cases which were hospitalised (8%),</w:t>
      </w:r>
      <w:r>
        <w:rPr>
          <w:vertAlign w:val="superscript"/>
        </w:rPr>
        <w:t>5</w:t>
      </w:r>
      <w:r>
        <w:t xml:space="preserve"> but dramatically lower than the aggregated value of 25% observed in European cases (data from 21 countries).</w:t>
      </w:r>
      <w:r>
        <w:rPr>
          <w:vertAlign w:val="superscript"/>
        </w:rPr>
        <w:t>3</w:t>
      </w:r>
      <w:r>
        <w:t xml:space="preserve"> Australian results are based on small numbers of cases and therefore may not be directly comparable to results from other countries. </w:t>
      </w:r>
    </w:p>
    <w:p w14:paraId="7B5A9C7F" w14:textId="77777777" w:rsidR="00DC1B5A" w:rsidRPr="00E86AA7" w:rsidRDefault="00DC1B5A" w:rsidP="00E86AA7">
      <w:pPr>
        <w:pStyle w:val="Heading1"/>
      </w:pPr>
      <w:r w:rsidRPr="00E86AA7">
        <w:t xml:space="preserve">Symptom profile </w:t>
      </w:r>
    </w:p>
    <w:p w14:paraId="5E329D69" w14:textId="77777777" w:rsidR="00DC1B5A" w:rsidRDefault="00DC1B5A" w:rsidP="00E86AA7">
      <w:r>
        <w:t xml:space="preserve">The symptoms reported by COVID-19 cases in Australia are consistent with a mild respiratory infection in the majority of cases. The principal symptoms reported in cases (Figure B.1) were cough (51%), fever (37%), sore throat (32%) and headache (25%). Other symptoms reported include malaise, lethargy or fatigue (26%), and loss of taste or smell (12%). These are currently not standard fields in NNDSS, and are likely to under-represent those presenting with these symptoms. A small number of cases reported more severe symptoms, with pneumonia and/or acute respiratory disease (ARD) reported in 2% of cases with symptoms. </w:t>
      </w:r>
    </w:p>
    <w:p w14:paraId="56CDA6ED" w14:textId="77777777" w:rsidR="00DC1B5A" w:rsidRDefault="00DC1B5A" w:rsidP="00E86AA7">
      <w:r>
        <w:t>In more severe cases cough, fever and shortness of breath were the most common symptoms reported, as well as an increasing proportion reporting malaise/lethargy/fatigue or acute respiratory syndrome/pneumonia with increasing severity. The proportion reporting a loss o</w:t>
      </w:r>
      <w:r w:rsidR="001E5AFE">
        <w:t>f</w:t>
      </w:r>
      <w:r>
        <w:t xml:space="preserve"> taste or smell dropped with increasing severity. The completeness of the symptom field in the NNDSS was 98%, with 83% of records indicating known symptoms. </w:t>
      </w:r>
    </w:p>
    <w:p w14:paraId="2A89AD83" w14:textId="77777777" w:rsidR="00DC1B5A" w:rsidRDefault="00DC1B5A" w:rsidP="00E86AA7">
      <w:r>
        <w:t>The symptom profile of Australian cases is broadly similar to the symptoms reported by COVID-19 cases internationally. Among EU/EEA countries and the UK, a dry or productive cough and fever/chills were the most commonly reported symptoms.</w:t>
      </w:r>
      <w:r>
        <w:rPr>
          <w:vertAlign w:val="superscript"/>
        </w:rPr>
        <w:t>3</w:t>
      </w:r>
      <w:r>
        <w:t xml:space="preserve"> Differences in reported symptoms will be influenced by differences in surveillance strategies and symptom reporting across countries. </w:t>
      </w:r>
    </w:p>
    <w:p w14:paraId="7ED24524" w14:textId="77777777" w:rsidR="00F90D07" w:rsidRDefault="00F90D07">
      <w:pPr>
        <w:rPr>
          <w:rFonts w:asciiTheme="majorHAnsi" w:eastAsiaTheme="majorEastAsia" w:hAnsiTheme="majorHAnsi" w:cstheme="majorBidi"/>
          <w:b/>
          <w:bCs/>
          <w:sz w:val="32"/>
          <w:szCs w:val="28"/>
        </w:rPr>
      </w:pPr>
      <w:r>
        <w:br w:type="page"/>
      </w:r>
    </w:p>
    <w:p w14:paraId="63B36C03" w14:textId="77777777" w:rsidR="00DC1B5A" w:rsidRPr="00E86AA7" w:rsidRDefault="00DC1B5A" w:rsidP="00E86AA7">
      <w:pPr>
        <w:pStyle w:val="Heading1"/>
      </w:pPr>
      <w:r w:rsidRPr="00E86AA7">
        <w:lastRenderedPageBreak/>
        <w:t xml:space="preserve">Public health response measures </w:t>
      </w:r>
    </w:p>
    <w:p w14:paraId="7543ABB1" w14:textId="77777777" w:rsidR="00DC1B5A" w:rsidRDefault="00DC1B5A" w:rsidP="00E86AA7">
      <w:r>
        <w:t xml:space="preserve">Since COVID-19 first emerged internationally, Australia has implemented public health measures informed by the disease’s epidemiology (Figure 8). Key aspects of Australia’s evolving public health response are summarised in previous reports. On Friday 8 May, the Australian Government announced a three-step framework for easing COVID-19 restrictions, with states and territories easing restrictions at their own pace depending on the current public health situation and local epidemiology. During this reporting </w:t>
      </w:r>
      <w:r w:rsidR="001E5AFE">
        <w:t>fortnight</w:t>
      </w:r>
      <w:r>
        <w:t>, most states and territories have completed moving through the three-step framework for easing restrictions (see Table 6).</w:t>
      </w:r>
    </w:p>
    <w:p w14:paraId="401EA820" w14:textId="77777777" w:rsidR="00DC1B5A" w:rsidRDefault="00DC1B5A" w:rsidP="00E86AA7">
      <w:pPr>
        <w:pStyle w:val="CDIFigures"/>
      </w:pPr>
      <w:r>
        <w:t>Table 6: State and territory changes to COVID-19 restrictions, from 6 to 19 July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summarises measures for easing COVID-19 restrictions, applied during the current reporting fortnight, for Australian states and territories.&#10;"/>
      </w:tblPr>
      <w:tblGrid>
        <w:gridCol w:w="2694"/>
        <w:gridCol w:w="7772"/>
      </w:tblGrid>
      <w:tr w:rsidR="00814CD3" w:rsidRPr="00814CD3" w14:paraId="4D620A26" w14:textId="77777777" w:rsidTr="0022167F">
        <w:trPr>
          <w:cnfStyle w:val="100000000000" w:firstRow="1" w:lastRow="0" w:firstColumn="0" w:lastColumn="0" w:oddVBand="0" w:evenVBand="0" w:oddHBand="0" w:evenHBand="0" w:firstRowFirstColumn="0" w:firstRowLastColumn="0" w:lastRowFirstColumn="0" w:lastRowLastColumn="0"/>
          <w:tblHeader/>
        </w:trPr>
        <w:tc>
          <w:tcPr>
            <w:tcW w:w="2694" w:type="dxa"/>
            <w:hideMark/>
          </w:tcPr>
          <w:p w14:paraId="7324B328" w14:textId="77777777" w:rsidR="00DC1B5A" w:rsidRPr="00814CD3" w:rsidRDefault="00DC1B5A">
            <w:pPr>
              <w:pStyle w:val="NormalWeb"/>
              <w:rPr>
                <w:color w:val="FFFFFF" w:themeColor="background1"/>
              </w:rPr>
            </w:pPr>
            <w:r w:rsidRPr="00814CD3">
              <w:rPr>
                <w:color w:val="FFFFFF" w:themeColor="background1"/>
              </w:rPr>
              <w:t>Jurisdiction</w:t>
            </w:r>
          </w:p>
        </w:tc>
        <w:tc>
          <w:tcPr>
            <w:tcW w:w="7772" w:type="dxa"/>
            <w:hideMark/>
          </w:tcPr>
          <w:p w14:paraId="61F9F612" w14:textId="77777777" w:rsidR="00DC1B5A" w:rsidRPr="00814CD3" w:rsidRDefault="00DC1B5A">
            <w:pPr>
              <w:pStyle w:val="NormalWeb"/>
              <w:rPr>
                <w:color w:val="FFFFFF" w:themeColor="background1"/>
              </w:rPr>
            </w:pPr>
            <w:r w:rsidRPr="00814CD3">
              <w:rPr>
                <w:color w:val="FFFFFF" w:themeColor="background1"/>
                <w:lang w:val="en-US"/>
              </w:rPr>
              <w:t>Summary of changes to COVID-19 restrictions</w:t>
            </w:r>
          </w:p>
        </w:tc>
      </w:tr>
      <w:tr w:rsidR="00DC1B5A" w14:paraId="416DFD23" w14:textId="77777777" w:rsidTr="0022167F">
        <w:tc>
          <w:tcPr>
            <w:tcW w:w="2694" w:type="dxa"/>
            <w:hideMark/>
          </w:tcPr>
          <w:p w14:paraId="452C2613" w14:textId="77777777" w:rsidR="00DC1B5A" w:rsidRDefault="00DC1B5A">
            <w:pPr>
              <w:pStyle w:val="NormalWeb"/>
            </w:pPr>
            <w:r>
              <w:t>New South Wales</w:t>
            </w:r>
          </w:p>
        </w:tc>
        <w:tc>
          <w:tcPr>
            <w:tcW w:w="7772" w:type="dxa"/>
            <w:hideMark/>
          </w:tcPr>
          <w:p w14:paraId="49BD91AD" w14:textId="77777777" w:rsidR="00DC1B5A" w:rsidRDefault="00DC1B5A">
            <w:pPr>
              <w:pStyle w:val="NormalWeb"/>
            </w:pPr>
            <w:r>
              <w:t>From 8 July, the border between New South Wales and Victoria was closed to non-essential travellers.</w:t>
            </w:r>
            <w:r w:rsidRPr="00AC27DE">
              <w:rPr>
                <w:vertAlign w:val="superscript"/>
                <w:lang w:val="en-US"/>
              </w:rPr>
              <w:t>6</w:t>
            </w:r>
          </w:p>
          <w:p w14:paraId="088A6D79" w14:textId="77777777" w:rsidR="00DC1B5A" w:rsidRDefault="00DC1B5A">
            <w:pPr>
              <w:pStyle w:val="NormalWeb"/>
            </w:pPr>
            <w:r>
              <w:rPr>
                <w:lang w:val="en-US"/>
              </w:rPr>
              <w:t>From 14 July the following restrictions were implemented:</w:t>
            </w:r>
            <w:r w:rsidRPr="00AC27DE">
              <w:rPr>
                <w:vertAlign w:val="superscript"/>
                <w:lang w:val="en-US"/>
              </w:rPr>
              <w:t>7</w:t>
            </w:r>
          </w:p>
          <w:p w14:paraId="41966358" w14:textId="77777777" w:rsidR="00DC1B5A" w:rsidRDefault="00DC1B5A">
            <w:pPr>
              <w:pStyle w:val="NormalWeb"/>
            </w:pPr>
            <w:r>
              <w:t>Pubs restricted to a maximum of 10 per group with alcohol only permitted for seated customers</w:t>
            </w:r>
          </w:p>
        </w:tc>
      </w:tr>
      <w:tr w:rsidR="00DC1B5A" w14:paraId="78ECCA18" w14:textId="77777777" w:rsidTr="0022167F">
        <w:trPr>
          <w:cnfStyle w:val="000000010000" w:firstRow="0" w:lastRow="0" w:firstColumn="0" w:lastColumn="0" w:oddVBand="0" w:evenVBand="0" w:oddHBand="0" w:evenHBand="1" w:firstRowFirstColumn="0" w:firstRowLastColumn="0" w:lastRowFirstColumn="0" w:lastRowLastColumn="0"/>
        </w:trPr>
        <w:tc>
          <w:tcPr>
            <w:tcW w:w="2694" w:type="dxa"/>
            <w:hideMark/>
          </w:tcPr>
          <w:p w14:paraId="3394FD36" w14:textId="77777777" w:rsidR="00DC1B5A" w:rsidRDefault="00DC1B5A">
            <w:pPr>
              <w:pStyle w:val="NormalWeb"/>
            </w:pPr>
            <w:r>
              <w:t>Victoria</w:t>
            </w:r>
          </w:p>
        </w:tc>
        <w:tc>
          <w:tcPr>
            <w:tcW w:w="7772" w:type="dxa"/>
            <w:hideMark/>
          </w:tcPr>
          <w:p w14:paraId="75C2BDC1" w14:textId="77777777" w:rsidR="00DC1B5A" w:rsidRDefault="00DC1B5A">
            <w:pPr>
              <w:pStyle w:val="NormalWeb"/>
            </w:pPr>
            <w:r>
              <w:t>From 8 July the following restrictions were implemented:</w:t>
            </w:r>
            <w:r>
              <w:rPr>
                <w:lang w:val="en-US"/>
              </w:rPr>
              <w:t>8</w:t>
            </w:r>
          </w:p>
          <w:p w14:paraId="4AF69DB5" w14:textId="77777777" w:rsidR="00DC1B5A" w:rsidRDefault="00DC1B5A">
            <w:pPr>
              <w:pStyle w:val="NormalWeb"/>
            </w:pPr>
            <w:r>
              <w:t>Stay at home orders in place for residents of metropolitan Melbourne and Mitchell Shire</w:t>
            </w:r>
          </w:p>
          <w:p w14:paraId="720D07AF" w14:textId="77777777" w:rsidR="00DC1B5A" w:rsidRDefault="00DC1B5A">
            <w:pPr>
              <w:pStyle w:val="NormalWeb"/>
            </w:pPr>
            <w:r>
              <w:t>Non-essential businesses required to close including pubs, bars, clubs, nightclubs, hotels, physical recreation facilities and entertainment facilities</w:t>
            </w:r>
          </w:p>
        </w:tc>
      </w:tr>
      <w:tr w:rsidR="00DC1B5A" w14:paraId="77477D88" w14:textId="77777777" w:rsidTr="0022167F">
        <w:tc>
          <w:tcPr>
            <w:tcW w:w="2694" w:type="dxa"/>
            <w:hideMark/>
          </w:tcPr>
          <w:p w14:paraId="2F11EEEF" w14:textId="77777777" w:rsidR="00DC1B5A" w:rsidRDefault="00DC1B5A">
            <w:pPr>
              <w:pStyle w:val="NormalWeb"/>
            </w:pPr>
            <w:r>
              <w:t>Queensland</w:t>
            </w:r>
          </w:p>
        </w:tc>
        <w:tc>
          <w:tcPr>
            <w:tcW w:w="7772" w:type="dxa"/>
            <w:hideMark/>
          </w:tcPr>
          <w:p w14:paraId="5E08162C" w14:textId="77777777" w:rsidR="00DC1B5A" w:rsidRDefault="00DC1B5A">
            <w:pPr>
              <w:pStyle w:val="NormalWeb"/>
            </w:pPr>
            <w:r>
              <w:t>From 10 July the Queensland border reopened to persons travelling from New South Wales, Western Australia, South Australia, Tasmania, the Australian Capital Territory and the Northern Territory. Persons from COVID-19 hotspots including Victoria are restricted from entry.</w:t>
            </w:r>
            <w:r w:rsidRPr="00AC27DE">
              <w:rPr>
                <w:vertAlign w:val="superscript"/>
              </w:rPr>
              <w:t>9</w:t>
            </w:r>
          </w:p>
        </w:tc>
      </w:tr>
      <w:tr w:rsidR="00DC1B5A" w14:paraId="646877B2" w14:textId="77777777" w:rsidTr="0022167F">
        <w:trPr>
          <w:cnfStyle w:val="000000010000" w:firstRow="0" w:lastRow="0" w:firstColumn="0" w:lastColumn="0" w:oddVBand="0" w:evenVBand="0" w:oddHBand="0" w:evenHBand="1" w:firstRowFirstColumn="0" w:firstRowLastColumn="0" w:lastRowFirstColumn="0" w:lastRowLastColumn="0"/>
        </w:trPr>
        <w:tc>
          <w:tcPr>
            <w:tcW w:w="2694" w:type="dxa"/>
            <w:hideMark/>
          </w:tcPr>
          <w:p w14:paraId="0CA7CBA9" w14:textId="77777777" w:rsidR="00DC1B5A" w:rsidRDefault="00DC1B5A">
            <w:pPr>
              <w:pStyle w:val="NormalWeb"/>
            </w:pPr>
            <w:r>
              <w:t>Western Australia</w:t>
            </w:r>
          </w:p>
        </w:tc>
        <w:tc>
          <w:tcPr>
            <w:tcW w:w="7772" w:type="dxa"/>
            <w:hideMark/>
          </w:tcPr>
          <w:p w14:paraId="1C3CD29C" w14:textId="77777777" w:rsidR="00DC1B5A" w:rsidRDefault="00DC1B5A">
            <w:pPr>
              <w:pStyle w:val="NormalWeb"/>
            </w:pPr>
            <w:r>
              <w:t>No further easing of restrictions has occurred during this reporting period.</w:t>
            </w:r>
            <w:r w:rsidRPr="00AC27DE">
              <w:rPr>
                <w:vertAlign w:val="superscript"/>
                <w:lang w:val="en-US"/>
              </w:rPr>
              <w:t>10</w:t>
            </w:r>
          </w:p>
        </w:tc>
      </w:tr>
      <w:tr w:rsidR="00DC1B5A" w14:paraId="1BBD977D" w14:textId="77777777" w:rsidTr="0022167F">
        <w:tc>
          <w:tcPr>
            <w:tcW w:w="2694" w:type="dxa"/>
            <w:hideMark/>
          </w:tcPr>
          <w:p w14:paraId="16C4DD61" w14:textId="77777777" w:rsidR="00DC1B5A" w:rsidRDefault="00DC1B5A">
            <w:pPr>
              <w:pStyle w:val="NormalWeb"/>
            </w:pPr>
            <w:r>
              <w:t>South Australia</w:t>
            </w:r>
          </w:p>
        </w:tc>
        <w:tc>
          <w:tcPr>
            <w:tcW w:w="7772" w:type="dxa"/>
            <w:hideMark/>
          </w:tcPr>
          <w:p w14:paraId="196D936E" w14:textId="77777777" w:rsidR="00DC1B5A" w:rsidRDefault="00DC1B5A">
            <w:pPr>
              <w:pStyle w:val="NormalWeb"/>
            </w:pPr>
            <w:r>
              <w:t>No further easing of restrictions has occurred during this reporting period.</w:t>
            </w:r>
            <w:r w:rsidRPr="00AC27DE">
              <w:rPr>
                <w:vertAlign w:val="superscript"/>
                <w:lang w:val="en-US"/>
              </w:rPr>
              <w:t>11,12</w:t>
            </w:r>
          </w:p>
        </w:tc>
      </w:tr>
      <w:tr w:rsidR="00DC1B5A" w14:paraId="6C122374" w14:textId="77777777" w:rsidTr="0022167F">
        <w:trPr>
          <w:cnfStyle w:val="000000010000" w:firstRow="0" w:lastRow="0" w:firstColumn="0" w:lastColumn="0" w:oddVBand="0" w:evenVBand="0" w:oddHBand="0" w:evenHBand="1" w:firstRowFirstColumn="0" w:firstRowLastColumn="0" w:lastRowFirstColumn="0" w:lastRowLastColumn="0"/>
        </w:trPr>
        <w:tc>
          <w:tcPr>
            <w:tcW w:w="2694" w:type="dxa"/>
            <w:hideMark/>
          </w:tcPr>
          <w:p w14:paraId="5369568C" w14:textId="77777777" w:rsidR="00DC1B5A" w:rsidRDefault="00DC1B5A">
            <w:pPr>
              <w:pStyle w:val="NormalWeb"/>
            </w:pPr>
            <w:r>
              <w:t>Tasmania</w:t>
            </w:r>
          </w:p>
        </w:tc>
        <w:tc>
          <w:tcPr>
            <w:tcW w:w="7772" w:type="dxa"/>
            <w:hideMark/>
          </w:tcPr>
          <w:p w14:paraId="0B2A2549" w14:textId="77777777" w:rsidR="00DC1B5A" w:rsidRDefault="00DC1B5A">
            <w:pPr>
              <w:pStyle w:val="NormalWeb"/>
            </w:pPr>
            <w:r>
              <w:t>From 9 July the following additional border measures were implemented:</w:t>
            </w:r>
            <w:r w:rsidRPr="00AC27DE">
              <w:rPr>
                <w:vertAlign w:val="superscript"/>
                <w:lang w:val="en-US"/>
              </w:rPr>
              <w:t>13</w:t>
            </w:r>
          </w:p>
          <w:p w14:paraId="6AE50EA0" w14:textId="77777777" w:rsidR="00DC1B5A" w:rsidRDefault="00DC1B5A">
            <w:pPr>
              <w:pStyle w:val="NormalWeb"/>
            </w:pPr>
            <w:r>
              <w:t>Any visitor who has spent time in Victoria in the prior 14 days is not permitted to travel to Tasmania</w:t>
            </w:r>
          </w:p>
          <w:p w14:paraId="706EF74C" w14:textId="77777777" w:rsidR="00DC1B5A" w:rsidRDefault="00DC1B5A">
            <w:pPr>
              <w:pStyle w:val="NormalWeb"/>
            </w:pPr>
            <w:r>
              <w:t>Tasmanian residents travelling from Victoria required to quarantine for 14 days in government provided accommodation</w:t>
            </w:r>
          </w:p>
        </w:tc>
      </w:tr>
      <w:tr w:rsidR="00DC1B5A" w14:paraId="7ACF0BFE" w14:textId="77777777" w:rsidTr="0022167F">
        <w:tc>
          <w:tcPr>
            <w:tcW w:w="2694" w:type="dxa"/>
            <w:hideMark/>
          </w:tcPr>
          <w:p w14:paraId="0EE71B4B" w14:textId="77777777" w:rsidR="00DC1B5A" w:rsidRDefault="00DC1B5A">
            <w:pPr>
              <w:pStyle w:val="NormalWeb"/>
            </w:pPr>
            <w:r>
              <w:t>Australian Capital Territory</w:t>
            </w:r>
          </w:p>
        </w:tc>
        <w:tc>
          <w:tcPr>
            <w:tcW w:w="7772" w:type="dxa"/>
            <w:hideMark/>
          </w:tcPr>
          <w:p w14:paraId="530ED35A" w14:textId="77777777" w:rsidR="00DC1B5A" w:rsidRDefault="00DC1B5A">
            <w:pPr>
              <w:pStyle w:val="NormalWeb"/>
            </w:pPr>
            <w:r>
              <w:t>No further easing of restrictions has occurred during this reporting period.</w:t>
            </w:r>
            <w:r w:rsidRPr="00AC27DE">
              <w:rPr>
                <w:vertAlign w:val="superscript"/>
                <w:lang w:val="en-US"/>
              </w:rPr>
              <w:t>14</w:t>
            </w:r>
          </w:p>
        </w:tc>
      </w:tr>
      <w:tr w:rsidR="00DC1B5A" w14:paraId="52C18E5B" w14:textId="77777777" w:rsidTr="0022167F">
        <w:trPr>
          <w:cnfStyle w:val="000000010000" w:firstRow="0" w:lastRow="0" w:firstColumn="0" w:lastColumn="0" w:oddVBand="0" w:evenVBand="0" w:oddHBand="0" w:evenHBand="1" w:firstRowFirstColumn="0" w:firstRowLastColumn="0" w:lastRowFirstColumn="0" w:lastRowLastColumn="0"/>
        </w:trPr>
        <w:tc>
          <w:tcPr>
            <w:tcW w:w="2694" w:type="dxa"/>
            <w:hideMark/>
          </w:tcPr>
          <w:p w14:paraId="740C097B" w14:textId="77777777" w:rsidR="00DC1B5A" w:rsidRDefault="00DC1B5A">
            <w:pPr>
              <w:pStyle w:val="NormalWeb"/>
            </w:pPr>
            <w:r>
              <w:t>Northern Territory</w:t>
            </w:r>
          </w:p>
        </w:tc>
        <w:tc>
          <w:tcPr>
            <w:tcW w:w="7772" w:type="dxa"/>
            <w:hideMark/>
          </w:tcPr>
          <w:p w14:paraId="0CD4976B" w14:textId="77777777" w:rsidR="00DC1B5A" w:rsidRDefault="00DC1B5A">
            <w:pPr>
              <w:pStyle w:val="NormalWeb"/>
            </w:pPr>
            <w:r>
              <w:t>From 17 July interstate arrivals who are not from a declared hotspot no longer required to self-quarantine. Travellers from declared hotspots continue to need to self-quarantine upon entry.</w:t>
            </w:r>
            <w:r w:rsidRPr="00AC27DE">
              <w:rPr>
                <w:vertAlign w:val="superscript"/>
                <w:lang w:val="en-US"/>
              </w:rPr>
              <w:t>15</w:t>
            </w:r>
          </w:p>
        </w:tc>
      </w:tr>
    </w:tbl>
    <w:p w14:paraId="667F1285" w14:textId="77777777" w:rsidR="00D162EA" w:rsidRDefault="00D162EA" w:rsidP="00D162EA">
      <w:pPr>
        <w:pStyle w:val="CDIFigures"/>
        <w:sectPr w:rsidR="00D162EA" w:rsidSect="00A30C37">
          <w:pgSz w:w="11906" w:h="16838"/>
          <w:pgMar w:top="720" w:right="720" w:bottom="1134" w:left="720" w:header="709" w:footer="284" w:gutter="0"/>
          <w:cols w:space="708"/>
          <w:titlePg/>
          <w:docGrid w:linePitch="360"/>
        </w:sectPr>
      </w:pPr>
    </w:p>
    <w:p w14:paraId="33F673E0" w14:textId="77777777" w:rsidR="00DC1B5A" w:rsidRDefault="00DC1B5A" w:rsidP="00D162EA">
      <w:pPr>
        <w:pStyle w:val="CDIFigures"/>
      </w:pPr>
      <w:r>
        <w:lastRenderedPageBreak/>
        <w:t>Figure 8: COVID-19 notifications in Australia by date of illness onset, to 19 July 2020 with timing of key public health measures</w:t>
      </w:r>
    </w:p>
    <w:p w14:paraId="10C82002" w14:textId="77777777" w:rsidR="00DC1B5A" w:rsidRDefault="00DC1B5A">
      <w:pPr>
        <w:rPr>
          <w:rFonts w:eastAsia="Times New Roman"/>
        </w:rPr>
      </w:pPr>
      <w:r>
        <w:rPr>
          <w:rFonts w:eastAsia="Times New Roman"/>
          <w:noProof/>
        </w:rPr>
        <w:drawing>
          <wp:inline distT="0" distB="0" distL="0" distR="0" wp14:anchorId="2BBB033D" wp14:editId="374F9DE4">
            <wp:extent cx="9456708" cy="5234794"/>
            <wp:effectExtent l="0" t="0" r="0" b="4445"/>
            <wp:docPr id="9" name="Picture 9" descr="Bar chart showing COVID-19 notifications by date of illness onset and jurisdiction, for cases reported to NNDSS. Notifications for the cases shown have onset dates ranging from 13 January 2020 to 19 July 2020. The chart also highlights the timing of key public health measures such as quarantine and self-isolation advice and restrictions on gatherings 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r chart showing COVID-19 notifications by date of illness onset and jurisdiction, for cases reported to NNDSS. Notifications for the cases shown have onset dates ranging from 13 January 2020 to 19 July 2020. The chart also highlights the timing of key public health measures such as quarantine and self-isolation advice and restrictions on gatherings and travel."/>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461111" cy="5237231"/>
                    </a:xfrm>
                    <a:prstGeom prst="rect">
                      <a:avLst/>
                    </a:prstGeom>
                  </pic:spPr>
                </pic:pic>
              </a:graphicData>
            </a:graphic>
          </wp:inline>
        </w:drawing>
      </w:r>
    </w:p>
    <w:p w14:paraId="6880B914" w14:textId="77777777" w:rsidR="00D162EA" w:rsidRDefault="00D162EA" w:rsidP="00E86AA7">
      <w:pPr>
        <w:sectPr w:rsidR="00D162EA" w:rsidSect="00D162EA">
          <w:pgSz w:w="16838" w:h="11906" w:orient="landscape"/>
          <w:pgMar w:top="720" w:right="720" w:bottom="720" w:left="1134" w:header="709" w:footer="284" w:gutter="0"/>
          <w:cols w:space="708"/>
          <w:titlePg/>
          <w:docGrid w:linePitch="360"/>
        </w:sectPr>
      </w:pPr>
    </w:p>
    <w:p w14:paraId="2D4911A1" w14:textId="77777777" w:rsidR="00DC1B5A" w:rsidRDefault="00DC1B5A" w:rsidP="00E86AA7">
      <w:r>
        <w:lastRenderedPageBreak/>
        <w:t>During the current reporting period, due to the evolving epidemiological and public health situation in Victoria and New South Wales, both states have re-implemented some restrictions. In Victoria, residents of greater Melbourne and Mitchell Shire have been subject to a stay-at-home order since 8 July, also referred to as a ‘stage 3’ lockdown.</w:t>
      </w:r>
      <w:r>
        <w:rPr>
          <w:vertAlign w:val="superscript"/>
        </w:rPr>
        <w:t>16</w:t>
      </w:r>
      <w:r>
        <w:t xml:space="preserve"> Residents are only permitted to leave their home for: shopping for food or essential items; providing care or seeking medical treatment; exercise; or work or study if they cannot work from home.</w:t>
      </w:r>
      <w:r>
        <w:rPr>
          <w:vertAlign w:val="superscript"/>
        </w:rPr>
        <w:t>16</w:t>
      </w:r>
      <w:r>
        <w:t xml:space="preserve"> Residents of regional and remote Victoria have continued to abide by restrictions as adjusted on 22 June,</w:t>
      </w:r>
      <w:r>
        <w:rPr>
          <w:vertAlign w:val="superscript"/>
        </w:rPr>
        <w:t>17</w:t>
      </w:r>
      <w:r>
        <w:t xml:space="preserve"> and have not been subject to additional restrictions. On 8 July, the border between New South Wales and Victoria was closed to non-essential travellers. In New South Wales from 14 July, restrictions on pubs were implemented to reduce the size of groups gathering.</w:t>
      </w:r>
    </w:p>
    <w:p w14:paraId="67360D66" w14:textId="77777777" w:rsidR="00DC1B5A" w:rsidRDefault="00DC1B5A" w:rsidP="00E86AA7">
      <w:r>
        <w:t>During this reporting period, there has been a significant increase in the number of reported cases in Victoria. As a result, from 1 July Victoria implemented targeted lockdowns in suburbs with high case numbers. Residents in selected postcodes in Melbourne are now only permitted to leave their homes for essential reasons (school, work, exercise, shopping for food and supplies, or care and caregiving). In addition, on 6 July it was announced that from 7 July, residents from the Greater Melbourne area would not be permitted to enter New South Wales, and from 8 July the border between Victoria and New South Wales would close. While other states and territories have continued to ease restrictions, most states and territories have announced that people travelling from Victoria will be subject to a 14-day quarantine after domestic border restrictions are eased.</w:t>
      </w:r>
    </w:p>
    <w:p w14:paraId="1FACFFF0" w14:textId="77777777" w:rsidR="00DC1B5A" w:rsidRPr="00E86AA7" w:rsidRDefault="00DC1B5A" w:rsidP="00E86AA7">
      <w:pPr>
        <w:pStyle w:val="Heading1"/>
      </w:pPr>
      <w:r w:rsidRPr="00E86AA7">
        <w:t xml:space="preserve">International situation </w:t>
      </w:r>
    </w:p>
    <w:p w14:paraId="4AE353A8" w14:textId="77777777" w:rsidR="00DC1B5A" w:rsidRDefault="00DC1B5A" w:rsidP="00E86AA7">
      <w:r>
        <w:t>On 19 July 2020, more than 216 countries, regions and areas had reported 14,043,176 COVID-19 cases and 597,583 deaths to WHO.</w:t>
      </w:r>
      <w:r>
        <w:rPr>
          <w:vertAlign w:val="superscript"/>
        </w:rPr>
        <w:t>18</w:t>
      </w:r>
      <w:r>
        <w:t xml:space="preserve"> All data are drawn from the WHO unless otherwise specified. The Americas and Europe continue to be the epicentres of the pandemic with the former representing approximately 53% of cumulative cases and 51% of cumulative deaths, and the latter representing 22% of cases and 35% of deaths. The global case fatality rate (CFR) is approximately 4.3%. The global cumulative rates are 182.8 cases and 7.8 deaths per 100,000 population. </w:t>
      </w:r>
    </w:p>
    <w:p w14:paraId="0E0D3A16" w14:textId="77777777" w:rsidR="00DC1B5A" w:rsidRPr="00E86AA7" w:rsidRDefault="00DC1B5A" w:rsidP="00E86AA7">
      <w:pPr>
        <w:pStyle w:val="ListParagraph"/>
        <w:numPr>
          <w:ilvl w:val="0"/>
          <w:numId w:val="11"/>
        </w:numPr>
        <w:rPr>
          <w:rFonts w:eastAsia="Times New Roman"/>
        </w:rPr>
      </w:pPr>
      <w:r w:rsidRPr="00E86AA7">
        <w:rPr>
          <w:rFonts w:eastAsia="Times New Roman"/>
        </w:rPr>
        <w:t xml:space="preserve">By country, the largest numbers of </w:t>
      </w:r>
      <w:r w:rsidR="001E5AFE">
        <w:rPr>
          <w:rFonts w:eastAsia="Times New Roman"/>
        </w:rPr>
        <w:t xml:space="preserve">cumulative </w:t>
      </w:r>
      <w:r w:rsidRPr="00E86AA7">
        <w:rPr>
          <w:rFonts w:eastAsia="Times New Roman"/>
        </w:rPr>
        <w:t xml:space="preserve">cases are from: the United States of America (3,544,143); Brazil (2,012,151); and India (1,038,716). </w:t>
      </w:r>
    </w:p>
    <w:p w14:paraId="2C7A209B" w14:textId="77777777" w:rsidR="00DC1B5A" w:rsidRPr="00E86AA7" w:rsidRDefault="00DC1B5A" w:rsidP="00E86AA7">
      <w:pPr>
        <w:pStyle w:val="ListParagraph"/>
        <w:numPr>
          <w:ilvl w:val="0"/>
          <w:numId w:val="11"/>
        </w:numPr>
        <w:rPr>
          <w:rFonts w:eastAsia="Times New Roman"/>
        </w:rPr>
      </w:pPr>
      <w:r w:rsidRPr="00E86AA7">
        <w:rPr>
          <w:rFonts w:eastAsia="Times New Roman"/>
        </w:rPr>
        <w:t xml:space="preserve">By country, the largest numbers of </w:t>
      </w:r>
      <w:r w:rsidR="001E5AFE">
        <w:rPr>
          <w:rFonts w:eastAsia="Times New Roman"/>
        </w:rPr>
        <w:t xml:space="preserve">cumulative </w:t>
      </w:r>
      <w:r w:rsidRPr="00E86AA7">
        <w:rPr>
          <w:rFonts w:eastAsia="Times New Roman"/>
        </w:rPr>
        <w:t xml:space="preserve">deaths are from: the United States of America (137,674); Brazil (76,688); and the United Kingdom (45,233). </w:t>
      </w:r>
    </w:p>
    <w:p w14:paraId="6441A024" w14:textId="77777777" w:rsidR="00DC1B5A" w:rsidRDefault="00DC1B5A" w:rsidP="00E86AA7">
      <w:r>
        <w:t>In the previous fortnight</w:t>
      </w:r>
      <w:r w:rsidR="001E5AFE">
        <w:t>,</w:t>
      </w:r>
      <w:r>
        <w:t xml:space="preserve"> the largest numbers of cases have been reported by the Americas (59%) and the South East Asia (16%) regions, led predominantly by the countries highlighted above. South Africa, the Russian Federation, Mexico and Colombia also comprise a large proportion of new cases recorded in the previous fortnight, with each accounting for over 2% of the total cases reported. </w:t>
      </w:r>
    </w:p>
    <w:p w14:paraId="44A96A02" w14:textId="77777777" w:rsidR="00DC1B5A" w:rsidRPr="00E86AA7" w:rsidRDefault="00DC1B5A" w:rsidP="00E86AA7">
      <w:pPr>
        <w:pStyle w:val="Heading2"/>
      </w:pPr>
      <w:r w:rsidRPr="00E86AA7">
        <w:t xml:space="preserve">Western Pacific Region </w:t>
      </w:r>
    </w:p>
    <w:p w14:paraId="32549BE7" w14:textId="77777777" w:rsidR="00DC1B5A" w:rsidRDefault="00DC1B5A" w:rsidP="00E86AA7">
      <w:r>
        <w:t xml:space="preserve">To date, the Western Pacific Region is the least affected on the globe, reporting the lowest number of COVID-19 cases and deaths. The cumulative number of cases in the region stands at approximately 260,000, with approximately 35,000 new cases reported in the previous fortnight (16% increase). This represents 1.2% of the global total number of new cases reported in the period. Cumulatively, the Western Pacific region accounts for 1.9% of all cases globally and 1.3% of all deaths. This region has so far reported a cumulative rate of 13.6 cases per 100,000 people and a mortality rate of 0.4 deaths per 100,000 population, which is low when compared to the global rates. </w:t>
      </w:r>
    </w:p>
    <w:p w14:paraId="72EDCA33" w14:textId="77777777" w:rsidR="00DC1B5A" w:rsidRDefault="00DC1B5A" w:rsidP="00E86AA7">
      <w:r>
        <w:t xml:space="preserve">The majority of the cases in the region are observed in China, the Philippines and Singapore. </w:t>
      </w:r>
      <w:r w:rsidR="008D0D9C">
        <w:t xml:space="preserve">Their epidemic trajectories are shown in Figure 9. </w:t>
      </w:r>
      <w:r>
        <w:t>In the past fortnight, the greatest numbers of new cases have been observed in the Philippines (65%), Japan (14%) and Singapore (9%). Three countries/territories (Brunei Darussalam, Lao People’s Democratic Republic and French Polynesia) did not report any new cases in the previous fortnight.</w:t>
      </w:r>
    </w:p>
    <w:p w14:paraId="27730C34" w14:textId="77777777" w:rsidR="00DC1B5A" w:rsidRDefault="00DC1B5A" w:rsidP="00E86AA7">
      <w:pPr>
        <w:pStyle w:val="CDIFigures"/>
      </w:pPr>
      <w:r>
        <w:lastRenderedPageBreak/>
        <w:t xml:space="preserve">Figure 9: Number of COVID-19 cases (logarithmic scale) by selected country and days since passing 100 cases, up to </w:t>
      </w:r>
      <w:r w:rsidR="00C0068A">
        <w:t>19</w:t>
      </w:r>
      <w:r>
        <w:t xml:space="preserve"> </w:t>
      </w:r>
      <w:r w:rsidR="004A0553">
        <w:t>July</w:t>
      </w:r>
      <w:r>
        <w:t xml:space="preserve"> 2020</w:t>
      </w:r>
    </w:p>
    <w:p w14:paraId="03A7DC2B" w14:textId="77777777" w:rsidR="00DC1B5A" w:rsidRDefault="00DC1B5A">
      <w:pPr>
        <w:rPr>
          <w:rFonts w:eastAsia="Times New Roman"/>
        </w:rPr>
      </w:pPr>
      <w:r>
        <w:rPr>
          <w:rFonts w:eastAsia="Times New Roman"/>
          <w:noProof/>
        </w:rPr>
        <w:drawing>
          <wp:inline distT="0" distB="0" distL="0" distR="0" wp14:anchorId="407802F1">
            <wp:extent cx="6629400" cy="4948273"/>
            <wp:effectExtent l="0" t="0" r="0" b="5080"/>
            <wp:docPr id="10" name="Picture 10" descr="Line graph comparing the growth in number of COVID-19 cases, from the ‘starting point’ of 100 cases in each country, for Australia and several other countries in the Western Pacific and South East Asia Regions (China, Singapore, the Philippines, India, Bangladesh, and Indonesia). The highest sustained growth in cases among these countries has occurred in India, though recent growth in Bangladesh and Indonesia is also high. While case numbers in Australia are currently increasing, the extent of the outbreak remains substantially less than that seen in the other countries surveyed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ne graph comparing the growth in number of COVID-19 cases, from the ‘starting point’ of 100 cases in each country, for Australia and several other countries in the Western Pacific and South East Asia Regions (China, Singapore, the Philippines, India, Bangladesh, and Indonesia). The highest sustained growth in cases among these countries has occurred in India, though recent growth in Bangladesh and Indonesia is also high. While case numbers in Australia are currently increasing, the extent of the outbreak remains substantially less than that seen in the other countries surveyed her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634286" cy="4951920"/>
                    </a:xfrm>
                    <a:prstGeom prst="rect">
                      <a:avLst/>
                    </a:prstGeom>
                  </pic:spPr>
                </pic:pic>
              </a:graphicData>
            </a:graphic>
          </wp:inline>
        </w:drawing>
      </w:r>
    </w:p>
    <w:p w14:paraId="59B616B7" w14:textId="77777777" w:rsidR="00DC1B5A" w:rsidRDefault="00DC1B5A" w:rsidP="00E86AA7">
      <w:r>
        <w:t xml:space="preserve">In the past month, several countries in the region which have passed their initial peak are now attributing a large proportion of their new cases to clusters. According to media reports, an outbreak in north western China in the cities of Urumqi and </w:t>
      </w:r>
      <w:proofErr w:type="spellStart"/>
      <w:r>
        <w:t>Kashgar</w:t>
      </w:r>
      <w:proofErr w:type="spellEnd"/>
      <w:r>
        <w:t xml:space="preserve"> has led to the re-implementation of restrictions including travel bans, mass health screening and a cessation of group activities.</w:t>
      </w:r>
      <w:r>
        <w:rPr>
          <w:vertAlign w:val="superscript"/>
        </w:rPr>
        <w:t>19</w:t>
      </w:r>
      <w:r>
        <w:t xml:space="preserve"> In Singapore, the outbreak in migrant workers living in dormitories continues. Though the rate of new infections has slowed, there continues to be a high proportion of new cases occurring in this population group.</w:t>
      </w:r>
      <w:r>
        <w:rPr>
          <w:vertAlign w:val="superscript"/>
        </w:rPr>
        <w:t xml:space="preserve">20 </w:t>
      </w:r>
    </w:p>
    <w:p w14:paraId="3992540E" w14:textId="77777777" w:rsidR="00DC1B5A" w:rsidRPr="00E86AA7" w:rsidRDefault="00DC1B5A" w:rsidP="00E86AA7">
      <w:pPr>
        <w:pStyle w:val="Heading2"/>
      </w:pPr>
      <w:r w:rsidRPr="00E86AA7">
        <w:t xml:space="preserve">South East Asia Region </w:t>
      </w:r>
    </w:p>
    <w:p w14:paraId="3DAF744E" w14:textId="77777777" w:rsidR="00DC1B5A" w:rsidRDefault="00DC1B5A" w:rsidP="00E86AA7">
      <w:r>
        <w:t xml:space="preserve">In this fortnight, the South East Asia Region has seen a large growth in new case numbers. Cumulatively the region reports approximately 1.39 million cases and 33,500 deaths, with approximately 459,000 cases reported in the last fortnight (52% increase). The region accounts for 9.7% of global cumulative cases and 5.5% of global cumulative deaths. Regionally, the per capita burden of disease is relatively low, compared to the global rates, at 67.5 cases and 1.6 deaths per 100,000 population. </w:t>
      </w:r>
    </w:p>
    <w:p w14:paraId="0F0D984D" w14:textId="77777777" w:rsidR="00DC1B5A" w:rsidRDefault="00DC1B5A" w:rsidP="00E86AA7">
      <w:r>
        <w:t xml:space="preserve">The majority of the cases in the region are observed in India, Bangladesh and Indonesia, which also comprise the greatest proportion of new cases in the previous fortnight, at 85%, 9% and 5% respectively. Their epidemic trajectories are shown in Figure 9. India reported the greatest rise in case count, increasing by 60% over the </w:t>
      </w:r>
      <w:r>
        <w:lastRenderedPageBreak/>
        <w:t xml:space="preserve">reporting period. The Maldives is the most-affected country in the region per capita, reporting 538 cases per 100,000 people. Only Timor-Leste did not report a case in the previous fortnight. </w:t>
      </w:r>
    </w:p>
    <w:p w14:paraId="17986BC9" w14:textId="77777777" w:rsidR="00DC1B5A" w:rsidRDefault="00DC1B5A" w:rsidP="00E86AA7">
      <w:r>
        <w:t>Testing rates in these major three countries have improved over time. India has completed approximately 14.05 million tests and has increased its testing to over 300,000 samples per day.</w:t>
      </w:r>
      <w:r>
        <w:rPr>
          <w:vertAlign w:val="superscript"/>
        </w:rPr>
        <w:t>21</w:t>
      </w:r>
      <w:r>
        <w:t xml:space="preserve"> Cumulatively, India’s positivity rate is approximately 7%; however in the last week, on average, its positivity was approximately 10%, suggesting that the epidemic has not yet been controlled. Cumulatively, Bangladesh has conducted approximately 1.04 million tests, with 88,000 tests in the last week; its current positivity rate is 20%.</w:t>
      </w:r>
      <w:r>
        <w:rPr>
          <w:vertAlign w:val="superscript"/>
        </w:rPr>
        <w:t>22</w:t>
      </w:r>
    </w:p>
    <w:p w14:paraId="4D6BBF22" w14:textId="77777777" w:rsidR="00DC1B5A" w:rsidRPr="006B5EB3" w:rsidRDefault="00DC1B5A" w:rsidP="006B5EB3">
      <w:pPr>
        <w:pStyle w:val="Heading1"/>
      </w:pPr>
      <w:r w:rsidRPr="006B5EB3">
        <w:t xml:space="preserve">Data considerations </w:t>
      </w:r>
    </w:p>
    <w:p w14:paraId="39904F46" w14:textId="77777777" w:rsidR="00DC1B5A" w:rsidRDefault="00DC1B5A" w:rsidP="006B5EB3">
      <w:r>
        <w:t xml:space="preserve">Data were extracted from the NNDSS on 28 July 2020 for notifications received up to 19 July 2020. Due to the dynamic nature of the NNDSS, numbers presented in this report are subject to revision and may vary from numbers previously reported and from case notifications released by states and territories. </w:t>
      </w:r>
    </w:p>
    <w:p w14:paraId="703DF4B0" w14:textId="77777777" w:rsidR="00DC1B5A" w:rsidRPr="006B5EB3" w:rsidRDefault="00DC1B5A" w:rsidP="006B5EB3">
      <w:pPr>
        <w:pStyle w:val="Heading2"/>
      </w:pPr>
      <w:r w:rsidRPr="006B5EB3">
        <w:t xml:space="preserve">Definitions </w:t>
      </w:r>
    </w:p>
    <w:p w14:paraId="13E0EFFD" w14:textId="77777777" w:rsidR="00DC1B5A" w:rsidRDefault="00DC1B5A" w:rsidP="006B5EB3">
      <w:r>
        <w:t>‘</w:t>
      </w:r>
      <w:r>
        <w:rPr>
          <w:rStyle w:val="Strong"/>
        </w:rPr>
        <w:t>Date of illness onset’</w:t>
      </w:r>
      <w:r>
        <w:t xml:space="preserve"> is derived from data collected by the NNDSS and represents the diagnosis date, or reported true onset of disease date. If unknown, the earliest of specimen collection date, notification date or notification receive date is used. </w:t>
      </w:r>
    </w:p>
    <w:p w14:paraId="37636DB0" w14:textId="77777777" w:rsidR="00DC1B5A" w:rsidRDefault="00DC1B5A" w:rsidP="006B5EB3">
      <w:r>
        <w:t>‘</w:t>
      </w:r>
      <w:r>
        <w:rPr>
          <w:rStyle w:val="Strong"/>
        </w:rPr>
        <w:t>Notification received date’</w:t>
      </w:r>
      <w:r>
        <w:t xml:space="preserve"> is reported in the NNDSS and represents the date the case is first notified on the NNDSS. As notification can only occur after testing is completed and information processed, counts for a defined period will vary according to the date type used. </w:t>
      </w:r>
    </w:p>
    <w:p w14:paraId="7C73DC4A" w14:textId="77777777" w:rsidR="00DC1B5A" w:rsidRDefault="00DC1B5A" w:rsidP="006B5EB3">
      <w:r>
        <w:rPr>
          <w:rStyle w:val="Strong"/>
        </w:rPr>
        <w:t>‘Cluster’</w:t>
      </w:r>
      <w:r>
        <w:t xml:space="preserve"> in relation to COVID-19 refers to two or more cases (who do not reside in the same household) that are epidemiologically related in time, place or person where a common source (such as an event or within a community) of infection is suspected but not yet established. </w:t>
      </w:r>
    </w:p>
    <w:p w14:paraId="03D6FD8B" w14:textId="77777777" w:rsidR="00DC1B5A" w:rsidRDefault="00DC1B5A" w:rsidP="006B5EB3">
      <w:r>
        <w:t>‘</w:t>
      </w:r>
      <w:r>
        <w:rPr>
          <w:rStyle w:val="Strong"/>
        </w:rPr>
        <w:t>Outbreak’</w:t>
      </w:r>
      <w:r>
        <w:t xml:space="preserve"> in relation to COVID-19 refers to two or more cases (who do not reside in the same household) among a specific group of people and/or over a specific period of time where illness is associated with a common source (such as an event or within a community). Some states and territories may report a single case associated with a residential aged care facility as an outbreak. </w:t>
      </w:r>
    </w:p>
    <w:p w14:paraId="69C97E4F" w14:textId="77777777" w:rsidR="00DC1B5A" w:rsidRPr="006B5EB3" w:rsidRDefault="00DC1B5A" w:rsidP="006B5EB3">
      <w:pPr>
        <w:pStyle w:val="Heading1"/>
      </w:pPr>
      <w:r w:rsidRPr="006B5EB3">
        <w:t xml:space="preserve">Acknowledgements </w:t>
      </w:r>
    </w:p>
    <w:p w14:paraId="71FF7B1B" w14:textId="77777777" w:rsidR="00DC1B5A" w:rsidRDefault="00DC1B5A" w:rsidP="006B5EB3">
      <w:r>
        <w:t xml:space="preserve">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 </w:t>
      </w:r>
    </w:p>
    <w:p w14:paraId="7122B5EA" w14:textId="77777777" w:rsidR="00DC1B5A" w:rsidRPr="006B5EB3" w:rsidRDefault="00DC1B5A" w:rsidP="006B5EB3">
      <w:pPr>
        <w:pStyle w:val="Heading1"/>
      </w:pPr>
      <w:r w:rsidRPr="006B5EB3">
        <w:t xml:space="preserve">Author details </w:t>
      </w:r>
    </w:p>
    <w:p w14:paraId="5BA9BCA1" w14:textId="77777777" w:rsidR="00DC1B5A" w:rsidRPr="006B5EB3" w:rsidRDefault="00DC1B5A" w:rsidP="006B5EB3">
      <w:pPr>
        <w:pStyle w:val="Heading2"/>
      </w:pPr>
      <w:r w:rsidRPr="006B5EB3">
        <w:t xml:space="preserve">Corresponding author </w:t>
      </w:r>
    </w:p>
    <w:p w14:paraId="19B6589D" w14:textId="77777777" w:rsidR="00DC1B5A" w:rsidRDefault="00DC1B5A" w:rsidP="006B5EB3">
      <w:r>
        <w:t xml:space="preserve">COVID-19 National Incident Room Surveillance Team, Australian Government Department of Health, GPO Box 9484, MDP 14, Canberra, ACT 2601. Email: epi.coronavirus@health.gov.au </w:t>
      </w:r>
    </w:p>
    <w:p w14:paraId="037236A3" w14:textId="77777777" w:rsidR="00DC1B5A" w:rsidRPr="006B5EB3" w:rsidRDefault="00DC1B5A" w:rsidP="006B5EB3">
      <w:pPr>
        <w:pStyle w:val="Heading1"/>
      </w:pPr>
      <w:r w:rsidRPr="006B5EB3">
        <w:lastRenderedPageBreak/>
        <w:t xml:space="preserve">References </w:t>
      </w:r>
    </w:p>
    <w:p w14:paraId="4FA6B626"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COVID-19 National Incident Room Surveillance Team. COVID-19, Australia: Epidemiology Report 16: Reporting week ending 23:59 AEST 17 May 2020. </w:t>
      </w:r>
      <w:r w:rsidRPr="004F5B72">
        <w:rPr>
          <w:rStyle w:val="Emphasis"/>
          <w:rFonts w:eastAsia="Times New Roman"/>
          <w:b w:val="0"/>
        </w:rPr>
        <w:t>Commun Dis Intell (2018)</w:t>
      </w:r>
      <w:r w:rsidRPr="006B5EB3">
        <w:rPr>
          <w:rFonts w:eastAsia="Times New Roman"/>
        </w:rPr>
        <w:t xml:space="preserve">. 2020;44. doi: https://doi.org/10.33321/cdi.2020.44.45. </w:t>
      </w:r>
    </w:p>
    <w:p w14:paraId="49A6ACB7"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Public Health Agency of Canada (PHAC). Coronavirus disease 2019 (COVID-19). Epidemiology update. Updated: June 22, 2020, 7 pm EDT. [Internet.] Ottawa: Government of Canada, PHAC; 2020. [Accessed on 30 July 2020.] Available from: https://health-infobase.canada.ca/covid-19/epidemiological-summary-covid-19-cases.html. </w:t>
      </w:r>
    </w:p>
    <w:p w14:paraId="1A3CCB50"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European Centre for Disease Prevention and Control (ECDC). COVID-19 surveillance report: Week 29, 2020. [Internet.] Solna: ECDC; 25 July 2020. [Accessed on 30 July 2020.] Available from: https://covid19-surveillance-report.ecdc.europa.eu/. </w:t>
      </w:r>
    </w:p>
    <w:p w14:paraId="295085F2"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Zheng Z, Peng F, Xu B, Zhao J, Liu H, Peng J et al. Risk factors of critical &amp; mortal COVID-19 cases: a systematic literature review and meta-analysis. </w:t>
      </w:r>
      <w:r w:rsidRPr="004F5B72">
        <w:rPr>
          <w:rStyle w:val="Emphasis"/>
          <w:rFonts w:eastAsia="Times New Roman"/>
          <w:b w:val="0"/>
        </w:rPr>
        <w:t>J Infect</w:t>
      </w:r>
      <w:r w:rsidRPr="006B5EB3">
        <w:rPr>
          <w:rFonts w:eastAsia="Times New Roman"/>
        </w:rPr>
        <w:t xml:space="preserve">. 2020. doi: https://doi.org/10.1016/j.jinf.2020.04.021. </w:t>
      </w:r>
    </w:p>
    <w:p w14:paraId="112F4C24"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PHAC. Detailed preliminary information on cases of COVID-19: 6 Dimensions (Aggregated data), Public Health Agency of Canada. [Internet.] Ottawa: Government of Canada, PHAC; 2020. [Accessed on 30 July 2020.] Available from: https://www150.statcan.gc.ca/t1/tbl1/en/tv.action?pid=1310077401. </w:t>
      </w:r>
    </w:p>
    <w:p w14:paraId="5E88AF88"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Government of New South Wales. NSW-Victoria border restrictions. [Internet.] Sydney: Government of New South Wales; 2020. [Accessed on 29 July 2020.] Available from: https://www.nsw.gov.au/covid-19/what-you-can-and-cant-do-under-rules/border-restrictions. </w:t>
      </w:r>
    </w:p>
    <w:p w14:paraId="3CC2E5EC"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Government of New South Wales. What you can and can’t do under the rules. [Internet.] Sydney: Government of New South Wales; 2020. [Accessed on 29 July 2020.] Available from: https://www.nsw.gov.au/covid-19/what-you-can-and-cant-do-under-rules. </w:t>
      </w:r>
    </w:p>
    <w:p w14:paraId="1BFB6FB2"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Department of Health and Human Services (DHHS). Victoria’s restriction levels. [Internet.] Melbourne: Victoria State Government, DHHS; 2020. [Accessed on 29 July 2020.] Available from: https://www.dhhs.vic.gov.au/victorias-restriction-levels-covid-19. </w:t>
      </w:r>
    </w:p>
    <w:p w14:paraId="17F8B4CA"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Queensland Government. Roadmap to easing Queensland’s restrictions. A step-down approach to COVID-19. Brisbane: Queensland Government; 2020. [Accessed on 29 July 2020.] Available from: https://www.covid19.qld.gov.au/__data/assets/pdf_file/0016/127150/DPC7309-COVID-19-Restrictions-roadmap.pdf. </w:t>
      </w:r>
    </w:p>
    <w:p w14:paraId="3B3C7AE8"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Government of Western Australia. COVID-19 coronavirus: WA Roadmap. Phase 4. [Internet.] Perth: Government of Western Australia; 2020. [Accessed on 29 July 2020.] Available from: https://www.wa.gov.au/organisation/department-of-the-premier-and-cabinet/covid-19-coronavirus-wa-roadmap#phase4. </w:t>
      </w:r>
    </w:p>
    <w:p w14:paraId="1A43E1BD"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Government of South Australia. South Australian roadmap for easing COVID-19 restrictions. Adelaide: Government of South Australia; 2020. [Accessed on 29 July 2020.] Available from: https://www.covid-19.sa.gov.au/__data/assets/pdf_file/0012/195879/200059.4-COVID-19-RoadMap-19June-V7.pdf. </w:t>
      </w:r>
    </w:p>
    <w:p w14:paraId="3937BFC4"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Government of South Australia. Recovery from COVID-19. [Internet.] Adelaide: Government of South Australia; 2020. [Accessed on 29 July 2020.] Available from: https://www.covid-19.sa.gov.au/recovery. </w:t>
      </w:r>
    </w:p>
    <w:p w14:paraId="2AC48D35"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Tasmanian Government. Roadmap to recovery. [Internet.] Hobart: Tasmanian Government; 2020. [Accessed on 29 July 2020.] Available from: https://coronavirus.tas.gov.au/families-community/roadmap-to-recovery. </w:t>
      </w:r>
    </w:p>
    <w:p w14:paraId="5169FD46"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Australian Capital Territory Government. COVID-19: Summary of key changes. [Internet.] Canberra: Australian Capital Territory Government; 2020. [Accessed on 29 July 2020.] Available from: https://www.covid19.act.gov.au/faqs-old/summary-of-key-changes. </w:t>
      </w:r>
    </w:p>
    <w:p w14:paraId="6A264A28" w14:textId="77777777" w:rsidR="00DC1B5A" w:rsidRPr="006B5EB3" w:rsidRDefault="00DC1B5A" w:rsidP="006B5EB3">
      <w:pPr>
        <w:pStyle w:val="ListParagraph"/>
        <w:numPr>
          <w:ilvl w:val="0"/>
          <w:numId w:val="12"/>
        </w:numPr>
        <w:rPr>
          <w:rFonts w:eastAsia="Times New Roman"/>
        </w:rPr>
      </w:pPr>
      <w:r w:rsidRPr="006B5EB3">
        <w:rPr>
          <w:rFonts w:eastAsia="Times New Roman"/>
        </w:rPr>
        <w:lastRenderedPageBreak/>
        <w:t xml:space="preserve">Northern Territory Government. Roadmap to the new normal. [Internet.] Darwin: Northern Territory Government; 2020. [Accessed on 29 July 2020.] Available from: https://coronavirus.nt.gov.au/roadmap-new-normal. </w:t>
      </w:r>
    </w:p>
    <w:p w14:paraId="59F7D7AA"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DHHS. Restrictions: Metropolitan Melbourne and Mitchell Shire. [Internet.] Melbourne: State Government of Victoria, DHHS; 2020. [Accessed on 29 July 2020.] Available from: https://www.dhhs.vic.gov.au/restrictions-metropolitan-melbourne-and-mitchell-shire-covid-19. </w:t>
      </w:r>
    </w:p>
    <w:p w14:paraId="14198D9F"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DHHS. Restrictions: rest of Victoria. [Internet.] Melbourne: State Government of Victoria, DHHS; 2020. [Accessed on 29 July 2020.] Available from: https://www.dhhs.vic.gov.au/restrictions-rest-victoria-covid-19. </w:t>
      </w:r>
    </w:p>
    <w:p w14:paraId="335ABFB7"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World Health Organization (WHO). WHO Coronavirus Disease (COVID-19) dashboard. [Internet.] Geneva: WHO; 19 July 2020. [Accessed on 20 July 2020.] Available from: https://covid19.who.int/. </w:t>
      </w:r>
    </w:p>
    <w:p w14:paraId="3B7996BD"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Associated Press. Coronavirus outbreak in China’s Xinjiang Region spreads to second city. [Internet.] New York City: </w:t>
      </w:r>
      <w:r w:rsidRPr="004F5B72">
        <w:rPr>
          <w:rStyle w:val="Emphasis"/>
          <w:rFonts w:eastAsia="Times New Roman"/>
          <w:b w:val="0"/>
        </w:rPr>
        <w:t>Time</w:t>
      </w:r>
      <w:r w:rsidRPr="006B5EB3">
        <w:rPr>
          <w:rFonts w:eastAsia="Times New Roman"/>
        </w:rPr>
        <w:t xml:space="preserve"> Magazine; 20 July 2020. [Accessed on 29 July 2020.] Available from: https://time.com/5868895/xinjiang-coronavirus-outbreak/. </w:t>
      </w:r>
    </w:p>
    <w:p w14:paraId="4298A089"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Singapore Government Ministry of Health. COVID-19 Situation report. Data updated as of: 30 July 2020. [Internet.] Singapore Government Ministry of Health; 2020. [Accessed on 31 July 2020.] Available from: https://covidsitrep.moh.gov.sg/. </w:t>
      </w:r>
    </w:p>
    <w:p w14:paraId="7453735F" w14:textId="77777777" w:rsidR="00DC1B5A" w:rsidRPr="006B5EB3" w:rsidRDefault="00DC1B5A" w:rsidP="006B5EB3">
      <w:pPr>
        <w:pStyle w:val="ListParagraph"/>
        <w:numPr>
          <w:ilvl w:val="0"/>
          <w:numId w:val="12"/>
        </w:numPr>
        <w:rPr>
          <w:rFonts w:eastAsia="Times New Roman"/>
        </w:rPr>
      </w:pPr>
      <w:proofErr w:type="spellStart"/>
      <w:r w:rsidRPr="006B5EB3">
        <w:rPr>
          <w:rFonts w:eastAsia="Times New Roman"/>
        </w:rPr>
        <w:t>Roser</w:t>
      </w:r>
      <w:proofErr w:type="spellEnd"/>
      <w:r w:rsidRPr="006B5EB3">
        <w:rPr>
          <w:rFonts w:eastAsia="Times New Roman"/>
        </w:rPr>
        <w:t xml:space="preserve"> M, Ritchie H, Ortiz-Ospina E, </w:t>
      </w:r>
      <w:proofErr w:type="spellStart"/>
      <w:r w:rsidRPr="006B5EB3">
        <w:rPr>
          <w:rFonts w:eastAsia="Times New Roman"/>
        </w:rPr>
        <w:t>Hasell</w:t>
      </w:r>
      <w:proofErr w:type="spellEnd"/>
      <w:r w:rsidRPr="006B5EB3">
        <w:rPr>
          <w:rFonts w:eastAsia="Times New Roman"/>
        </w:rPr>
        <w:t xml:space="preserve"> J. Statistics and research: Coronavirus pandemic (COVID-19). [Website.] Oxford: Our World in Data; 2020. [Accessed on 30 July 2020.] https://ourworldindata.org/coronavirus. </w:t>
      </w:r>
    </w:p>
    <w:p w14:paraId="407DE7EA"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WHO. COVID-19: 20 July 2020. </w:t>
      </w:r>
      <w:r w:rsidRPr="004F5B72">
        <w:rPr>
          <w:rStyle w:val="Emphasis"/>
          <w:rFonts w:eastAsia="Times New Roman"/>
          <w:b w:val="0"/>
        </w:rPr>
        <w:t>Morbidity and Mortality Weekly Update (MMWU) #21. Bangladesh: WHO; 2020</w:t>
      </w:r>
      <w:r w:rsidRPr="006B5EB3">
        <w:rPr>
          <w:rFonts w:eastAsia="Times New Roman"/>
        </w:rPr>
        <w:t xml:space="preserve">. [Accessed on 29 July 2020.] Available from: https://www.who.int/docs/default-source/searo/bangladesh/covid-19-who-bangladesh-situation-reports/who-covid-19-update-21-20200720.pdf. </w:t>
      </w:r>
    </w:p>
    <w:p w14:paraId="3936E522"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WHO. Report of the WHO-China joint mission on coronavirus disease 2019 (COVID-19). [Internet.] Geneva: WHO; 2020. [Accessed 1 Mar 2020.] Available from: https://www.who.int/docs/default-source/coronaviruse/who-china-joint-mission-on-covid-19-final-report.pdf. </w:t>
      </w:r>
    </w:p>
    <w:p w14:paraId="0A011D20" w14:textId="77777777" w:rsidR="00DC1B5A" w:rsidRPr="006B5EB3" w:rsidRDefault="00DC1B5A" w:rsidP="006B5EB3">
      <w:pPr>
        <w:pStyle w:val="ListParagraph"/>
        <w:numPr>
          <w:ilvl w:val="0"/>
          <w:numId w:val="12"/>
        </w:numPr>
        <w:rPr>
          <w:rFonts w:eastAsia="Times New Roman"/>
        </w:rPr>
      </w:pPr>
      <w:proofErr w:type="spellStart"/>
      <w:r w:rsidRPr="006B5EB3">
        <w:rPr>
          <w:rFonts w:eastAsia="Times New Roman"/>
        </w:rPr>
        <w:t>Wölfel</w:t>
      </w:r>
      <w:proofErr w:type="spellEnd"/>
      <w:r w:rsidRPr="006B5EB3">
        <w:rPr>
          <w:rFonts w:eastAsia="Times New Roman"/>
        </w:rPr>
        <w:t xml:space="preserve"> R, Corman VM, </w:t>
      </w:r>
      <w:proofErr w:type="spellStart"/>
      <w:r w:rsidRPr="006B5EB3">
        <w:rPr>
          <w:rFonts w:eastAsia="Times New Roman"/>
        </w:rPr>
        <w:t>Guggemos</w:t>
      </w:r>
      <w:proofErr w:type="spellEnd"/>
      <w:r w:rsidRPr="006B5EB3">
        <w:rPr>
          <w:rFonts w:eastAsia="Times New Roman"/>
        </w:rPr>
        <w:t xml:space="preserve"> W, </w:t>
      </w:r>
      <w:proofErr w:type="spellStart"/>
      <w:r w:rsidRPr="006B5EB3">
        <w:rPr>
          <w:rFonts w:eastAsia="Times New Roman"/>
        </w:rPr>
        <w:t>Seilmaier</w:t>
      </w:r>
      <w:proofErr w:type="spellEnd"/>
      <w:r w:rsidRPr="006B5EB3">
        <w:rPr>
          <w:rFonts w:eastAsia="Times New Roman"/>
        </w:rPr>
        <w:t xml:space="preserve"> M, </w:t>
      </w:r>
      <w:proofErr w:type="spellStart"/>
      <w:r w:rsidRPr="006B5EB3">
        <w:rPr>
          <w:rFonts w:eastAsia="Times New Roman"/>
        </w:rPr>
        <w:t>Zange</w:t>
      </w:r>
      <w:proofErr w:type="spellEnd"/>
      <w:r w:rsidRPr="006B5EB3">
        <w:rPr>
          <w:rFonts w:eastAsia="Times New Roman"/>
        </w:rPr>
        <w:t xml:space="preserve"> S, Müller MA et al. Virological assessment of hospitalized patients with COVID-2019. </w:t>
      </w:r>
      <w:r w:rsidRPr="004F5B72">
        <w:rPr>
          <w:rStyle w:val="Emphasis"/>
          <w:rFonts w:eastAsia="Times New Roman"/>
          <w:b w:val="0"/>
        </w:rPr>
        <w:t>Nature</w:t>
      </w:r>
      <w:r w:rsidRPr="006B5EB3">
        <w:rPr>
          <w:rFonts w:eastAsia="Times New Roman"/>
        </w:rPr>
        <w:t xml:space="preserve">. 2020. doi: https://doi.org/10.1038/s41586-020-2196-x. </w:t>
      </w:r>
    </w:p>
    <w:p w14:paraId="67C70AF2"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Cheng HY, Jian SW, Liu DP, Ng TC, Huang WT, Lin HH. Contact tracing assessment of COVID-19 transmission dynamics in Taiwan and risk at different exposure periods before and after symptom onset. </w:t>
      </w:r>
      <w:r w:rsidRPr="004F5B72">
        <w:rPr>
          <w:rStyle w:val="Emphasis"/>
          <w:rFonts w:eastAsia="Times New Roman"/>
          <w:b w:val="0"/>
        </w:rPr>
        <w:t>JAMA Intern Med</w:t>
      </w:r>
      <w:r w:rsidRPr="006B5EB3">
        <w:rPr>
          <w:rFonts w:eastAsia="Times New Roman"/>
        </w:rPr>
        <w:t xml:space="preserve">. 2020. doi: https://doi.org/10.1001/jamainternmed.2020.2020. </w:t>
      </w:r>
    </w:p>
    <w:p w14:paraId="59FBDA34"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Korea </w:t>
      </w:r>
      <w:proofErr w:type="spellStart"/>
      <w:r w:rsidRPr="006B5EB3">
        <w:rPr>
          <w:rFonts w:eastAsia="Times New Roman"/>
        </w:rPr>
        <w:t>Centers</w:t>
      </w:r>
      <w:proofErr w:type="spellEnd"/>
      <w:r w:rsidRPr="006B5EB3">
        <w:rPr>
          <w:rFonts w:eastAsia="Times New Roman"/>
        </w:rPr>
        <w:t xml:space="preserve"> for Disease Control and Prevention (KCDC). Division of risk assessment and international cooperation. Findings from investigation and analysis of re-positive cases. [Internet.] Cheongju: Government of South Korea, KCDC; 2020. [Accessed on 24 May 2020.] Available from: https://www.cdc.go.kr/board/board.es?mid=a30402000000&amp;bid=0030&amp;act=view&amp;list_no=367267&amp;nPage=1. </w:t>
      </w:r>
    </w:p>
    <w:p w14:paraId="2DEED322"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Zhu Y, Bloxham CJ, Hulme KD, Sinclair JE, Tong ZW, Steele LE et al. Children are unlikely to have been the primary source of household SARS-CoV-2 infections. </w:t>
      </w:r>
      <w:proofErr w:type="spellStart"/>
      <w:r w:rsidRPr="004F5B72">
        <w:rPr>
          <w:rStyle w:val="Emphasis"/>
          <w:rFonts w:eastAsia="Times New Roman"/>
          <w:b w:val="0"/>
        </w:rPr>
        <w:t>medRxiv</w:t>
      </w:r>
      <w:proofErr w:type="spellEnd"/>
      <w:r w:rsidRPr="006B5EB3">
        <w:rPr>
          <w:rFonts w:eastAsia="Times New Roman"/>
        </w:rPr>
        <w:t xml:space="preserve">. 2020. doi: https://doi.org/10.1101/2020.03.26.20044826. </w:t>
      </w:r>
    </w:p>
    <w:p w14:paraId="3E269BD0" w14:textId="77777777" w:rsidR="00DC1B5A" w:rsidRPr="006B5EB3" w:rsidRDefault="00DC1B5A" w:rsidP="006B5EB3">
      <w:pPr>
        <w:pStyle w:val="ListParagraph"/>
        <w:numPr>
          <w:ilvl w:val="0"/>
          <w:numId w:val="12"/>
        </w:numPr>
        <w:rPr>
          <w:rFonts w:eastAsia="Times New Roman"/>
        </w:rPr>
      </w:pPr>
      <w:proofErr w:type="spellStart"/>
      <w:r w:rsidRPr="006B5EB3">
        <w:rPr>
          <w:rFonts w:eastAsia="Times New Roman"/>
        </w:rPr>
        <w:t>Gudbjartsson</w:t>
      </w:r>
      <w:proofErr w:type="spellEnd"/>
      <w:r w:rsidRPr="006B5EB3">
        <w:rPr>
          <w:rFonts w:eastAsia="Times New Roman"/>
        </w:rPr>
        <w:t xml:space="preserve"> DF, </w:t>
      </w:r>
      <w:proofErr w:type="spellStart"/>
      <w:r w:rsidRPr="006B5EB3">
        <w:rPr>
          <w:rFonts w:eastAsia="Times New Roman"/>
        </w:rPr>
        <w:t>Helgason</w:t>
      </w:r>
      <w:proofErr w:type="spellEnd"/>
      <w:r w:rsidRPr="006B5EB3">
        <w:rPr>
          <w:rFonts w:eastAsia="Times New Roman"/>
        </w:rPr>
        <w:t xml:space="preserve"> A, Jonsson H, Magnusson OT, </w:t>
      </w:r>
      <w:proofErr w:type="spellStart"/>
      <w:r w:rsidRPr="006B5EB3">
        <w:rPr>
          <w:rFonts w:eastAsia="Times New Roman"/>
        </w:rPr>
        <w:t>Melsted</w:t>
      </w:r>
      <w:proofErr w:type="spellEnd"/>
      <w:r w:rsidRPr="006B5EB3">
        <w:rPr>
          <w:rFonts w:eastAsia="Times New Roman"/>
        </w:rPr>
        <w:t xml:space="preserve"> P, </w:t>
      </w:r>
      <w:proofErr w:type="spellStart"/>
      <w:r w:rsidRPr="006B5EB3">
        <w:rPr>
          <w:rFonts w:eastAsia="Times New Roman"/>
        </w:rPr>
        <w:t>Norddahl</w:t>
      </w:r>
      <w:proofErr w:type="spellEnd"/>
      <w:r w:rsidRPr="006B5EB3">
        <w:rPr>
          <w:rFonts w:eastAsia="Times New Roman"/>
        </w:rPr>
        <w:t xml:space="preserve"> GL et al. Spread of SARS-CoV-2 in the Icelandic population. </w:t>
      </w:r>
      <w:r w:rsidRPr="004F5B72">
        <w:rPr>
          <w:rStyle w:val="Emphasis"/>
          <w:rFonts w:eastAsia="Times New Roman"/>
          <w:b w:val="0"/>
        </w:rPr>
        <w:t>N Engl J Med</w:t>
      </w:r>
      <w:r w:rsidRPr="006B5EB3">
        <w:rPr>
          <w:rFonts w:eastAsia="Times New Roman"/>
        </w:rPr>
        <w:t xml:space="preserve">. 2020. doi: https://doi.org/10.1056/NEJMoa2006100. </w:t>
      </w:r>
    </w:p>
    <w:p w14:paraId="6A3459F2"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ECDC. Rapid risk assessment: Paediatric inflammatory multisystem syndrome and SARS-CoV-2 infection in children – 15 May 2020. Solna: ECDC; 2020. [Accessed on 19 May 2020.] Available from: https://www.ecdc.europa.eu/sites/default/files/documents/covid-19-risk-assessment-paediatric-inflammatory-multisystem-syndrome-15-May-2020.pdf. </w:t>
      </w:r>
    </w:p>
    <w:p w14:paraId="756B7B84" w14:textId="77777777" w:rsidR="00DC1B5A" w:rsidRPr="006B5EB3" w:rsidRDefault="00DC1B5A" w:rsidP="006B5EB3">
      <w:pPr>
        <w:pStyle w:val="ListParagraph"/>
        <w:numPr>
          <w:ilvl w:val="0"/>
          <w:numId w:val="12"/>
        </w:numPr>
        <w:rPr>
          <w:rFonts w:eastAsia="Times New Roman"/>
        </w:rPr>
      </w:pPr>
      <w:r w:rsidRPr="006B5EB3">
        <w:rPr>
          <w:rFonts w:eastAsia="Times New Roman"/>
        </w:rPr>
        <w:lastRenderedPageBreak/>
        <w:t xml:space="preserve">WHO. Coronavirus disease 2019 (COVID-19) situation report – 29. [Internet.] Geneva: WHO; 2020. [Accessed 22 Feb 2020.] Available from: https://www.who.int/docs/default-source/coronaviruse/situation-reports/20200218-sitrep-29-covid-19.pdf. </w:t>
      </w:r>
    </w:p>
    <w:p w14:paraId="376E78A8" w14:textId="77777777" w:rsidR="00DC1B5A" w:rsidRPr="006B5EB3" w:rsidRDefault="00DC1B5A" w:rsidP="006B5EB3">
      <w:pPr>
        <w:pStyle w:val="ListParagraph"/>
        <w:numPr>
          <w:ilvl w:val="0"/>
          <w:numId w:val="12"/>
        </w:numPr>
        <w:rPr>
          <w:rFonts w:eastAsia="Times New Roman"/>
        </w:rPr>
      </w:pPr>
      <w:proofErr w:type="spellStart"/>
      <w:r w:rsidRPr="006B5EB3">
        <w:rPr>
          <w:rFonts w:eastAsia="Times New Roman"/>
        </w:rPr>
        <w:t>Pung</w:t>
      </w:r>
      <w:proofErr w:type="spellEnd"/>
      <w:r w:rsidRPr="006B5EB3">
        <w:rPr>
          <w:rFonts w:eastAsia="Times New Roman"/>
        </w:rPr>
        <w:t xml:space="preserve"> R, </w:t>
      </w:r>
      <w:proofErr w:type="spellStart"/>
      <w:r w:rsidRPr="006B5EB3">
        <w:rPr>
          <w:rFonts w:eastAsia="Times New Roman"/>
        </w:rPr>
        <w:t>Chiew</w:t>
      </w:r>
      <w:proofErr w:type="spellEnd"/>
      <w:r w:rsidRPr="006B5EB3">
        <w:rPr>
          <w:rFonts w:eastAsia="Times New Roman"/>
        </w:rPr>
        <w:t xml:space="preserve"> CJ, Young BE, Chin S, Chen M, Clapham HE. Investigation of three clusters of COVID-19 in Singapore: implications for surveillance and response measures. </w:t>
      </w:r>
      <w:r w:rsidRPr="004F5B72">
        <w:rPr>
          <w:rStyle w:val="Emphasis"/>
          <w:rFonts w:eastAsia="Times New Roman"/>
          <w:b w:val="0"/>
        </w:rPr>
        <w:t>Lancet</w:t>
      </w:r>
      <w:r w:rsidRPr="006B5EB3">
        <w:rPr>
          <w:rFonts w:eastAsia="Times New Roman"/>
        </w:rPr>
        <w:t xml:space="preserve">. 2020;395(10229):1039–46. </w:t>
      </w:r>
    </w:p>
    <w:p w14:paraId="241788B2" w14:textId="77777777" w:rsidR="00DC1B5A" w:rsidRPr="006B5EB3" w:rsidRDefault="00DC1B5A" w:rsidP="006B5EB3">
      <w:pPr>
        <w:pStyle w:val="ListParagraph"/>
        <w:numPr>
          <w:ilvl w:val="0"/>
          <w:numId w:val="12"/>
        </w:numPr>
        <w:rPr>
          <w:rFonts w:eastAsia="Times New Roman"/>
        </w:rPr>
      </w:pPr>
      <w:proofErr w:type="spellStart"/>
      <w:r w:rsidRPr="006B5EB3">
        <w:rPr>
          <w:rFonts w:eastAsia="Times New Roman"/>
        </w:rPr>
        <w:t>Rockett</w:t>
      </w:r>
      <w:proofErr w:type="spellEnd"/>
      <w:r w:rsidRPr="006B5EB3">
        <w:rPr>
          <w:rFonts w:eastAsia="Times New Roman"/>
        </w:rPr>
        <w:t xml:space="preserve"> RJ, Arnott A, Lam C, </w:t>
      </w:r>
      <w:proofErr w:type="spellStart"/>
      <w:r w:rsidRPr="006B5EB3">
        <w:rPr>
          <w:rFonts w:eastAsia="Times New Roman"/>
        </w:rPr>
        <w:t>Sadsad</w:t>
      </w:r>
      <w:proofErr w:type="spellEnd"/>
      <w:r w:rsidRPr="006B5EB3">
        <w:rPr>
          <w:rFonts w:eastAsia="Times New Roman"/>
        </w:rPr>
        <w:t xml:space="preserve"> R, Timms V, Gray KA et al. Revealing COVID-19 transmission by SARS-CoV-2 genome sequencing and agent based modelling. </w:t>
      </w:r>
      <w:proofErr w:type="spellStart"/>
      <w:r w:rsidRPr="004F5B72">
        <w:rPr>
          <w:rStyle w:val="Emphasis"/>
          <w:rFonts w:eastAsia="Times New Roman"/>
          <w:b w:val="0"/>
        </w:rPr>
        <w:t>bioRxiv</w:t>
      </w:r>
      <w:proofErr w:type="spellEnd"/>
      <w:r w:rsidRPr="006B5EB3">
        <w:rPr>
          <w:rFonts w:eastAsia="Times New Roman"/>
        </w:rPr>
        <w:t xml:space="preserve">. doi: https://doi.org/10.1101/2020.04.19.048751. </w:t>
      </w:r>
    </w:p>
    <w:p w14:paraId="35E3C8F7" w14:textId="77777777" w:rsidR="00DC1B5A" w:rsidRPr="006B5EB3" w:rsidRDefault="00DC1B5A" w:rsidP="006B5EB3">
      <w:pPr>
        <w:pStyle w:val="ListParagraph"/>
        <w:numPr>
          <w:ilvl w:val="0"/>
          <w:numId w:val="12"/>
        </w:numPr>
        <w:rPr>
          <w:rFonts w:eastAsia="Times New Roman"/>
        </w:rPr>
      </w:pPr>
      <w:proofErr w:type="spellStart"/>
      <w:r w:rsidRPr="006B5EB3">
        <w:rPr>
          <w:rFonts w:eastAsia="Times New Roman"/>
        </w:rPr>
        <w:t>Nextstrain</w:t>
      </w:r>
      <w:proofErr w:type="spellEnd"/>
      <w:r w:rsidRPr="006B5EB3">
        <w:rPr>
          <w:rFonts w:eastAsia="Times New Roman"/>
        </w:rPr>
        <w:t xml:space="preserve"> team. Genomic epidemiology of novel coronavirus – Oceania-focused subsampling. [Internet.] [Accessed on 5 May 2020.] Available online: https://nextstrain.org/ncov/oceania?c=division&amp;f_country=Australia&amp;l=radial. </w:t>
      </w:r>
    </w:p>
    <w:p w14:paraId="7EA17D53"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Seemann T, Lane C, Sherry N, Duchene S, Goncalves da Silva A, </w:t>
      </w:r>
      <w:proofErr w:type="spellStart"/>
      <w:r w:rsidRPr="006B5EB3">
        <w:rPr>
          <w:rFonts w:eastAsia="Times New Roman"/>
        </w:rPr>
        <w:t>Caly</w:t>
      </w:r>
      <w:proofErr w:type="spellEnd"/>
      <w:r w:rsidRPr="006B5EB3">
        <w:rPr>
          <w:rFonts w:eastAsia="Times New Roman"/>
        </w:rPr>
        <w:t xml:space="preserve"> L et al. Tracking the COVID-19 pandemic in Australia using genomics. </w:t>
      </w:r>
      <w:proofErr w:type="spellStart"/>
      <w:r w:rsidRPr="004F5B72">
        <w:rPr>
          <w:rStyle w:val="Emphasis"/>
          <w:rFonts w:eastAsia="Times New Roman"/>
          <w:b w:val="0"/>
        </w:rPr>
        <w:t>medRxiv</w:t>
      </w:r>
      <w:proofErr w:type="spellEnd"/>
      <w:r w:rsidRPr="006B5EB3">
        <w:rPr>
          <w:rFonts w:eastAsia="Times New Roman"/>
        </w:rPr>
        <w:t xml:space="preserve">. 2020 doi: https://doi.org/10.1101/2020.05.12.20099929. </w:t>
      </w:r>
    </w:p>
    <w:p w14:paraId="1451D1F1"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Sun P, Qiu S, Liu Z, Ren J, Xi JJ. Clinical characteristics of 50466 patients with 2019-nCoV infection. </w:t>
      </w:r>
      <w:proofErr w:type="spellStart"/>
      <w:r w:rsidRPr="004F5B72">
        <w:rPr>
          <w:rStyle w:val="Emphasis"/>
          <w:rFonts w:eastAsia="Times New Roman"/>
          <w:b w:val="0"/>
        </w:rPr>
        <w:t>medRxiv</w:t>
      </w:r>
      <w:proofErr w:type="spellEnd"/>
      <w:r w:rsidRPr="006B5EB3">
        <w:rPr>
          <w:rFonts w:eastAsia="Times New Roman"/>
        </w:rPr>
        <w:t xml:space="preserve">. 2020. doi: https://doi.org/10.1101/2020.02.18.20024539. </w:t>
      </w:r>
    </w:p>
    <w:p w14:paraId="21EFB689"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Li B, Bai W, </w:t>
      </w:r>
      <w:proofErr w:type="spellStart"/>
      <w:r w:rsidRPr="006B5EB3">
        <w:rPr>
          <w:rFonts w:eastAsia="Times New Roman"/>
        </w:rPr>
        <w:t>Hashikawa</w:t>
      </w:r>
      <w:proofErr w:type="spellEnd"/>
      <w:r w:rsidRPr="006B5EB3">
        <w:rPr>
          <w:rFonts w:eastAsia="Times New Roman"/>
        </w:rPr>
        <w:t xml:space="preserve"> T. The neuroinvasive potential of SARS-CoV-2 may be at least partially responsible for the respiratory failure of COVID-19 patients. </w:t>
      </w:r>
      <w:r w:rsidRPr="004F5B72">
        <w:rPr>
          <w:rStyle w:val="Emphasis"/>
          <w:rFonts w:eastAsia="Times New Roman"/>
          <w:b w:val="0"/>
        </w:rPr>
        <w:t xml:space="preserve">J Med </w:t>
      </w:r>
      <w:proofErr w:type="spellStart"/>
      <w:r w:rsidRPr="004F5B72">
        <w:rPr>
          <w:rStyle w:val="Emphasis"/>
          <w:rFonts w:eastAsia="Times New Roman"/>
          <w:b w:val="0"/>
        </w:rPr>
        <w:t>Virol</w:t>
      </w:r>
      <w:proofErr w:type="spellEnd"/>
      <w:r w:rsidRPr="006B5EB3">
        <w:rPr>
          <w:rFonts w:eastAsia="Times New Roman"/>
        </w:rPr>
        <w:t xml:space="preserve">. 2020. doi: https://doi.org/10.1002/jmv.25728. </w:t>
      </w:r>
    </w:p>
    <w:p w14:paraId="043A7127"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Mao L, Jin H, Wang M, Hu Y, Chen S, He Q et al. Neurological manifestations of hospitalized patients with coronavirus disease 2019 in Wuhan, China. </w:t>
      </w:r>
      <w:r w:rsidRPr="004F5B72">
        <w:rPr>
          <w:rStyle w:val="Emphasis"/>
          <w:rFonts w:eastAsia="Times New Roman"/>
          <w:b w:val="0"/>
        </w:rPr>
        <w:t>JAMA Neurol</w:t>
      </w:r>
      <w:r w:rsidRPr="006B5EB3">
        <w:rPr>
          <w:rFonts w:eastAsia="Times New Roman"/>
        </w:rPr>
        <w:t xml:space="preserve">. 2020;e201127. doi: https://doi.org/10.1001/jamaneurol.2020.1127. </w:t>
      </w:r>
    </w:p>
    <w:p w14:paraId="51138E4E"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Drew DA, Nguyen LH, </w:t>
      </w:r>
      <w:proofErr w:type="spellStart"/>
      <w:r w:rsidRPr="006B5EB3">
        <w:rPr>
          <w:rFonts w:eastAsia="Times New Roman"/>
        </w:rPr>
        <w:t>Steves</w:t>
      </w:r>
      <w:proofErr w:type="spellEnd"/>
      <w:r w:rsidRPr="006B5EB3">
        <w:rPr>
          <w:rFonts w:eastAsia="Times New Roman"/>
        </w:rPr>
        <w:t xml:space="preserve"> CJ, Wolf J, Spector TC, Chan AT. Rapid implementation of mobile technology for real-time epidemiology of COVID-19. </w:t>
      </w:r>
      <w:proofErr w:type="spellStart"/>
      <w:r w:rsidRPr="004F5B72">
        <w:rPr>
          <w:rStyle w:val="Emphasis"/>
          <w:rFonts w:eastAsia="Times New Roman"/>
          <w:b w:val="0"/>
        </w:rPr>
        <w:t>medRxiv</w:t>
      </w:r>
      <w:proofErr w:type="spellEnd"/>
      <w:r w:rsidRPr="006B5EB3">
        <w:rPr>
          <w:rFonts w:eastAsia="Times New Roman"/>
        </w:rPr>
        <w:t xml:space="preserve">. 2020. doi: https://doi.org/10.1101/2020.04.02.20051334. </w:t>
      </w:r>
    </w:p>
    <w:p w14:paraId="76471575"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Venkatakrishnan AJ, </w:t>
      </w:r>
      <w:proofErr w:type="spellStart"/>
      <w:r w:rsidRPr="006B5EB3">
        <w:rPr>
          <w:rFonts w:eastAsia="Times New Roman"/>
        </w:rPr>
        <w:t>Puranik</w:t>
      </w:r>
      <w:proofErr w:type="spellEnd"/>
      <w:r w:rsidRPr="006B5EB3">
        <w:rPr>
          <w:rFonts w:eastAsia="Times New Roman"/>
        </w:rPr>
        <w:t xml:space="preserve"> A, Anand A, </w:t>
      </w:r>
      <w:proofErr w:type="spellStart"/>
      <w:r w:rsidRPr="006B5EB3">
        <w:rPr>
          <w:rFonts w:eastAsia="Times New Roman"/>
        </w:rPr>
        <w:t>Zemmour</w:t>
      </w:r>
      <w:proofErr w:type="spellEnd"/>
      <w:r w:rsidRPr="006B5EB3">
        <w:rPr>
          <w:rFonts w:eastAsia="Times New Roman"/>
        </w:rPr>
        <w:t xml:space="preserve"> D, Yao X, Wu X et al. Knowledge synthesis from 100 million biomedical documents augments the deep expression profiling of coronavirus receptors. </w:t>
      </w:r>
      <w:proofErr w:type="spellStart"/>
      <w:r w:rsidRPr="004F5B72">
        <w:rPr>
          <w:rStyle w:val="Emphasis"/>
          <w:rFonts w:eastAsia="Times New Roman"/>
          <w:b w:val="0"/>
        </w:rPr>
        <w:t>bioRxiv</w:t>
      </w:r>
      <w:proofErr w:type="spellEnd"/>
      <w:r w:rsidRPr="006B5EB3">
        <w:rPr>
          <w:rFonts w:eastAsia="Times New Roman"/>
        </w:rPr>
        <w:t xml:space="preserve">. 2020. doi: https://doi.org/10.1101/2020.03.24.005702. </w:t>
      </w:r>
    </w:p>
    <w:p w14:paraId="200F2284"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Brann DH, Tsukahara T, </w:t>
      </w:r>
      <w:proofErr w:type="spellStart"/>
      <w:r w:rsidRPr="006B5EB3">
        <w:rPr>
          <w:rFonts w:eastAsia="Times New Roman"/>
        </w:rPr>
        <w:t>Weinreb</w:t>
      </w:r>
      <w:proofErr w:type="spellEnd"/>
      <w:r w:rsidRPr="006B5EB3">
        <w:rPr>
          <w:rFonts w:eastAsia="Times New Roman"/>
        </w:rPr>
        <w:t xml:space="preserve"> C, Logan DW, Datta SR. Non-neural expression of SARS-CoV-2 entry genes in the olfactory epithelium suggests mechanisms underlying anosmia in COVID-19 patients. </w:t>
      </w:r>
      <w:proofErr w:type="spellStart"/>
      <w:r w:rsidRPr="004F5B72">
        <w:rPr>
          <w:rStyle w:val="Emphasis"/>
          <w:rFonts w:eastAsia="Times New Roman"/>
          <w:b w:val="0"/>
        </w:rPr>
        <w:t>bioRxiv</w:t>
      </w:r>
      <w:proofErr w:type="spellEnd"/>
      <w:r w:rsidRPr="006B5EB3">
        <w:rPr>
          <w:rFonts w:eastAsia="Times New Roman"/>
        </w:rPr>
        <w:t xml:space="preserve">. 2020. doi: https://doi.org/10.1101/2020.03.25.009084. </w:t>
      </w:r>
    </w:p>
    <w:p w14:paraId="7FABE2EA" w14:textId="77777777" w:rsidR="00DC1B5A" w:rsidRPr="006B5EB3" w:rsidRDefault="00DC1B5A" w:rsidP="006B5EB3">
      <w:pPr>
        <w:pStyle w:val="ListParagraph"/>
        <w:numPr>
          <w:ilvl w:val="0"/>
          <w:numId w:val="12"/>
        </w:numPr>
        <w:rPr>
          <w:rFonts w:eastAsia="Times New Roman"/>
        </w:rPr>
      </w:pPr>
      <w:proofErr w:type="spellStart"/>
      <w:r w:rsidRPr="006B5EB3">
        <w:rPr>
          <w:rFonts w:eastAsia="Times New Roman"/>
        </w:rPr>
        <w:t>Inciardi</w:t>
      </w:r>
      <w:proofErr w:type="spellEnd"/>
      <w:r w:rsidRPr="006B5EB3">
        <w:rPr>
          <w:rFonts w:eastAsia="Times New Roman"/>
        </w:rPr>
        <w:t xml:space="preserve"> RM, </w:t>
      </w:r>
      <w:proofErr w:type="spellStart"/>
      <w:r w:rsidRPr="006B5EB3">
        <w:rPr>
          <w:rFonts w:eastAsia="Times New Roman"/>
        </w:rPr>
        <w:t>Lupi</w:t>
      </w:r>
      <w:proofErr w:type="spellEnd"/>
      <w:r w:rsidRPr="006B5EB3">
        <w:rPr>
          <w:rFonts w:eastAsia="Times New Roman"/>
        </w:rPr>
        <w:t xml:space="preserve"> L, Zaccone G, Italia L, </w:t>
      </w:r>
      <w:proofErr w:type="spellStart"/>
      <w:r w:rsidRPr="006B5EB3">
        <w:rPr>
          <w:rFonts w:eastAsia="Times New Roman"/>
        </w:rPr>
        <w:t>Raffo</w:t>
      </w:r>
      <w:proofErr w:type="spellEnd"/>
      <w:r w:rsidRPr="006B5EB3">
        <w:rPr>
          <w:rFonts w:eastAsia="Times New Roman"/>
        </w:rPr>
        <w:t xml:space="preserve"> M, </w:t>
      </w:r>
      <w:proofErr w:type="spellStart"/>
      <w:r w:rsidRPr="006B5EB3">
        <w:rPr>
          <w:rFonts w:eastAsia="Times New Roman"/>
        </w:rPr>
        <w:t>Tomasoni</w:t>
      </w:r>
      <w:proofErr w:type="spellEnd"/>
      <w:r w:rsidRPr="006B5EB3">
        <w:rPr>
          <w:rFonts w:eastAsia="Times New Roman"/>
        </w:rPr>
        <w:t xml:space="preserve"> D et al. Cardiac involvement in a patient with coronavirus disease 2019 (COVID-19). </w:t>
      </w:r>
      <w:r w:rsidRPr="004F5B72">
        <w:rPr>
          <w:rStyle w:val="Emphasis"/>
          <w:rFonts w:eastAsia="Times New Roman"/>
          <w:b w:val="0"/>
        </w:rPr>
        <w:t xml:space="preserve">JAMA </w:t>
      </w:r>
      <w:proofErr w:type="spellStart"/>
      <w:r w:rsidRPr="004F5B72">
        <w:rPr>
          <w:rStyle w:val="Emphasis"/>
          <w:rFonts w:eastAsia="Times New Roman"/>
          <w:b w:val="0"/>
        </w:rPr>
        <w:t>Cardiol</w:t>
      </w:r>
      <w:proofErr w:type="spellEnd"/>
      <w:r w:rsidRPr="006B5EB3">
        <w:rPr>
          <w:rFonts w:eastAsia="Times New Roman"/>
        </w:rPr>
        <w:t xml:space="preserve">. 2020. doi: https://doi.org/10.1001/jamacardio.2020.1096. </w:t>
      </w:r>
    </w:p>
    <w:p w14:paraId="002D175C"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Guo T, Fan Y, Chen M, Wu X, Zhang L, He T et al. Cardiovascular implications of fatal outcomes of patients with coronavirus disease 2019 (COVID-19). </w:t>
      </w:r>
      <w:r w:rsidRPr="004F5B72">
        <w:rPr>
          <w:rStyle w:val="Emphasis"/>
          <w:rFonts w:eastAsia="Times New Roman"/>
          <w:b w:val="0"/>
        </w:rPr>
        <w:t xml:space="preserve">JAMA </w:t>
      </w:r>
      <w:proofErr w:type="spellStart"/>
      <w:r w:rsidRPr="004F5B72">
        <w:rPr>
          <w:rStyle w:val="Emphasis"/>
          <w:rFonts w:eastAsia="Times New Roman"/>
          <w:b w:val="0"/>
        </w:rPr>
        <w:t>Cardiol</w:t>
      </w:r>
      <w:proofErr w:type="spellEnd"/>
      <w:r w:rsidRPr="006B5EB3">
        <w:rPr>
          <w:rFonts w:eastAsia="Times New Roman"/>
        </w:rPr>
        <w:t xml:space="preserve">. 2020. doi: https://doi.org/10.1001/jamacardio.2020.1017. </w:t>
      </w:r>
    </w:p>
    <w:p w14:paraId="5CE5CAB5" w14:textId="77777777" w:rsidR="00DC1B5A" w:rsidRPr="006B5EB3" w:rsidRDefault="00DC1B5A" w:rsidP="006B5EB3">
      <w:pPr>
        <w:pStyle w:val="ListParagraph"/>
        <w:numPr>
          <w:ilvl w:val="0"/>
          <w:numId w:val="12"/>
        </w:numPr>
        <w:rPr>
          <w:rFonts w:eastAsia="Times New Roman"/>
        </w:rPr>
      </w:pPr>
      <w:proofErr w:type="spellStart"/>
      <w:r w:rsidRPr="006B5EB3">
        <w:rPr>
          <w:rFonts w:eastAsia="Times New Roman"/>
        </w:rPr>
        <w:t>Madjid</w:t>
      </w:r>
      <w:proofErr w:type="spellEnd"/>
      <w:r w:rsidRPr="006B5EB3">
        <w:rPr>
          <w:rFonts w:eastAsia="Times New Roman"/>
        </w:rPr>
        <w:t xml:space="preserve"> M, </w:t>
      </w:r>
      <w:proofErr w:type="spellStart"/>
      <w:r w:rsidRPr="006B5EB3">
        <w:rPr>
          <w:rFonts w:eastAsia="Times New Roman"/>
        </w:rPr>
        <w:t>Safavi-Naeini</w:t>
      </w:r>
      <w:proofErr w:type="spellEnd"/>
      <w:r w:rsidRPr="006B5EB3">
        <w:rPr>
          <w:rFonts w:eastAsia="Times New Roman"/>
        </w:rPr>
        <w:t xml:space="preserve"> P, Solomon SD, </w:t>
      </w:r>
      <w:proofErr w:type="spellStart"/>
      <w:r w:rsidRPr="006B5EB3">
        <w:rPr>
          <w:rFonts w:eastAsia="Times New Roman"/>
        </w:rPr>
        <w:t>Vardeny</w:t>
      </w:r>
      <w:proofErr w:type="spellEnd"/>
      <w:r w:rsidRPr="006B5EB3">
        <w:rPr>
          <w:rFonts w:eastAsia="Times New Roman"/>
        </w:rPr>
        <w:t xml:space="preserve"> O. Potential effects of coronaviruses on the cardiovascular system: a review. </w:t>
      </w:r>
      <w:r w:rsidRPr="004F5B72">
        <w:rPr>
          <w:rStyle w:val="Emphasis"/>
          <w:rFonts w:eastAsia="Times New Roman"/>
          <w:b w:val="0"/>
        </w:rPr>
        <w:t xml:space="preserve">JAMA </w:t>
      </w:r>
      <w:proofErr w:type="spellStart"/>
      <w:r w:rsidRPr="004F5B72">
        <w:rPr>
          <w:rStyle w:val="Emphasis"/>
          <w:rFonts w:eastAsia="Times New Roman"/>
          <w:b w:val="0"/>
        </w:rPr>
        <w:t>Cardiol</w:t>
      </w:r>
      <w:proofErr w:type="spellEnd"/>
      <w:r w:rsidRPr="006B5EB3">
        <w:rPr>
          <w:rFonts w:eastAsia="Times New Roman"/>
        </w:rPr>
        <w:t xml:space="preserve">. 2020. doi: https://doi.org/10.1001/jamacardio.2020.1286. </w:t>
      </w:r>
    </w:p>
    <w:p w14:paraId="769E7AFD" w14:textId="77777777" w:rsidR="00DC1B5A" w:rsidRPr="006B5EB3" w:rsidRDefault="00DC1B5A" w:rsidP="006B5EB3">
      <w:pPr>
        <w:pStyle w:val="ListParagraph"/>
        <w:numPr>
          <w:ilvl w:val="0"/>
          <w:numId w:val="12"/>
        </w:numPr>
        <w:rPr>
          <w:rFonts w:eastAsia="Times New Roman"/>
        </w:rPr>
      </w:pPr>
      <w:proofErr w:type="spellStart"/>
      <w:r w:rsidRPr="006B5EB3">
        <w:rPr>
          <w:rFonts w:eastAsia="Times New Roman"/>
        </w:rPr>
        <w:t>Riphagen</w:t>
      </w:r>
      <w:proofErr w:type="spellEnd"/>
      <w:r w:rsidRPr="006B5EB3">
        <w:rPr>
          <w:rFonts w:eastAsia="Times New Roman"/>
        </w:rPr>
        <w:t xml:space="preserve"> S, Gomez X, Gonzalez-Martinez C, Wilkinson N, </w:t>
      </w:r>
      <w:proofErr w:type="spellStart"/>
      <w:r w:rsidRPr="006B5EB3">
        <w:rPr>
          <w:rFonts w:eastAsia="Times New Roman"/>
        </w:rPr>
        <w:t>Theocharis</w:t>
      </w:r>
      <w:proofErr w:type="spellEnd"/>
      <w:r w:rsidRPr="006B5EB3">
        <w:rPr>
          <w:rFonts w:eastAsia="Times New Roman"/>
        </w:rPr>
        <w:t xml:space="preserve"> P. Hyperinflammatory shock in children during COVID-19 pandemic. </w:t>
      </w:r>
      <w:r w:rsidRPr="004F5B72">
        <w:rPr>
          <w:rStyle w:val="Emphasis"/>
          <w:rFonts w:eastAsia="Times New Roman"/>
          <w:b w:val="0"/>
        </w:rPr>
        <w:t>Lancet</w:t>
      </w:r>
      <w:r w:rsidRPr="006B5EB3">
        <w:rPr>
          <w:rFonts w:eastAsia="Times New Roman"/>
        </w:rPr>
        <w:t xml:space="preserve">. 2020. doi: https://doi.org/10.1016/S0140-6736(20)31094-1. </w:t>
      </w:r>
    </w:p>
    <w:p w14:paraId="38E12017" w14:textId="77777777" w:rsidR="00DC1B5A" w:rsidRPr="006B5EB3" w:rsidRDefault="00DC1B5A" w:rsidP="006B5EB3">
      <w:pPr>
        <w:pStyle w:val="ListParagraph"/>
        <w:numPr>
          <w:ilvl w:val="0"/>
          <w:numId w:val="12"/>
        </w:numPr>
        <w:rPr>
          <w:rFonts w:eastAsia="Times New Roman"/>
        </w:rPr>
      </w:pPr>
      <w:proofErr w:type="spellStart"/>
      <w:r w:rsidRPr="006B5EB3">
        <w:rPr>
          <w:rFonts w:eastAsia="Times New Roman"/>
        </w:rPr>
        <w:t>Morand</w:t>
      </w:r>
      <w:proofErr w:type="spellEnd"/>
      <w:r w:rsidRPr="006B5EB3">
        <w:rPr>
          <w:rFonts w:eastAsia="Times New Roman"/>
        </w:rPr>
        <w:t xml:space="preserve"> A, Urbina D, Fabre A. COVID-19 and Kawasaki like disease: the known-known, the unknown-known and the unknown-unknown. </w:t>
      </w:r>
      <w:r w:rsidRPr="004F5B72">
        <w:rPr>
          <w:rStyle w:val="Emphasis"/>
          <w:rFonts w:eastAsia="Times New Roman"/>
          <w:b w:val="0"/>
        </w:rPr>
        <w:t>Preprints</w:t>
      </w:r>
      <w:r w:rsidRPr="006B5EB3">
        <w:rPr>
          <w:rFonts w:eastAsia="Times New Roman"/>
        </w:rPr>
        <w:t xml:space="preserve">. 2020;2020050160. doi: https://doi.org/10.20944/preprints202005.0160.v1. </w:t>
      </w:r>
    </w:p>
    <w:p w14:paraId="2F98E6A7" w14:textId="77777777" w:rsidR="00DC1B5A" w:rsidRPr="006B5EB3" w:rsidRDefault="00DC1B5A" w:rsidP="006B5EB3">
      <w:pPr>
        <w:pStyle w:val="ListParagraph"/>
        <w:numPr>
          <w:ilvl w:val="0"/>
          <w:numId w:val="12"/>
        </w:numPr>
        <w:rPr>
          <w:rFonts w:eastAsia="Times New Roman"/>
        </w:rPr>
      </w:pPr>
      <w:r w:rsidRPr="006B5EB3">
        <w:rPr>
          <w:rFonts w:eastAsia="Times New Roman"/>
        </w:rPr>
        <w:t>WHO. Clinical management of severe acute respiratory infection when novel coronavirus (</w:t>
      </w:r>
      <w:proofErr w:type="spellStart"/>
      <w:r w:rsidRPr="006B5EB3">
        <w:rPr>
          <w:rFonts w:eastAsia="Times New Roman"/>
        </w:rPr>
        <w:t>nCoV</w:t>
      </w:r>
      <w:proofErr w:type="spellEnd"/>
      <w:r w:rsidRPr="006B5EB3">
        <w:rPr>
          <w:rFonts w:eastAsia="Times New Roman"/>
        </w:rPr>
        <w:t xml:space="preserve">) infection is suspected. [Internet.] Geneva: WHO; 2020. [Accessed 23 Feb 2020.] Available from: https://www.who.int/publications-detail/clinical-management-of-severe-acute-respiratory-infection-when-novel-coronavirus-(ncov)-infection-is-suspected. </w:t>
      </w:r>
    </w:p>
    <w:p w14:paraId="17D55569" w14:textId="77777777" w:rsidR="00DC1B5A" w:rsidRPr="006B5EB3" w:rsidRDefault="00DC1B5A" w:rsidP="006B5EB3">
      <w:pPr>
        <w:pStyle w:val="ListParagraph"/>
        <w:numPr>
          <w:ilvl w:val="0"/>
          <w:numId w:val="12"/>
        </w:numPr>
        <w:rPr>
          <w:rFonts w:eastAsia="Times New Roman"/>
        </w:rPr>
      </w:pPr>
      <w:r w:rsidRPr="006B5EB3">
        <w:rPr>
          <w:rFonts w:eastAsia="Times New Roman"/>
        </w:rPr>
        <w:lastRenderedPageBreak/>
        <w:t xml:space="preserve">Harrison C. Coronavirus puts drug re-purposing on the fast track. </w:t>
      </w:r>
      <w:r w:rsidRPr="004F5B72">
        <w:rPr>
          <w:rStyle w:val="Emphasis"/>
          <w:rFonts w:eastAsia="Times New Roman"/>
          <w:b w:val="0"/>
        </w:rPr>
        <w:t xml:space="preserve">Nat </w:t>
      </w:r>
      <w:proofErr w:type="spellStart"/>
      <w:r w:rsidRPr="004F5B72">
        <w:rPr>
          <w:rStyle w:val="Emphasis"/>
          <w:rFonts w:eastAsia="Times New Roman"/>
          <w:b w:val="0"/>
        </w:rPr>
        <w:t>Biotechnol</w:t>
      </w:r>
      <w:proofErr w:type="spellEnd"/>
      <w:r w:rsidRPr="006B5EB3">
        <w:rPr>
          <w:rFonts w:eastAsia="Times New Roman"/>
        </w:rPr>
        <w:t xml:space="preserve">. 2020. doi: https://doi.org/10.1038/d41587-020-00003-1. </w:t>
      </w:r>
    </w:p>
    <w:p w14:paraId="6E3A4E38"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Wang M, Cao R, Zhang L, Yang X, Liu J, Xu M et al. Remdesivir and chloroquine effectively inhibit the recently emerged novel coronavirus (2019-nCoV) in vitro. </w:t>
      </w:r>
      <w:r w:rsidRPr="004F5B72">
        <w:rPr>
          <w:rStyle w:val="Emphasis"/>
          <w:rFonts w:eastAsia="Times New Roman"/>
          <w:b w:val="0"/>
        </w:rPr>
        <w:t>Cell Research</w:t>
      </w:r>
      <w:r w:rsidRPr="006B5EB3">
        <w:rPr>
          <w:rFonts w:eastAsia="Times New Roman"/>
        </w:rPr>
        <w:t xml:space="preserve">. 2020;30;269–71. </w:t>
      </w:r>
    </w:p>
    <w:p w14:paraId="4DD7B992"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Tang W, Cao Z, Han M, Wang Z, Chen W, Sun W et al. Hydroxychloroquine in patients with mainly mild to moderate coronavirus disease 2019: open label, randomised controlled trial. </w:t>
      </w:r>
      <w:r w:rsidRPr="004F5B72">
        <w:rPr>
          <w:rStyle w:val="Emphasis"/>
          <w:rFonts w:eastAsia="Times New Roman"/>
          <w:b w:val="0"/>
        </w:rPr>
        <w:t>BMJ</w:t>
      </w:r>
      <w:r w:rsidRPr="006B5EB3">
        <w:rPr>
          <w:rFonts w:eastAsia="Times New Roman"/>
        </w:rPr>
        <w:t xml:space="preserve">. 2020. doi: https://doi.org/10.1136/bmj.m1849. </w:t>
      </w:r>
    </w:p>
    <w:p w14:paraId="67F7005C" w14:textId="77777777" w:rsidR="00DC1B5A" w:rsidRPr="006B5EB3" w:rsidRDefault="00DC1B5A" w:rsidP="006B5EB3">
      <w:pPr>
        <w:pStyle w:val="ListParagraph"/>
        <w:numPr>
          <w:ilvl w:val="0"/>
          <w:numId w:val="12"/>
        </w:numPr>
        <w:rPr>
          <w:rFonts w:eastAsia="Times New Roman"/>
        </w:rPr>
      </w:pPr>
      <w:r w:rsidRPr="006B5EB3">
        <w:rPr>
          <w:rFonts w:eastAsia="Times New Roman"/>
        </w:rPr>
        <w:t>Cao B, Wang Y, Wen D, Liu W, Wang J, Fan G et al. A trial of lopinavir–ritonavir in adults hospitalized with severe Covid-19.</w:t>
      </w:r>
      <w:r w:rsidRPr="004F5B72">
        <w:rPr>
          <w:rStyle w:val="Emphasis"/>
          <w:rFonts w:eastAsia="Times New Roman"/>
          <w:b w:val="0"/>
        </w:rPr>
        <w:t xml:space="preserve"> N Engl J Med</w:t>
      </w:r>
      <w:r w:rsidRPr="006B5EB3">
        <w:rPr>
          <w:rFonts w:eastAsia="Times New Roman"/>
        </w:rPr>
        <w:t xml:space="preserve">. 2020;382:1787–99. </w:t>
      </w:r>
    </w:p>
    <w:p w14:paraId="09D5BFF6"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National Institute of Allergy and Infectious Diseases (NIAID). NIH Clinical Trial Shows Remdesivir Accelerates Recovery from Advanced COVID-19. [Internet.] Bethesda: Government of the United States of America, National Institutes of </w:t>
      </w:r>
      <w:proofErr w:type="spellStart"/>
      <w:r w:rsidRPr="006B5EB3">
        <w:rPr>
          <w:rFonts w:eastAsia="Times New Roman"/>
        </w:rPr>
        <w:t>Heath</w:t>
      </w:r>
      <w:proofErr w:type="spellEnd"/>
      <w:r w:rsidRPr="006B5EB3">
        <w:rPr>
          <w:rFonts w:eastAsia="Times New Roman"/>
        </w:rPr>
        <w:t xml:space="preserve">, NIAID; 2020. [Accessed on 19 May 2020.] Available from: https://www.niaid.nih.gov/news-events/nih-clinical-trial-shows-remdesivir-accelerates-recovery-advanced-covid-19. </w:t>
      </w:r>
    </w:p>
    <w:p w14:paraId="6832017A" w14:textId="77777777" w:rsidR="00DC1B5A" w:rsidRPr="006B5EB3" w:rsidRDefault="00DC1B5A" w:rsidP="006B5EB3">
      <w:pPr>
        <w:pStyle w:val="ListParagraph"/>
        <w:numPr>
          <w:ilvl w:val="0"/>
          <w:numId w:val="12"/>
        </w:numPr>
        <w:rPr>
          <w:rFonts w:eastAsia="Times New Roman"/>
        </w:rPr>
      </w:pPr>
      <w:r w:rsidRPr="006B5EB3">
        <w:rPr>
          <w:rFonts w:eastAsia="Times New Roman"/>
        </w:rPr>
        <w:t xml:space="preserve">Wang Y, Zhang D, Du G, Du R, Zhao J, Jin Y et al. Remdesivir in adults with severe COVID-19: a randomised, double-blind, placebo-controlled, multicentre trial. </w:t>
      </w:r>
      <w:r w:rsidRPr="004F5B72">
        <w:rPr>
          <w:rStyle w:val="Emphasis"/>
          <w:rFonts w:eastAsia="Times New Roman"/>
          <w:b w:val="0"/>
        </w:rPr>
        <w:t>Lancet</w:t>
      </w:r>
      <w:r w:rsidRPr="006B5EB3">
        <w:rPr>
          <w:rFonts w:eastAsia="Times New Roman"/>
        </w:rPr>
        <w:t xml:space="preserve">. 2020;395(10236);1569–78. </w:t>
      </w:r>
    </w:p>
    <w:p w14:paraId="616F9F9A" w14:textId="77777777" w:rsidR="00DC1B5A" w:rsidRPr="006B5EB3" w:rsidRDefault="00DC1B5A" w:rsidP="006B5EB3">
      <w:pPr>
        <w:pStyle w:val="ListParagraph"/>
        <w:numPr>
          <w:ilvl w:val="0"/>
          <w:numId w:val="12"/>
        </w:numPr>
        <w:rPr>
          <w:rFonts w:eastAsia="Times New Roman"/>
        </w:rPr>
      </w:pPr>
      <w:r w:rsidRPr="006B5EB3">
        <w:rPr>
          <w:rFonts w:eastAsia="Times New Roman"/>
        </w:rPr>
        <w:t>University of Oxford. Low-cost dexamethasone reduces death by up to one third in hospitalised patients with severe respiratory complications of COVID-19. [News release.] Oxford: University of Oxford; 16 June 2020. [Accessed on 24 June 2020.] Available from: https://www.recoverytrial.net/files/recovery_dexamethasone_statement_160620_final.pdf.</w:t>
      </w:r>
    </w:p>
    <w:p w14:paraId="124AC192" w14:textId="77777777" w:rsidR="004F5B72" w:rsidRDefault="004F5B72">
      <w:pPr>
        <w:rPr>
          <w:rFonts w:asciiTheme="majorHAnsi" w:eastAsiaTheme="majorEastAsia" w:hAnsiTheme="majorHAnsi" w:cstheme="majorBidi"/>
          <w:b/>
          <w:bCs/>
          <w:sz w:val="32"/>
          <w:szCs w:val="28"/>
        </w:rPr>
      </w:pPr>
      <w:r>
        <w:br w:type="page"/>
      </w:r>
    </w:p>
    <w:p w14:paraId="58F0C3B9" w14:textId="77777777" w:rsidR="00DC1B5A" w:rsidRPr="006B5EB3" w:rsidRDefault="00DC1B5A" w:rsidP="006B5EB3">
      <w:pPr>
        <w:pStyle w:val="Heading1"/>
      </w:pPr>
      <w:r w:rsidRPr="006B5EB3">
        <w:lastRenderedPageBreak/>
        <w:t xml:space="preserve">Appendix A: Background </w:t>
      </w:r>
    </w:p>
    <w:p w14:paraId="27916733" w14:textId="77777777" w:rsidR="00DC1B5A" w:rsidRDefault="00DC1B5A" w:rsidP="006B5EB3">
      <w:r>
        <w:t xml:space="preserve">The current estimates on epidemiological parameters including severity, transmissibility and incubation period are uncertain. Estimates are likely to change as more information becomes available. </w:t>
      </w:r>
    </w:p>
    <w:p w14:paraId="1030E4F3" w14:textId="77777777" w:rsidR="00DC1B5A" w:rsidRPr="006B5EB3" w:rsidRDefault="00DC1B5A" w:rsidP="006B5EB3">
      <w:pPr>
        <w:pStyle w:val="Heading2"/>
      </w:pPr>
      <w:r w:rsidRPr="006B5EB3">
        <w:t xml:space="preserve">Transmission </w:t>
      </w:r>
    </w:p>
    <w:p w14:paraId="3ECBF473" w14:textId="77777777" w:rsidR="00DC1B5A" w:rsidRDefault="00DC1B5A" w:rsidP="006B5EB3">
      <w:r>
        <w:t>Human-to-human transmission of SARS-CoV-2 is via droplets and fomites from an infected person to a close contact.</w:t>
      </w:r>
      <w:r>
        <w:rPr>
          <w:vertAlign w:val="superscript"/>
        </w:rPr>
        <w:t>23</w:t>
      </w:r>
      <w:r>
        <w:t xml:space="preserve"> Several studies have detected that viral RNA levels peak in the first week of illness, suggesting transmission is most likely to occur early in the illness with infectivity gradually decreasing over time.</w:t>
      </w:r>
      <w:r>
        <w:rPr>
          <w:vertAlign w:val="superscript"/>
        </w:rPr>
        <w:t xml:space="preserve">24 </w:t>
      </w:r>
      <w:r>
        <w:t>In a Taiwanese study examining over 2,500 close contacts of 100 patients with COVID-19, all 22 secondary cases had their first exposure to the index case within six days of symptom onset. No infections were documented in the 850 contacts whose exposure was after six days.</w:t>
      </w:r>
      <w:r>
        <w:rPr>
          <w:vertAlign w:val="superscript"/>
        </w:rPr>
        <w:t>25</w:t>
      </w:r>
      <w:r>
        <w:t xml:space="preserve"> </w:t>
      </w:r>
    </w:p>
    <w:p w14:paraId="316DC621" w14:textId="77777777" w:rsidR="00DC1B5A" w:rsidRDefault="00DC1B5A" w:rsidP="006B5EB3">
      <w:r>
        <w:t>Viral RNA has been identified in respiratory track specimens 1–2 days prior to symptom onset, and has been observed after symptom cessation.</w:t>
      </w:r>
      <w:r>
        <w:rPr>
          <w:vertAlign w:val="superscript"/>
        </w:rPr>
        <w:t>24</w:t>
      </w:r>
      <w:r>
        <w:t xml:space="preserve"> In 50% of the patients, seroconversion occurred after seven days with a range of up to 14 days; this seroconversion was not followed by a rapid decline in viral load.</w:t>
      </w:r>
      <w:r>
        <w:rPr>
          <w:vertAlign w:val="superscript"/>
        </w:rPr>
        <w:t>24</w:t>
      </w:r>
      <w:r>
        <w:t xml:space="preserve"> However, the detection of viral RNA does not always correlate with transmission risk. A study of nine patients with mild COVID-19 infection found infectious virus was not able to be isolated from </w:t>
      </w:r>
      <w:proofErr w:type="spellStart"/>
      <w:r>
        <w:t>naso</w:t>
      </w:r>
      <w:proofErr w:type="spellEnd"/>
      <w:r>
        <w:t>/oropharyngeal and sputum samples after the first 8 days of illness, despite continued high viral RNA levels.</w:t>
      </w:r>
      <w:r>
        <w:rPr>
          <w:vertAlign w:val="superscript"/>
        </w:rPr>
        <w:t>24</w:t>
      </w:r>
      <w:r>
        <w:t xml:space="preserve"> Recent analysis from the Korea Centres for Disease Control and Prevention of cases who tested positive after previously being cleared from isolation found live virus was unable to be cultured from any cases selected for testing (n = 108).</w:t>
      </w:r>
      <w:r>
        <w:rPr>
          <w:vertAlign w:val="superscript"/>
        </w:rPr>
        <w:t>26</w:t>
      </w:r>
      <w:r>
        <w:t xml:space="preserve"> </w:t>
      </w:r>
    </w:p>
    <w:p w14:paraId="5B56BE79" w14:textId="77777777" w:rsidR="00DC1B5A" w:rsidRDefault="00DC1B5A" w:rsidP="006B5EB3">
      <w:r>
        <w:t>Several studies suggests that children do not play a key role in transmission and are unlikely to be the primary source of infections.</w:t>
      </w:r>
      <w:r>
        <w:rPr>
          <w:vertAlign w:val="superscript"/>
        </w:rPr>
        <w:t>27</w:t>
      </w:r>
      <w:r>
        <w:t xml:space="preserve"> Studies out of the EU have suggested that child to adult transmission is uncommon.</w:t>
      </w:r>
      <w:r>
        <w:rPr>
          <w:vertAlign w:val="superscript"/>
        </w:rPr>
        <w:t>28,29</w:t>
      </w:r>
      <w:r>
        <w:t xml:space="preserve"> </w:t>
      </w:r>
    </w:p>
    <w:p w14:paraId="29D603AC" w14:textId="77777777" w:rsidR="00DC1B5A" w:rsidRDefault="00DC1B5A" w:rsidP="006B5EB3">
      <w:r>
        <w:t>Current evidence does not support airborne or faecal-oral spread as major factors in transmission.</w:t>
      </w:r>
      <w:r>
        <w:rPr>
          <w:vertAlign w:val="superscript"/>
        </w:rPr>
        <w:t>23</w:t>
      </w:r>
      <w:r>
        <w:t xml:space="preserve"> </w:t>
      </w:r>
    </w:p>
    <w:p w14:paraId="12579D8D" w14:textId="77777777" w:rsidR="00DC1B5A" w:rsidRPr="006B5EB3" w:rsidRDefault="00DC1B5A" w:rsidP="006B5EB3">
      <w:pPr>
        <w:pStyle w:val="Heading2"/>
      </w:pPr>
      <w:r w:rsidRPr="006B5EB3">
        <w:t xml:space="preserve">Incubation period </w:t>
      </w:r>
    </w:p>
    <w:p w14:paraId="4643E950" w14:textId="77777777" w:rsidR="00DC1B5A" w:rsidRDefault="00DC1B5A" w:rsidP="006B5EB3">
      <w:r>
        <w:t>Estimates of median incubation period, based on seven published studies, are 5 to 6 days (ranging from 1 to 14 days). Patients with long incubation periods do occasionally occur; however, they are likely to be ‘outliers’ who should be studied further but who are unlikely to represent a change in epidemiology of the virus.</w:t>
      </w:r>
      <w:r>
        <w:rPr>
          <w:vertAlign w:val="superscript"/>
        </w:rPr>
        <w:t>30,</w:t>
      </w:r>
      <w:proofErr w:type="gramStart"/>
      <w:r>
        <w:rPr>
          <w:vertAlign w:val="superscript"/>
        </w:rPr>
        <w:t>31</w:t>
      </w:r>
      <w:proofErr w:type="gramEnd"/>
      <w:r>
        <w:t xml:space="preserve"> </w:t>
      </w:r>
    </w:p>
    <w:p w14:paraId="365A79A8" w14:textId="77777777" w:rsidR="00DC1B5A" w:rsidRPr="006B5EB3" w:rsidRDefault="00DC1B5A" w:rsidP="006B5EB3">
      <w:pPr>
        <w:pStyle w:val="Heading2"/>
      </w:pPr>
      <w:r w:rsidRPr="006B5EB3">
        <w:t xml:space="preserve">Molecular epidemiology </w:t>
      </w:r>
    </w:p>
    <w:p w14:paraId="47F9E278" w14:textId="77777777" w:rsidR="00DC1B5A" w:rsidRDefault="00DC1B5A" w:rsidP="006B5EB3">
      <w:r>
        <w:t>Since December 2019, the virus has diversified into multiple lineages as it has spread globally, with some degree of geographical clustering. The whole genome sequences currently available from Australian cases are dispersed across these lineages, reflecting multiple concurrent introductions into Australia.</w:t>
      </w:r>
      <w:r>
        <w:rPr>
          <w:vertAlign w:val="superscript"/>
        </w:rPr>
        <w:t>32–34</w:t>
      </w:r>
      <w:r>
        <w:t xml:space="preserve"> Multiple genomic clusters, closely related sequences reflecting local transmission chains, have also been identified in Australia.</w:t>
      </w:r>
      <w:r>
        <w:rPr>
          <w:vertAlign w:val="superscript"/>
        </w:rPr>
        <w:t>32,33</w:t>
      </w:r>
      <w:r>
        <w:t xml:space="preserve"> Genomic epidemiology has successfully been used to link many cases that were epidemiologically classified as ‘locally-acquired – contact not identified’ to known genomic clusters, highlighting the utility of virus sequencing to informing the public health response.</w:t>
      </w:r>
      <w:r>
        <w:rPr>
          <w:vertAlign w:val="superscript"/>
        </w:rPr>
        <w:t>32,33</w:t>
      </w:r>
      <w:r>
        <w:t xml:space="preserve"> </w:t>
      </w:r>
    </w:p>
    <w:p w14:paraId="5871F786" w14:textId="77777777" w:rsidR="00DC1B5A" w:rsidRPr="006B5EB3" w:rsidRDefault="00DC1B5A" w:rsidP="006B5EB3">
      <w:pPr>
        <w:pStyle w:val="Heading2"/>
      </w:pPr>
      <w:r w:rsidRPr="006B5EB3">
        <w:t xml:space="preserve">Clinical features </w:t>
      </w:r>
    </w:p>
    <w:p w14:paraId="2731B908" w14:textId="77777777" w:rsidR="00DC1B5A" w:rsidRDefault="00DC1B5A" w:rsidP="00F75AD7">
      <w:r>
        <w:t>COVID-19 presents as mild illness in the majority of cases, with cough and fever being the most commonly reported symptoms. Severe or fatal outcomes are more likely to occur in the elderly or those with comorbid conditions.</w:t>
      </w:r>
      <w:r>
        <w:rPr>
          <w:vertAlign w:val="superscript"/>
        </w:rPr>
        <w:t>23,</w:t>
      </w:r>
      <w:proofErr w:type="gramStart"/>
      <w:r>
        <w:rPr>
          <w:vertAlign w:val="superscript"/>
        </w:rPr>
        <w:t>35</w:t>
      </w:r>
      <w:proofErr w:type="gramEnd"/>
      <w:r>
        <w:rPr>
          <w:vertAlign w:val="superscript"/>
        </w:rPr>
        <w:t xml:space="preserve"> </w:t>
      </w:r>
    </w:p>
    <w:p w14:paraId="39942A38" w14:textId="77777777" w:rsidR="00DC1B5A" w:rsidRDefault="00DC1B5A" w:rsidP="00F75AD7">
      <w:r>
        <w:t>Some COVID-19 patients show neurological signs such as headache, nausea and vomiting. There is evidence that SARS-CoV-2 viruses are not always confined to the respiratory tract and may invade the central nervous system inducing neurological symptoms. As such, it is possible that invasion of the central nervous system is partially responsible for the acute respiratory failure of COVID-19 patients.</w:t>
      </w:r>
      <w:r>
        <w:rPr>
          <w:vertAlign w:val="superscript"/>
        </w:rPr>
        <w:t xml:space="preserve">36 </w:t>
      </w:r>
    </w:p>
    <w:p w14:paraId="042476AC" w14:textId="77777777" w:rsidR="00DC1B5A" w:rsidRDefault="00DC1B5A" w:rsidP="00F75AD7">
      <w:r>
        <w:lastRenderedPageBreak/>
        <w:t>There is some evidence to suggest that impairment or loss of the sense of smell (hyposmia/anosmia) or taste (</w:t>
      </w:r>
      <w:proofErr w:type="spellStart"/>
      <w:r>
        <w:t>hypoguesia</w:t>
      </w:r>
      <w:proofErr w:type="spellEnd"/>
      <w:r>
        <w:t>/</w:t>
      </w:r>
      <w:proofErr w:type="spellStart"/>
      <w:r>
        <w:t>aguesia</w:t>
      </w:r>
      <w:proofErr w:type="spellEnd"/>
      <w:r>
        <w:t>) is associated with COVID-19.</w:t>
      </w:r>
      <w:r>
        <w:rPr>
          <w:vertAlign w:val="superscript"/>
        </w:rPr>
        <w:t>37,38</w:t>
      </w:r>
      <w:r>
        <w:t xml:space="preserve"> This is supported by research finding a biological mechanism for the SARS-CoV-2 virus to cause olfactory dysfunction.</w:t>
      </w:r>
      <w:r>
        <w:rPr>
          <w:vertAlign w:val="superscript"/>
        </w:rPr>
        <w:t>39,</w:t>
      </w:r>
      <w:proofErr w:type="gramStart"/>
      <w:r>
        <w:rPr>
          <w:vertAlign w:val="superscript"/>
        </w:rPr>
        <w:t>40</w:t>
      </w:r>
      <w:proofErr w:type="gramEnd"/>
      <w:r>
        <w:rPr>
          <w:vertAlign w:val="superscript"/>
        </w:rPr>
        <w:t xml:space="preserve"> </w:t>
      </w:r>
    </w:p>
    <w:p w14:paraId="05E94D2D" w14:textId="77777777" w:rsidR="00DC1B5A" w:rsidRDefault="00DC1B5A" w:rsidP="00F75AD7">
      <w:r>
        <w:t>Several studies have identified cardiovascular implications resulting from COVID-19.</w:t>
      </w:r>
      <w:r>
        <w:rPr>
          <w:vertAlign w:val="superscript"/>
        </w:rPr>
        <w:t>41–43</w:t>
      </w:r>
      <w:r>
        <w:t xml:space="preserve"> Vascular inflammation has been observed in a number of cases and may be a potential mechanism for myocardial injury which can result in cardiac dysfunction and arrhythmias. </w:t>
      </w:r>
    </w:p>
    <w:p w14:paraId="62425CA9" w14:textId="77777777" w:rsidR="00DC1B5A" w:rsidRDefault="00DC1B5A" w:rsidP="00F75AD7">
      <w:r>
        <w:t>COVID-19 disease in children is more likely to be mild and self-limiting, compared to adults. Internationally, children make up a small proportion of confirmed COVID-19 cases, with those shown to be infected either presenting with milder symptoms than adults or remaining asymptomatic, a similar pattern has been observed with SARS and MERS. However, the greater likelihood of mild clinical presentation in children may result in lower testing and case detection in this cohort. Studies have also shown that hospital admission is inversely related to age. From European reporting, death associated with COVID-19 has been rare among those aged less than 15 years, with 4 deaths reported from 44,695 cases, as at 13 May 2020.</w:t>
      </w:r>
      <w:r>
        <w:rPr>
          <w:vertAlign w:val="superscript"/>
        </w:rPr>
        <w:t>29</w:t>
      </w:r>
      <w:r>
        <w:t xml:space="preserve"> </w:t>
      </w:r>
    </w:p>
    <w:p w14:paraId="26E9AAC5" w14:textId="77777777" w:rsidR="00DC1B5A" w:rsidRDefault="00DC1B5A" w:rsidP="00F75AD7">
      <w:r>
        <w:t>There have been reports of a rare clinical presentation of paediatric inflammatory multisystem syndrome resembling Kawasaki disease temporally associated with SARS-CoV-2 infection in children. However, evidence of the association between COVID-19 and the development of a Kawasaki like disease is currently inconclusive and further investigation is needed due to variability in clinical presentations in reported paediatric cases.</w:t>
      </w:r>
      <w:r>
        <w:rPr>
          <w:vertAlign w:val="superscript"/>
        </w:rPr>
        <w:t>44,</w:t>
      </w:r>
      <w:proofErr w:type="gramStart"/>
      <w:r>
        <w:rPr>
          <w:vertAlign w:val="superscript"/>
        </w:rPr>
        <w:t>45</w:t>
      </w:r>
      <w:proofErr w:type="gramEnd"/>
      <w:r>
        <w:rPr>
          <w:vertAlign w:val="superscript"/>
        </w:rPr>
        <w:t xml:space="preserve"> </w:t>
      </w:r>
    </w:p>
    <w:p w14:paraId="6D490634" w14:textId="77777777" w:rsidR="00DC1B5A" w:rsidRPr="00F75AD7" w:rsidRDefault="00DC1B5A" w:rsidP="00F75AD7">
      <w:pPr>
        <w:pStyle w:val="Heading2"/>
      </w:pPr>
      <w:r w:rsidRPr="00F75AD7">
        <w:t xml:space="preserve">Treatment </w:t>
      </w:r>
    </w:p>
    <w:p w14:paraId="257FF366" w14:textId="77777777" w:rsidR="00DC1B5A" w:rsidRDefault="00DC1B5A" w:rsidP="00F75AD7">
      <w:r>
        <w:t>Current clinical management of COVID-19 cases focuses on early recognition, isolation, appropriate infection control measures and provision of supportive care.</w:t>
      </w:r>
      <w:r>
        <w:rPr>
          <w:vertAlign w:val="superscript"/>
        </w:rPr>
        <w:t>46</w:t>
      </w:r>
      <w:r>
        <w:t xml:space="preserve"> Whilst there is no specific antiviral treatment currently recommended for patients with suspected or confirmed SARS-CoV-2 infection, multiple clinical trials are underway to evaluate a number of therapeutic agents, including remdesivir, lopinavir/ritonavir, and chloroquine or hydroxychloroquine.</w:t>
      </w:r>
      <w:r>
        <w:rPr>
          <w:vertAlign w:val="superscript"/>
        </w:rPr>
        <w:t>47,48</w:t>
      </w:r>
      <w:r>
        <w:t xml:space="preserve"> </w:t>
      </w:r>
    </w:p>
    <w:p w14:paraId="38A9694C" w14:textId="77777777" w:rsidR="00DC1B5A" w:rsidRDefault="00DC1B5A" w:rsidP="00F75AD7">
      <w:r>
        <w:t>An open-label randomised controlled trial did not find a significant impact of hydroxychloroquine treatment on disease progression for hospitalised patients with mild to moderate COVID-19, with those receiving treatment also reporting a higher number of adverse events.</w:t>
      </w:r>
      <w:r>
        <w:rPr>
          <w:vertAlign w:val="superscript"/>
        </w:rPr>
        <w:t xml:space="preserve">49 </w:t>
      </w:r>
      <w:r>
        <w:t>Similarly, an open-label randomised controlled trial of lopinavir/ritonavir among hospitalised patients found no benefit for time to clinical improvement.</w:t>
      </w:r>
      <w:r>
        <w:rPr>
          <w:vertAlign w:val="superscript"/>
        </w:rPr>
        <w:t>50</w:t>
      </w:r>
      <w:r>
        <w:t xml:space="preserve"> </w:t>
      </w:r>
    </w:p>
    <w:p w14:paraId="563948E6" w14:textId="77777777" w:rsidR="00DC1B5A" w:rsidRDefault="00DC1B5A" w:rsidP="00F75AD7">
      <w:r>
        <w:t>Results for remdesivir treatment have been mixed, with one randomised double-blind placebo-controlled trial finding patients recovered 31% faster and there was a lower mortality rate (8.0% compared with 11.6% among placebo patients),</w:t>
      </w:r>
      <w:r>
        <w:rPr>
          <w:vertAlign w:val="superscript"/>
        </w:rPr>
        <w:t>51</w:t>
      </w:r>
      <w:r>
        <w:t xml:space="preserve"> while another found no effect.</w:t>
      </w:r>
      <w:r>
        <w:rPr>
          <w:vertAlign w:val="superscript"/>
        </w:rPr>
        <w:t>52</w:t>
      </w:r>
      <w:r>
        <w:t xml:space="preserve"> Taiwan Food and Drug Administration (TFDA) has recently approved remdesivir for the treatment of patients with severe SARS-CoV-2 infection based on preliminary evidence on its safety and effectiveness. Further trials are required to assess the effectiveness of these treatments on COVID-19. Multiple COVID-19 vaccines have commenced clinical trials. </w:t>
      </w:r>
    </w:p>
    <w:p w14:paraId="6EAE738C" w14:textId="77777777" w:rsidR="00DC1B5A" w:rsidRDefault="00DC1B5A" w:rsidP="00F75AD7">
      <w:r>
        <w:t>Research from the UK has found dexamethasone could significantly reduce death in critically ill patients.</w:t>
      </w:r>
      <w:r>
        <w:rPr>
          <w:vertAlign w:val="superscript"/>
        </w:rPr>
        <w:t>53</w:t>
      </w:r>
      <w:r>
        <w:t xml:space="preserve"> Yet to be published, the preliminary findings announcing by Oxford University reported a 30% reduction in deaths for patients with severe respiratory symptoms. Reduced mortality was observed in ventilated cases and cases requiring oxygen support. No benefit was observed for mild to moderate cases. </w:t>
      </w:r>
    </w:p>
    <w:p w14:paraId="3593B374" w14:textId="77777777" w:rsidR="004F5B72" w:rsidRDefault="004F5B72" w:rsidP="00F75AD7">
      <w:pPr>
        <w:pStyle w:val="Heading1"/>
        <w:sectPr w:rsidR="004F5B72" w:rsidSect="00A30C37">
          <w:pgSz w:w="11906" w:h="16838"/>
          <w:pgMar w:top="720" w:right="720" w:bottom="1134" w:left="720" w:header="709" w:footer="284" w:gutter="0"/>
          <w:cols w:space="708"/>
          <w:titlePg/>
          <w:docGrid w:linePitch="360"/>
        </w:sectPr>
      </w:pPr>
    </w:p>
    <w:p w14:paraId="7E582AB3" w14:textId="77777777" w:rsidR="00DC1B5A" w:rsidRPr="00F75AD7" w:rsidRDefault="00DC1B5A" w:rsidP="00F75AD7">
      <w:pPr>
        <w:pStyle w:val="Heading1"/>
      </w:pPr>
      <w:r w:rsidRPr="00F75AD7">
        <w:lastRenderedPageBreak/>
        <w:t xml:space="preserve">Appendix B: Supplementary figures and tables </w:t>
      </w:r>
    </w:p>
    <w:p w14:paraId="176B12C3" w14:textId="77777777" w:rsidR="00DC1B5A" w:rsidRDefault="00DC1B5A" w:rsidP="004F5B72">
      <w:pPr>
        <w:pStyle w:val="CDIFigures"/>
        <w:rPr>
          <w:rFonts w:eastAsia="Times New Roman"/>
        </w:rPr>
      </w:pPr>
      <w:r>
        <w:rPr>
          <w:rFonts w:eastAsia="Times New Roman"/>
        </w:rPr>
        <w:t xml:space="preserve">Table B.1: COVID-19 case notifications and rates per 100,000 population, by age group and gender, 6 to 19 July 2020, </w:t>
      </w:r>
      <w:proofErr w:type="spellStart"/>
      <w:r>
        <w:rPr>
          <w:rFonts w:eastAsia="Times New Roman"/>
        </w:rPr>
        <w:t>Australia</w:t>
      </w:r>
      <w:r w:rsidRPr="004F5B72">
        <w:rPr>
          <w:rFonts w:eastAsia="Times New Roman"/>
          <w:vertAlign w:val="superscript"/>
        </w:rPr>
        <w:t>a</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ummarises cumulative confirmed cases and fortnightly rates per 100,000 population, as a function of age group and sex.  "/>
      </w:tblPr>
      <w:tblGrid>
        <w:gridCol w:w="1085"/>
        <w:gridCol w:w="1154"/>
        <w:gridCol w:w="1155"/>
        <w:gridCol w:w="1155"/>
        <w:gridCol w:w="1155"/>
        <w:gridCol w:w="1154"/>
        <w:gridCol w:w="1155"/>
        <w:gridCol w:w="1155"/>
        <w:gridCol w:w="1155"/>
        <w:gridCol w:w="1154"/>
        <w:gridCol w:w="1155"/>
        <w:gridCol w:w="1155"/>
        <w:gridCol w:w="1155"/>
      </w:tblGrid>
      <w:tr w:rsidR="00B942C5" w:rsidRPr="00B942C5" w14:paraId="4D085519" w14:textId="77777777" w:rsidTr="007E71F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01BB6E87" w14:textId="77777777" w:rsidR="00DC1B5A" w:rsidRPr="00B942C5" w:rsidRDefault="00DC1B5A">
            <w:pPr>
              <w:pStyle w:val="NormalWeb"/>
              <w:rPr>
                <w:color w:val="FFFFFF" w:themeColor="background1"/>
              </w:rPr>
            </w:pPr>
            <w:r w:rsidRPr="00B942C5">
              <w:rPr>
                <w:color w:val="FFFFFF" w:themeColor="background1"/>
              </w:rPr>
              <w:t>Age Group</w:t>
            </w:r>
          </w:p>
        </w:tc>
        <w:tc>
          <w:tcPr>
            <w:tcW w:w="6928" w:type="dxa"/>
            <w:gridSpan w:val="6"/>
            <w:tcBorders>
              <w:left w:val="single" w:sz="2" w:space="0" w:color="FFFFFF" w:themeColor="background1"/>
              <w:bottom w:val="single" w:sz="2" w:space="0" w:color="FFFFFF" w:themeColor="background1"/>
              <w:right w:val="single" w:sz="2" w:space="0" w:color="FFFFFF" w:themeColor="background1"/>
            </w:tcBorders>
            <w:hideMark/>
          </w:tcPr>
          <w:p w14:paraId="0E8BE08D" w14:textId="77777777" w:rsidR="00DC1B5A" w:rsidRPr="00B942C5" w:rsidRDefault="00DC1B5A" w:rsidP="00B942C5">
            <w:pPr>
              <w:pStyle w:val="NormalWeb"/>
              <w:jc w:val="center"/>
              <w:rPr>
                <w:color w:val="FFFFFF" w:themeColor="background1"/>
              </w:rPr>
            </w:pPr>
            <w:r w:rsidRPr="00B942C5">
              <w:rPr>
                <w:color w:val="FFFFFF" w:themeColor="background1"/>
                <w:lang w:val="en-US"/>
              </w:rPr>
              <w:t>This reporting period</w:t>
            </w:r>
          </w:p>
        </w:tc>
        <w:tc>
          <w:tcPr>
            <w:tcW w:w="6929" w:type="dxa"/>
            <w:gridSpan w:val="6"/>
            <w:tcBorders>
              <w:left w:val="single" w:sz="2" w:space="0" w:color="FFFFFF" w:themeColor="background1"/>
              <w:bottom w:val="single" w:sz="2" w:space="0" w:color="FFFFFF" w:themeColor="background1"/>
            </w:tcBorders>
            <w:hideMark/>
          </w:tcPr>
          <w:p w14:paraId="27323AD9" w14:textId="77777777" w:rsidR="00DC1B5A" w:rsidRPr="00B942C5" w:rsidRDefault="00DC1B5A" w:rsidP="00B942C5">
            <w:pPr>
              <w:pStyle w:val="NormalWeb"/>
              <w:jc w:val="center"/>
              <w:rPr>
                <w:color w:val="FFFFFF" w:themeColor="background1"/>
              </w:rPr>
            </w:pPr>
            <w:r w:rsidRPr="00B942C5">
              <w:rPr>
                <w:color w:val="FFFFFF" w:themeColor="background1"/>
              </w:rPr>
              <w:t>Cumulative</w:t>
            </w:r>
          </w:p>
        </w:tc>
      </w:tr>
      <w:tr w:rsidR="00B942C5" w:rsidRPr="00B942C5" w14:paraId="38B9905A" w14:textId="77777777" w:rsidTr="007E71F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53B577BF" w14:textId="77777777" w:rsidR="00DC1B5A" w:rsidRPr="00B942C5" w:rsidRDefault="00DC1B5A">
            <w:pPr>
              <w:rPr>
                <w:color w:val="FFFFFF" w:themeColor="background1"/>
                <w:sz w:val="24"/>
                <w:szCs w:val="24"/>
              </w:rPr>
            </w:pPr>
          </w:p>
        </w:tc>
        <w:tc>
          <w:tcPr>
            <w:tcW w:w="34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3BFC827" w14:textId="77777777" w:rsidR="00DC1B5A" w:rsidRPr="00B942C5" w:rsidRDefault="00DC1B5A" w:rsidP="00B942C5">
            <w:pPr>
              <w:pStyle w:val="NormalWeb"/>
              <w:jc w:val="center"/>
              <w:rPr>
                <w:color w:val="FFFFFF" w:themeColor="background1"/>
              </w:rPr>
            </w:pPr>
            <w:r w:rsidRPr="00B942C5">
              <w:rPr>
                <w:color w:val="FFFFFF" w:themeColor="background1"/>
              </w:rPr>
              <w:t>Cases</w:t>
            </w:r>
          </w:p>
        </w:tc>
        <w:tc>
          <w:tcPr>
            <w:tcW w:w="34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F6E8458" w14:textId="77777777" w:rsidR="00DC1B5A" w:rsidRPr="00B942C5" w:rsidRDefault="00DC1B5A" w:rsidP="00B942C5">
            <w:pPr>
              <w:pStyle w:val="NormalWeb"/>
              <w:jc w:val="center"/>
              <w:rPr>
                <w:color w:val="FFFFFF" w:themeColor="background1"/>
              </w:rPr>
            </w:pPr>
            <w:r w:rsidRPr="00B942C5">
              <w:rPr>
                <w:color w:val="FFFFFF" w:themeColor="background1"/>
              </w:rPr>
              <w:t>Rate per 100,000 population</w:t>
            </w:r>
          </w:p>
        </w:tc>
        <w:tc>
          <w:tcPr>
            <w:tcW w:w="34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DD7E754" w14:textId="77777777" w:rsidR="00DC1B5A" w:rsidRPr="00B942C5" w:rsidRDefault="00DC1B5A" w:rsidP="00B942C5">
            <w:pPr>
              <w:pStyle w:val="NormalWeb"/>
              <w:jc w:val="center"/>
              <w:rPr>
                <w:color w:val="FFFFFF" w:themeColor="background1"/>
              </w:rPr>
            </w:pPr>
            <w:r w:rsidRPr="00B942C5">
              <w:rPr>
                <w:color w:val="FFFFFF" w:themeColor="background1"/>
              </w:rPr>
              <w:t>Cases</w:t>
            </w:r>
          </w:p>
        </w:tc>
        <w:tc>
          <w:tcPr>
            <w:tcW w:w="3465" w:type="dxa"/>
            <w:gridSpan w:val="3"/>
            <w:tcBorders>
              <w:top w:val="single" w:sz="2" w:space="0" w:color="FFFFFF" w:themeColor="background1"/>
              <w:left w:val="single" w:sz="2" w:space="0" w:color="FFFFFF" w:themeColor="background1"/>
              <w:bottom w:val="single" w:sz="2" w:space="0" w:color="FFFFFF" w:themeColor="background1"/>
            </w:tcBorders>
            <w:hideMark/>
          </w:tcPr>
          <w:p w14:paraId="0ED266AC" w14:textId="77777777" w:rsidR="00DC1B5A" w:rsidRPr="00B942C5" w:rsidRDefault="00DC1B5A" w:rsidP="00B942C5">
            <w:pPr>
              <w:pStyle w:val="NormalWeb"/>
              <w:jc w:val="center"/>
              <w:rPr>
                <w:color w:val="FFFFFF" w:themeColor="background1"/>
              </w:rPr>
            </w:pPr>
            <w:r w:rsidRPr="00B942C5">
              <w:rPr>
                <w:color w:val="FFFFFF" w:themeColor="background1"/>
              </w:rPr>
              <w:t>Rate per 100,000 population</w:t>
            </w:r>
          </w:p>
        </w:tc>
      </w:tr>
      <w:tr w:rsidR="00B942C5" w:rsidRPr="00B942C5" w14:paraId="7B2347F2" w14:textId="77777777" w:rsidTr="007E71F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1E3AB8E" w14:textId="77777777" w:rsidR="00DC1B5A" w:rsidRPr="00B942C5" w:rsidRDefault="00DC1B5A">
            <w:pPr>
              <w:rPr>
                <w:color w:val="FFFFFF" w:themeColor="background1"/>
                <w:sz w:val="24"/>
                <w:szCs w:val="24"/>
              </w:rPr>
            </w:pPr>
          </w:p>
        </w:tc>
        <w:tc>
          <w:tcPr>
            <w:tcW w:w="1154" w:type="dxa"/>
            <w:tcBorders>
              <w:top w:val="single" w:sz="2" w:space="0" w:color="FFFFFF" w:themeColor="background1"/>
              <w:left w:val="single" w:sz="2" w:space="0" w:color="FFFFFF" w:themeColor="background1"/>
              <w:right w:val="single" w:sz="2" w:space="0" w:color="FFFFFF" w:themeColor="background1"/>
            </w:tcBorders>
            <w:hideMark/>
          </w:tcPr>
          <w:p w14:paraId="56393EC7" w14:textId="77777777" w:rsidR="00DC1B5A" w:rsidRPr="00B942C5" w:rsidRDefault="00DC1B5A" w:rsidP="00B942C5">
            <w:pPr>
              <w:pStyle w:val="NormalWeb"/>
              <w:jc w:val="center"/>
              <w:rPr>
                <w:color w:val="FFFFFF" w:themeColor="background1"/>
              </w:rPr>
            </w:pPr>
            <w:r w:rsidRPr="00B942C5">
              <w:rPr>
                <w:color w:val="FFFFFF" w:themeColor="background1"/>
              </w:rPr>
              <w:t>Male</w:t>
            </w:r>
          </w:p>
        </w:tc>
        <w:tc>
          <w:tcPr>
            <w:tcW w:w="1155" w:type="dxa"/>
            <w:tcBorders>
              <w:top w:val="single" w:sz="2" w:space="0" w:color="FFFFFF" w:themeColor="background1"/>
              <w:left w:val="single" w:sz="2" w:space="0" w:color="FFFFFF" w:themeColor="background1"/>
              <w:right w:val="single" w:sz="2" w:space="0" w:color="FFFFFF" w:themeColor="background1"/>
            </w:tcBorders>
            <w:hideMark/>
          </w:tcPr>
          <w:p w14:paraId="6D2A2A1D" w14:textId="77777777" w:rsidR="00DC1B5A" w:rsidRPr="00B942C5" w:rsidRDefault="00DC1B5A" w:rsidP="00B942C5">
            <w:pPr>
              <w:pStyle w:val="NormalWeb"/>
              <w:jc w:val="center"/>
              <w:rPr>
                <w:color w:val="FFFFFF" w:themeColor="background1"/>
              </w:rPr>
            </w:pPr>
            <w:r w:rsidRPr="00B942C5">
              <w:rPr>
                <w:color w:val="FFFFFF" w:themeColor="background1"/>
              </w:rPr>
              <w:t>Female</w:t>
            </w:r>
          </w:p>
        </w:tc>
        <w:tc>
          <w:tcPr>
            <w:tcW w:w="1155" w:type="dxa"/>
            <w:tcBorders>
              <w:top w:val="single" w:sz="2" w:space="0" w:color="FFFFFF" w:themeColor="background1"/>
              <w:left w:val="single" w:sz="2" w:space="0" w:color="FFFFFF" w:themeColor="background1"/>
              <w:right w:val="single" w:sz="2" w:space="0" w:color="FFFFFF" w:themeColor="background1"/>
            </w:tcBorders>
            <w:hideMark/>
          </w:tcPr>
          <w:p w14:paraId="059E81DD" w14:textId="77777777" w:rsidR="00DC1B5A" w:rsidRPr="00B942C5" w:rsidRDefault="00DC1B5A" w:rsidP="00B942C5">
            <w:pPr>
              <w:pStyle w:val="NormalWeb"/>
              <w:jc w:val="center"/>
              <w:rPr>
                <w:color w:val="FFFFFF" w:themeColor="background1"/>
              </w:rPr>
            </w:pPr>
            <w:r w:rsidRPr="00B942C5">
              <w:rPr>
                <w:color w:val="FFFFFF" w:themeColor="background1"/>
              </w:rPr>
              <w:t>Total</w:t>
            </w:r>
          </w:p>
        </w:tc>
        <w:tc>
          <w:tcPr>
            <w:tcW w:w="1155" w:type="dxa"/>
            <w:tcBorders>
              <w:top w:val="single" w:sz="2" w:space="0" w:color="FFFFFF" w:themeColor="background1"/>
              <w:left w:val="single" w:sz="2" w:space="0" w:color="FFFFFF" w:themeColor="background1"/>
              <w:right w:val="single" w:sz="2" w:space="0" w:color="FFFFFF" w:themeColor="background1"/>
            </w:tcBorders>
            <w:hideMark/>
          </w:tcPr>
          <w:p w14:paraId="2CE8C158" w14:textId="77777777" w:rsidR="00DC1B5A" w:rsidRPr="00B942C5" w:rsidRDefault="00DC1B5A" w:rsidP="00B942C5">
            <w:pPr>
              <w:pStyle w:val="NormalWeb"/>
              <w:jc w:val="center"/>
              <w:rPr>
                <w:color w:val="FFFFFF" w:themeColor="background1"/>
              </w:rPr>
            </w:pPr>
            <w:r w:rsidRPr="00B942C5">
              <w:rPr>
                <w:color w:val="FFFFFF" w:themeColor="background1"/>
              </w:rPr>
              <w:t>Male</w:t>
            </w:r>
          </w:p>
        </w:tc>
        <w:tc>
          <w:tcPr>
            <w:tcW w:w="1154" w:type="dxa"/>
            <w:tcBorders>
              <w:top w:val="single" w:sz="2" w:space="0" w:color="FFFFFF" w:themeColor="background1"/>
              <w:left w:val="single" w:sz="2" w:space="0" w:color="FFFFFF" w:themeColor="background1"/>
              <w:right w:val="single" w:sz="2" w:space="0" w:color="FFFFFF" w:themeColor="background1"/>
            </w:tcBorders>
            <w:hideMark/>
          </w:tcPr>
          <w:p w14:paraId="784E2070" w14:textId="77777777" w:rsidR="00DC1B5A" w:rsidRPr="00B942C5" w:rsidRDefault="00DC1B5A" w:rsidP="00B942C5">
            <w:pPr>
              <w:pStyle w:val="NormalWeb"/>
              <w:jc w:val="center"/>
              <w:rPr>
                <w:color w:val="FFFFFF" w:themeColor="background1"/>
              </w:rPr>
            </w:pPr>
            <w:r w:rsidRPr="00B942C5">
              <w:rPr>
                <w:color w:val="FFFFFF" w:themeColor="background1"/>
              </w:rPr>
              <w:t>Female</w:t>
            </w:r>
          </w:p>
        </w:tc>
        <w:tc>
          <w:tcPr>
            <w:tcW w:w="1155" w:type="dxa"/>
            <w:tcBorders>
              <w:top w:val="single" w:sz="2" w:space="0" w:color="FFFFFF" w:themeColor="background1"/>
              <w:left w:val="single" w:sz="2" w:space="0" w:color="FFFFFF" w:themeColor="background1"/>
              <w:right w:val="single" w:sz="2" w:space="0" w:color="FFFFFF" w:themeColor="background1"/>
            </w:tcBorders>
            <w:hideMark/>
          </w:tcPr>
          <w:p w14:paraId="683F4FDD" w14:textId="77777777" w:rsidR="00DC1B5A" w:rsidRPr="00B942C5" w:rsidRDefault="00DC1B5A" w:rsidP="00B942C5">
            <w:pPr>
              <w:pStyle w:val="NormalWeb"/>
              <w:jc w:val="center"/>
              <w:rPr>
                <w:color w:val="FFFFFF" w:themeColor="background1"/>
              </w:rPr>
            </w:pPr>
            <w:r w:rsidRPr="00B942C5">
              <w:rPr>
                <w:color w:val="FFFFFF" w:themeColor="background1"/>
              </w:rPr>
              <w:t>Total</w:t>
            </w:r>
          </w:p>
        </w:tc>
        <w:tc>
          <w:tcPr>
            <w:tcW w:w="1155" w:type="dxa"/>
            <w:tcBorders>
              <w:top w:val="single" w:sz="2" w:space="0" w:color="FFFFFF" w:themeColor="background1"/>
              <w:left w:val="single" w:sz="2" w:space="0" w:color="FFFFFF" w:themeColor="background1"/>
              <w:right w:val="single" w:sz="2" w:space="0" w:color="FFFFFF" w:themeColor="background1"/>
            </w:tcBorders>
            <w:hideMark/>
          </w:tcPr>
          <w:p w14:paraId="5FE7AFC5" w14:textId="77777777" w:rsidR="00DC1B5A" w:rsidRPr="00B942C5" w:rsidRDefault="00DC1B5A" w:rsidP="00B942C5">
            <w:pPr>
              <w:pStyle w:val="NormalWeb"/>
              <w:jc w:val="center"/>
              <w:rPr>
                <w:color w:val="FFFFFF" w:themeColor="background1"/>
              </w:rPr>
            </w:pPr>
            <w:r w:rsidRPr="00B942C5">
              <w:rPr>
                <w:color w:val="FFFFFF" w:themeColor="background1"/>
              </w:rPr>
              <w:t>Male</w:t>
            </w:r>
          </w:p>
        </w:tc>
        <w:tc>
          <w:tcPr>
            <w:tcW w:w="1155" w:type="dxa"/>
            <w:tcBorders>
              <w:top w:val="single" w:sz="2" w:space="0" w:color="FFFFFF" w:themeColor="background1"/>
              <w:left w:val="single" w:sz="2" w:space="0" w:color="FFFFFF" w:themeColor="background1"/>
              <w:right w:val="single" w:sz="2" w:space="0" w:color="FFFFFF" w:themeColor="background1"/>
            </w:tcBorders>
            <w:hideMark/>
          </w:tcPr>
          <w:p w14:paraId="564EF447" w14:textId="77777777" w:rsidR="00DC1B5A" w:rsidRPr="00B942C5" w:rsidRDefault="00DC1B5A" w:rsidP="00B942C5">
            <w:pPr>
              <w:pStyle w:val="NormalWeb"/>
              <w:jc w:val="center"/>
              <w:rPr>
                <w:color w:val="FFFFFF" w:themeColor="background1"/>
              </w:rPr>
            </w:pPr>
            <w:r w:rsidRPr="00B942C5">
              <w:rPr>
                <w:color w:val="FFFFFF" w:themeColor="background1"/>
              </w:rPr>
              <w:t>Female</w:t>
            </w:r>
          </w:p>
        </w:tc>
        <w:tc>
          <w:tcPr>
            <w:tcW w:w="1154" w:type="dxa"/>
            <w:tcBorders>
              <w:top w:val="single" w:sz="2" w:space="0" w:color="FFFFFF" w:themeColor="background1"/>
              <w:left w:val="single" w:sz="2" w:space="0" w:color="FFFFFF" w:themeColor="background1"/>
              <w:right w:val="single" w:sz="2" w:space="0" w:color="FFFFFF" w:themeColor="background1"/>
            </w:tcBorders>
            <w:hideMark/>
          </w:tcPr>
          <w:p w14:paraId="2DFE2E39" w14:textId="77777777" w:rsidR="00DC1B5A" w:rsidRPr="00B942C5" w:rsidRDefault="00DC1B5A" w:rsidP="00B942C5">
            <w:pPr>
              <w:pStyle w:val="NormalWeb"/>
              <w:jc w:val="center"/>
              <w:rPr>
                <w:color w:val="FFFFFF" w:themeColor="background1"/>
              </w:rPr>
            </w:pPr>
            <w:r w:rsidRPr="00B942C5">
              <w:rPr>
                <w:color w:val="FFFFFF" w:themeColor="background1"/>
              </w:rPr>
              <w:t>Total</w:t>
            </w:r>
          </w:p>
        </w:tc>
        <w:tc>
          <w:tcPr>
            <w:tcW w:w="1155" w:type="dxa"/>
            <w:tcBorders>
              <w:top w:val="single" w:sz="2" w:space="0" w:color="FFFFFF" w:themeColor="background1"/>
              <w:left w:val="single" w:sz="2" w:space="0" w:color="FFFFFF" w:themeColor="background1"/>
              <w:right w:val="single" w:sz="2" w:space="0" w:color="FFFFFF" w:themeColor="background1"/>
            </w:tcBorders>
            <w:hideMark/>
          </w:tcPr>
          <w:p w14:paraId="0B3FFFCD" w14:textId="77777777" w:rsidR="00DC1B5A" w:rsidRPr="00B942C5" w:rsidRDefault="00DC1B5A" w:rsidP="00B942C5">
            <w:pPr>
              <w:pStyle w:val="NormalWeb"/>
              <w:jc w:val="center"/>
              <w:rPr>
                <w:color w:val="FFFFFF" w:themeColor="background1"/>
              </w:rPr>
            </w:pPr>
            <w:r w:rsidRPr="00B942C5">
              <w:rPr>
                <w:color w:val="FFFFFF" w:themeColor="background1"/>
              </w:rPr>
              <w:t>Male</w:t>
            </w:r>
          </w:p>
        </w:tc>
        <w:tc>
          <w:tcPr>
            <w:tcW w:w="1155" w:type="dxa"/>
            <w:tcBorders>
              <w:top w:val="single" w:sz="2" w:space="0" w:color="FFFFFF" w:themeColor="background1"/>
              <w:left w:val="single" w:sz="2" w:space="0" w:color="FFFFFF" w:themeColor="background1"/>
              <w:right w:val="single" w:sz="2" w:space="0" w:color="FFFFFF" w:themeColor="background1"/>
            </w:tcBorders>
            <w:hideMark/>
          </w:tcPr>
          <w:p w14:paraId="31450CB4" w14:textId="77777777" w:rsidR="00DC1B5A" w:rsidRPr="00B942C5" w:rsidRDefault="00DC1B5A" w:rsidP="00B942C5">
            <w:pPr>
              <w:pStyle w:val="NormalWeb"/>
              <w:jc w:val="center"/>
              <w:rPr>
                <w:color w:val="FFFFFF" w:themeColor="background1"/>
              </w:rPr>
            </w:pPr>
            <w:r w:rsidRPr="00B942C5">
              <w:rPr>
                <w:color w:val="FFFFFF" w:themeColor="background1"/>
              </w:rPr>
              <w:t>Female</w:t>
            </w:r>
          </w:p>
        </w:tc>
        <w:tc>
          <w:tcPr>
            <w:tcW w:w="1155" w:type="dxa"/>
            <w:tcBorders>
              <w:top w:val="single" w:sz="2" w:space="0" w:color="FFFFFF" w:themeColor="background1"/>
              <w:left w:val="single" w:sz="2" w:space="0" w:color="FFFFFF" w:themeColor="background1"/>
            </w:tcBorders>
            <w:hideMark/>
          </w:tcPr>
          <w:p w14:paraId="410515D4" w14:textId="77777777" w:rsidR="00DC1B5A" w:rsidRPr="00B942C5" w:rsidRDefault="00DC1B5A" w:rsidP="00B942C5">
            <w:pPr>
              <w:pStyle w:val="NormalWeb"/>
              <w:jc w:val="center"/>
              <w:rPr>
                <w:color w:val="FFFFFF" w:themeColor="background1"/>
              </w:rPr>
            </w:pPr>
            <w:r w:rsidRPr="00B942C5">
              <w:rPr>
                <w:color w:val="FFFFFF" w:themeColor="background1"/>
                <w:lang w:val="en-US"/>
              </w:rPr>
              <w:t>Total</w:t>
            </w:r>
          </w:p>
        </w:tc>
      </w:tr>
      <w:tr w:rsidR="00DC1B5A" w14:paraId="6A4E613C" w14:textId="77777777" w:rsidTr="00B942C5">
        <w:tc>
          <w:tcPr>
            <w:tcW w:w="0" w:type="auto"/>
            <w:hideMark/>
          </w:tcPr>
          <w:p w14:paraId="138BF844" w14:textId="77777777" w:rsidR="00DC1B5A" w:rsidRDefault="00DC1B5A">
            <w:pPr>
              <w:pStyle w:val="NormalWeb"/>
            </w:pPr>
            <w:r>
              <w:t>0—10</w:t>
            </w:r>
          </w:p>
        </w:tc>
        <w:tc>
          <w:tcPr>
            <w:tcW w:w="1154" w:type="dxa"/>
            <w:hideMark/>
          </w:tcPr>
          <w:p w14:paraId="7BC00B29" w14:textId="77777777" w:rsidR="00DC1B5A" w:rsidRDefault="00DC1B5A" w:rsidP="00B942C5">
            <w:pPr>
              <w:pStyle w:val="NormalWeb"/>
              <w:jc w:val="center"/>
            </w:pPr>
            <w:r>
              <w:t>135</w:t>
            </w:r>
          </w:p>
        </w:tc>
        <w:tc>
          <w:tcPr>
            <w:tcW w:w="1155" w:type="dxa"/>
            <w:hideMark/>
          </w:tcPr>
          <w:p w14:paraId="11792885" w14:textId="77777777" w:rsidR="00DC1B5A" w:rsidRDefault="00DC1B5A" w:rsidP="00B942C5">
            <w:pPr>
              <w:pStyle w:val="NormalWeb"/>
              <w:jc w:val="center"/>
            </w:pPr>
            <w:r>
              <w:t>100</w:t>
            </w:r>
          </w:p>
        </w:tc>
        <w:tc>
          <w:tcPr>
            <w:tcW w:w="1155" w:type="dxa"/>
            <w:hideMark/>
          </w:tcPr>
          <w:p w14:paraId="70143D45" w14:textId="77777777" w:rsidR="00DC1B5A" w:rsidRDefault="00DC1B5A" w:rsidP="00B942C5">
            <w:pPr>
              <w:pStyle w:val="NormalWeb"/>
              <w:jc w:val="center"/>
            </w:pPr>
            <w:r>
              <w:t>238</w:t>
            </w:r>
          </w:p>
        </w:tc>
        <w:tc>
          <w:tcPr>
            <w:tcW w:w="1155" w:type="dxa"/>
            <w:hideMark/>
          </w:tcPr>
          <w:p w14:paraId="537F80CB" w14:textId="77777777" w:rsidR="00DC1B5A" w:rsidRDefault="00DC1B5A" w:rsidP="00B942C5">
            <w:pPr>
              <w:pStyle w:val="NormalWeb"/>
              <w:jc w:val="center"/>
            </w:pPr>
            <w:r>
              <w:t>8.3</w:t>
            </w:r>
          </w:p>
        </w:tc>
        <w:tc>
          <w:tcPr>
            <w:tcW w:w="1154" w:type="dxa"/>
            <w:hideMark/>
          </w:tcPr>
          <w:p w14:paraId="5D7CC7FB" w14:textId="77777777" w:rsidR="00DC1B5A" w:rsidRDefault="00DC1B5A" w:rsidP="00B942C5">
            <w:pPr>
              <w:pStyle w:val="NormalWeb"/>
              <w:jc w:val="center"/>
            </w:pPr>
            <w:r>
              <w:t>6.5</w:t>
            </w:r>
          </w:p>
        </w:tc>
        <w:tc>
          <w:tcPr>
            <w:tcW w:w="1155" w:type="dxa"/>
            <w:hideMark/>
          </w:tcPr>
          <w:p w14:paraId="1710D907" w14:textId="77777777" w:rsidR="00DC1B5A" w:rsidRDefault="00DC1B5A" w:rsidP="00B942C5">
            <w:pPr>
              <w:pStyle w:val="NormalWeb"/>
              <w:jc w:val="center"/>
            </w:pPr>
            <w:r>
              <w:t>7.5</w:t>
            </w:r>
          </w:p>
        </w:tc>
        <w:tc>
          <w:tcPr>
            <w:tcW w:w="1155" w:type="dxa"/>
            <w:hideMark/>
          </w:tcPr>
          <w:p w14:paraId="7C62AA25" w14:textId="77777777" w:rsidR="00DC1B5A" w:rsidRDefault="00DC1B5A" w:rsidP="00B942C5">
            <w:pPr>
              <w:pStyle w:val="NormalWeb"/>
              <w:jc w:val="center"/>
            </w:pPr>
            <w:r>
              <w:t>249</w:t>
            </w:r>
          </w:p>
        </w:tc>
        <w:tc>
          <w:tcPr>
            <w:tcW w:w="1155" w:type="dxa"/>
            <w:hideMark/>
          </w:tcPr>
          <w:p w14:paraId="70264E04" w14:textId="77777777" w:rsidR="00DC1B5A" w:rsidRDefault="00DC1B5A" w:rsidP="00B942C5">
            <w:pPr>
              <w:pStyle w:val="NormalWeb"/>
              <w:jc w:val="center"/>
            </w:pPr>
            <w:r>
              <w:t>221</w:t>
            </w:r>
          </w:p>
        </w:tc>
        <w:tc>
          <w:tcPr>
            <w:tcW w:w="1154" w:type="dxa"/>
            <w:hideMark/>
          </w:tcPr>
          <w:p w14:paraId="088BE3F8" w14:textId="77777777" w:rsidR="00DC1B5A" w:rsidRDefault="00DC1B5A" w:rsidP="00B942C5">
            <w:pPr>
              <w:pStyle w:val="NormalWeb"/>
              <w:jc w:val="center"/>
            </w:pPr>
            <w:r>
              <w:t>474</w:t>
            </w:r>
          </w:p>
        </w:tc>
        <w:tc>
          <w:tcPr>
            <w:tcW w:w="1155" w:type="dxa"/>
            <w:hideMark/>
          </w:tcPr>
          <w:p w14:paraId="79B565F3" w14:textId="77777777" w:rsidR="00DC1B5A" w:rsidRDefault="00DC1B5A" w:rsidP="00B942C5">
            <w:pPr>
              <w:pStyle w:val="NormalWeb"/>
              <w:jc w:val="center"/>
            </w:pPr>
            <w:r>
              <w:t>15.2</w:t>
            </w:r>
          </w:p>
        </w:tc>
        <w:tc>
          <w:tcPr>
            <w:tcW w:w="1155" w:type="dxa"/>
            <w:hideMark/>
          </w:tcPr>
          <w:p w14:paraId="3F1518B5" w14:textId="77777777" w:rsidR="00DC1B5A" w:rsidRDefault="00DC1B5A" w:rsidP="00B942C5">
            <w:pPr>
              <w:pStyle w:val="NormalWeb"/>
              <w:jc w:val="center"/>
            </w:pPr>
            <w:r>
              <w:t>14.3</w:t>
            </w:r>
          </w:p>
        </w:tc>
        <w:tc>
          <w:tcPr>
            <w:tcW w:w="1155" w:type="dxa"/>
            <w:hideMark/>
          </w:tcPr>
          <w:p w14:paraId="2761B44B" w14:textId="77777777" w:rsidR="00DC1B5A" w:rsidRDefault="00DC1B5A" w:rsidP="00B942C5">
            <w:pPr>
              <w:pStyle w:val="NormalWeb"/>
              <w:jc w:val="center"/>
            </w:pPr>
            <w:r>
              <w:t>14.9</w:t>
            </w:r>
          </w:p>
        </w:tc>
      </w:tr>
      <w:tr w:rsidR="00F6579B" w14:paraId="1FD6C9D2" w14:textId="77777777" w:rsidTr="00B942C5">
        <w:trPr>
          <w:cnfStyle w:val="000000010000" w:firstRow="0" w:lastRow="0" w:firstColumn="0" w:lastColumn="0" w:oddVBand="0" w:evenVBand="0" w:oddHBand="0" w:evenHBand="1" w:firstRowFirstColumn="0" w:firstRowLastColumn="0" w:lastRowFirstColumn="0" w:lastRowLastColumn="0"/>
        </w:trPr>
        <w:tc>
          <w:tcPr>
            <w:tcW w:w="0" w:type="auto"/>
            <w:hideMark/>
          </w:tcPr>
          <w:p w14:paraId="5BF51948" w14:textId="77777777" w:rsidR="00DC1B5A" w:rsidRDefault="00DC1B5A">
            <w:pPr>
              <w:pStyle w:val="NormalWeb"/>
            </w:pPr>
            <w:r>
              <w:rPr>
                <w:lang w:val="en-US"/>
              </w:rPr>
              <w:t>10—20</w:t>
            </w:r>
          </w:p>
        </w:tc>
        <w:tc>
          <w:tcPr>
            <w:tcW w:w="1154" w:type="dxa"/>
            <w:hideMark/>
          </w:tcPr>
          <w:p w14:paraId="64D7BADE" w14:textId="77777777" w:rsidR="00DC1B5A" w:rsidRDefault="00DC1B5A" w:rsidP="00B942C5">
            <w:pPr>
              <w:pStyle w:val="NormalWeb"/>
              <w:jc w:val="center"/>
            </w:pPr>
            <w:r>
              <w:t>235</w:t>
            </w:r>
          </w:p>
        </w:tc>
        <w:tc>
          <w:tcPr>
            <w:tcW w:w="1155" w:type="dxa"/>
            <w:hideMark/>
          </w:tcPr>
          <w:p w14:paraId="4328BD13" w14:textId="77777777" w:rsidR="00DC1B5A" w:rsidRDefault="00DC1B5A" w:rsidP="00B942C5">
            <w:pPr>
              <w:pStyle w:val="NormalWeb"/>
              <w:jc w:val="center"/>
            </w:pPr>
            <w:r>
              <w:t>188</w:t>
            </w:r>
          </w:p>
        </w:tc>
        <w:tc>
          <w:tcPr>
            <w:tcW w:w="1155" w:type="dxa"/>
            <w:hideMark/>
          </w:tcPr>
          <w:p w14:paraId="0CEA675C" w14:textId="77777777" w:rsidR="00DC1B5A" w:rsidRDefault="00DC1B5A" w:rsidP="00B942C5">
            <w:pPr>
              <w:pStyle w:val="NormalWeb"/>
              <w:jc w:val="center"/>
            </w:pPr>
            <w:r>
              <w:t>426</w:t>
            </w:r>
          </w:p>
        </w:tc>
        <w:tc>
          <w:tcPr>
            <w:tcW w:w="1155" w:type="dxa"/>
            <w:hideMark/>
          </w:tcPr>
          <w:p w14:paraId="178BE5A7" w14:textId="77777777" w:rsidR="00DC1B5A" w:rsidRDefault="00DC1B5A" w:rsidP="00B942C5">
            <w:pPr>
              <w:pStyle w:val="NormalWeb"/>
              <w:jc w:val="center"/>
            </w:pPr>
            <w:r>
              <w:t>15</w:t>
            </w:r>
          </w:p>
        </w:tc>
        <w:tc>
          <w:tcPr>
            <w:tcW w:w="1154" w:type="dxa"/>
            <w:hideMark/>
          </w:tcPr>
          <w:p w14:paraId="6CF5F81B" w14:textId="77777777" w:rsidR="00DC1B5A" w:rsidRDefault="00DC1B5A" w:rsidP="00B942C5">
            <w:pPr>
              <w:pStyle w:val="NormalWeb"/>
              <w:jc w:val="center"/>
            </w:pPr>
            <w:r>
              <w:t>12.6</w:t>
            </w:r>
          </w:p>
        </w:tc>
        <w:tc>
          <w:tcPr>
            <w:tcW w:w="1155" w:type="dxa"/>
            <w:hideMark/>
          </w:tcPr>
          <w:p w14:paraId="333C05BE" w14:textId="77777777" w:rsidR="00DC1B5A" w:rsidRDefault="00DC1B5A" w:rsidP="00B942C5">
            <w:pPr>
              <w:pStyle w:val="NormalWeb"/>
              <w:jc w:val="center"/>
            </w:pPr>
            <w:r>
              <w:t>13.9</w:t>
            </w:r>
          </w:p>
        </w:tc>
        <w:tc>
          <w:tcPr>
            <w:tcW w:w="1155" w:type="dxa"/>
            <w:hideMark/>
          </w:tcPr>
          <w:p w14:paraId="20B50D16" w14:textId="77777777" w:rsidR="00DC1B5A" w:rsidRDefault="00DC1B5A" w:rsidP="00B942C5">
            <w:pPr>
              <w:pStyle w:val="NormalWeb"/>
              <w:jc w:val="center"/>
            </w:pPr>
            <w:r>
              <w:t>458</w:t>
            </w:r>
          </w:p>
        </w:tc>
        <w:tc>
          <w:tcPr>
            <w:tcW w:w="1155" w:type="dxa"/>
            <w:hideMark/>
          </w:tcPr>
          <w:p w14:paraId="5CC3CE45" w14:textId="77777777" w:rsidR="00DC1B5A" w:rsidRDefault="00DC1B5A" w:rsidP="00B942C5">
            <w:pPr>
              <w:pStyle w:val="NormalWeb"/>
              <w:jc w:val="center"/>
            </w:pPr>
            <w:r>
              <w:t>389</w:t>
            </w:r>
          </w:p>
        </w:tc>
        <w:tc>
          <w:tcPr>
            <w:tcW w:w="1154" w:type="dxa"/>
            <w:hideMark/>
          </w:tcPr>
          <w:p w14:paraId="5ECD1FA1" w14:textId="77777777" w:rsidR="00DC1B5A" w:rsidRDefault="00DC1B5A" w:rsidP="00B942C5">
            <w:pPr>
              <w:pStyle w:val="NormalWeb"/>
              <w:jc w:val="center"/>
            </w:pPr>
            <w:r>
              <w:t>850</w:t>
            </w:r>
          </w:p>
        </w:tc>
        <w:tc>
          <w:tcPr>
            <w:tcW w:w="1155" w:type="dxa"/>
            <w:hideMark/>
          </w:tcPr>
          <w:p w14:paraId="7E435946" w14:textId="77777777" w:rsidR="00DC1B5A" w:rsidRDefault="00DC1B5A" w:rsidP="00B942C5">
            <w:pPr>
              <w:pStyle w:val="NormalWeb"/>
              <w:jc w:val="center"/>
            </w:pPr>
            <w:r>
              <w:t>29.1</w:t>
            </w:r>
          </w:p>
        </w:tc>
        <w:tc>
          <w:tcPr>
            <w:tcW w:w="1155" w:type="dxa"/>
            <w:hideMark/>
          </w:tcPr>
          <w:p w14:paraId="78C4C0F2" w14:textId="77777777" w:rsidR="00DC1B5A" w:rsidRDefault="00DC1B5A" w:rsidP="00B942C5">
            <w:pPr>
              <w:pStyle w:val="NormalWeb"/>
              <w:jc w:val="center"/>
            </w:pPr>
            <w:r>
              <w:t>26.2</w:t>
            </w:r>
          </w:p>
        </w:tc>
        <w:tc>
          <w:tcPr>
            <w:tcW w:w="1155" w:type="dxa"/>
            <w:hideMark/>
          </w:tcPr>
          <w:p w14:paraId="2F2B011F" w14:textId="77777777" w:rsidR="00DC1B5A" w:rsidRDefault="00DC1B5A" w:rsidP="00B942C5">
            <w:pPr>
              <w:pStyle w:val="NormalWeb"/>
              <w:jc w:val="center"/>
            </w:pPr>
            <w:r>
              <w:t>27.8</w:t>
            </w:r>
          </w:p>
        </w:tc>
      </w:tr>
      <w:tr w:rsidR="00DC1B5A" w14:paraId="3231A796" w14:textId="77777777" w:rsidTr="00B942C5">
        <w:tc>
          <w:tcPr>
            <w:tcW w:w="0" w:type="auto"/>
            <w:hideMark/>
          </w:tcPr>
          <w:p w14:paraId="0E0942AD" w14:textId="77777777" w:rsidR="00DC1B5A" w:rsidRDefault="00DC1B5A">
            <w:pPr>
              <w:pStyle w:val="NormalWeb"/>
            </w:pPr>
            <w:r>
              <w:rPr>
                <w:lang w:val="en-US"/>
              </w:rPr>
              <w:t>20—30</w:t>
            </w:r>
          </w:p>
        </w:tc>
        <w:tc>
          <w:tcPr>
            <w:tcW w:w="1154" w:type="dxa"/>
            <w:hideMark/>
          </w:tcPr>
          <w:p w14:paraId="144FA1F8" w14:textId="77777777" w:rsidR="00DC1B5A" w:rsidRDefault="00DC1B5A" w:rsidP="00B942C5">
            <w:pPr>
              <w:pStyle w:val="NormalWeb"/>
              <w:jc w:val="center"/>
            </w:pPr>
            <w:r>
              <w:t>455</w:t>
            </w:r>
          </w:p>
        </w:tc>
        <w:tc>
          <w:tcPr>
            <w:tcW w:w="1155" w:type="dxa"/>
            <w:hideMark/>
          </w:tcPr>
          <w:p w14:paraId="4E0566A2" w14:textId="77777777" w:rsidR="00DC1B5A" w:rsidRDefault="00DC1B5A" w:rsidP="00B942C5">
            <w:pPr>
              <w:pStyle w:val="NormalWeb"/>
              <w:jc w:val="center"/>
            </w:pPr>
            <w:r>
              <w:t>468</w:t>
            </w:r>
          </w:p>
        </w:tc>
        <w:tc>
          <w:tcPr>
            <w:tcW w:w="1155" w:type="dxa"/>
            <w:hideMark/>
          </w:tcPr>
          <w:p w14:paraId="403F2FE4" w14:textId="77777777" w:rsidR="00DC1B5A" w:rsidRDefault="00DC1B5A" w:rsidP="00B942C5">
            <w:pPr>
              <w:pStyle w:val="NormalWeb"/>
              <w:jc w:val="center"/>
            </w:pPr>
            <w:r>
              <w:t>928</w:t>
            </w:r>
          </w:p>
        </w:tc>
        <w:tc>
          <w:tcPr>
            <w:tcW w:w="1155" w:type="dxa"/>
            <w:hideMark/>
          </w:tcPr>
          <w:p w14:paraId="531D0BE7" w14:textId="77777777" w:rsidR="00DC1B5A" w:rsidRDefault="00DC1B5A" w:rsidP="00B942C5">
            <w:pPr>
              <w:pStyle w:val="NormalWeb"/>
              <w:jc w:val="center"/>
            </w:pPr>
            <w:r>
              <w:t>24.4</w:t>
            </w:r>
          </w:p>
        </w:tc>
        <w:tc>
          <w:tcPr>
            <w:tcW w:w="1154" w:type="dxa"/>
            <w:hideMark/>
          </w:tcPr>
          <w:p w14:paraId="1C5E8119" w14:textId="77777777" w:rsidR="00DC1B5A" w:rsidRDefault="00DC1B5A" w:rsidP="00B942C5">
            <w:pPr>
              <w:pStyle w:val="NormalWeb"/>
              <w:jc w:val="center"/>
            </w:pPr>
            <w:r>
              <w:t>25.9</w:t>
            </w:r>
          </w:p>
        </w:tc>
        <w:tc>
          <w:tcPr>
            <w:tcW w:w="1155" w:type="dxa"/>
            <w:hideMark/>
          </w:tcPr>
          <w:p w14:paraId="708B704C" w14:textId="77777777" w:rsidR="00DC1B5A" w:rsidRDefault="00DC1B5A" w:rsidP="00B942C5">
            <w:pPr>
              <w:pStyle w:val="NormalWeb"/>
              <w:jc w:val="center"/>
            </w:pPr>
            <w:r>
              <w:t>25.3</w:t>
            </w:r>
          </w:p>
        </w:tc>
        <w:tc>
          <w:tcPr>
            <w:tcW w:w="1155" w:type="dxa"/>
            <w:hideMark/>
          </w:tcPr>
          <w:p w14:paraId="30601A1B" w14:textId="77777777" w:rsidR="00DC1B5A" w:rsidRDefault="00DC1B5A" w:rsidP="00B942C5">
            <w:pPr>
              <w:pStyle w:val="NormalWeb"/>
              <w:jc w:val="center"/>
            </w:pPr>
            <w:r>
              <w:t>1345</w:t>
            </w:r>
          </w:p>
        </w:tc>
        <w:tc>
          <w:tcPr>
            <w:tcW w:w="1155" w:type="dxa"/>
            <w:hideMark/>
          </w:tcPr>
          <w:p w14:paraId="71D65971" w14:textId="77777777" w:rsidR="00DC1B5A" w:rsidRDefault="00DC1B5A" w:rsidP="00B942C5">
            <w:pPr>
              <w:pStyle w:val="NormalWeb"/>
              <w:jc w:val="center"/>
            </w:pPr>
            <w:r>
              <w:t>1456</w:t>
            </w:r>
          </w:p>
        </w:tc>
        <w:tc>
          <w:tcPr>
            <w:tcW w:w="1154" w:type="dxa"/>
            <w:hideMark/>
          </w:tcPr>
          <w:p w14:paraId="473249DF" w14:textId="77777777" w:rsidR="00DC1B5A" w:rsidRDefault="00DC1B5A" w:rsidP="00B942C5">
            <w:pPr>
              <w:pStyle w:val="NormalWeb"/>
              <w:jc w:val="center"/>
            </w:pPr>
            <w:r>
              <w:t>2825</w:t>
            </w:r>
          </w:p>
        </w:tc>
        <w:tc>
          <w:tcPr>
            <w:tcW w:w="1155" w:type="dxa"/>
            <w:hideMark/>
          </w:tcPr>
          <w:p w14:paraId="6F48D9BC" w14:textId="77777777" w:rsidR="00DC1B5A" w:rsidRDefault="00DC1B5A" w:rsidP="00B942C5">
            <w:pPr>
              <w:pStyle w:val="NormalWeb"/>
              <w:jc w:val="center"/>
            </w:pPr>
            <w:r>
              <w:t>72.2</w:t>
            </w:r>
          </w:p>
        </w:tc>
        <w:tc>
          <w:tcPr>
            <w:tcW w:w="1155" w:type="dxa"/>
            <w:hideMark/>
          </w:tcPr>
          <w:p w14:paraId="58D5E673" w14:textId="77777777" w:rsidR="00DC1B5A" w:rsidRDefault="00DC1B5A" w:rsidP="00B942C5">
            <w:pPr>
              <w:pStyle w:val="NormalWeb"/>
              <w:jc w:val="center"/>
            </w:pPr>
            <w:r>
              <w:t>80.7</w:t>
            </w:r>
          </w:p>
        </w:tc>
        <w:tc>
          <w:tcPr>
            <w:tcW w:w="1155" w:type="dxa"/>
            <w:hideMark/>
          </w:tcPr>
          <w:p w14:paraId="20F6AC03" w14:textId="77777777" w:rsidR="00DC1B5A" w:rsidRDefault="00DC1B5A" w:rsidP="00B942C5">
            <w:pPr>
              <w:pStyle w:val="NormalWeb"/>
              <w:jc w:val="center"/>
            </w:pPr>
            <w:r>
              <w:t>77.0</w:t>
            </w:r>
          </w:p>
        </w:tc>
      </w:tr>
      <w:tr w:rsidR="00F6579B" w14:paraId="13D08FC6" w14:textId="77777777" w:rsidTr="00B942C5">
        <w:trPr>
          <w:cnfStyle w:val="000000010000" w:firstRow="0" w:lastRow="0" w:firstColumn="0" w:lastColumn="0" w:oddVBand="0" w:evenVBand="0" w:oddHBand="0" w:evenHBand="1" w:firstRowFirstColumn="0" w:firstRowLastColumn="0" w:lastRowFirstColumn="0" w:lastRowLastColumn="0"/>
        </w:trPr>
        <w:tc>
          <w:tcPr>
            <w:tcW w:w="0" w:type="auto"/>
            <w:hideMark/>
          </w:tcPr>
          <w:p w14:paraId="35F6FDAF" w14:textId="77777777" w:rsidR="00DC1B5A" w:rsidRDefault="00DC1B5A">
            <w:pPr>
              <w:pStyle w:val="NormalWeb"/>
            </w:pPr>
            <w:r>
              <w:rPr>
                <w:lang w:val="en-US"/>
              </w:rPr>
              <w:t>30—40</w:t>
            </w:r>
          </w:p>
        </w:tc>
        <w:tc>
          <w:tcPr>
            <w:tcW w:w="1154" w:type="dxa"/>
            <w:hideMark/>
          </w:tcPr>
          <w:p w14:paraId="5F6EF465" w14:textId="77777777" w:rsidR="00DC1B5A" w:rsidRDefault="00DC1B5A" w:rsidP="00B942C5">
            <w:pPr>
              <w:pStyle w:val="NormalWeb"/>
              <w:jc w:val="center"/>
            </w:pPr>
            <w:r>
              <w:t>371</w:t>
            </w:r>
          </w:p>
        </w:tc>
        <w:tc>
          <w:tcPr>
            <w:tcW w:w="1155" w:type="dxa"/>
            <w:hideMark/>
          </w:tcPr>
          <w:p w14:paraId="3EA2AE05" w14:textId="77777777" w:rsidR="00DC1B5A" w:rsidRDefault="00DC1B5A" w:rsidP="00B942C5">
            <w:pPr>
              <w:pStyle w:val="NormalWeb"/>
              <w:jc w:val="center"/>
            </w:pPr>
            <w:r>
              <w:t>331</w:t>
            </w:r>
          </w:p>
        </w:tc>
        <w:tc>
          <w:tcPr>
            <w:tcW w:w="1155" w:type="dxa"/>
            <w:hideMark/>
          </w:tcPr>
          <w:p w14:paraId="01FABBCE" w14:textId="77777777" w:rsidR="00DC1B5A" w:rsidRDefault="00DC1B5A" w:rsidP="00B942C5">
            <w:pPr>
              <w:pStyle w:val="NormalWeb"/>
              <w:jc w:val="center"/>
            </w:pPr>
            <w:r>
              <w:t>705</w:t>
            </w:r>
          </w:p>
        </w:tc>
        <w:tc>
          <w:tcPr>
            <w:tcW w:w="1155" w:type="dxa"/>
            <w:hideMark/>
          </w:tcPr>
          <w:p w14:paraId="0B0373FA" w14:textId="77777777" w:rsidR="00DC1B5A" w:rsidRDefault="00DC1B5A" w:rsidP="00B942C5">
            <w:pPr>
              <w:pStyle w:val="NormalWeb"/>
              <w:jc w:val="center"/>
            </w:pPr>
            <w:r>
              <w:t>20.4</w:t>
            </w:r>
          </w:p>
        </w:tc>
        <w:tc>
          <w:tcPr>
            <w:tcW w:w="1154" w:type="dxa"/>
            <w:hideMark/>
          </w:tcPr>
          <w:p w14:paraId="1E8502C2" w14:textId="77777777" w:rsidR="00DC1B5A" w:rsidRDefault="00DC1B5A" w:rsidP="00B942C5">
            <w:pPr>
              <w:pStyle w:val="NormalWeb"/>
              <w:jc w:val="center"/>
            </w:pPr>
            <w:r>
              <w:t>17.8</w:t>
            </w:r>
          </w:p>
        </w:tc>
        <w:tc>
          <w:tcPr>
            <w:tcW w:w="1155" w:type="dxa"/>
            <w:hideMark/>
          </w:tcPr>
          <w:p w14:paraId="6FC79B24" w14:textId="77777777" w:rsidR="00DC1B5A" w:rsidRDefault="00DC1B5A" w:rsidP="00B942C5">
            <w:pPr>
              <w:pStyle w:val="NormalWeb"/>
              <w:jc w:val="center"/>
            </w:pPr>
            <w:r>
              <w:t>19.2</w:t>
            </w:r>
          </w:p>
        </w:tc>
        <w:tc>
          <w:tcPr>
            <w:tcW w:w="1155" w:type="dxa"/>
            <w:hideMark/>
          </w:tcPr>
          <w:p w14:paraId="57979A64" w14:textId="77777777" w:rsidR="00DC1B5A" w:rsidRDefault="00DC1B5A" w:rsidP="00B942C5">
            <w:pPr>
              <w:pStyle w:val="NormalWeb"/>
              <w:jc w:val="center"/>
            </w:pPr>
            <w:r>
              <w:t>1155</w:t>
            </w:r>
          </w:p>
        </w:tc>
        <w:tc>
          <w:tcPr>
            <w:tcW w:w="1155" w:type="dxa"/>
            <w:hideMark/>
          </w:tcPr>
          <w:p w14:paraId="6E0ADC8C" w14:textId="77777777" w:rsidR="00DC1B5A" w:rsidRDefault="00DC1B5A" w:rsidP="00B942C5">
            <w:pPr>
              <w:pStyle w:val="NormalWeb"/>
              <w:jc w:val="center"/>
            </w:pPr>
            <w:r>
              <w:t>1025</w:t>
            </w:r>
          </w:p>
        </w:tc>
        <w:tc>
          <w:tcPr>
            <w:tcW w:w="1154" w:type="dxa"/>
            <w:hideMark/>
          </w:tcPr>
          <w:p w14:paraId="31BBC81E" w14:textId="77777777" w:rsidR="00DC1B5A" w:rsidRDefault="00DC1B5A" w:rsidP="00B942C5">
            <w:pPr>
              <w:pStyle w:val="NormalWeb"/>
              <w:jc w:val="center"/>
            </w:pPr>
            <w:r>
              <w:t>2196</w:t>
            </w:r>
          </w:p>
        </w:tc>
        <w:tc>
          <w:tcPr>
            <w:tcW w:w="1155" w:type="dxa"/>
            <w:hideMark/>
          </w:tcPr>
          <w:p w14:paraId="0BF8F80D" w14:textId="77777777" w:rsidR="00DC1B5A" w:rsidRDefault="00DC1B5A" w:rsidP="00B942C5">
            <w:pPr>
              <w:pStyle w:val="NormalWeb"/>
              <w:jc w:val="center"/>
            </w:pPr>
            <w:r>
              <w:t>63.5</w:t>
            </w:r>
          </w:p>
        </w:tc>
        <w:tc>
          <w:tcPr>
            <w:tcW w:w="1155" w:type="dxa"/>
            <w:hideMark/>
          </w:tcPr>
          <w:p w14:paraId="6950B355" w14:textId="77777777" w:rsidR="00DC1B5A" w:rsidRDefault="00DC1B5A" w:rsidP="00B942C5">
            <w:pPr>
              <w:pStyle w:val="NormalWeb"/>
              <w:jc w:val="center"/>
            </w:pPr>
            <w:r>
              <w:t>55.3</w:t>
            </w:r>
          </w:p>
        </w:tc>
        <w:tc>
          <w:tcPr>
            <w:tcW w:w="1155" w:type="dxa"/>
            <w:hideMark/>
          </w:tcPr>
          <w:p w14:paraId="57FCAEF3" w14:textId="77777777" w:rsidR="00DC1B5A" w:rsidRDefault="00DC1B5A" w:rsidP="00B942C5">
            <w:pPr>
              <w:pStyle w:val="NormalWeb"/>
              <w:jc w:val="center"/>
            </w:pPr>
            <w:r>
              <w:t>59.8</w:t>
            </w:r>
          </w:p>
        </w:tc>
      </w:tr>
      <w:tr w:rsidR="00DC1B5A" w14:paraId="19B83250" w14:textId="77777777" w:rsidTr="00B942C5">
        <w:tc>
          <w:tcPr>
            <w:tcW w:w="0" w:type="auto"/>
            <w:hideMark/>
          </w:tcPr>
          <w:p w14:paraId="43285D32" w14:textId="77777777" w:rsidR="00DC1B5A" w:rsidRDefault="00DC1B5A">
            <w:pPr>
              <w:pStyle w:val="NormalWeb"/>
            </w:pPr>
            <w:r>
              <w:rPr>
                <w:lang w:val="en-US"/>
              </w:rPr>
              <w:t>40—50</w:t>
            </w:r>
          </w:p>
        </w:tc>
        <w:tc>
          <w:tcPr>
            <w:tcW w:w="1154" w:type="dxa"/>
            <w:hideMark/>
          </w:tcPr>
          <w:p w14:paraId="7E8C1ED4" w14:textId="77777777" w:rsidR="00DC1B5A" w:rsidRDefault="00DC1B5A" w:rsidP="00B942C5">
            <w:pPr>
              <w:pStyle w:val="NormalWeb"/>
              <w:jc w:val="center"/>
            </w:pPr>
            <w:r>
              <w:t>279</w:t>
            </w:r>
          </w:p>
        </w:tc>
        <w:tc>
          <w:tcPr>
            <w:tcW w:w="1155" w:type="dxa"/>
            <w:hideMark/>
          </w:tcPr>
          <w:p w14:paraId="608798C9" w14:textId="77777777" w:rsidR="00DC1B5A" w:rsidRDefault="00DC1B5A" w:rsidP="00B942C5">
            <w:pPr>
              <w:pStyle w:val="NormalWeb"/>
              <w:jc w:val="center"/>
            </w:pPr>
            <w:r>
              <w:t>274</w:t>
            </w:r>
          </w:p>
        </w:tc>
        <w:tc>
          <w:tcPr>
            <w:tcW w:w="1155" w:type="dxa"/>
            <w:hideMark/>
          </w:tcPr>
          <w:p w14:paraId="4CFD34E7" w14:textId="77777777" w:rsidR="00DC1B5A" w:rsidRDefault="00DC1B5A" w:rsidP="00B942C5">
            <w:pPr>
              <w:pStyle w:val="NormalWeb"/>
              <w:jc w:val="center"/>
            </w:pPr>
            <w:r>
              <w:t>556</w:t>
            </w:r>
          </w:p>
        </w:tc>
        <w:tc>
          <w:tcPr>
            <w:tcW w:w="1155" w:type="dxa"/>
            <w:hideMark/>
          </w:tcPr>
          <w:p w14:paraId="28E3729D" w14:textId="77777777" w:rsidR="00DC1B5A" w:rsidRDefault="00DC1B5A" w:rsidP="00B942C5">
            <w:pPr>
              <w:pStyle w:val="NormalWeb"/>
              <w:jc w:val="center"/>
            </w:pPr>
            <w:r>
              <w:t>17.2</w:t>
            </w:r>
          </w:p>
        </w:tc>
        <w:tc>
          <w:tcPr>
            <w:tcW w:w="1154" w:type="dxa"/>
            <w:hideMark/>
          </w:tcPr>
          <w:p w14:paraId="38B0ABB4" w14:textId="77777777" w:rsidR="00DC1B5A" w:rsidRDefault="00DC1B5A" w:rsidP="00B942C5">
            <w:pPr>
              <w:pStyle w:val="NormalWeb"/>
              <w:jc w:val="center"/>
            </w:pPr>
            <w:r>
              <w:t>16.5</w:t>
            </w:r>
          </w:p>
        </w:tc>
        <w:tc>
          <w:tcPr>
            <w:tcW w:w="1155" w:type="dxa"/>
            <w:hideMark/>
          </w:tcPr>
          <w:p w14:paraId="6CB7FAD8" w14:textId="77777777" w:rsidR="00DC1B5A" w:rsidRDefault="00DC1B5A" w:rsidP="00B942C5">
            <w:pPr>
              <w:pStyle w:val="NormalWeb"/>
              <w:jc w:val="center"/>
            </w:pPr>
            <w:r>
              <w:t>17</w:t>
            </w:r>
          </w:p>
        </w:tc>
        <w:tc>
          <w:tcPr>
            <w:tcW w:w="1155" w:type="dxa"/>
            <w:hideMark/>
          </w:tcPr>
          <w:p w14:paraId="691F243B" w14:textId="77777777" w:rsidR="00DC1B5A" w:rsidRDefault="00DC1B5A" w:rsidP="00B942C5">
            <w:pPr>
              <w:pStyle w:val="NormalWeb"/>
              <w:jc w:val="center"/>
            </w:pPr>
            <w:r>
              <w:t>927</w:t>
            </w:r>
          </w:p>
        </w:tc>
        <w:tc>
          <w:tcPr>
            <w:tcW w:w="1155" w:type="dxa"/>
            <w:hideMark/>
          </w:tcPr>
          <w:p w14:paraId="6ABDDDB2" w14:textId="77777777" w:rsidR="00DC1B5A" w:rsidRDefault="00DC1B5A" w:rsidP="00B942C5">
            <w:pPr>
              <w:pStyle w:val="NormalWeb"/>
              <w:jc w:val="center"/>
            </w:pPr>
            <w:r>
              <w:t>776</w:t>
            </w:r>
          </w:p>
        </w:tc>
        <w:tc>
          <w:tcPr>
            <w:tcW w:w="1154" w:type="dxa"/>
            <w:hideMark/>
          </w:tcPr>
          <w:p w14:paraId="10EEF5F2" w14:textId="77777777" w:rsidR="00DC1B5A" w:rsidRDefault="00DC1B5A" w:rsidP="00B942C5">
            <w:pPr>
              <w:pStyle w:val="NormalWeb"/>
              <w:jc w:val="center"/>
            </w:pPr>
            <w:r>
              <w:t>1734</w:t>
            </w:r>
          </w:p>
        </w:tc>
        <w:tc>
          <w:tcPr>
            <w:tcW w:w="1155" w:type="dxa"/>
            <w:hideMark/>
          </w:tcPr>
          <w:p w14:paraId="3A5DF731" w14:textId="77777777" w:rsidR="00DC1B5A" w:rsidRDefault="00DC1B5A" w:rsidP="00B942C5">
            <w:pPr>
              <w:pStyle w:val="NormalWeb"/>
              <w:jc w:val="center"/>
            </w:pPr>
            <w:r>
              <w:t>57.3</w:t>
            </w:r>
          </w:p>
        </w:tc>
        <w:tc>
          <w:tcPr>
            <w:tcW w:w="1155" w:type="dxa"/>
            <w:hideMark/>
          </w:tcPr>
          <w:p w14:paraId="41E0E812" w14:textId="77777777" w:rsidR="00DC1B5A" w:rsidRDefault="00DC1B5A" w:rsidP="00B942C5">
            <w:pPr>
              <w:pStyle w:val="NormalWeb"/>
              <w:jc w:val="center"/>
            </w:pPr>
            <w:r>
              <w:t>46.9</w:t>
            </w:r>
          </w:p>
        </w:tc>
        <w:tc>
          <w:tcPr>
            <w:tcW w:w="1155" w:type="dxa"/>
            <w:hideMark/>
          </w:tcPr>
          <w:p w14:paraId="6C33C923" w14:textId="77777777" w:rsidR="00DC1B5A" w:rsidRDefault="00DC1B5A" w:rsidP="00B942C5">
            <w:pPr>
              <w:pStyle w:val="NormalWeb"/>
              <w:jc w:val="center"/>
            </w:pPr>
            <w:r>
              <w:t>53.0</w:t>
            </w:r>
          </w:p>
        </w:tc>
      </w:tr>
      <w:tr w:rsidR="00F6579B" w14:paraId="269A0FA3" w14:textId="77777777" w:rsidTr="00B942C5">
        <w:trPr>
          <w:cnfStyle w:val="000000010000" w:firstRow="0" w:lastRow="0" w:firstColumn="0" w:lastColumn="0" w:oddVBand="0" w:evenVBand="0" w:oddHBand="0" w:evenHBand="1" w:firstRowFirstColumn="0" w:firstRowLastColumn="0" w:lastRowFirstColumn="0" w:lastRowLastColumn="0"/>
        </w:trPr>
        <w:tc>
          <w:tcPr>
            <w:tcW w:w="0" w:type="auto"/>
            <w:hideMark/>
          </w:tcPr>
          <w:p w14:paraId="4A6EDE6F" w14:textId="77777777" w:rsidR="00DC1B5A" w:rsidRDefault="00DC1B5A">
            <w:pPr>
              <w:pStyle w:val="NormalWeb"/>
            </w:pPr>
            <w:r>
              <w:rPr>
                <w:lang w:val="en-US"/>
              </w:rPr>
              <w:t>50—60</w:t>
            </w:r>
          </w:p>
        </w:tc>
        <w:tc>
          <w:tcPr>
            <w:tcW w:w="1154" w:type="dxa"/>
            <w:hideMark/>
          </w:tcPr>
          <w:p w14:paraId="1A582B15" w14:textId="77777777" w:rsidR="00DC1B5A" w:rsidRDefault="00DC1B5A" w:rsidP="00B942C5">
            <w:pPr>
              <w:pStyle w:val="NormalWeb"/>
              <w:jc w:val="center"/>
            </w:pPr>
            <w:r>
              <w:t>218</w:t>
            </w:r>
          </w:p>
        </w:tc>
        <w:tc>
          <w:tcPr>
            <w:tcW w:w="1155" w:type="dxa"/>
            <w:hideMark/>
          </w:tcPr>
          <w:p w14:paraId="4379878A" w14:textId="77777777" w:rsidR="00DC1B5A" w:rsidRDefault="00DC1B5A" w:rsidP="00B942C5">
            <w:pPr>
              <w:pStyle w:val="NormalWeb"/>
              <w:jc w:val="center"/>
            </w:pPr>
            <w:r>
              <w:t>199</w:t>
            </w:r>
          </w:p>
        </w:tc>
        <w:tc>
          <w:tcPr>
            <w:tcW w:w="1155" w:type="dxa"/>
            <w:hideMark/>
          </w:tcPr>
          <w:p w14:paraId="28519AD7" w14:textId="77777777" w:rsidR="00DC1B5A" w:rsidRDefault="00DC1B5A" w:rsidP="00B942C5">
            <w:pPr>
              <w:pStyle w:val="NormalWeb"/>
              <w:jc w:val="center"/>
            </w:pPr>
            <w:r>
              <w:t>417</w:t>
            </w:r>
          </w:p>
        </w:tc>
        <w:tc>
          <w:tcPr>
            <w:tcW w:w="1155" w:type="dxa"/>
            <w:hideMark/>
          </w:tcPr>
          <w:p w14:paraId="5DADFE8C" w14:textId="77777777" w:rsidR="00DC1B5A" w:rsidRDefault="00DC1B5A" w:rsidP="00B942C5">
            <w:pPr>
              <w:pStyle w:val="NormalWeb"/>
              <w:jc w:val="center"/>
            </w:pPr>
            <w:r>
              <w:t>14.5</w:t>
            </w:r>
          </w:p>
        </w:tc>
        <w:tc>
          <w:tcPr>
            <w:tcW w:w="1154" w:type="dxa"/>
            <w:hideMark/>
          </w:tcPr>
          <w:p w14:paraId="770B35E5" w14:textId="77777777" w:rsidR="00DC1B5A" w:rsidRDefault="00DC1B5A" w:rsidP="00B942C5">
            <w:pPr>
              <w:pStyle w:val="NormalWeb"/>
              <w:jc w:val="center"/>
            </w:pPr>
            <w:r>
              <w:t>12.7</w:t>
            </w:r>
          </w:p>
        </w:tc>
        <w:tc>
          <w:tcPr>
            <w:tcW w:w="1155" w:type="dxa"/>
            <w:hideMark/>
          </w:tcPr>
          <w:p w14:paraId="041F87C2" w14:textId="77777777" w:rsidR="00DC1B5A" w:rsidRDefault="00DC1B5A" w:rsidP="00B942C5">
            <w:pPr>
              <w:pStyle w:val="NormalWeb"/>
              <w:jc w:val="center"/>
            </w:pPr>
            <w:r>
              <w:t>13.5</w:t>
            </w:r>
          </w:p>
        </w:tc>
        <w:tc>
          <w:tcPr>
            <w:tcW w:w="1155" w:type="dxa"/>
            <w:hideMark/>
          </w:tcPr>
          <w:p w14:paraId="48A7D0CD" w14:textId="77777777" w:rsidR="00DC1B5A" w:rsidRDefault="00DC1B5A" w:rsidP="00B942C5">
            <w:pPr>
              <w:pStyle w:val="NormalWeb"/>
              <w:jc w:val="center"/>
            </w:pPr>
            <w:r>
              <w:t>863</w:t>
            </w:r>
          </w:p>
        </w:tc>
        <w:tc>
          <w:tcPr>
            <w:tcW w:w="1155" w:type="dxa"/>
            <w:hideMark/>
          </w:tcPr>
          <w:p w14:paraId="69023292" w14:textId="77777777" w:rsidR="00DC1B5A" w:rsidRDefault="00DC1B5A" w:rsidP="00B942C5">
            <w:pPr>
              <w:pStyle w:val="NormalWeb"/>
              <w:jc w:val="center"/>
            </w:pPr>
            <w:r>
              <w:t>851</w:t>
            </w:r>
          </w:p>
        </w:tc>
        <w:tc>
          <w:tcPr>
            <w:tcW w:w="1154" w:type="dxa"/>
            <w:hideMark/>
          </w:tcPr>
          <w:p w14:paraId="145AECAC" w14:textId="77777777" w:rsidR="00DC1B5A" w:rsidRDefault="00DC1B5A" w:rsidP="00B942C5">
            <w:pPr>
              <w:pStyle w:val="NormalWeb"/>
              <w:jc w:val="center"/>
            </w:pPr>
            <w:r>
              <w:t>1721</w:t>
            </w:r>
          </w:p>
        </w:tc>
        <w:tc>
          <w:tcPr>
            <w:tcW w:w="1155" w:type="dxa"/>
            <w:hideMark/>
          </w:tcPr>
          <w:p w14:paraId="7F364FF5" w14:textId="77777777" w:rsidR="00DC1B5A" w:rsidRDefault="00DC1B5A" w:rsidP="00B942C5">
            <w:pPr>
              <w:pStyle w:val="NormalWeb"/>
              <w:jc w:val="center"/>
            </w:pPr>
            <w:r>
              <w:t>57.2</w:t>
            </w:r>
          </w:p>
        </w:tc>
        <w:tc>
          <w:tcPr>
            <w:tcW w:w="1155" w:type="dxa"/>
            <w:hideMark/>
          </w:tcPr>
          <w:p w14:paraId="61A66329" w14:textId="77777777" w:rsidR="00DC1B5A" w:rsidRDefault="00DC1B5A" w:rsidP="00B942C5">
            <w:pPr>
              <w:pStyle w:val="NormalWeb"/>
              <w:jc w:val="center"/>
            </w:pPr>
            <w:r>
              <w:t>54.1</w:t>
            </w:r>
          </w:p>
        </w:tc>
        <w:tc>
          <w:tcPr>
            <w:tcW w:w="1155" w:type="dxa"/>
            <w:hideMark/>
          </w:tcPr>
          <w:p w14:paraId="47371128" w14:textId="77777777" w:rsidR="00DC1B5A" w:rsidRDefault="00DC1B5A" w:rsidP="00B942C5">
            <w:pPr>
              <w:pStyle w:val="NormalWeb"/>
              <w:jc w:val="center"/>
            </w:pPr>
            <w:r>
              <w:t>55.9</w:t>
            </w:r>
          </w:p>
        </w:tc>
      </w:tr>
      <w:tr w:rsidR="00DC1B5A" w14:paraId="4CB2354D" w14:textId="77777777" w:rsidTr="00B942C5">
        <w:tc>
          <w:tcPr>
            <w:tcW w:w="0" w:type="auto"/>
            <w:hideMark/>
          </w:tcPr>
          <w:p w14:paraId="7F56AD76" w14:textId="77777777" w:rsidR="00DC1B5A" w:rsidRDefault="00DC1B5A">
            <w:pPr>
              <w:pStyle w:val="NormalWeb"/>
            </w:pPr>
            <w:r>
              <w:rPr>
                <w:lang w:val="en-US"/>
              </w:rPr>
              <w:t>60—70</w:t>
            </w:r>
          </w:p>
        </w:tc>
        <w:tc>
          <w:tcPr>
            <w:tcW w:w="1154" w:type="dxa"/>
            <w:hideMark/>
          </w:tcPr>
          <w:p w14:paraId="3B49927C" w14:textId="77777777" w:rsidR="00DC1B5A" w:rsidRDefault="00DC1B5A" w:rsidP="00B942C5">
            <w:pPr>
              <w:pStyle w:val="NormalWeb"/>
              <w:jc w:val="center"/>
            </w:pPr>
            <w:r>
              <w:t>100</w:t>
            </w:r>
          </w:p>
        </w:tc>
        <w:tc>
          <w:tcPr>
            <w:tcW w:w="1155" w:type="dxa"/>
            <w:hideMark/>
          </w:tcPr>
          <w:p w14:paraId="10857A63" w14:textId="77777777" w:rsidR="00DC1B5A" w:rsidRDefault="00DC1B5A" w:rsidP="00B942C5">
            <w:pPr>
              <w:pStyle w:val="NormalWeb"/>
              <w:jc w:val="center"/>
            </w:pPr>
            <w:r>
              <w:t>127</w:t>
            </w:r>
          </w:p>
        </w:tc>
        <w:tc>
          <w:tcPr>
            <w:tcW w:w="1155" w:type="dxa"/>
            <w:hideMark/>
          </w:tcPr>
          <w:p w14:paraId="6BB4EB8C" w14:textId="77777777" w:rsidR="00DC1B5A" w:rsidRDefault="00DC1B5A" w:rsidP="00B942C5">
            <w:pPr>
              <w:pStyle w:val="NormalWeb"/>
              <w:jc w:val="center"/>
            </w:pPr>
            <w:r>
              <w:t>229</w:t>
            </w:r>
          </w:p>
        </w:tc>
        <w:tc>
          <w:tcPr>
            <w:tcW w:w="1155" w:type="dxa"/>
            <w:hideMark/>
          </w:tcPr>
          <w:p w14:paraId="16BD53EC" w14:textId="77777777" w:rsidR="00DC1B5A" w:rsidRDefault="00DC1B5A" w:rsidP="00B942C5">
            <w:pPr>
              <w:pStyle w:val="NormalWeb"/>
              <w:jc w:val="center"/>
            </w:pPr>
            <w:r>
              <w:t>7.9</w:t>
            </w:r>
          </w:p>
        </w:tc>
        <w:tc>
          <w:tcPr>
            <w:tcW w:w="1154" w:type="dxa"/>
            <w:hideMark/>
          </w:tcPr>
          <w:p w14:paraId="78493429" w14:textId="77777777" w:rsidR="00DC1B5A" w:rsidRDefault="00DC1B5A" w:rsidP="00B942C5">
            <w:pPr>
              <w:pStyle w:val="NormalWeb"/>
              <w:jc w:val="center"/>
            </w:pPr>
            <w:r>
              <w:t>9.5</w:t>
            </w:r>
          </w:p>
        </w:tc>
        <w:tc>
          <w:tcPr>
            <w:tcW w:w="1155" w:type="dxa"/>
            <w:hideMark/>
          </w:tcPr>
          <w:p w14:paraId="2B630846" w14:textId="77777777" w:rsidR="00DC1B5A" w:rsidRDefault="00DC1B5A" w:rsidP="00B942C5">
            <w:pPr>
              <w:pStyle w:val="NormalWeb"/>
              <w:jc w:val="center"/>
            </w:pPr>
            <w:r>
              <w:t>8.8</w:t>
            </w:r>
          </w:p>
        </w:tc>
        <w:tc>
          <w:tcPr>
            <w:tcW w:w="1155" w:type="dxa"/>
            <w:hideMark/>
          </w:tcPr>
          <w:p w14:paraId="1141372E" w14:textId="77777777" w:rsidR="00DC1B5A" w:rsidRDefault="00DC1B5A" w:rsidP="00B942C5">
            <w:pPr>
              <w:pStyle w:val="NormalWeb"/>
              <w:jc w:val="center"/>
            </w:pPr>
            <w:r>
              <w:t>727</w:t>
            </w:r>
          </w:p>
        </w:tc>
        <w:tc>
          <w:tcPr>
            <w:tcW w:w="1155" w:type="dxa"/>
            <w:hideMark/>
          </w:tcPr>
          <w:p w14:paraId="0DEE99B5" w14:textId="77777777" w:rsidR="00DC1B5A" w:rsidRDefault="00DC1B5A" w:rsidP="00B942C5">
            <w:pPr>
              <w:pStyle w:val="NormalWeb"/>
              <w:jc w:val="center"/>
            </w:pPr>
            <w:r>
              <w:t>746</w:t>
            </w:r>
          </w:p>
        </w:tc>
        <w:tc>
          <w:tcPr>
            <w:tcW w:w="1154" w:type="dxa"/>
            <w:hideMark/>
          </w:tcPr>
          <w:p w14:paraId="158B7EDC" w14:textId="77777777" w:rsidR="00DC1B5A" w:rsidRDefault="00DC1B5A" w:rsidP="00B942C5">
            <w:pPr>
              <w:pStyle w:val="NormalWeb"/>
              <w:jc w:val="center"/>
            </w:pPr>
            <w:r>
              <w:t>1476</w:t>
            </w:r>
          </w:p>
        </w:tc>
        <w:tc>
          <w:tcPr>
            <w:tcW w:w="1155" w:type="dxa"/>
            <w:hideMark/>
          </w:tcPr>
          <w:p w14:paraId="238E8A0D" w14:textId="77777777" w:rsidR="00DC1B5A" w:rsidRDefault="00DC1B5A" w:rsidP="00B942C5">
            <w:pPr>
              <w:pStyle w:val="NormalWeb"/>
              <w:jc w:val="center"/>
            </w:pPr>
            <w:r>
              <w:t>57.2</w:t>
            </w:r>
          </w:p>
        </w:tc>
        <w:tc>
          <w:tcPr>
            <w:tcW w:w="1155" w:type="dxa"/>
            <w:hideMark/>
          </w:tcPr>
          <w:p w14:paraId="2E52DD2E" w14:textId="77777777" w:rsidR="00DC1B5A" w:rsidRDefault="00DC1B5A" w:rsidP="00B942C5">
            <w:pPr>
              <w:pStyle w:val="NormalWeb"/>
              <w:jc w:val="center"/>
            </w:pPr>
            <w:r>
              <w:t>55.6</w:t>
            </w:r>
          </w:p>
        </w:tc>
        <w:tc>
          <w:tcPr>
            <w:tcW w:w="1155" w:type="dxa"/>
            <w:hideMark/>
          </w:tcPr>
          <w:p w14:paraId="3BFBF9FD" w14:textId="77777777" w:rsidR="00DC1B5A" w:rsidRDefault="00DC1B5A" w:rsidP="00B942C5">
            <w:pPr>
              <w:pStyle w:val="NormalWeb"/>
              <w:jc w:val="center"/>
            </w:pPr>
            <w:r>
              <w:t>56.5</w:t>
            </w:r>
          </w:p>
        </w:tc>
      </w:tr>
      <w:tr w:rsidR="00F6579B" w14:paraId="0E99E01F" w14:textId="77777777" w:rsidTr="00B942C5">
        <w:trPr>
          <w:cnfStyle w:val="000000010000" w:firstRow="0" w:lastRow="0" w:firstColumn="0" w:lastColumn="0" w:oddVBand="0" w:evenVBand="0" w:oddHBand="0" w:evenHBand="1" w:firstRowFirstColumn="0" w:firstRowLastColumn="0" w:lastRowFirstColumn="0" w:lastRowLastColumn="0"/>
        </w:trPr>
        <w:tc>
          <w:tcPr>
            <w:tcW w:w="0" w:type="auto"/>
            <w:hideMark/>
          </w:tcPr>
          <w:p w14:paraId="6BB3B55E" w14:textId="77777777" w:rsidR="00DC1B5A" w:rsidRDefault="00DC1B5A">
            <w:pPr>
              <w:pStyle w:val="NormalWeb"/>
            </w:pPr>
            <w:r>
              <w:rPr>
                <w:lang w:val="en-US"/>
              </w:rPr>
              <w:t>70—80</w:t>
            </w:r>
          </w:p>
        </w:tc>
        <w:tc>
          <w:tcPr>
            <w:tcW w:w="1154" w:type="dxa"/>
            <w:hideMark/>
          </w:tcPr>
          <w:p w14:paraId="6841D4A7" w14:textId="77777777" w:rsidR="00DC1B5A" w:rsidRDefault="00DC1B5A" w:rsidP="00B942C5">
            <w:pPr>
              <w:pStyle w:val="NormalWeb"/>
              <w:jc w:val="center"/>
            </w:pPr>
            <w:r>
              <w:t>63</w:t>
            </w:r>
          </w:p>
        </w:tc>
        <w:tc>
          <w:tcPr>
            <w:tcW w:w="1155" w:type="dxa"/>
            <w:hideMark/>
          </w:tcPr>
          <w:p w14:paraId="4087EE19" w14:textId="77777777" w:rsidR="00DC1B5A" w:rsidRDefault="00DC1B5A" w:rsidP="00B942C5">
            <w:pPr>
              <w:pStyle w:val="NormalWeb"/>
              <w:jc w:val="center"/>
            </w:pPr>
            <w:r>
              <w:t>54</w:t>
            </w:r>
          </w:p>
        </w:tc>
        <w:tc>
          <w:tcPr>
            <w:tcW w:w="1155" w:type="dxa"/>
            <w:hideMark/>
          </w:tcPr>
          <w:p w14:paraId="39C61058" w14:textId="77777777" w:rsidR="00DC1B5A" w:rsidRDefault="00DC1B5A" w:rsidP="00B942C5">
            <w:pPr>
              <w:pStyle w:val="NormalWeb"/>
              <w:jc w:val="center"/>
            </w:pPr>
            <w:r>
              <w:t>117</w:t>
            </w:r>
          </w:p>
        </w:tc>
        <w:tc>
          <w:tcPr>
            <w:tcW w:w="1155" w:type="dxa"/>
            <w:hideMark/>
          </w:tcPr>
          <w:p w14:paraId="7E6DE2F2" w14:textId="77777777" w:rsidR="00DC1B5A" w:rsidRDefault="00DC1B5A" w:rsidP="00B942C5">
            <w:pPr>
              <w:pStyle w:val="NormalWeb"/>
              <w:jc w:val="center"/>
            </w:pPr>
            <w:r>
              <w:t>7.2</w:t>
            </w:r>
          </w:p>
        </w:tc>
        <w:tc>
          <w:tcPr>
            <w:tcW w:w="1154" w:type="dxa"/>
            <w:hideMark/>
          </w:tcPr>
          <w:p w14:paraId="58A85C18" w14:textId="77777777" w:rsidR="00DC1B5A" w:rsidRDefault="00DC1B5A" w:rsidP="00B942C5">
            <w:pPr>
              <w:pStyle w:val="NormalWeb"/>
              <w:jc w:val="center"/>
            </w:pPr>
            <w:r>
              <w:t>5.9</w:t>
            </w:r>
          </w:p>
        </w:tc>
        <w:tc>
          <w:tcPr>
            <w:tcW w:w="1155" w:type="dxa"/>
            <w:hideMark/>
          </w:tcPr>
          <w:p w14:paraId="4DE1DA10" w14:textId="77777777" w:rsidR="00DC1B5A" w:rsidRDefault="00DC1B5A" w:rsidP="00B942C5">
            <w:pPr>
              <w:pStyle w:val="NormalWeb"/>
              <w:jc w:val="center"/>
            </w:pPr>
            <w:r>
              <w:t>6.5</w:t>
            </w:r>
          </w:p>
        </w:tc>
        <w:tc>
          <w:tcPr>
            <w:tcW w:w="1155" w:type="dxa"/>
            <w:hideMark/>
          </w:tcPr>
          <w:p w14:paraId="6C776D61" w14:textId="77777777" w:rsidR="00DC1B5A" w:rsidRDefault="00DC1B5A" w:rsidP="00B942C5">
            <w:pPr>
              <w:pStyle w:val="NormalWeb"/>
              <w:jc w:val="center"/>
            </w:pPr>
            <w:r>
              <w:t>501</w:t>
            </w:r>
          </w:p>
        </w:tc>
        <w:tc>
          <w:tcPr>
            <w:tcW w:w="1155" w:type="dxa"/>
            <w:hideMark/>
          </w:tcPr>
          <w:p w14:paraId="3CAC0CB6" w14:textId="77777777" w:rsidR="00DC1B5A" w:rsidRDefault="00DC1B5A" w:rsidP="00B942C5">
            <w:pPr>
              <w:pStyle w:val="NormalWeb"/>
              <w:jc w:val="center"/>
            </w:pPr>
            <w:r>
              <w:t>413</w:t>
            </w:r>
          </w:p>
        </w:tc>
        <w:tc>
          <w:tcPr>
            <w:tcW w:w="1154" w:type="dxa"/>
            <w:hideMark/>
          </w:tcPr>
          <w:p w14:paraId="2F70804E" w14:textId="77777777" w:rsidR="00DC1B5A" w:rsidRDefault="00DC1B5A" w:rsidP="00B942C5">
            <w:pPr>
              <w:pStyle w:val="NormalWeb"/>
              <w:jc w:val="center"/>
            </w:pPr>
            <w:r>
              <w:t>914</w:t>
            </w:r>
          </w:p>
        </w:tc>
        <w:tc>
          <w:tcPr>
            <w:tcW w:w="1155" w:type="dxa"/>
            <w:hideMark/>
          </w:tcPr>
          <w:p w14:paraId="09F6F02E" w14:textId="77777777" w:rsidR="00DC1B5A" w:rsidRDefault="00DC1B5A" w:rsidP="00B942C5">
            <w:pPr>
              <w:pStyle w:val="NormalWeb"/>
              <w:jc w:val="center"/>
            </w:pPr>
            <w:r>
              <w:t>57.6</w:t>
            </w:r>
          </w:p>
        </w:tc>
        <w:tc>
          <w:tcPr>
            <w:tcW w:w="1155" w:type="dxa"/>
            <w:hideMark/>
          </w:tcPr>
          <w:p w14:paraId="6168BEE5" w14:textId="77777777" w:rsidR="00DC1B5A" w:rsidRDefault="00DC1B5A" w:rsidP="00B942C5">
            <w:pPr>
              <w:pStyle w:val="NormalWeb"/>
              <w:jc w:val="center"/>
            </w:pPr>
            <w:r>
              <w:t>44.8</w:t>
            </w:r>
          </w:p>
        </w:tc>
        <w:tc>
          <w:tcPr>
            <w:tcW w:w="1155" w:type="dxa"/>
            <w:hideMark/>
          </w:tcPr>
          <w:p w14:paraId="0A703B26" w14:textId="77777777" w:rsidR="00DC1B5A" w:rsidRDefault="00DC1B5A" w:rsidP="00B942C5">
            <w:pPr>
              <w:pStyle w:val="NormalWeb"/>
              <w:jc w:val="center"/>
            </w:pPr>
            <w:r>
              <w:t>51.0</w:t>
            </w:r>
          </w:p>
        </w:tc>
      </w:tr>
      <w:tr w:rsidR="00DC1B5A" w14:paraId="21FA9304" w14:textId="77777777" w:rsidTr="00B942C5">
        <w:tc>
          <w:tcPr>
            <w:tcW w:w="0" w:type="auto"/>
            <w:hideMark/>
          </w:tcPr>
          <w:p w14:paraId="4037CB65" w14:textId="77777777" w:rsidR="00DC1B5A" w:rsidRDefault="00DC1B5A">
            <w:pPr>
              <w:pStyle w:val="NormalWeb"/>
            </w:pPr>
            <w:r>
              <w:rPr>
                <w:lang w:val="en-US"/>
              </w:rPr>
              <w:t>80—90</w:t>
            </w:r>
          </w:p>
        </w:tc>
        <w:tc>
          <w:tcPr>
            <w:tcW w:w="1154" w:type="dxa"/>
            <w:hideMark/>
          </w:tcPr>
          <w:p w14:paraId="3782BC21" w14:textId="77777777" w:rsidR="00DC1B5A" w:rsidRDefault="00DC1B5A" w:rsidP="00B942C5">
            <w:pPr>
              <w:pStyle w:val="NormalWeb"/>
              <w:jc w:val="center"/>
            </w:pPr>
            <w:r>
              <w:t>45</w:t>
            </w:r>
          </w:p>
        </w:tc>
        <w:tc>
          <w:tcPr>
            <w:tcW w:w="1155" w:type="dxa"/>
            <w:hideMark/>
          </w:tcPr>
          <w:p w14:paraId="2D78210C" w14:textId="77777777" w:rsidR="00DC1B5A" w:rsidRDefault="00DC1B5A" w:rsidP="00B942C5">
            <w:pPr>
              <w:pStyle w:val="NormalWeb"/>
              <w:jc w:val="center"/>
            </w:pPr>
            <w:r>
              <w:t>72</w:t>
            </w:r>
          </w:p>
        </w:tc>
        <w:tc>
          <w:tcPr>
            <w:tcW w:w="1155" w:type="dxa"/>
            <w:hideMark/>
          </w:tcPr>
          <w:p w14:paraId="749881C7" w14:textId="77777777" w:rsidR="00DC1B5A" w:rsidRDefault="00DC1B5A" w:rsidP="00B942C5">
            <w:pPr>
              <w:pStyle w:val="NormalWeb"/>
              <w:jc w:val="center"/>
            </w:pPr>
            <w:r>
              <w:t>117</w:t>
            </w:r>
          </w:p>
        </w:tc>
        <w:tc>
          <w:tcPr>
            <w:tcW w:w="1155" w:type="dxa"/>
            <w:hideMark/>
          </w:tcPr>
          <w:p w14:paraId="19B7A6E2" w14:textId="77777777" w:rsidR="00DC1B5A" w:rsidRDefault="00DC1B5A" w:rsidP="00B942C5">
            <w:pPr>
              <w:pStyle w:val="NormalWeb"/>
              <w:jc w:val="center"/>
            </w:pPr>
            <w:r>
              <w:t>12.6</w:t>
            </w:r>
          </w:p>
        </w:tc>
        <w:tc>
          <w:tcPr>
            <w:tcW w:w="1154" w:type="dxa"/>
            <w:hideMark/>
          </w:tcPr>
          <w:p w14:paraId="3589DBAF" w14:textId="77777777" w:rsidR="00DC1B5A" w:rsidRDefault="00DC1B5A" w:rsidP="00B942C5">
            <w:pPr>
              <w:pStyle w:val="NormalWeb"/>
              <w:jc w:val="center"/>
            </w:pPr>
            <w:r>
              <w:t>15.6</w:t>
            </w:r>
          </w:p>
        </w:tc>
        <w:tc>
          <w:tcPr>
            <w:tcW w:w="1155" w:type="dxa"/>
            <w:hideMark/>
          </w:tcPr>
          <w:p w14:paraId="04BD892B" w14:textId="77777777" w:rsidR="00DC1B5A" w:rsidRDefault="00DC1B5A" w:rsidP="00B942C5">
            <w:pPr>
              <w:pStyle w:val="NormalWeb"/>
              <w:jc w:val="center"/>
            </w:pPr>
            <w:r>
              <w:t>14.3</w:t>
            </w:r>
          </w:p>
        </w:tc>
        <w:tc>
          <w:tcPr>
            <w:tcW w:w="1155" w:type="dxa"/>
            <w:hideMark/>
          </w:tcPr>
          <w:p w14:paraId="7643D9C2" w14:textId="77777777" w:rsidR="00DC1B5A" w:rsidRDefault="00DC1B5A" w:rsidP="00B942C5">
            <w:pPr>
              <w:pStyle w:val="NormalWeb"/>
              <w:jc w:val="center"/>
            </w:pPr>
            <w:r>
              <w:t>163</w:t>
            </w:r>
          </w:p>
        </w:tc>
        <w:tc>
          <w:tcPr>
            <w:tcW w:w="1155" w:type="dxa"/>
            <w:hideMark/>
          </w:tcPr>
          <w:p w14:paraId="2405EEF3" w14:textId="77777777" w:rsidR="00DC1B5A" w:rsidRDefault="00DC1B5A" w:rsidP="00B942C5">
            <w:pPr>
              <w:pStyle w:val="NormalWeb"/>
              <w:jc w:val="center"/>
            </w:pPr>
            <w:r>
              <w:t>170</w:t>
            </w:r>
          </w:p>
        </w:tc>
        <w:tc>
          <w:tcPr>
            <w:tcW w:w="1154" w:type="dxa"/>
            <w:hideMark/>
          </w:tcPr>
          <w:p w14:paraId="12ACA357" w14:textId="77777777" w:rsidR="00DC1B5A" w:rsidRDefault="00DC1B5A" w:rsidP="00B942C5">
            <w:pPr>
              <w:pStyle w:val="NormalWeb"/>
              <w:jc w:val="center"/>
            </w:pPr>
            <w:r>
              <w:t>333</w:t>
            </w:r>
          </w:p>
        </w:tc>
        <w:tc>
          <w:tcPr>
            <w:tcW w:w="1155" w:type="dxa"/>
            <w:hideMark/>
          </w:tcPr>
          <w:p w14:paraId="040309E4" w14:textId="77777777" w:rsidR="00DC1B5A" w:rsidRDefault="00DC1B5A" w:rsidP="00B942C5">
            <w:pPr>
              <w:pStyle w:val="NormalWeb"/>
              <w:jc w:val="center"/>
            </w:pPr>
            <w:r>
              <w:t>45.6</w:t>
            </w:r>
          </w:p>
        </w:tc>
        <w:tc>
          <w:tcPr>
            <w:tcW w:w="1155" w:type="dxa"/>
            <w:hideMark/>
          </w:tcPr>
          <w:p w14:paraId="039F15AC" w14:textId="77777777" w:rsidR="00DC1B5A" w:rsidRDefault="00DC1B5A" w:rsidP="00B942C5">
            <w:pPr>
              <w:pStyle w:val="NormalWeb"/>
              <w:jc w:val="center"/>
            </w:pPr>
            <w:r>
              <w:t>36.9</w:t>
            </w:r>
          </w:p>
        </w:tc>
        <w:tc>
          <w:tcPr>
            <w:tcW w:w="1155" w:type="dxa"/>
            <w:hideMark/>
          </w:tcPr>
          <w:p w14:paraId="090F108C" w14:textId="77777777" w:rsidR="00DC1B5A" w:rsidRDefault="00DC1B5A" w:rsidP="00B942C5">
            <w:pPr>
              <w:pStyle w:val="NormalWeb"/>
              <w:jc w:val="center"/>
            </w:pPr>
            <w:r>
              <w:rPr>
                <w:lang w:val="en-US"/>
              </w:rPr>
              <w:t>40.7</w:t>
            </w:r>
          </w:p>
        </w:tc>
      </w:tr>
    </w:tbl>
    <w:p w14:paraId="24E6D739" w14:textId="77777777" w:rsidR="00DC1B5A" w:rsidRDefault="00A45426" w:rsidP="00993716">
      <w:pPr>
        <w:pStyle w:val="CDIfootnotes"/>
      </w:pPr>
      <w:r>
        <w:rPr>
          <w:lang w:val="en-US"/>
        </w:rPr>
        <w:t>a</w:t>
      </w:r>
      <w:r>
        <w:rPr>
          <w:lang w:val="en-US"/>
        </w:rPr>
        <w:tab/>
      </w:r>
      <w:r w:rsidR="00DC1B5A">
        <w:rPr>
          <w:lang w:val="en-US"/>
        </w:rPr>
        <w:t>Cases and rates for persons include 5 cases with unknown gender.</w:t>
      </w:r>
    </w:p>
    <w:p w14:paraId="46DB6638" w14:textId="77777777" w:rsidR="004F5B72" w:rsidRDefault="004F5B72">
      <w:pPr>
        <w:rPr>
          <w:b/>
        </w:rPr>
      </w:pPr>
      <w:r>
        <w:br w:type="page"/>
      </w:r>
    </w:p>
    <w:p w14:paraId="69ED5B3E" w14:textId="77777777" w:rsidR="00DC1B5A" w:rsidRDefault="00DC1B5A" w:rsidP="00993716">
      <w:pPr>
        <w:pStyle w:val="CDIFigures"/>
      </w:pPr>
      <w:r>
        <w:lastRenderedPageBreak/>
        <w:t xml:space="preserve">Figure B.1: Variation in combinations of COVID-19 symptoms in confirmed cases as at 19 July 2020, </w:t>
      </w:r>
      <w:proofErr w:type="spellStart"/>
      <w:r>
        <w:t>Australia</w:t>
      </w:r>
      <w:r w:rsidRPr="004D6688">
        <w:rPr>
          <w:vertAlign w:val="superscript"/>
        </w:rPr>
        <w:t>a</w:t>
      </w:r>
      <w:proofErr w:type="spellEnd"/>
    </w:p>
    <w:p w14:paraId="51D23EC0" w14:textId="77777777" w:rsidR="00DC1B5A" w:rsidRDefault="00DC1B5A">
      <w:pPr>
        <w:pStyle w:val="NormalWeb"/>
      </w:pPr>
      <w:r>
        <w:rPr>
          <w:noProof/>
        </w:rPr>
        <w:drawing>
          <wp:inline distT="0" distB="0" distL="0" distR="0" wp14:anchorId="5715B1D7" wp14:editId="35A9347E">
            <wp:extent cx="8233698" cy="5226022"/>
            <wp:effectExtent l="0" t="0" r="0" b="0"/>
            <wp:docPr id="11" name="Picture 11" descr="This figure shows the variation in combinations of symptoms observed in reported cases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s figure shows the variation in combinations of symptoms observed in reported cases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8236681" cy="5227915"/>
                    </a:xfrm>
                    <a:prstGeom prst="rect">
                      <a:avLst/>
                    </a:prstGeom>
                  </pic:spPr>
                </pic:pic>
              </a:graphicData>
            </a:graphic>
          </wp:inline>
        </w:drawing>
      </w:r>
    </w:p>
    <w:p w14:paraId="09BE34CE" w14:textId="77777777" w:rsidR="00AD2843" w:rsidRDefault="00DC1B5A" w:rsidP="00AD2843">
      <w:pPr>
        <w:pStyle w:val="CDIfootnotes"/>
        <w:sectPr w:rsidR="00AD2843" w:rsidSect="004F5B72">
          <w:pgSz w:w="16838" w:h="11906" w:orient="landscape"/>
          <w:pgMar w:top="720" w:right="720" w:bottom="720" w:left="1134" w:header="709" w:footer="284" w:gutter="0"/>
          <w:cols w:space="708"/>
          <w:titlePg/>
          <w:docGrid w:linePitch="360"/>
        </w:sectPr>
      </w:pPr>
      <w:proofErr w:type="spellStart"/>
      <w:r>
        <w:t>a</w:t>
      </w:r>
      <w:proofErr w:type="spellEnd"/>
      <w:r>
        <w:tab/>
        <w:t xml:space="preserve">This figure shows the variation in combinations of symptoms observed in reported cases (n = 12,636)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 </w:t>
      </w:r>
    </w:p>
    <w:p w14:paraId="60FC6946" w14:textId="77777777" w:rsidR="00DC1B5A" w:rsidRPr="00993716" w:rsidRDefault="00DC1B5A" w:rsidP="00993716">
      <w:pPr>
        <w:pStyle w:val="Heading1"/>
      </w:pPr>
      <w:r w:rsidRPr="00993716">
        <w:lastRenderedPageBreak/>
        <w:t xml:space="preserve">Appendix C: Frequently asked questions </w:t>
      </w:r>
    </w:p>
    <w:p w14:paraId="4E5F833D" w14:textId="77777777" w:rsidR="00DC1B5A" w:rsidRDefault="00DC1B5A" w:rsidP="00993716">
      <w:r>
        <w:rPr>
          <w:rStyle w:val="Strong"/>
        </w:rPr>
        <w:t xml:space="preserve">Q: Can I request access to the COVID-19 data behind your CDI fortnightly reports? </w:t>
      </w:r>
    </w:p>
    <w:p w14:paraId="413A88B6" w14:textId="77777777" w:rsidR="00DC1B5A" w:rsidRDefault="00DC1B5A" w:rsidP="00993716">
      <w: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7D9B87E1" w14:textId="77777777" w:rsidR="00DC1B5A" w:rsidRDefault="00DC1B5A" w:rsidP="00993716">
      <w:r>
        <w:t xml:space="preserve">Normally, requests for the release of data from the NNDSS requires agreement from states and territories via the Communicable Diseases Network Australia, and, depending on the sensitivity of the data sought and proposed, ethics approval may also be required. </w:t>
      </w:r>
    </w:p>
    <w:p w14:paraId="52B8B3CE" w14:textId="77777777" w:rsidR="00DC1B5A" w:rsidRDefault="00DC1B5A" w:rsidP="00993716">
      <w:r>
        <w:t xml:space="preserve">Due to the COVID-19 response, unfortunately, specific requests for NNDSS data have been put on hold. We are currently looking into options to be able to respond to data requests in the near future. </w:t>
      </w:r>
    </w:p>
    <w:p w14:paraId="12D6C36D" w14:textId="77777777" w:rsidR="00DC1B5A" w:rsidRDefault="00DC1B5A" w:rsidP="00993716">
      <w:r>
        <w:t xml:space="preserve">We will continue to publish regular summaries and analyses of the NNDSS dataset and recommend the following resources be referred to in the meantime: </w:t>
      </w:r>
    </w:p>
    <w:p w14:paraId="5413DB0D" w14:textId="77777777" w:rsidR="00DC1B5A" w:rsidRDefault="00DC1B5A" w:rsidP="00993716">
      <w:pPr>
        <w:rPr>
          <w:rFonts w:eastAsia="Times New Roman"/>
        </w:rPr>
      </w:pPr>
      <w:r>
        <w:rPr>
          <w:rFonts w:eastAsia="Times New Roman" w:hAnsi="Symbol"/>
        </w:rPr>
        <w:t></w:t>
      </w:r>
      <w:r>
        <w:rPr>
          <w:rFonts w:eastAsia="Times New Roman"/>
        </w:rPr>
        <w:t xml:space="preserve">  NNDSS summary tables: http://www9.health.gov.au/cda/source/cda-index.cfm </w:t>
      </w:r>
    </w:p>
    <w:p w14:paraId="18C7733E" w14:textId="77777777" w:rsidR="00DC1B5A" w:rsidRDefault="00DC1B5A" w:rsidP="00993716">
      <w:pPr>
        <w:rPr>
          <w:rFonts w:eastAsia="Times New Roman"/>
        </w:rPr>
      </w:pPr>
      <w:r>
        <w:rPr>
          <w:rFonts w:eastAsia="Times New Roman" w:hAnsi="Symbol"/>
        </w:rPr>
        <w:t></w:t>
      </w:r>
      <w:r>
        <w:rPr>
          <w:rFonts w:eastAsia="Times New Roman"/>
        </w:rPr>
        <w:t xml:space="preserve">  Daily case summary of cases: https://www.health.gov.au/news/health-alerts/novel-coronavirus-2019-ncov-health-alert/coronavirus-covid-19-current-situation-and-case-numbers </w:t>
      </w:r>
    </w:p>
    <w:p w14:paraId="369CCC1E" w14:textId="77777777" w:rsidR="00DC1B5A" w:rsidRDefault="00DC1B5A" w:rsidP="00993716">
      <w:pPr>
        <w:rPr>
          <w:rFonts w:eastAsia="Times New Roman"/>
        </w:rPr>
      </w:pPr>
      <w:r>
        <w:rPr>
          <w:rFonts w:eastAsia="Times New Roman" w:hAnsi="Symbol"/>
        </w:rPr>
        <w:t></w:t>
      </w:r>
      <w:r>
        <w:rPr>
          <w:rFonts w:eastAsia="Times New Roman"/>
        </w:rPr>
        <w:t xml:space="preserve">  </w:t>
      </w:r>
      <w:r w:rsidRPr="004F5B72">
        <w:rPr>
          <w:rStyle w:val="Emphasis"/>
          <w:rFonts w:eastAsia="Times New Roman"/>
          <w:b w:val="0"/>
        </w:rPr>
        <w:t>Communicable Diseases Intelligence</w:t>
      </w:r>
      <w:r>
        <w:rPr>
          <w:rFonts w:eastAsia="Times New Roman"/>
        </w:rPr>
        <w:t xml:space="preserve"> COVID-19 epidemiology report: https://www1.health.gov.au/internet/main/publishing.nsf/Content/novel_coronavirus_2019_ncov_weekly_epidemiology_reports_australia_2020.htm </w:t>
      </w:r>
    </w:p>
    <w:p w14:paraId="384F7663" w14:textId="77777777" w:rsidR="00DC1B5A" w:rsidRDefault="00DC1B5A" w:rsidP="00993716">
      <w:pPr>
        <w:rPr>
          <w:rFonts w:eastAsia="Times New Roman"/>
        </w:rPr>
      </w:pPr>
      <w:r>
        <w:rPr>
          <w:rFonts w:eastAsia="Times New Roman" w:hAnsi="Symbol"/>
        </w:rPr>
        <w:t></w:t>
      </w:r>
      <w:r>
        <w:rPr>
          <w:rFonts w:eastAsia="Times New Roman"/>
        </w:rPr>
        <w:t xml:space="preserve">  State and territory public health websites. </w:t>
      </w:r>
    </w:p>
    <w:p w14:paraId="5B7D857C" w14:textId="77777777" w:rsidR="00DC1B5A" w:rsidRDefault="00DC1B5A" w:rsidP="00993716">
      <w:r>
        <w:rPr>
          <w:rStyle w:val="Strong"/>
        </w:rPr>
        <w:t xml:space="preserve">Q: Why have the reports changed from weekly to fortnightly? </w:t>
      </w:r>
    </w:p>
    <w:p w14:paraId="7976D7DC" w14:textId="77777777" w:rsidR="00DC1B5A" w:rsidRDefault="00DC1B5A" w:rsidP="00993716">
      <w:r>
        <w:t xml:space="preserve">A: The change to fortnightly reporting is to allow more time for an in-depth analysis of the NNDSS data, therefore enhancing the contents of the report. </w:t>
      </w:r>
    </w:p>
    <w:p w14:paraId="5F440FC0" w14:textId="77777777" w:rsidR="00DC1B5A" w:rsidRDefault="00DC1B5A" w:rsidP="00993716">
      <w:r>
        <w:rPr>
          <w:rStyle w:val="Strong"/>
        </w:rPr>
        <w:t xml:space="preserve">Q: Can I request access to data at post-code level of confirmed cases? </w:t>
      </w:r>
    </w:p>
    <w:p w14:paraId="511D2A44" w14:textId="77777777" w:rsidR="00DC1B5A" w:rsidRDefault="00DC1B5A" w:rsidP="00993716">
      <w: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66EB53A9" w14:textId="77777777" w:rsidR="00DC1B5A" w:rsidRDefault="00DC1B5A" w:rsidP="00993716">
      <w:r>
        <w:t xml:space="preserve">Where current or recent reported case numbers are high enough to justify it, a GIS/mapping analysis of cases will be included in the </w:t>
      </w:r>
      <w:r w:rsidRPr="004F5B72">
        <w:rPr>
          <w:rStyle w:val="Emphasis"/>
          <w:b w:val="0"/>
        </w:rPr>
        <w:t>Communicable Diseases Intelligence</w:t>
      </w:r>
      <w:r>
        <w:t xml:space="preserve"> COVID-19 epidemiology report. In order to protect privacy of confirmed cases, data in this map will be presented at SA3 level. </w:t>
      </w:r>
    </w:p>
    <w:p w14:paraId="6CF555E1" w14:textId="77777777" w:rsidR="00DC1B5A" w:rsidRDefault="00DC1B5A" w:rsidP="00993716">
      <w:r>
        <w:rPr>
          <w:rStyle w:val="Strong"/>
        </w:rPr>
        <w:t xml:space="preserve">Q: Where can I find more detailed data on COVID-19 cases? </w:t>
      </w:r>
    </w:p>
    <w:p w14:paraId="1AEC90A0" w14:textId="77777777" w:rsidR="008B5348" w:rsidRPr="00993716" w:rsidRDefault="00DC1B5A" w:rsidP="00993716">
      <w:pPr>
        <w:rPr>
          <w:rStyle w:val="A10"/>
          <w:rFonts w:cstheme="minorBidi"/>
          <w:color w:val="auto"/>
        </w:rPr>
      </w:pPr>
      <w:r>
        <w:t xml:space="preserve">A: We are currently looking into ways to provide more in-depth epidemiological analyses of COVID-19 cases, with regard to transmission and severity, including hospitalisation. These analyses will continue to be built upon in future iterations of the </w:t>
      </w:r>
      <w:r w:rsidRPr="004F5B72">
        <w:rPr>
          <w:rStyle w:val="Emphasis"/>
          <w:b w:val="0"/>
        </w:rPr>
        <w:t>Communicable Diseases Intelligence</w:t>
      </w:r>
      <w:r>
        <w:t xml:space="preserve"> report.</w:t>
      </w:r>
    </w:p>
    <w:p w14:paraId="00751595" w14:textId="77777777" w:rsidR="008B5348" w:rsidRDefault="008B5348">
      <w:pPr>
        <w:rPr>
          <w:rStyle w:val="A10"/>
        </w:rPr>
        <w:sectPr w:rsidR="008B5348" w:rsidSect="00AD2843">
          <w:pgSz w:w="11906" w:h="16838"/>
          <w:pgMar w:top="720" w:right="720" w:bottom="1134" w:left="720" w:header="709" w:footer="284" w:gutter="0"/>
          <w:cols w:space="708"/>
          <w:titlePg/>
          <w:docGrid w:linePitch="360"/>
        </w:sectPr>
      </w:pPr>
    </w:p>
    <w:p w14:paraId="26C9A53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0D4B9CE"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BE8CBFF" w14:textId="77777777" w:rsidR="000A5F42" w:rsidRPr="000606CC" w:rsidRDefault="000A5F42" w:rsidP="000A5F42">
      <w:pPr>
        <w:pStyle w:val="NoSpacing"/>
        <w:rPr>
          <w:rStyle w:val="URI"/>
          <w:rFonts w:cstheme="minorHAnsi"/>
          <w:sz w:val="20"/>
          <w:szCs w:val="18"/>
        </w:rPr>
      </w:pPr>
    </w:p>
    <w:p w14:paraId="4CE6C1A7"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B9FF4DA" w14:textId="77777777" w:rsidR="000A5F42" w:rsidRPr="000606CC" w:rsidRDefault="000A5F42" w:rsidP="000A5F42">
      <w:pPr>
        <w:pStyle w:val="NoSpacing"/>
        <w:rPr>
          <w:rStyle w:val="Strong"/>
          <w:rFonts w:cstheme="minorHAnsi"/>
          <w:sz w:val="20"/>
          <w:szCs w:val="18"/>
        </w:rPr>
      </w:pPr>
    </w:p>
    <w:p w14:paraId="528134C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41D35BA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46F5AC6"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EFA409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018D82FB" w14:textId="77777777" w:rsidR="000A5F42" w:rsidRPr="000606CC" w:rsidRDefault="000A5F42" w:rsidP="000A5F42">
      <w:pPr>
        <w:pStyle w:val="NoSpacing"/>
        <w:rPr>
          <w:rStyle w:val="Strong"/>
          <w:rFonts w:cstheme="minorHAnsi"/>
          <w:sz w:val="20"/>
          <w:szCs w:val="18"/>
        </w:rPr>
      </w:pPr>
    </w:p>
    <w:p w14:paraId="2CE696A6" w14:textId="07113F8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52E3261" w14:textId="77777777" w:rsidR="000A5F42" w:rsidRPr="000606CC" w:rsidRDefault="000A5F42" w:rsidP="000A5F42">
      <w:pPr>
        <w:pStyle w:val="NoSpacing"/>
        <w:rPr>
          <w:rStyle w:val="Strong"/>
          <w:rFonts w:cstheme="minorHAnsi"/>
          <w:sz w:val="20"/>
          <w:szCs w:val="18"/>
        </w:rPr>
      </w:pPr>
    </w:p>
    <w:p w14:paraId="784F6A9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19B8557F" w14:textId="77777777" w:rsidR="000A5F42" w:rsidRPr="000606CC" w:rsidRDefault="000A5F42" w:rsidP="000A5F42">
      <w:pPr>
        <w:pStyle w:val="NoSpacing"/>
        <w:rPr>
          <w:rStyle w:val="Strong"/>
          <w:rFonts w:cstheme="minorHAnsi"/>
          <w:sz w:val="20"/>
          <w:szCs w:val="18"/>
        </w:rPr>
      </w:pPr>
    </w:p>
    <w:p w14:paraId="4FB49AF7" w14:textId="512DE3B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EA9C78D" w14:textId="77777777" w:rsidR="000A5F42" w:rsidRPr="000606CC" w:rsidRDefault="000A5F42" w:rsidP="000A5F42">
      <w:pPr>
        <w:pStyle w:val="NoSpacing"/>
        <w:rPr>
          <w:rStyle w:val="Strong"/>
          <w:rFonts w:cstheme="minorHAnsi"/>
          <w:sz w:val="20"/>
          <w:szCs w:val="18"/>
        </w:rPr>
      </w:pPr>
    </w:p>
    <w:p w14:paraId="3259538D" w14:textId="33FFCFA3"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7E70E35" w14:textId="030EFE7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5" w:history="1">
        <w:r w:rsidRPr="000606CC">
          <w:rPr>
            <w:rStyle w:val="Hyperlink"/>
            <w:rFonts w:cstheme="minorHAnsi"/>
            <w:sz w:val="20"/>
            <w:szCs w:val="18"/>
          </w:rPr>
          <w:t>cdi.editor@health.gov.au</w:t>
        </w:r>
      </w:hyperlink>
      <w:r w:rsidRPr="000606CC">
        <w:rPr>
          <w:rFonts w:cstheme="minorHAnsi"/>
          <w:sz w:val="20"/>
          <w:szCs w:val="18"/>
        </w:rPr>
        <w:t>.</w:t>
      </w:r>
    </w:p>
    <w:p w14:paraId="6618D3C1" w14:textId="77777777" w:rsidR="000A5F42" w:rsidRPr="000606CC" w:rsidRDefault="000A5F42" w:rsidP="000A5F42">
      <w:pPr>
        <w:pStyle w:val="NoSpacing"/>
        <w:pBdr>
          <w:bottom w:val="single" w:sz="6" w:space="1" w:color="auto"/>
        </w:pBdr>
        <w:rPr>
          <w:rStyle w:val="Strong"/>
          <w:rFonts w:cstheme="minorHAnsi"/>
          <w:sz w:val="12"/>
          <w:szCs w:val="18"/>
        </w:rPr>
      </w:pPr>
    </w:p>
    <w:p w14:paraId="61807E69" w14:textId="77777777" w:rsidR="000A5F42" w:rsidRPr="000606CC" w:rsidRDefault="000A5F42" w:rsidP="000A5F42">
      <w:pPr>
        <w:pStyle w:val="NoSpacing"/>
        <w:rPr>
          <w:rFonts w:cstheme="minorHAnsi"/>
          <w:sz w:val="20"/>
          <w:szCs w:val="18"/>
        </w:rPr>
      </w:pPr>
    </w:p>
    <w:p w14:paraId="197E602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03C9CFB" w14:textId="77777777" w:rsidR="000A5F42" w:rsidRPr="000606CC" w:rsidRDefault="000A5F42" w:rsidP="000A5F42">
      <w:pPr>
        <w:pStyle w:val="NoSpacing"/>
        <w:rPr>
          <w:rFonts w:cstheme="minorHAnsi"/>
          <w:sz w:val="20"/>
          <w:szCs w:val="18"/>
        </w:rPr>
      </w:pPr>
    </w:p>
    <w:p w14:paraId="505EFB9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6E772E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582EE818" w14:textId="525306AF"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A8AD011" w14:textId="77777777" w:rsidR="000A5F42" w:rsidRPr="000606CC" w:rsidRDefault="000A5F42" w:rsidP="000A5F42">
      <w:pPr>
        <w:pStyle w:val="NoSpacing"/>
        <w:rPr>
          <w:rFonts w:cstheme="minorHAnsi"/>
          <w:sz w:val="20"/>
          <w:szCs w:val="18"/>
        </w:rPr>
      </w:pPr>
    </w:p>
    <w:p w14:paraId="5A5CCC8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51E50C6" w14:textId="46CC813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70D829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0C57995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7A2B18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781DC8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BF67912" w14:textId="77777777" w:rsidR="000A5F42" w:rsidRPr="000606CC" w:rsidRDefault="000A5F42" w:rsidP="000A5F42">
      <w:pPr>
        <w:pStyle w:val="NoSpacing"/>
        <w:rPr>
          <w:rStyle w:val="Strong"/>
          <w:rFonts w:cstheme="minorHAnsi"/>
          <w:sz w:val="20"/>
          <w:szCs w:val="18"/>
        </w:rPr>
      </w:pPr>
    </w:p>
    <w:p w14:paraId="298F605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C6F90F1" w14:textId="77777777" w:rsidR="000A5F42" w:rsidRPr="000606CC" w:rsidRDefault="000A5F42" w:rsidP="000A5F42">
      <w:pPr>
        <w:pStyle w:val="NoSpacing"/>
        <w:rPr>
          <w:rStyle w:val="Strong"/>
          <w:rFonts w:cstheme="minorHAnsi"/>
          <w:sz w:val="20"/>
          <w:szCs w:val="18"/>
        </w:rPr>
      </w:pPr>
    </w:p>
    <w:p w14:paraId="5F185540" w14:textId="1EE894E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38B6113" w14:textId="77777777" w:rsidR="000A5F42" w:rsidRPr="000606CC" w:rsidRDefault="000A5F42" w:rsidP="000A5F42">
      <w:pPr>
        <w:pStyle w:val="NoSpacing"/>
        <w:rPr>
          <w:rStyle w:val="URI"/>
          <w:rFonts w:cstheme="minorHAnsi"/>
          <w:sz w:val="20"/>
          <w:szCs w:val="18"/>
        </w:rPr>
      </w:pPr>
    </w:p>
    <w:p w14:paraId="5517F429" w14:textId="36F0831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9" w:tooltip="Communicable Diseases Network Australia website" w:history="1">
        <w:r w:rsidRPr="000606CC">
          <w:rPr>
            <w:rStyle w:val="Hyperlink"/>
            <w:rFonts w:cstheme="minorHAnsi"/>
            <w:sz w:val="20"/>
            <w:szCs w:val="18"/>
          </w:rPr>
          <w:t>http://www.health.gov.au/cdna</w:t>
        </w:r>
      </w:hyperlink>
    </w:p>
    <w:p w14:paraId="12FEB611" w14:textId="77777777" w:rsidR="001B37B8" w:rsidRPr="00E92237" w:rsidRDefault="001B37B8" w:rsidP="001B37B8">
      <w:pPr>
        <w:rPr>
          <w:rFonts w:cs="Myriad Pro"/>
          <w:color w:val="211D1E"/>
          <w:sz w:val="20"/>
          <w:szCs w:val="20"/>
        </w:rPr>
      </w:pPr>
    </w:p>
    <w:sectPr w:rsidR="001B37B8" w:rsidRPr="00E92237" w:rsidSect="002B75A9">
      <w:headerReference w:type="default" r:id="rId3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14F4D" w14:textId="77777777" w:rsidR="00F933DA" w:rsidRDefault="00F933DA" w:rsidP="00E54DBA">
      <w:r>
        <w:separator/>
      </w:r>
    </w:p>
    <w:p w14:paraId="294C05EB" w14:textId="77777777" w:rsidR="00F933DA" w:rsidRDefault="00F933DA"/>
    <w:p w14:paraId="648BC865" w14:textId="77777777" w:rsidR="00F933DA" w:rsidRDefault="00F933DA" w:rsidP="008714B0"/>
  </w:endnote>
  <w:endnote w:type="continuationSeparator" w:id="0">
    <w:p w14:paraId="7C3387E6" w14:textId="77777777" w:rsidR="00F933DA" w:rsidRDefault="00F933DA" w:rsidP="00E54DBA">
      <w:r>
        <w:continuationSeparator/>
      </w:r>
    </w:p>
    <w:p w14:paraId="5FF178DD" w14:textId="77777777" w:rsidR="00F933DA" w:rsidRDefault="00F933DA"/>
    <w:p w14:paraId="4DB6AF4B" w14:textId="77777777" w:rsidR="00F933DA" w:rsidRDefault="00F933D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DB245" w14:textId="77777777" w:rsidR="00F933DA" w:rsidRPr="0042435E" w:rsidRDefault="00F933DA"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A75C0">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A75C0">
      <w:rPr>
        <w:noProof/>
        <w:sz w:val="18"/>
      </w:rPr>
      <w:t>28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4F5B72">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https://doi.org/10.33321/cdi.2020.44.64</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EA75C0">
      <w:rPr>
        <w:sz w:val="18"/>
      </w:rPr>
      <w:t>7/8/2020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15B7" w14:textId="77777777" w:rsidR="00F933DA" w:rsidRPr="00BB5378" w:rsidRDefault="00F933DA"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A75C0">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A75C0">
      <w:rPr>
        <w:noProof/>
        <w:sz w:val="18"/>
      </w:rPr>
      <w:t>28</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4F5B72">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A75C0">
      <w:rPr>
        <w:sz w:val="18"/>
      </w:rPr>
      <w:t>https://doi.org/10.33321/cdi.2020.44.64</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EA75C0">
      <w:rPr>
        <w:sz w:val="18"/>
      </w:rPr>
      <w:t>7/8/2020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45A39" w14:textId="77777777" w:rsidR="00F933DA" w:rsidRDefault="00F933DA" w:rsidP="00E54DBA">
      <w:r>
        <w:separator/>
      </w:r>
    </w:p>
  </w:footnote>
  <w:footnote w:type="continuationSeparator" w:id="0">
    <w:p w14:paraId="7565B3D8" w14:textId="77777777" w:rsidR="00F933DA" w:rsidRDefault="00F933DA" w:rsidP="00E54DBA">
      <w:r>
        <w:continuationSeparator/>
      </w:r>
    </w:p>
  </w:footnote>
  <w:footnote w:type="continuationNotice" w:id="1">
    <w:p w14:paraId="015A9A11" w14:textId="77777777" w:rsidR="00F933DA" w:rsidRPr="00224EFF" w:rsidRDefault="00F933DA"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F6883" w14:textId="77777777" w:rsidR="00F933DA" w:rsidRPr="00A153B6" w:rsidRDefault="00BB65DA"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933DA">
          <w:t>Fortnightly epidemiological report</w:t>
        </w:r>
      </w:sdtContent>
    </w:sdt>
    <w:r w:rsidR="00F933DA">
      <w:ptab w:relativeTo="margin" w:alignment="right" w:leader="none"/>
    </w:r>
    <w:r w:rsidR="00F933DA"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2EEDF" w14:textId="77777777" w:rsidR="00F933DA" w:rsidRPr="000A5F42" w:rsidRDefault="00F933DA" w:rsidP="000A5F42">
    <w:pPr>
      <w:pStyle w:val="Header"/>
      <w:jc w:val="center"/>
      <w:rPr>
        <w:b/>
      </w:rPr>
    </w:pPr>
    <w:r w:rsidRPr="00E810C5">
      <w:rPr>
        <w:rFonts w:cs="Myriad Pro"/>
        <w:noProof/>
        <w:color w:val="211D1E"/>
        <w:sz w:val="16"/>
      </w:rPr>
      <w:drawing>
        <wp:inline distT="0" distB="0" distL="0" distR="0" wp14:anchorId="26DF5F2A"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E5F9F"/>
    <w:multiLevelType w:val="multilevel"/>
    <w:tmpl w:val="2744A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1B0B71"/>
    <w:multiLevelType w:val="multilevel"/>
    <w:tmpl w:val="3A9A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CFE2A87"/>
    <w:multiLevelType w:val="multilevel"/>
    <w:tmpl w:val="667E4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97A6A63"/>
    <w:multiLevelType w:val="hybridMultilevel"/>
    <w:tmpl w:val="495E2F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69787687"/>
    <w:multiLevelType w:val="hybridMultilevel"/>
    <w:tmpl w:val="FBF20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72068FA"/>
    <w:multiLevelType w:val="hybridMultilevel"/>
    <w:tmpl w:val="035668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79685977">
    <w:abstractNumId w:val="3"/>
  </w:num>
  <w:num w:numId="2" w16cid:durableId="843521220">
    <w:abstractNumId w:val="5"/>
  </w:num>
  <w:num w:numId="3" w16cid:durableId="927545916">
    <w:abstractNumId w:val="6"/>
  </w:num>
  <w:num w:numId="4" w16cid:durableId="266236363">
    <w:abstractNumId w:val="1"/>
  </w:num>
  <w:num w:numId="5" w16cid:durableId="1418287429">
    <w:abstractNumId w:val="9"/>
  </w:num>
  <w:num w:numId="6" w16cid:durableId="727920881">
    <w:abstractNumId w:val="10"/>
  </w:num>
  <w:num w:numId="7" w16cid:durableId="1043946430">
    <w:abstractNumId w:val="4"/>
  </w:num>
  <w:num w:numId="8" w16cid:durableId="796215557">
    <w:abstractNumId w:val="2"/>
  </w:num>
  <w:num w:numId="9" w16cid:durableId="1347947104">
    <w:abstractNumId w:val="0"/>
  </w:num>
  <w:num w:numId="10" w16cid:durableId="1675843097">
    <w:abstractNumId w:val="7"/>
  </w:num>
  <w:num w:numId="11" w16cid:durableId="400300268">
    <w:abstractNumId w:val="8"/>
  </w:num>
  <w:num w:numId="12" w16cid:durableId="17890855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2457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FE6"/>
    <w:rsid w:val="00000B5B"/>
    <w:rsid w:val="00001611"/>
    <w:rsid w:val="000104A8"/>
    <w:rsid w:val="0001246E"/>
    <w:rsid w:val="000124B1"/>
    <w:rsid w:val="00012533"/>
    <w:rsid w:val="00014234"/>
    <w:rsid w:val="00016FE6"/>
    <w:rsid w:val="000176FF"/>
    <w:rsid w:val="00031064"/>
    <w:rsid w:val="00031692"/>
    <w:rsid w:val="00032531"/>
    <w:rsid w:val="000471BF"/>
    <w:rsid w:val="00047B68"/>
    <w:rsid w:val="00052600"/>
    <w:rsid w:val="0005643C"/>
    <w:rsid w:val="0006264A"/>
    <w:rsid w:val="00070152"/>
    <w:rsid w:val="00073D77"/>
    <w:rsid w:val="00081655"/>
    <w:rsid w:val="000864E0"/>
    <w:rsid w:val="000969B3"/>
    <w:rsid w:val="000A5F42"/>
    <w:rsid w:val="000B10D0"/>
    <w:rsid w:val="000D1C29"/>
    <w:rsid w:val="000D418A"/>
    <w:rsid w:val="000D4B4D"/>
    <w:rsid w:val="000E3523"/>
    <w:rsid w:val="001010CD"/>
    <w:rsid w:val="00113D58"/>
    <w:rsid w:val="00117B06"/>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0B0"/>
    <w:rsid w:val="001C0893"/>
    <w:rsid w:val="001C1303"/>
    <w:rsid w:val="001C70B2"/>
    <w:rsid w:val="001C7611"/>
    <w:rsid w:val="001D37C7"/>
    <w:rsid w:val="001D6888"/>
    <w:rsid w:val="001D733A"/>
    <w:rsid w:val="001E5AFE"/>
    <w:rsid w:val="0022167F"/>
    <w:rsid w:val="00224B7F"/>
    <w:rsid w:val="00224EFF"/>
    <w:rsid w:val="002276DC"/>
    <w:rsid w:val="00227E00"/>
    <w:rsid w:val="002307CB"/>
    <w:rsid w:val="00231046"/>
    <w:rsid w:val="00234F21"/>
    <w:rsid w:val="00242659"/>
    <w:rsid w:val="002428F7"/>
    <w:rsid w:val="0024315F"/>
    <w:rsid w:val="00245CC8"/>
    <w:rsid w:val="00252C9A"/>
    <w:rsid w:val="00256309"/>
    <w:rsid w:val="00257484"/>
    <w:rsid w:val="00260636"/>
    <w:rsid w:val="00275C78"/>
    <w:rsid w:val="00280594"/>
    <w:rsid w:val="00281EE3"/>
    <w:rsid w:val="0028335E"/>
    <w:rsid w:val="002841FA"/>
    <w:rsid w:val="00284E4A"/>
    <w:rsid w:val="002A3799"/>
    <w:rsid w:val="002A3BCC"/>
    <w:rsid w:val="002A4516"/>
    <w:rsid w:val="002A569F"/>
    <w:rsid w:val="002A7066"/>
    <w:rsid w:val="002B001E"/>
    <w:rsid w:val="002B09B7"/>
    <w:rsid w:val="002B75A9"/>
    <w:rsid w:val="002C21B0"/>
    <w:rsid w:val="002D4F2E"/>
    <w:rsid w:val="002E2FB3"/>
    <w:rsid w:val="002F327B"/>
    <w:rsid w:val="00301626"/>
    <w:rsid w:val="003059EC"/>
    <w:rsid w:val="00316CCD"/>
    <w:rsid w:val="00324F7E"/>
    <w:rsid w:val="003323BC"/>
    <w:rsid w:val="00333676"/>
    <w:rsid w:val="00346D42"/>
    <w:rsid w:val="00346E11"/>
    <w:rsid w:val="003601C0"/>
    <w:rsid w:val="003635F5"/>
    <w:rsid w:val="00371501"/>
    <w:rsid w:val="00372A88"/>
    <w:rsid w:val="00381A0F"/>
    <w:rsid w:val="003A1B3A"/>
    <w:rsid w:val="003A40F5"/>
    <w:rsid w:val="003B5B8C"/>
    <w:rsid w:val="003C07C3"/>
    <w:rsid w:val="003D3F6E"/>
    <w:rsid w:val="003D79B1"/>
    <w:rsid w:val="003E4097"/>
    <w:rsid w:val="003E74EE"/>
    <w:rsid w:val="003F0552"/>
    <w:rsid w:val="003F3BC2"/>
    <w:rsid w:val="00401ED1"/>
    <w:rsid w:val="0040224C"/>
    <w:rsid w:val="00405BE3"/>
    <w:rsid w:val="00410536"/>
    <w:rsid w:val="00413EE1"/>
    <w:rsid w:val="004164BB"/>
    <w:rsid w:val="00421ECE"/>
    <w:rsid w:val="00422FEB"/>
    <w:rsid w:val="0042435E"/>
    <w:rsid w:val="004315F5"/>
    <w:rsid w:val="00433456"/>
    <w:rsid w:val="00433DFA"/>
    <w:rsid w:val="00435D67"/>
    <w:rsid w:val="004404DD"/>
    <w:rsid w:val="00441FE6"/>
    <w:rsid w:val="00464A58"/>
    <w:rsid w:val="00473D2D"/>
    <w:rsid w:val="00490DE0"/>
    <w:rsid w:val="0049603A"/>
    <w:rsid w:val="004A0553"/>
    <w:rsid w:val="004A2125"/>
    <w:rsid w:val="004A38F6"/>
    <w:rsid w:val="004B4EB6"/>
    <w:rsid w:val="004C083C"/>
    <w:rsid w:val="004C67C6"/>
    <w:rsid w:val="004D29DE"/>
    <w:rsid w:val="004D6688"/>
    <w:rsid w:val="004E23CE"/>
    <w:rsid w:val="004E5ABF"/>
    <w:rsid w:val="004F5B72"/>
    <w:rsid w:val="00510EAC"/>
    <w:rsid w:val="005368E8"/>
    <w:rsid w:val="00542A57"/>
    <w:rsid w:val="00555E77"/>
    <w:rsid w:val="00561D8A"/>
    <w:rsid w:val="00563760"/>
    <w:rsid w:val="00565974"/>
    <w:rsid w:val="00571CF5"/>
    <w:rsid w:val="005732C0"/>
    <w:rsid w:val="0057336D"/>
    <w:rsid w:val="0057489A"/>
    <w:rsid w:val="00574ACF"/>
    <w:rsid w:val="00581588"/>
    <w:rsid w:val="0058540B"/>
    <w:rsid w:val="00587C87"/>
    <w:rsid w:val="00590B80"/>
    <w:rsid w:val="005A055C"/>
    <w:rsid w:val="005B3134"/>
    <w:rsid w:val="005B4E61"/>
    <w:rsid w:val="005B595A"/>
    <w:rsid w:val="005B66C2"/>
    <w:rsid w:val="005D2465"/>
    <w:rsid w:val="005E0CF2"/>
    <w:rsid w:val="005E1DB4"/>
    <w:rsid w:val="005E33DD"/>
    <w:rsid w:val="005E4229"/>
    <w:rsid w:val="005E540E"/>
    <w:rsid w:val="005E55FB"/>
    <w:rsid w:val="005E700F"/>
    <w:rsid w:val="005F16BB"/>
    <w:rsid w:val="005F2D81"/>
    <w:rsid w:val="00607115"/>
    <w:rsid w:val="0061634B"/>
    <w:rsid w:val="00620768"/>
    <w:rsid w:val="0062594B"/>
    <w:rsid w:val="00631406"/>
    <w:rsid w:val="006324FF"/>
    <w:rsid w:val="006351D6"/>
    <w:rsid w:val="00636E0D"/>
    <w:rsid w:val="0064102F"/>
    <w:rsid w:val="0064142F"/>
    <w:rsid w:val="00641E81"/>
    <w:rsid w:val="00643CB4"/>
    <w:rsid w:val="00656427"/>
    <w:rsid w:val="00660255"/>
    <w:rsid w:val="006971F3"/>
    <w:rsid w:val="006B0191"/>
    <w:rsid w:val="006B104C"/>
    <w:rsid w:val="006B5EB3"/>
    <w:rsid w:val="006C15F5"/>
    <w:rsid w:val="006C74A3"/>
    <w:rsid w:val="006D1381"/>
    <w:rsid w:val="006D31BC"/>
    <w:rsid w:val="006E6229"/>
    <w:rsid w:val="006E7943"/>
    <w:rsid w:val="006F24EA"/>
    <w:rsid w:val="006F31B9"/>
    <w:rsid w:val="006F7C3A"/>
    <w:rsid w:val="0070317C"/>
    <w:rsid w:val="00704CA9"/>
    <w:rsid w:val="0071048D"/>
    <w:rsid w:val="00710F86"/>
    <w:rsid w:val="007111A8"/>
    <w:rsid w:val="00731BC3"/>
    <w:rsid w:val="00741192"/>
    <w:rsid w:val="00743A33"/>
    <w:rsid w:val="00746080"/>
    <w:rsid w:val="0075144A"/>
    <w:rsid w:val="00786329"/>
    <w:rsid w:val="00792C7D"/>
    <w:rsid w:val="00794A4D"/>
    <w:rsid w:val="007A2606"/>
    <w:rsid w:val="007A4AE3"/>
    <w:rsid w:val="007A5234"/>
    <w:rsid w:val="007B1A90"/>
    <w:rsid w:val="007B7854"/>
    <w:rsid w:val="007C56A1"/>
    <w:rsid w:val="007C6454"/>
    <w:rsid w:val="007D0B1A"/>
    <w:rsid w:val="007E01E0"/>
    <w:rsid w:val="007E71FA"/>
    <w:rsid w:val="007F0B93"/>
    <w:rsid w:val="007F2ECA"/>
    <w:rsid w:val="007F4969"/>
    <w:rsid w:val="00811708"/>
    <w:rsid w:val="00814CD3"/>
    <w:rsid w:val="00816B90"/>
    <w:rsid w:val="00817799"/>
    <w:rsid w:val="00822F5F"/>
    <w:rsid w:val="00824FD3"/>
    <w:rsid w:val="00826589"/>
    <w:rsid w:val="00834BCC"/>
    <w:rsid w:val="00844C7A"/>
    <w:rsid w:val="00850D54"/>
    <w:rsid w:val="008511A1"/>
    <w:rsid w:val="008532E7"/>
    <w:rsid w:val="008714B0"/>
    <w:rsid w:val="00876331"/>
    <w:rsid w:val="00880726"/>
    <w:rsid w:val="00885F18"/>
    <w:rsid w:val="008A3544"/>
    <w:rsid w:val="008B48B8"/>
    <w:rsid w:val="008B5348"/>
    <w:rsid w:val="008B58F8"/>
    <w:rsid w:val="008C0712"/>
    <w:rsid w:val="008C4520"/>
    <w:rsid w:val="008C5F09"/>
    <w:rsid w:val="008D0D9C"/>
    <w:rsid w:val="008D470F"/>
    <w:rsid w:val="008E1F8F"/>
    <w:rsid w:val="008E4768"/>
    <w:rsid w:val="008E6A88"/>
    <w:rsid w:val="008E761E"/>
    <w:rsid w:val="008F77B3"/>
    <w:rsid w:val="009008F5"/>
    <w:rsid w:val="00904CC1"/>
    <w:rsid w:val="009066AF"/>
    <w:rsid w:val="00912050"/>
    <w:rsid w:val="00912E48"/>
    <w:rsid w:val="0092746F"/>
    <w:rsid w:val="00930D1D"/>
    <w:rsid w:val="00935DC9"/>
    <w:rsid w:val="0094295E"/>
    <w:rsid w:val="009446C0"/>
    <w:rsid w:val="0096082E"/>
    <w:rsid w:val="00961347"/>
    <w:rsid w:val="00967410"/>
    <w:rsid w:val="00967D73"/>
    <w:rsid w:val="0098119A"/>
    <w:rsid w:val="00984AAF"/>
    <w:rsid w:val="00991B09"/>
    <w:rsid w:val="00993716"/>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29A2"/>
    <w:rsid w:val="00A273C3"/>
    <w:rsid w:val="00A30C37"/>
    <w:rsid w:val="00A325B7"/>
    <w:rsid w:val="00A36C65"/>
    <w:rsid w:val="00A41BBE"/>
    <w:rsid w:val="00A45426"/>
    <w:rsid w:val="00A45BDD"/>
    <w:rsid w:val="00A46A0A"/>
    <w:rsid w:val="00A553F8"/>
    <w:rsid w:val="00A6708F"/>
    <w:rsid w:val="00A71BF6"/>
    <w:rsid w:val="00A823A1"/>
    <w:rsid w:val="00A86F9A"/>
    <w:rsid w:val="00A96937"/>
    <w:rsid w:val="00AA35E6"/>
    <w:rsid w:val="00AA50B6"/>
    <w:rsid w:val="00AB3472"/>
    <w:rsid w:val="00AC27DE"/>
    <w:rsid w:val="00AD0762"/>
    <w:rsid w:val="00AD2843"/>
    <w:rsid w:val="00AE32A9"/>
    <w:rsid w:val="00AE4452"/>
    <w:rsid w:val="00AE7C38"/>
    <w:rsid w:val="00AF31D9"/>
    <w:rsid w:val="00B01F99"/>
    <w:rsid w:val="00B02B37"/>
    <w:rsid w:val="00B05276"/>
    <w:rsid w:val="00B132DB"/>
    <w:rsid w:val="00B31427"/>
    <w:rsid w:val="00B33861"/>
    <w:rsid w:val="00B40DE2"/>
    <w:rsid w:val="00B50210"/>
    <w:rsid w:val="00B53955"/>
    <w:rsid w:val="00B5727D"/>
    <w:rsid w:val="00B606A6"/>
    <w:rsid w:val="00B6408A"/>
    <w:rsid w:val="00B714B8"/>
    <w:rsid w:val="00B82C2C"/>
    <w:rsid w:val="00B8720B"/>
    <w:rsid w:val="00B876EF"/>
    <w:rsid w:val="00B912F6"/>
    <w:rsid w:val="00B942C5"/>
    <w:rsid w:val="00BA110F"/>
    <w:rsid w:val="00BA4697"/>
    <w:rsid w:val="00BB32A7"/>
    <w:rsid w:val="00BB5378"/>
    <w:rsid w:val="00BB65DA"/>
    <w:rsid w:val="00BC0BD3"/>
    <w:rsid w:val="00BD0107"/>
    <w:rsid w:val="00BE0C33"/>
    <w:rsid w:val="00BE262C"/>
    <w:rsid w:val="00BE6C3D"/>
    <w:rsid w:val="00BF41BE"/>
    <w:rsid w:val="00C0068A"/>
    <w:rsid w:val="00C07606"/>
    <w:rsid w:val="00C12542"/>
    <w:rsid w:val="00C24725"/>
    <w:rsid w:val="00C30BA9"/>
    <w:rsid w:val="00C3541E"/>
    <w:rsid w:val="00C36A8F"/>
    <w:rsid w:val="00C42834"/>
    <w:rsid w:val="00C42FFA"/>
    <w:rsid w:val="00C507D8"/>
    <w:rsid w:val="00C62EAC"/>
    <w:rsid w:val="00C63F9F"/>
    <w:rsid w:val="00C66282"/>
    <w:rsid w:val="00C71AEC"/>
    <w:rsid w:val="00C72E21"/>
    <w:rsid w:val="00C7723C"/>
    <w:rsid w:val="00C81B93"/>
    <w:rsid w:val="00C838F5"/>
    <w:rsid w:val="00C84DBA"/>
    <w:rsid w:val="00C87351"/>
    <w:rsid w:val="00CA1AF4"/>
    <w:rsid w:val="00CA6068"/>
    <w:rsid w:val="00CB15E1"/>
    <w:rsid w:val="00CB3D46"/>
    <w:rsid w:val="00CD1A87"/>
    <w:rsid w:val="00CD2D37"/>
    <w:rsid w:val="00CD35F3"/>
    <w:rsid w:val="00CD5C93"/>
    <w:rsid w:val="00CE342B"/>
    <w:rsid w:val="00CF320C"/>
    <w:rsid w:val="00CF3A4B"/>
    <w:rsid w:val="00CF4001"/>
    <w:rsid w:val="00D05837"/>
    <w:rsid w:val="00D10E4E"/>
    <w:rsid w:val="00D12D8A"/>
    <w:rsid w:val="00D13002"/>
    <w:rsid w:val="00D13E0C"/>
    <w:rsid w:val="00D162EA"/>
    <w:rsid w:val="00D25896"/>
    <w:rsid w:val="00D26A1D"/>
    <w:rsid w:val="00D373A1"/>
    <w:rsid w:val="00D37C0F"/>
    <w:rsid w:val="00D4105C"/>
    <w:rsid w:val="00D45661"/>
    <w:rsid w:val="00D45943"/>
    <w:rsid w:val="00D47D22"/>
    <w:rsid w:val="00D50048"/>
    <w:rsid w:val="00D51865"/>
    <w:rsid w:val="00D51D0C"/>
    <w:rsid w:val="00D56C4A"/>
    <w:rsid w:val="00D60E47"/>
    <w:rsid w:val="00D677D1"/>
    <w:rsid w:val="00D74140"/>
    <w:rsid w:val="00DA6E56"/>
    <w:rsid w:val="00DC1B5A"/>
    <w:rsid w:val="00DC6705"/>
    <w:rsid w:val="00DD2DE8"/>
    <w:rsid w:val="00DE38B4"/>
    <w:rsid w:val="00DE5D02"/>
    <w:rsid w:val="00E005A9"/>
    <w:rsid w:val="00E1166E"/>
    <w:rsid w:val="00E24DC0"/>
    <w:rsid w:val="00E2519C"/>
    <w:rsid w:val="00E25F2A"/>
    <w:rsid w:val="00E41455"/>
    <w:rsid w:val="00E42AD2"/>
    <w:rsid w:val="00E47AF3"/>
    <w:rsid w:val="00E50856"/>
    <w:rsid w:val="00E538CC"/>
    <w:rsid w:val="00E54DBA"/>
    <w:rsid w:val="00E63D7C"/>
    <w:rsid w:val="00E640D5"/>
    <w:rsid w:val="00E66E2E"/>
    <w:rsid w:val="00E67691"/>
    <w:rsid w:val="00E86AA7"/>
    <w:rsid w:val="00E90F70"/>
    <w:rsid w:val="00E92237"/>
    <w:rsid w:val="00E951EF"/>
    <w:rsid w:val="00EA3D54"/>
    <w:rsid w:val="00EA56D9"/>
    <w:rsid w:val="00EA5CE3"/>
    <w:rsid w:val="00EA75C0"/>
    <w:rsid w:val="00EB51C1"/>
    <w:rsid w:val="00EB5AE1"/>
    <w:rsid w:val="00EB5E0B"/>
    <w:rsid w:val="00EB6985"/>
    <w:rsid w:val="00EC2171"/>
    <w:rsid w:val="00EC4669"/>
    <w:rsid w:val="00ED442D"/>
    <w:rsid w:val="00ED70C2"/>
    <w:rsid w:val="00EE18FF"/>
    <w:rsid w:val="00EE489F"/>
    <w:rsid w:val="00F0647F"/>
    <w:rsid w:val="00F10CE3"/>
    <w:rsid w:val="00F132D6"/>
    <w:rsid w:val="00F14F3B"/>
    <w:rsid w:val="00F16362"/>
    <w:rsid w:val="00F207C7"/>
    <w:rsid w:val="00F36B6D"/>
    <w:rsid w:val="00F43FA3"/>
    <w:rsid w:val="00F4704C"/>
    <w:rsid w:val="00F55648"/>
    <w:rsid w:val="00F6579B"/>
    <w:rsid w:val="00F70046"/>
    <w:rsid w:val="00F748C2"/>
    <w:rsid w:val="00F75AD7"/>
    <w:rsid w:val="00F76C5C"/>
    <w:rsid w:val="00F81EF3"/>
    <w:rsid w:val="00F84496"/>
    <w:rsid w:val="00F85DCB"/>
    <w:rsid w:val="00F86F9C"/>
    <w:rsid w:val="00F90D07"/>
    <w:rsid w:val="00F90D76"/>
    <w:rsid w:val="00F933DA"/>
    <w:rsid w:val="00F94F84"/>
    <w:rsid w:val="00FC002E"/>
    <w:rsid w:val="00FC4C23"/>
    <w:rsid w:val="00FC642E"/>
    <w:rsid w:val="00FE2AE4"/>
    <w:rsid w:val="00FE689F"/>
    <w:rsid w:val="00FE7809"/>
    <w:rsid w:val="00FF408B"/>
    <w:rsid w:val="00FF71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319B188"/>
  <w15:docId w15:val="{65ADD14F-CA70-4E01-B8D1-B7369CFE6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DC1B5A"/>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health.gov.au/cdi"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mailto:cdi.editor@health.gov.au" TargetMode="External"/><Relationship Id="rId28"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health.gov.au/cdi" TargetMode="External"/><Relationship Id="rId27" Type="http://schemas.openxmlformats.org/officeDocument/2006/relationships/hyperlink" Target="http://www.itsanhonour.gov.au/"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B8725E-49E7-4F2D-A16C-B5BBCC996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8390</Words>
  <Characters>49763</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Communicable Diseases Intelligence 2020 - COVID-19, Australia: Epidemiology Report 21</vt:lpstr>
    </vt:vector>
  </TitlesOfParts>
  <Company>Australian Government, Department of Health</Company>
  <LinksUpToDate>false</LinksUpToDate>
  <CharactersWithSpaces>58037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COVID-19, Australia: Epidemiology Report 21</dc:title>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Printed>2018-05-10T02:19:00Z</cp:lastPrinted>
  <dcterms:created xsi:type="dcterms:W3CDTF">2024-08-29T03:17:00Z</dcterms:created>
  <dcterms:modified xsi:type="dcterms:W3CDTF">2024-08-29T03:17:00Z</dcterms:modified>
  <cp:category>Fortnightly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7/8/2020</vt:lpwstr>
  </property>
  <property fmtid="{D5CDD505-2E9C-101B-9397-08002B2CF9AE}" pid="5" name="DOI">
    <vt:lpwstr>https://doi.org/10.33321/cdi.2020.44.64</vt:lpwstr>
  </property>
</Properties>
</file>